
<file path=[Content_Types].xml><?xml version="1.0" encoding="utf-8"?>
<Types xmlns="http://schemas.openxmlformats.org/package/2006/content-types">
  <Default Extension="rels" ContentType="application/vnd.openxmlformats-package.relationships+xml"/>
  <Default Extension="xml" ContentType="application/xml"/>
  <Default Extension="bmp" ContentType="image/bmp"/>
  <Default Extension="xlsx" ContentType="application/vnd.openxmlformats-officedocument.spreadsheetml.sheet"/>
  <Override PartName="/word/settings.xml" ContentType="application/vnd.openxmlformats-officedocument.wordprocessingml.setting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body>
    <w:p>
      <w:pPr>
        <w:pStyle w:val="19"/>
        <w:rPr>
          <w:rFonts w:ascii="Times New Roman" w:eastAsia="方正小标宋简体" w:cs="Times New Roman" w:hAnsi="Times New Roman" w:hint="eastAsia"/>
          <w:color w:val="auto"/>
          <w:kern w:val="2"/>
          <w:sz w:val="72"/>
          <w:szCs w:val="72"/>
          <w:lang w:val="en-US" w:eastAsia="zh-CN" w:bidi="ar-SA"/>
          <w:highlight w:val="auto"/>
        </w:rPr>
      </w:pPr>
      <w:bookmarkStart w:id="0" w:name="_Toc15306267"/>
      <w:bookmarkStart w:id="1" w:name="_Toc15396475"/>
      <w:bookmarkStart w:id="2" w:name="_Toc15396597"/>
      <w:bookmarkStart w:id="3" w:name="_Toc15377193"/>
      <w:bookmarkStart w:id="4" w:name="_Toc15378441"/>
      <w:bookmarkStart w:id="5" w:name="_Toc15377425"/>
    </w:p>
    <w:p>
      <w:pPr>
        <w:pStyle w:val="19"/>
        <w:rPr>
          <w:rFonts w:ascii="Times New Roman" w:eastAsia="方正小标宋简体" w:cs="Times New Roman" w:hAnsi="Times New Roman" w:hint="eastAsia"/>
          <w:color w:val="auto"/>
          <w:kern w:val="2"/>
          <w:sz w:val="72"/>
          <w:szCs w:val="72"/>
          <w:lang w:val="en-US" w:eastAsia="zh-CN" w:bidi="ar-SA"/>
          <w:highlight w:val="auto"/>
        </w:rPr>
      </w:pPr>
    </w:p>
    <w:p>
      <w:pPr>
        <w:pStyle w:val="19"/>
        <w:rPr>
          <w:rFonts w:ascii="CESI黑体-GB13000" w:eastAsia="CESI黑体-GB13000" w:cs="CESI黑体-GB13000" w:hint="eastAsia"/>
          <w:color w:val="auto"/>
          <w:kern w:val="2"/>
          <w:sz w:val="52"/>
          <w:szCs w:val="52"/>
          <w:lang w:val="en-US" w:eastAsia="zh-CN" w:bidi="ar-SA"/>
          <w:highlight w:val="auto"/>
        </w:rPr>
      </w:pPr>
    </w:p>
    <w:p>
      <w:pPr>
        <w:pStyle w:val="19"/>
        <w:jc w:val="center"/>
        <w:rPr>
          <w:rFonts w:ascii="Times New Roman" w:eastAsia="方正小标宋简体" w:hAnsi="Times New Roman"/>
          <w:kern w:val="2"/>
          <w:sz w:val="44"/>
          <w:szCs w:val="44"/>
          <w:lang w:val="en-US"/>
        </w:rPr>
        <w:sectPr>
          <w:headerReference w:type="default" r:id="rId2"/>
          <w:footerReference w:type="default" r:id="rId3"/>
          <w:footerReference w:type="first" r:id="rId4"/>
          <w:pgSz w:w="11906" w:h="16838"/>
          <w:pgMar w:top="1440" w:right="1800" w:bottom="1440" w:left="1800" w:header="851" w:footer="992" w:gutter="0"/>
          <w:pgNumType w:fmt="numberInDash" w:start="1"/>
          <w:titlePg/>
          <w:docGrid w:type="lines" w:linePitch="312" w:charSpace="0"/>
        </w:sectPr>
      </w:pPr>
      <w:r>
        <w:rPr>
          <w:rFonts w:ascii="CESI黑体-GB13000" w:eastAsia="CESI黑体-GB13000" w:cs="CESI黑体-GB13000" w:hint="eastAsia"/>
          <w:b/>
          <w:bCs/>
          <w:color w:val="auto"/>
          <w:kern w:val="2"/>
          <w:sz w:val="52"/>
          <w:szCs w:val="52"/>
          <w:lang w:val="en-US" w:eastAsia="zh-CN" w:bidi="ar-SA"/>
          <w:highlight w:val="auto"/>
        </w:rPr>
        <w:t>202</w:t>
      </w:r>
      <w:r>
        <w:rPr>
          <w:rFonts w:ascii="CESI黑体-GB13000" w:eastAsia="CESI黑体-GB13000" w:cs="CESI黑体-GB13000"/>
          <w:b/>
          <w:bCs/>
          <w:color w:val="auto"/>
          <w:kern w:val="2"/>
          <w:sz w:val="52"/>
          <w:szCs w:val="52"/>
          <w:lang w:val="en-US" w:eastAsia="zh-CN" w:bidi="ar-SA"/>
          <w:highlight w:val="auto"/>
        </w:rPr>
        <w:t>5</w:t>
      </w:r>
      <w:r>
        <w:rPr>
          <w:rFonts w:ascii="CESI黑体-GB13000" w:eastAsia="CESI黑体-GB13000" w:cs="CESI黑体-GB13000" w:hint="eastAsia"/>
          <w:b/>
          <w:bCs/>
          <w:color w:val="auto"/>
          <w:kern w:val="2"/>
          <w:sz w:val="52"/>
          <w:szCs w:val="52"/>
          <w:lang w:val="en-US" w:eastAsia="zh-CN" w:bidi="ar-SA"/>
          <w:highlight w:val="auto"/>
        </w:rPr>
        <w:t xml:space="preserve">年度阿坝州佛教协会单位决算公开 </w:t>
      </w:r>
      <w:r>
        <w:rPr>
          <w:rFonts w:ascii="CESI黑体-GB13000" w:eastAsia="CESI黑体-GB13000" w:cs="CESI黑体-GB13000" w:hint="eastAsia"/>
          <w:color w:val="auto"/>
          <w:kern w:val="2"/>
          <w:sz w:val="52"/>
          <w:szCs w:val="52"/>
          <w:lang w:val="en-US" w:eastAsia="zh-CN" w:bidi="ar-SA"/>
          <w:highlight w:val="auto"/>
        </w:rPr>
        <w:t xml:space="preserve">  </w:t>
      </w:r>
      <w:r>
        <w:rPr>
          <w:rFonts w:ascii="Times New Roman" w:eastAsia="方正小标宋简体" w:cs="Times New Roman" w:hAnsi="Times New Roman" w:hint="eastAsia"/>
          <w:color w:val="auto"/>
          <w:kern w:val="2"/>
          <w:sz w:val="44"/>
          <w:szCs w:val="44"/>
          <w:lang w:val="en-US" w:eastAsia="zh-CN" w:bidi="ar-SA"/>
          <w:highlight w:val="auto"/>
        </w:rPr>
        <w:t xml:space="preserve">                                                                                                                                                        </w:t>
      </w:r>
    </w:p>
    <w:p>
      <w:pPr>
        <w:widowControl/>
        <w:jc w:val="center"/>
        <w:rPr>
          <w:rFonts w:ascii="Times New Roman" w:eastAsia="黑体" w:hAnsi="Times New Roman"/>
          <w:color w:val="auto"/>
          <w:sz w:val="72"/>
          <w:szCs w:val="72"/>
          <w:highlight w:val="auto"/>
        </w:rPr>
      </w:pPr>
      <w:bookmarkEnd w:id="0"/>
      <w:bookmarkEnd w:id="1"/>
      <w:bookmarkEnd w:id="2"/>
      <w:bookmarkEnd w:id="3"/>
      <w:bookmarkEnd w:id="4"/>
      <w:bookmarkEnd w:id="5"/>
      <w:r>
        <w:rPr>
          <w:rFonts w:ascii="Times New Roman" w:eastAsia="黑体" w:hAnsi="Times New Roman" w:hint="eastAsia"/>
          <w:color w:val="auto"/>
          <w:sz w:val="72"/>
          <w:szCs w:val="72"/>
          <w:highlight w:val="auto"/>
        </w:rPr>
        <w:t>目录</w:t>
      </w:r>
    </w:p>
    <w:p>
      <w:pPr>
        <w:widowControl/>
        <w:jc w:val="center"/>
        <w:rPr>
          <w:rFonts w:ascii="Times New Roman" w:eastAsia="黑体" w:cs="Arial" w:hAnsi="Times New Roman"/>
          <w:color w:val="auto"/>
          <w:sz w:val="28"/>
          <w:szCs w:val="28"/>
          <w:highlight w:val="auto"/>
        </w:rPr>
      </w:pPr>
    </w:p>
    <w:p>
      <w:pPr>
        <w:pStyle w:val="26"/>
        <w:tabs>
          <w:tab w:val="right" w:leader="dot" w:pos="8296"/>
        </w:tabs>
        <w:rPr>
          <w:rFonts w:ascii="Times New Roman" w:eastAsia="仿宋_GB2312" w:cs="仿宋_GB2312" w:hAnsi="Times New Roman" w:hint="eastAsia"/>
          <w:color w:val="auto"/>
          <w:sz w:val="32"/>
          <w:szCs w:val="32"/>
          <w:highlight w:val="auto"/>
        </w:rPr>
      </w:pPr>
      <w:r>
        <w:rPr>
          <w:rFonts w:ascii="Times New Roman" w:eastAsia="仿宋_GB2312" w:cs="仿宋_GB2312" w:hAnsi="Times New Roman" w:hint="eastAsia"/>
          <w:color w:val="auto"/>
          <w:sz w:val="32"/>
          <w:szCs w:val="32"/>
          <w:highlight w:val="auto"/>
        </w:rPr>
        <w:t>公开时间：20</w:t>
      </w:r>
      <w:r>
        <w:rPr>
          <w:rFonts w:ascii="Times New Roman" w:eastAsia="仿宋_GB2312" w:cs="仿宋_GB2312" w:hAnsi="Times New Roman" w:hint="eastAsia"/>
          <w:color w:val="auto"/>
          <w:sz w:val="32"/>
          <w:szCs w:val="32"/>
          <w:lang w:val="en-US" w:eastAsia="zh-CN"/>
          <w:highlight w:val="auto"/>
        </w:rPr>
        <w:t>2</w:t>
      </w:r>
      <w:r>
        <w:rPr>
          <w:rFonts w:ascii="Times New Roman" w:eastAsia="仿宋_GB2312" w:cs="仿宋_GB2312" w:hAnsi="Times New Roman"/>
          <w:color w:val="auto"/>
          <w:sz w:val="32"/>
          <w:szCs w:val="32"/>
          <w:lang w:val="en-US" w:eastAsia="zh-CN"/>
          <w:highlight w:val="auto"/>
        </w:rPr>
        <w:t>6</w:t>
      </w:r>
      <w:r>
        <w:rPr>
          <w:rFonts w:ascii="Times New Roman" w:eastAsia="仿宋_GB2312" w:cs="仿宋_GB2312" w:hAnsi="Times New Roman" w:hint="eastAsia"/>
          <w:color w:val="auto"/>
          <w:sz w:val="32"/>
          <w:szCs w:val="32"/>
          <w:highlight w:val="auto"/>
        </w:rPr>
        <w:t>年</w:t>
      </w:r>
      <w:r>
        <w:rPr>
          <w:rFonts w:ascii="Times New Roman" w:eastAsia="仿宋_GB2312" w:cs="仿宋_GB2312" w:hAnsi="Times New Roman" w:hint="eastAsia"/>
          <w:color w:val="auto"/>
          <w:sz w:val="32"/>
          <w:szCs w:val="32"/>
          <w:lang w:val="en-US" w:eastAsia="zh-CN"/>
          <w:highlight w:val="auto"/>
        </w:rPr>
        <w:t xml:space="preserve"> 9 </w:t>
      </w:r>
      <w:r>
        <w:rPr>
          <w:rFonts w:ascii="Times New Roman" w:eastAsia="仿宋_GB2312" w:cs="仿宋_GB2312" w:hAnsi="Times New Roman" w:hint="eastAsia"/>
          <w:color w:val="auto"/>
          <w:sz w:val="32"/>
          <w:szCs w:val="32"/>
          <w:highlight w:val="auto"/>
        </w:rPr>
        <w:t>月</w:t>
      </w:r>
      <w:r>
        <w:rPr>
          <w:rFonts w:ascii="Times New Roman" w:eastAsia="仿宋_GB2312" w:cs="仿宋_GB2312" w:hAnsi="Times New Roman"/>
          <w:color w:val="auto"/>
          <w:sz w:val="32"/>
          <w:szCs w:val="32"/>
          <w:lang w:val="en-US" w:eastAsia="zh-CN"/>
          <w:highlight w:val="auto"/>
        </w:rPr>
        <w:t>4</w:t>
      </w:r>
      <w:r>
        <w:rPr>
          <w:rFonts w:ascii="Times New Roman" w:eastAsia="仿宋_GB2312" w:cs="仿宋_GB2312" w:hAnsi="Times New Roman" w:hint="eastAsia"/>
          <w:color w:val="auto"/>
          <w:sz w:val="32"/>
          <w:szCs w:val="32"/>
          <w:lang w:val="en-US" w:eastAsia="zh-CN"/>
          <w:highlight w:val="auto"/>
        </w:rPr>
        <w:t xml:space="preserve"> </w:t>
      </w:r>
      <w:r>
        <w:rPr>
          <w:rFonts w:ascii="Times New Roman" w:eastAsia="仿宋_GB2312" w:cs="仿宋_GB2312" w:hAnsi="Times New Roman" w:hint="eastAsia"/>
          <w:color w:val="auto"/>
          <w:sz w:val="32"/>
          <w:szCs w:val="32"/>
          <w:highlight w:val="auto"/>
        </w:rPr>
        <w:t>日</w:t>
      </w:r>
    </w:p>
    <w:p>
      <w:pPr>
        <w:rPr>
          <w:rFonts w:ascii="Times New Roman" w:hAnsi="Times New Roman"/>
          <w:color w:val="auto"/>
          <w:highlight w:val="auto"/>
        </w:rPr>
      </w:pPr>
    </w:p>
    <w:p>
      <w:pPr>
        <w:pStyle w:val="26"/>
        <w:keepNext w:val="0"/>
        <w:keepLines w:val="0"/>
        <w:pageBreakBefore w:val="0"/>
        <w:widowControl w:val="0"/>
        <w:numPr>
          <w:ilvl w:val="0"/>
          <w:numId w:val="1"/>
        </w:numPr>
        <w:tabs>
          <w:tab w:val="right" w:leader="middleDot" w:pos="7980"/>
          <w:tab w:val="right" w:leader="dot" w:pos="8296"/>
        </w:tabs>
        <w:kinsoku/>
        <w:wordWrap/>
        <w:overflowPunct/>
        <w:topLinePunct w:val="0"/>
        <w:autoSpaceDE/>
        <w:autoSpaceDN/>
        <w:bidi w:val="0"/>
        <w:adjustRightInd w:val="0"/>
        <w:snapToGrid w:val="0"/>
        <w:spacing w:before="0" w:line="560" w:lineRule="exact"/>
        <w:jc w:val="left"/>
        <w:textAlignment w:val="auto"/>
        <w:rPr>
          <w:rFonts w:ascii="Times New Roman" w:eastAsia="仿宋_GB2312" w:cs="仿宋_GB2312" w:hAnsi="Times New Roman" w:hint="eastAsia"/>
          <w:color w:val="auto"/>
          <w:sz w:val="32"/>
          <w:szCs w:val="32"/>
          <w:highlight w:val="auto"/>
        </w:rPr>
      </w:pPr>
      <w:r>
        <w:rPr>
          <w:rFonts w:ascii="Times New Roman" w:eastAsia="黑体" w:cs="黑体" w:hAnsi="Times New Roman" w:hint="eastAsia"/>
          <w:color w:val="auto"/>
          <w:sz w:val="32"/>
          <w:szCs w:val="32"/>
          <w:highlight w:val="auto"/>
        </w:rPr>
        <w:t>部门概况</w:t>
      </w:r>
      <w:r>
        <w:rPr>
          <w:rFonts w:ascii="Times New Roman" w:eastAsia="黑体" w:cs="黑体" w:hAnsi="Times New Roman"/>
          <w:color w:val="auto"/>
          <w:sz w:val="32"/>
          <w:szCs w:val="32"/>
          <w:highlight w:val="auto"/>
        </w:rPr>
        <w:t xml:space="preserve"> </w:t>
        <w:tab/>
      </w:r>
      <w:r>
        <w:rPr>
          <w:rFonts w:ascii="Times New Roman" w:eastAsia="黑体" w:cs="黑体" w:hAnsi="Times New Roman" w:hint="eastAsia"/>
          <w:color w:val="auto"/>
          <w:sz w:val="32"/>
          <w:szCs w:val="32"/>
          <w:lang w:val="en-US" w:eastAsia="zh-CN"/>
          <w:highlight w:val="auto"/>
        </w:rPr>
        <w:t>3</w:t>
      </w:r>
    </w:p>
    <w:p>
      <w:pPr>
        <w:pStyle w:val="26"/>
        <w:keepNext w:val="0"/>
        <w:keepLines w:val="0"/>
        <w:pageBreakBefore w:val="0"/>
        <w:widowControl w:val="0"/>
        <w:tabs>
          <w:tab w:val="right" w:leader="middleDot" w:pos="7980"/>
          <w:tab w:val="right" w:leader="dot" w:pos="8296"/>
        </w:tabs>
        <w:kinsoku/>
        <w:wordWrap/>
        <w:overflowPunct/>
        <w:topLinePunct w:val="0"/>
        <w:autoSpaceDE/>
        <w:autoSpaceDN/>
        <w:bidi w:val="0"/>
        <w:adjustRightInd w:val="0"/>
        <w:snapToGrid w:val="0"/>
        <w:spacing w:before="0" w:line="560" w:lineRule="exact"/>
        <w:jc w:val="left"/>
        <w:textAlignment w:val="auto"/>
        <w:rPr>
          <w:rFonts w:ascii="Times New Roman" w:eastAsia="仿宋_GB2312" w:cs="仿宋_GB2312" w:hAnsi="Times New Roman"/>
          <w:color w:val="auto"/>
          <w:sz w:val="32"/>
          <w:szCs w:val="32"/>
          <w:lang w:val="en-US"/>
          <w:highlight w:val="auto"/>
        </w:rPr>
      </w:pPr>
      <w:r>
        <w:rPr>
          <w:rFonts w:ascii="Times New Roman" w:eastAsia="仿宋_GB2312" w:cs="仿宋_GB2312" w:hAnsi="Times New Roman" w:hint="eastAsia"/>
          <w:color w:val="auto"/>
          <w:sz w:val="32"/>
          <w:szCs w:val="32"/>
          <w:highlight w:val="auto"/>
        </w:rPr>
        <w:t>一、</w:t>
      </w:r>
      <w:r>
        <w:rPr>
          <w:rFonts w:ascii="Times New Roman" w:eastAsia="仿宋_GB2312" w:cs="仿宋_GB2312" w:hAnsi="Times New Roman" w:hint="eastAsia"/>
          <w:color w:val="auto"/>
          <w:sz w:val="32"/>
          <w:szCs w:val="32"/>
          <w:lang w:eastAsia="zh-CN"/>
          <w:highlight w:val="auto"/>
        </w:rPr>
        <w:t>部门职责</w:t>
      </w:r>
      <w:r>
        <w:rPr>
          <w:rFonts w:ascii="Times New Roman" w:eastAsia="仿宋_GB2312" w:cs="仿宋_GB2312" w:hAnsi="Times New Roman" w:hint="eastAsia"/>
          <w:color w:val="auto"/>
          <w:sz w:val="32"/>
          <w:szCs w:val="32"/>
          <w:lang w:val="en-US" w:eastAsia="zh-CN"/>
          <w:highlight w:val="auto"/>
        </w:rPr>
        <w:tab/>
        <w:t>3</w:t>
      </w:r>
    </w:p>
    <w:p>
      <w:pPr>
        <w:pStyle w:val="29"/>
        <w:keepNext w:val="0"/>
        <w:keepLines w:val="0"/>
        <w:pageBreakBefore w:val="0"/>
        <w:widowControl w:val="0"/>
        <w:tabs>
          <w:tab w:val="right" w:leader="middleDot" w:pos="7980"/>
          <w:tab w:val="right" w:leader="dot" w:pos="8296"/>
        </w:tabs>
        <w:kinsoku/>
        <w:wordWrap/>
        <w:overflowPunct/>
        <w:topLinePunct w:val="0"/>
        <w:autoSpaceDE/>
        <w:autoSpaceDN/>
        <w:bidi w:val="0"/>
        <w:adjustRightInd w:val="0"/>
        <w:snapToGrid w:val="0"/>
        <w:spacing w:line="560" w:lineRule="exact"/>
        <w:ind w:leftChars="0" w:left="0" w:firstLine="0"/>
        <w:jc w:val="left"/>
        <w:textAlignment w:val="auto"/>
        <w:rPr>
          <w:rFonts w:ascii="Times New Roman" w:eastAsia="仿宋_GB2312" w:cs="仿宋_GB2312" w:hAnsi="Times New Roman" w:hint="eastAsia"/>
          <w:color w:val="auto"/>
          <w:sz w:val="32"/>
          <w:szCs w:val="32"/>
          <w:lang w:val="en-US" w:eastAsia="zh-CN"/>
          <w:highlight w:val="auto"/>
        </w:rPr>
      </w:pPr>
      <w:r>
        <w:rPr>
          <w:rFonts w:ascii="Times New Roman" w:eastAsia="仿宋_GB2312" w:cs="仿宋_GB2312" w:hAnsi="Times New Roman" w:hint="eastAsia"/>
          <w:color w:val="auto"/>
          <w:sz w:val="32"/>
          <w:szCs w:val="32"/>
          <w:highlight w:val="auto"/>
        </w:rPr>
        <w:t>二、机构设置</w:t>
      </w:r>
      <w:r>
        <w:rPr>
          <w:rFonts w:ascii="Times New Roman" w:eastAsia="仿宋_GB2312" w:cs="仿宋_GB2312" w:hAnsi="Times New Roman"/>
          <w:color w:val="auto"/>
          <w:sz w:val="32"/>
          <w:szCs w:val="32"/>
          <w:highlight w:val="auto"/>
        </w:rPr>
        <w:tab/>
      </w:r>
      <w:r>
        <w:rPr>
          <w:rFonts w:eastAsia="仿宋_GB2312" w:cs="仿宋_GB2312" w:hint="eastAsia"/>
          <w:color w:val="auto"/>
          <w:sz w:val="32"/>
          <w:szCs w:val="32"/>
          <w:lang w:val="en-US" w:eastAsia="zh-CN"/>
          <w:highlight w:val="auto"/>
        </w:rPr>
        <w:t>3</w:t>
      </w:r>
    </w:p>
    <w:p>
      <w:pPr>
        <w:pStyle w:val="26"/>
        <w:keepNext w:val="0"/>
        <w:keepLines w:val="0"/>
        <w:pageBreakBefore w:val="0"/>
        <w:widowControl w:val="0"/>
        <w:tabs>
          <w:tab w:val="right" w:leader="middleDot" w:pos="7980"/>
          <w:tab w:val="right" w:leader="dot" w:pos="8296"/>
        </w:tabs>
        <w:kinsoku/>
        <w:wordWrap/>
        <w:overflowPunct/>
        <w:topLinePunct w:val="0"/>
        <w:autoSpaceDE/>
        <w:autoSpaceDN/>
        <w:bidi w:val="0"/>
        <w:adjustRightInd w:val="0"/>
        <w:snapToGrid w:val="0"/>
        <w:spacing w:before="0" w:line="560" w:lineRule="exact"/>
        <w:jc w:val="left"/>
        <w:textAlignment w:val="auto"/>
        <w:rPr>
          <w:rFonts w:ascii="Times New Roman" w:eastAsia="黑体" w:cs="黑体" w:hAnsi="Times New Roman" w:hint="eastAsia"/>
          <w:color w:val="auto"/>
          <w:sz w:val="32"/>
          <w:szCs w:val="32"/>
          <w:lang w:val="en-US" w:eastAsia="zh-CN"/>
          <w:highlight w:val="auto"/>
        </w:rPr>
      </w:pPr>
      <w:r>
        <w:rPr>
          <w:rFonts w:ascii="Times New Roman" w:eastAsia="黑体" w:cs="黑体" w:hAnsi="Times New Roman" w:hint="eastAsia"/>
          <w:color w:val="auto"/>
          <w:sz w:val="32"/>
          <w:szCs w:val="32"/>
          <w:highlight w:val="auto"/>
        </w:rPr>
        <w:t>第二部分</w:t>
      </w:r>
      <w:r>
        <w:rPr>
          <w:rFonts w:ascii="Times New Roman" w:eastAsia="黑体" w:cs="黑体" w:hAnsi="Times New Roman" w:hint="eastAsia"/>
          <w:color w:val="auto"/>
          <w:sz w:val="32"/>
          <w:szCs w:val="32"/>
          <w:lang w:val="en-US" w:eastAsia="zh-CN"/>
          <w:highlight w:val="auto"/>
        </w:rPr>
        <w:t xml:space="preserve"> 202</w:t>
      </w:r>
      <w:r>
        <w:rPr>
          <w:rFonts w:ascii="Times New Roman" w:eastAsia="黑体" w:cs="黑体" w:hAnsi="Times New Roman"/>
          <w:color w:val="auto"/>
          <w:sz w:val="32"/>
          <w:szCs w:val="32"/>
          <w:lang w:val="en-US" w:eastAsia="zh-CN"/>
          <w:highlight w:val="auto"/>
        </w:rPr>
        <w:t>5</w:t>
      </w:r>
      <w:r>
        <w:rPr>
          <w:rFonts w:ascii="Times New Roman" w:eastAsia="黑体" w:cs="黑体" w:hAnsi="Times New Roman" w:hint="eastAsia"/>
          <w:color w:val="auto"/>
          <w:sz w:val="32"/>
          <w:szCs w:val="32"/>
          <w:lang w:val="en-US" w:eastAsia="zh-CN"/>
          <w:highlight w:val="auto"/>
        </w:rPr>
        <w:t>年度</w:t>
      </w:r>
      <w:r>
        <w:rPr>
          <w:rFonts w:ascii="Times New Roman" w:eastAsia="黑体" w:cs="黑体" w:hAnsi="Times New Roman" w:hint="eastAsia"/>
          <w:color w:val="auto"/>
          <w:sz w:val="32"/>
          <w:szCs w:val="32"/>
          <w:highlight w:val="auto"/>
        </w:rPr>
        <w:t>部门决算情况说明</w:t>
      </w:r>
      <w:r>
        <w:rPr>
          <w:rFonts w:ascii="Times New Roman" w:eastAsia="黑体" w:cs="黑体" w:hAnsi="Times New Roman"/>
          <w:color w:val="auto"/>
          <w:sz w:val="32"/>
          <w:szCs w:val="32"/>
          <w:highlight w:val="auto"/>
        </w:rPr>
        <w:tab/>
      </w:r>
      <w:r>
        <w:rPr>
          <w:rFonts w:ascii="Times New Roman" w:eastAsia="黑体" w:cs="黑体" w:hAnsi="Times New Roman"/>
          <w:color w:val="auto"/>
          <w:sz w:val="32"/>
          <w:szCs w:val="32"/>
          <w:lang w:val="en-US" w:eastAsia="zh-CN"/>
          <w:highlight w:val="auto"/>
        </w:rPr>
        <w:t>5</w:t>
      </w:r>
    </w:p>
    <w:p>
      <w:pPr>
        <w:pStyle w:val="29"/>
        <w:keepNext w:val="0"/>
        <w:keepLines w:val="0"/>
        <w:pageBreakBefore w:val="0"/>
        <w:widowControl w:val="0"/>
        <w:tabs>
          <w:tab w:val="right" w:leader="middleDot" w:pos="7980"/>
          <w:tab w:val="right" w:leader="dot" w:pos="8296"/>
        </w:tabs>
        <w:kinsoku/>
        <w:wordWrap/>
        <w:overflowPunct/>
        <w:topLinePunct w:val="0"/>
        <w:autoSpaceDE/>
        <w:autoSpaceDN/>
        <w:bidi w:val="0"/>
        <w:adjustRightInd w:val="0"/>
        <w:snapToGrid w:val="0"/>
        <w:spacing w:line="560" w:lineRule="exact"/>
        <w:ind w:leftChars="0" w:left="0" w:firstLineChars="200" w:firstLine="640"/>
        <w:jc w:val="left"/>
        <w:textAlignment w:val="auto"/>
        <w:rPr>
          <w:rFonts w:ascii="Times New Roman" w:eastAsia="仿宋_GB2312" w:cs="仿宋_GB2312" w:hAnsi="Times New Roman" w:hint="eastAsia"/>
          <w:color w:val="auto"/>
          <w:sz w:val="32"/>
          <w:szCs w:val="32"/>
          <w:lang w:val="en-US" w:eastAsia="zh-CN"/>
          <w:highlight w:val="auto"/>
        </w:rPr>
      </w:pPr>
      <w:r>
        <w:rPr>
          <w:rFonts w:ascii="Times New Roman" w:eastAsia="仿宋_GB2312" w:cs="仿宋_GB2312" w:hAnsi="Times New Roman" w:hint="eastAsia"/>
          <w:color w:val="auto"/>
          <w:sz w:val="32"/>
          <w:szCs w:val="32"/>
          <w:highlight w:val="auto"/>
        </w:rPr>
        <w:t>一、收入支出决算总体情况说明</w:t>
      </w:r>
      <w:r>
        <w:rPr>
          <w:rFonts w:ascii="Times New Roman" w:eastAsia="仿宋_GB2312" w:cs="仿宋_GB2312" w:hAnsi="Times New Roman"/>
          <w:color w:val="auto"/>
          <w:sz w:val="32"/>
          <w:szCs w:val="32"/>
          <w:highlight w:val="auto"/>
        </w:rPr>
        <w:tab/>
      </w:r>
      <w:r>
        <w:rPr>
          <w:rFonts w:eastAsia="仿宋_GB2312" w:cs="仿宋_GB2312"/>
          <w:color w:val="auto"/>
          <w:sz w:val="32"/>
          <w:szCs w:val="32"/>
          <w:lang w:val="en-US" w:eastAsia="zh-CN"/>
          <w:highlight w:val="auto"/>
        </w:rPr>
        <w:t>6</w:t>
      </w:r>
    </w:p>
    <w:p>
      <w:pPr>
        <w:pStyle w:val="29"/>
        <w:keepNext w:val="0"/>
        <w:keepLines w:val="0"/>
        <w:pageBreakBefore w:val="0"/>
        <w:widowControl w:val="0"/>
        <w:tabs>
          <w:tab w:val="right" w:leader="middleDot" w:pos="7980"/>
          <w:tab w:val="right" w:leader="dot" w:pos="8296"/>
        </w:tabs>
        <w:kinsoku/>
        <w:wordWrap/>
        <w:overflowPunct/>
        <w:topLinePunct w:val="0"/>
        <w:autoSpaceDE/>
        <w:autoSpaceDN/>
        <w:bidi w:val="0"/>
        <w:adjustRightInd w:val="0"/>
        <w:snapToGrid w:val="0"/>
        <w:spacing w:line="560" w:lineRule="exact"/>
        <w:ind w:leftChars="0" w:left="0" w:firstLineChars="200" w:firstLine="640"/>
        <w:jc w:val="left"/>
        <w:textAlignment w:val="auto"/>
        <w:rPr>
          <w:rFonts w:ascii="Times New Roman" w:eastAsia="仿宋_GB2312" w:cs="仿宋_GB2312" w:hAnsi="Times New Roman" w:hint="eastAsia"/>
          <w:color w:val="auto"/>
          <w:sz w:val="32"/>
          <w:szCs w:val="32"/>
          <w:lang w:val="en-US" w:eastAsia="zh-CN"/>
          <w:highlight w:val="auto"/>
        </w:rPr>
      </w:pPr>
      <w:r>
        <w:rPr>
          <w:rFonts w:ascii="Times New Roman" w:eastAsia="仿宋_GB2312" w:cs="仿宋_GB2312" w:hAnsi="Times New Roman" w:hint="eastAsia"/>
          <w:color w:val="auto"/>
          <w:sz w:val="32"/>
          <w:szCs w:val="32"/>
          <w:highlight w:val="auto"/>
        </w:rPr>
        <w:t>二、收入决算情况说明</w:t>
      </w:r>
      <w:r>
        <w:rPr>
          <w:rFonts w:ascii="Times New Roman" w:eastAsia="仿宋_GB2312" w:cs="仿宋_GB2312" w:hAnsi="Times New Roman"/>
          <w:color w:val="auto"/>
          <w:sz w:val="32"/>
          <w:szCs w:val="32"/>
          <w:highlight w:val="auto"/>
        </w:rPr>
        <w:tab/>
      </w:r>
      <w:r>
        <w:rPr>
          <w:rFonts w:eastAsia="仿宋_GB2312" w:cs="仿宋_GB2312"/>
          <w:color w:val="auto"/>
          <w:sz w:val="32"/>
          <w:szCs w:val="32"/>
          <w:lang w:val="en-US" w:eastAsia="zh-CN"/>
          <w:highlight w:val="auto"/>
        </w:rPr>
        <w:t>6</w:t>
      </w:r>
    </w:p>
    <w:p>
      <w:pPr>
        <w:pStyle w:val="29"/>
        <w:keepNext w:val="0"/>
        <w:keepLines w:val="0"/>
        <w:pageBreakBefore w:val="0"/>
        <w:widowControl w:val="0"/>
        <w:tabs>
          <w:tab w:val="right" w:leader="middleDot" w:pos="7980"/>
          <w:tab w:val="right" w:leader="dot" w:pos="8296"/>
        </w:tabs>
        <w:kinsoku/>
        <w:wordWrap/>
        <w:overflowPunct/>
        <w:topLinePunct w:val="0"/>
        <w:autoSpaceDE/>
        <w:autoSpaceDN/>
        <w:bidi w:val="0"/>
        <w:adjustRightInd w:val="0"/>
        <w:snapToGrid w:val="0"/>
        <w:spacing w:line="560" w:lineRule="exact"/>
        <w:ind w:leftChars="0" w:left="0" w:firstLineChars="200" w:firstLine="640"/>
        <w:jc w:val="left"/>
        <w:textAlignment w:val="auto"/>
        <w:rPr>
          <w:rFonts w:ascii="Times New Roman" w:eastAsia="仿宋_GB2312" w:cs="仿宋_GB2312" w:hAnsi="Times New Roman" w:hint="eastAsia"/>
          <w:color w:val="auto"/>
          <w:sz w:val="32"/>
          <w:szCs w:val="32"/>
          <w:lang w:val="en-US" w:eastAsia="zh-CN"/>
          <w:highlight w:val="auto"/>
        </w:rPr>
      </w:pPr>
      <w:r>
        <w:rPr>
          <w:rFonts w:ascii="Times New Roman" w:eastAsia="仿宋_GB2312" w:cs="仿宋_GB2312" w:hAnsi="Times New Roman" w:hint="eastAsia"/>
          <w:color w:val="auto"/>
          <w:sz w:val="32"/>
          <w:szCs w:val="32"/>
          <w:highlight w:val="auto"/>
        </w:rPr>
        <w:t>三、支出决算情况说明</w:t>
      </w:r>
      <w:r>
        <w:rPr>
          <w:rFonts w:ascii="Times New Roman" w:eastAsia="仿宋_GB2312" w:cs="仿宋_GB2312" w:hAnsi="Times New Roman"/>
          <w:color w:val="auto"/>
          <w:sz w:val="32"/>
          <w:szCs w:val="32"/>
          <w:highlight w:val="auto"/>
        </w:rPr>
        <w:tab/>
      </w:r>
      <w:r>
        <w:rPr>
          <w:rFonts w:eastAsia="仿宋_GB2312" w:cs="仿宋_GB2312"/>
          <w:color w:val="auto"/>
          <w:sz w:val="32"/>
          <w:szCs w:val="32"/>
          <w:lang w:val="en-US" w:eastAsia="zh-CN"/>
          <w:highlight w:val="auto"/>
        </w:rPr>
        <w:t>7</w:t>
      </w:r>
    </w:p>
    <w:p>
      <w:pPr>
        <w:pStyle w:val="29"/>
        <w:keepNext w:val="0"/>
        <w:keepLines w:val="0"/>
        <w:pageBreakBefore w:val="0"/>
        <w:widowControl w:val="0"/>
        <w:tabs>
          <w:tab w:val="right" w:leader="middleDot" w:pos="7980"/>
          <w:tab w:val="right" w:leader="dot" w:pos="8296"/>
        </w:tabs>
        <w:kinsoku/>
        <w:wordWrap/>
        <w:overflowPunct/>
        <w:topLinePunct w:val="0"/>
        <w:autoSpaceDE/>
        <w:autoSpaceDN/>
        <w:bidi w:val="0"/>
        <w:adjustRightInd w:val="0"/>
        <w:snapToGrid w:val="0"/>
        <w:spacing w:line="560" w:lineRule="exact"/>
        <w:ind w:leftChars="0" w:left="0" w:firstLineChars="200" w:firstLine="640"/>
        <w:jc w:val="left"/>
        <w:textAlignment w:val="auto"/>
        <w:rPr>
          <w:rFonts w:ascii="Times New Roman" w:eastAsia="仿宋_GB2312" w:cs="仿宋_GB2312" w:hAnsi="Times New Roman" w:hint="eastAsia"/>
          <w:color w:val="auto"/>
          <w:sz w:val="32"/>
          <w:szCs w:val="32"/>
          <w:lang w:val="en-US" w:eastAsia="zh-CN"/>
          <w:highlight w:val="auto"/>
        </w:rPr>
      </w:pPr>
      <w:r>
        <w:rPr>
          <w:rFonts w:ascii="Times New Roman" w:eastAsia="仿宋_GB2312" w:cs="仿宋_GB2312" w:hAnsi="Times New Roman" w:hint="eastAsia"/>
          <w:color w:val="auto"/>
          <w:sz w:val="32"/>
          <w:szCs w:val="32"/>
          <w:highlight w:val="auto"/>
        </w:rPr>
        <w:t>四、财政拨款收入支出决算总体情况说明</w:t>
      </w:r>
      <w:r>
        <w:rPr>
          <w:rFonts w:ascii="Times New Roman" w:eastAsia="仿宋_GB2312" w:cs="仿宋_GB2312" w:hAnsi="Times New Roman"/>
          <w:color w:val="auto"/>
          <w:sz w:val="32"/>
          <w:szCs w:val="32"/>
          <w:highlight w:val="auto"/>
        </w:rPr>
        <w:tab/>
      </w:r>
      <w:r>
        <w:rPr>
          <w:rFonts w:eastAsia="仿宋_GB2312" w:cs="仿宋_GB2312"/>
          <w:color w:val="auto"/>
          <w:sz w:val="32"/>
          <w:szCs w:val="32"/>
          <w:lang w:val="en-US" w:eastAsia="zh-CN"/>
          <w:highlight w:val="auto"/>
        </w:rPr>
        <w:t>7</w:t>
      </w:r>
    </w:p>
    <w:p>
      <w:pPr>
        <w:pStyle w:val="29"/>
        <w:keepNext w:val="0"/>
        <w:keepLines w:val="0"/>
        <w:pageBreakBefore w:val="0"/>
        <w:widowControl w:val="0"/>
        <w:tabs>
          <w:tab w:val="right" w:leader="middleDot" w:pos="7980"/>
          <w:tab w:val="right" w:leader="dot" w:pos="8296"/>
        </w:tabs>
        <w:kinsoku/>
        <w:wordWrap/>
        <w:overflowPunct/>
        <w:topLinePunct w:val="0"/>
        <w:autoSpaceDE/>
        <w:autoSpaceDN/>
        <w:bidi w:val="0"/>
        <w:adjustRightInd w:val="0"/>
        <w:snapToGrid w:val="0"/>
        <w:spacing w:line="560" w:lineRule="exact"/>
        <w:ind w:leftChars="0" w:left="0" w:firstLineChars="200" w:firstLine="640"/>
        <w:jc w:val="left"/>
        <w:textAlignment w:val="auto"/>
        <w:rPr>
          <w:rFonts w:ascii="Times New Roman" w:eastAsia="仿宋_GB2312" w:cs="仿宋_GB2312" w:hAnsi="Times New Roman" w:hint="eastAsia"/>
          <w:color w:val="auto"/>
          <w:sz w:val="32"/>
          <w:szCs w:val="32"/>
          <w:lang w:val="en-US" w:eastAsia="zh-CN"/>
          <w:highlight w:val="auto"/>
        </w:rPr>
      </w:pPr>
      <w:r>
        <w:rPr>
          <w:rFonts w:ascii="Times New Roman" w:eastAsia="仿宋_GB2312" w:cs="仿宋_GB2312" w:hAnsi="Times New Roman" w:hint="eastAsia"/>
          <w:color w:val="auto"/>
          <w:sz w:val="32"/>
          <w:szCs w:val="32"/>
          <w:highlight w:val="auto"/>
        </w:rPr>
        <w:t>五、一般公共预算财政拨款支出决算情况说明</w:t>
      </w:r>
      <w:r>
        <w:rPr>
          <w:rFonts w:ascii="Times New Roman" w:eastAsia="仿宋_GB2312" w:cs="仿宋_GB2312" w:hAnsi="Times New Roman"/>
          <w:color w:val="auto"/>
          <w:sz w:val="32"/>
          <w:szCs w:val="32"/>
          <w:highlight w:val="auto"/>
        </w:rPr>
        <w:tab/>
      </w:r>
      <w:r>
        <w:rPr>
          <w:rFonts w:eastAsia="仿宋_GB2312" w:cs="仿宋_GB2312"/>
          <w:color w:val="auto"/>
          <w:sz w:val="32"/>
          <w:szCs w:val="32"/>
          <w:lang w:val="en-US" w:eastAsia="zh-CN"/>
          <w:highlight w:val="auto"/>
        </w:rPr>
        <w:t>8</w:t>
      </w:r>
    </w:p>
    <w:p>
      <w:pPr>
        <w:pStyle w:val="29"/>
        <w:keepNext w:val="0"/>
        <w:keepLines w:val="0"/>
        <w:pageBreakBefore w:val="0"/>
        <w:widowControl w:val="0"/>
        <w:tabs>
          <w:tab w:val="right" w:leader="middleDot" w:pos="7980"/>
          <w:tab w:val="right" w:leader="dot" w:pos="8296"/>
        </w:tabs>
        <w:kinsoku/>
        <w:wordWrap/>
        <w:overflowPunct/>
        <w:topLinePunct w:val="0"/>
        <w:autoSpaceDE/>
        <w:autoSpaceDN/>
        <w:bidi w:val="0"/>
        <w:adjustRightInd w:val="0"/>
        <w:snapToGrid w:val="0"/>
        <w:spacing w:line="560" w:lineRule="exact"/>
        <w:ind w:leftChars="0" w:left="0" w:firstLineChars="200" w:firstLine="640"/>
        <w:jc w:val="left"/>
        <w:textAlignment w:val="auto"/>
        <w:rPr>
          <w:rFonts w:ascii="Times New Roman" w:eastAsia="仿宋_GB2312" w:cs="仿宋_GB2312" w:hAnsi="Times New Roman" w:hint="eastAsia"/>
          <w:color w:val="auto"/>
          <w:sz w:val="32"/>
          <w:szCs w:val="32"/>
          <w:lang w:val="en-US" w:eastAsia="zh-CN"/>
          <w:highlight w:val="auto"/>
        </w:rPr>
      </w:pPr>
      <w:r>
        <w:rPr>
          <w:rFonts w:ascii="Times New Roman" w:eastAsia="仿宋_GB2312" w:cs="仿宋_GB2312" w:hAnsi="Times New Roman" w:hint="eastAsia"/>
          <w:color w:val="auto"/>
          <w:sz w:val="32"/>
          <w:szCs w:val="32"/>
          <w:highlight w:val="auto"/>
        </w:rPr>
        <w:t>六、一般公共预算财政拨款基本支出决算情况说明</w:t>
      </w:r>
      <w:r>
        <w:rPr>
          <w:rFonts w:ascii="Times New Roman" w:eastAsia="仿宋_GB2312" w:cs="仿宋_GB2312" w:hAnsi="Times New Roman"/>
          <w:color w:val="auto"/>
          <w:sz w:val="32"/>
          <w:szCs w:val="32"/>
          <w:highlight w:val="auto"/>
        </w:rPr>
        <w:tab/>
      </w:r>
      <w:r>
        <w:rPr>
          <w:rFonts w:eastAsia="仿宋_GB2312" w:cs="仿宋_GB2312"/>
          <w:color w:val="auto"/>
          <w:sz w:val="32"/>
          <w:szCs w:val="32"/>
          <w:lang w:val="en-US" w:eastAsia="zh-CN"/>
          <w:highlight w:val="auto"/>
        </w:rPr>
        <w:t>8</w:t>
      </w:r>
    </w:p>
    <w:p>
      <w:pPr>
        <w:pStyle w:val="29"/>
        <w:keepNext w:val="0"/>
        <w:keepLines w:val="0"/>
        <w:pageBreakBefore w:val="0"/>
        <w:widowControl w:val="0"/>
        <w:tabs>
          <w:tab w:val="right" w:leader="middleDot" w:pos="7980"/>
          <w:tab w:val="right" w:leader="dot" w:pos="8296"/>
        </w:tabs>
        <w:kinsoku/>
        <w:wordWrap/>
        <w:overflowPunct/>
        <w:topLinePunct w:val="0"/>
        <w:autoSpaceDE/>
        <w:autoSpaceDN/>
        <w:bidi w:val="0"/>
        <w:adjustRightInd w:val="0"/>
        <w:snapToGrid w:val="0"/>
        <w:spacing w:line="560" w:lineRule="exact"/>
        <w:ind w:leftChars="0" w:left="0" w:firstLineChars="200" w:firstLine="640"/>
        <w:jc w:val="left"/>
        <w:textAlignment w:val="auto"/>
        <w:rPr>
          <w:rFonts w:ascii="Times New Roman" w:eastAsia="仿宋_GB2312" w:cs="仿宋_GB2312" w:hAnsi="Times New Roman"/>
          <w:color w:val="auto"/>
          <w:sz w:val="32"/>
          <w:szCs w:val="32"/>
          <w:lang w:val="en-US" w:eastAsia="zh-CN"/>
          <w:highlight w:val="auto"/>
        </w:rPr>
      </w:pPr>
      <w:r>
        <w:rPr>
          <w:rFonts w:ascii="Times New Roman" w:eastAsia="仿宋_GB2312" w:cs="仿宋_GB2312" w:hAnsi="Times New Roman" w:hint="eastAsia"/>
          <w:color w:val="auto"/>
          <w:sz w:val="32"/>
          <w:szCs w:val="32"/>
          <w:highlight w:val="auto"/>
        </w:rPr>
        <w:t>七、财政拨款</w:t>
      </w:r>
      <w:r>
        <w:rPr>
          <w:rFonts w:ascii="Times New Roman" w:eastAsia="仿宋_GB2312" w:cs="仿宋_GB2312" w:hAnsi="Times New Roman" w:hint="eastAsia"/>
          <w:color w:val="auto"/>
          <w:sz w:val="32"/>
          <w:szCs w:val="32"/>
          <w:lang w:eastAsia="zh-CN"/>
          <w:highlight w:val="auto"/>
        </w:rPr>
        <w:t>“</w:t>
      </w:r>
      <w:r>
        <w:rPr>
          <w:rFonts w:ascii="Times New Roman" w:eastAsia="仿宋_GB2312" w:cs="仿宋_GB2312" w:hAnsi="Times New Roman" w:hint="eastAsia"/>
          <w:color w:val="auto"/>
          <w:sz w:val="32"/>
          <w:szCs w:val="32"/>
          <w:highlight w:val="auto"/>
        </w:rPr>
        <w:t>三公”经费支出决算情况说明</w:t>
      </w:r>
      <w:r>
        <w:rPr>
          <w:rFonts w:ascii="Times New Roman" w:eastAsia="仿宋_GB2312" w:cs="仿宋_GB2312" w:hAnsi="Times New Roman"/>
          <w:color w:val="auto"/>
          <w:sz w:val="32"/>
          <w:szCs w:val="32"/>
          <w:highlight w:val="auto"/>
        </w:rPr>
        <w:tab/>
      </w:r>
      <w:r>
        <w:rPr>
          <w:rFonts w:eastAsia="仿宋_GB2312" w:cs="仿宋_GB2312"/>
          <w:color w:val="auto"/>
          <w:sz w:val="32"/>
          <w:szCs w:val="32"/>
          <w:lang w:val="en-US" w:eastAsia="zh-CN"/>
          <w:highlight w:val="auto"/>
        </w:rPr>
        <w:t>11</w:t>
      </w:r>
    </w:p>
    <w:p>
      <w:pPr>
        <w:pStyle w:val="29"/>
        <w:keepNext w:val="0"/>
        <w:keepLines w:val="0"/>
        <w:pageBreakBefore w:val="0"/>
        <w:widowControl w:val="0"/>
        <w:tabs>
          <w:tab w:val="right" w:leader="middleDot" w:pos="7980"/>
          <w:tab w:val="right" w:leader="dot" w:pos="8296"/>
        </w:tabs>
        <w:kinsoku/>
        <w:wordWrap/>
        <w:overflowPunct/>
        <w:topLinePunct w:val="0"/>
        <w:autoSpaceDE/>
        <w:autoSpaceDN/>
        <w:bidi w:val="0"/>
        <w:adjustRightInd w:val="0"/>
        <w:snapToGrid w:val="0"/>
        <w:spacing w:line="560" w:lineRule="exact"/>
        <w:ind w:leftChars="0" w:left="0" w:firstLineChars="200" w:firstLine="640"/>
        <w:jc w:val="left"/>
        <w:textAlignment w:val="auto"/>
        <w:rPr>
          <w:rFonts w:ascii="Times New Roman" w:eastAsia="仿宋_GB2312" w:cs="仿宋_GB2312" w:hAnsi="Times New Roman"/>
          <w:color w:val="auto"/>
          <w:sz w:val="32"/>
          <w:szCs w:val="32"/>
          <w:lang w:val="en-US" w:eastAsia="zh-CN"/>
          <w:highlight w:val="auto"/>
        </w:rPr>
      </w:pPr>
      <w:r>
        <w:rPr>
          <w:rFonts w:ascii="Times New Roman" w:eastAsia="仿宋_GB2312" w:cs="仿宋_GB2312" w:hAnsi="Times New Roman" w:hint="eastAsia"/>
          <w:color w:val="auto"/>
          <w:sz w:val="32"/>
          <w:szCs w:val="32"/>
          <w:highlight w:val="auto"/>
        </w:rPr>
        <w:t>八、政府性基金预算支出决算情况说明</w:t>
      </w:r>
      <w:r>
        <w:rPr>
          <w:rFonts w:ascii="Times New Roman" w:eastAsia="仿宋_GB2312" w:cs="仿宋_GB2312" w:hAnsi="Times New Roman"/>
          <w:color w:val="auto"/>
          <w:sz w:val="32"/>
          <w:szCs w:val="32"/>
          <w:highlight w:val="auto"/>
        </w:rPr>
        <w:tab/>
      </w:r>
      <w:r>
        <w:rPr>
          <w:rFonts w:eastAsia="仿宋_GB2312" w:cs="仿宋_GB2312"/>
          <w:color w:val="auto"/>
          <w:sz w:val="32"/>
          <w:szCs w:val="32"/>
          <w:lang w:val="en-US" w:eastAsia="zh-CN"/>
          <w:highlight w:val="auto"/>
        </w:rPr>
        <w:t>14</w:t>
      </w:r>
    </w:p>
    <w:p>
      <w:pPr>
        <w:pStyle w:val="29"/>
        <w:keepNext w:val="0"/>
        <w:keepLines w:val="0"/>
        <w:pageBreakBefore w:val="0"/>
        <w:widowControl w:val="0"/>
        <w:tabs>
          <w:tab w:val="right" w:leader="middleDot" w:pos="7980"/>
          <w:tab w:val="right" w:leader="dot" w:pos="8296"/>
        </w:tabs>
        <w:kinsoku/>
        <w:wordWrap/>
        <w:overflowPunct/>
        <w:topLinePunct w:val="0"/>
        <w:autoSpaceDE/>
        <w:autoSpaceDN/>
        <w:bidi w:val="0"/>
        <w:adjustRightInd w:val="0"/>
        <w:snapToGrid w:val="0"/>
        <w:spacing w:line="560" w:lineRule="exact"/>
        <w:ind w:leftChars="0" w:left="0" w:firstLineChars="200" w:firstLine="640"/>
        <w:jc w:val="left"/>
        <w:textAlignment w:val="auto"/>
        <w:rPr>
          <w:rFonts w:ascii="Times New Roman" w:eastAsia="仿宋_GB2312" w:cs="仿宋_GB2312" w:hAnsi="Times New Roman"/>
          <w:color w:val="auto"/>
          <w:sz w:val="32"/>
          <w:szCs w:val="32"/>
          <w:lang w:val="en-US" w:eastAsia="zh-CN"/>
          <w:highlight w:val="auto"/>
        </w:rPr>
      </w:pPr>
      <w:r>
        <w:rPr>
          <w:rFonts w:ascii="Times New Roman" w:eastAsia="仿宋_GB2312" w:cs="仿宋_GB2312" w:hAnsi="Times New Roman" w:hint="eastAsia"/>
          <w:color w:val="auto"/>
          <w:sz w:val="32"/>
          <w:szCs w:val="32"/>
          <w:highlight w:val="auto"/>
        </w:rPr>
        <w:t>九、</w:t>
      </w:r>
      <w:r>
        <w:rPr>
          <w:rFonts w:ascii="Times New Roman" w:eastAsia="仿宋_GB2312" w:cs="仿宋_GB2312" w:hAnsi="Times New Roman" w:hint="eastAsia"/>
          <w:color w:val="auto"/>
          <w:sz w:val="32"/>
          <w:szCs w:val="32"/>
          <w:lang w:eastAsia="zh-CN"/>
          <w:highlight w:val="auto"/>
        </w:rPr>
        <w:t>国</w:t>
      </w:r>
      <w:r>
        <w:rPr>
          <w:rFonts w:ascii="Times New Roman" w:eastAsia="仿宋_GB2312" w:cs="仿宋_GB2312" w:hAnsi="Times New Roman" w:hint="eastAsia"/>
          <w:color w:val="auto"/>
          <w:sz w:val="32"/>
          <w:szCs w:val="32"/>
          <w:highlight w:val="auto"/>
        </w:rPr>
        <w:t>有资本经营预算支出决算情况说明</w:t>
      </w:r>
      <w:r>
        <w:rPr>
          <w:rFonts w:ascii="Times New Roman" w:eastAsia="仿宋_GB2312" w:cs="仿宋_GB2312" w:hAnsi="Times New Roman"/>
          <w:color w:val="auto"/>
          <w:sz w:val="32"/>
          <w:szCs w:val="32"/>
          <w:highlight w:val="auto"/>
        </w:rPr>
        <w:tab/>
      </w:r>
      <w:r>
        <w:rPr>
          <w:rFonts w:eastAsia="仿宋_GB2312" w:cs="仿宋_GB2312"/>
          <w:color w:val="auto"/>
          <w:sz w:val="32"/>
          <w:szCs w:val="32"/>
          <w:lang w:val="en-US" w:eastAsia="zh-CN"/>
          <w:highlight w:val="auto"/>
        </w:rPr>
        <w:t>14</w:t>
      </w:r>
    </w:p>
    <w:p>
      <w:pPr>
        <w:pStyle w:val="29"/>
        <w:keepNext w:val="0"/>
        <w:keepLines w:val="0"/>
        <w:pageBreakBefore w:val="0"/>
        <w:widowControl w:val="0"/>
        <w:tabs>
          <w:tab w:val="right" w:leader="middleDot" w:pos="7980"/>
          <w:tab w:val="right" w:leader="dot" w:pos="8296"/>
        </w:tabs>
        <w:kinsoku/>
        <w:wordWrap/>
        <w:overflowPunct/>
        <w:topLinePunct w:val="0"/>
        <w:autoSpaceDE/>
        <w:autoSpaceDN/>
        <w:bidi w:val="0"/>
        <w:adjustRightInd w:val="0"/>
        <w:snapToGrid w:val="0"/>
        <w:spacing w:line="560" w:lineRule="exact"/>
        <w:ind w:leftChars="0" w:left="0" w:firstLineChars="200" w:firstLine="640"/>
        <w:jc w:val="left"/>
        <w:textAlignment w:val="auto"/>
        <w:rPr>
          <w:rFonts w:ascii="Times New Roman" w:eastAsia="仿宋_GB2312" w:cs="仿宋_GB2312" w:hAnsi="Times New Roman"/>
          <w:color w:val="auto"/>
          <w:sz w:val="32"/>
          <w:szCs w:val="32"/>
          <w:lang w:val="en-US" w:eastAsia="zh-CN"/>
          <w:highlight w:val="auto"/>
        </w:rPr>
      </w:pPr>
      <w:r>
        <w:rPr>
          <w:rFonts w:ascii="Times New Roman" w:eastAsia="仿宋_GB2312" w:cs="仿宋_GB2312" w:hAnsi="Times New Roman" w:hint="eastAsia"/>
          <w:color w:val="auto"/>
          <w:sz w:val="32"/>
          <w:szCs w:val="32"/>
          <w:lang w:eastAsia="zh-CN"/>
          <w:highlight w:val="auto"/>
        </w:rPr>
        <w:t>十</w:t>
      </w:r>
      <w:r>
        <w:rPr>
          <w:rFonts w:ascii="Times New Roman" w:eastAsia="仿宋_GB2312" w:cs="仿宋_GB2312" w:hAnsi="Times New Roman" w:hint="eastAsia"/>
          <w:color w:val="auto"/>
          <w:sz w:val="32"/>
          <w:szCs w:val="32"/>
          <w:highlight w:val="auto"/>
        </w:rPr>
        <w:t>、其他重要事项的情况说明</w:t>
      </w:r>
      <w:r>
        <w:rPr>
          <w:rFonts w:ascii="Times New Roman" w:eastAsia="仿宋_GB2312" w:cs="仿宋_GB2312" w:hAnsi="Times New Roman"/>
          <w:color w:val="auto"/>
          <w:sz w:val="32"/>
          <w:szCs w:val="32"/>
          <w:highlight w:val="auto"/>
        </w:rPr>
        <w:tab/>
      </w:r>
      <w:r>
        <w:rPr>
          <w:rFonts w:eastAsia="仿宋_GB2312" w:cs="仿宋_GB2312" w:hint="eastAsia"/>
          <w:color w:val="auto"/>
          <w:sz w:val="32"/>
          <w:szCs w:val="32"/>
          <w:lang w:val="en-US" w:eastAsia="zh-CN"/>
          <w:highlight w:val="auto"/>
        </w:rPr>
        <w:t>1</w:t>
      </w:r>
      <w:r>
        <w:rPr>
          <w:rFonts w:eastAsia="仿宋_GB2312" w:cs="仿宋_GB2312"/>
          <w:color w:val="auto"/>
          <w:sz w:val="32"/>
          <w:szCs w:val="32"/>
          <w:lang w:val="en-US" w:eastAsia="zh-CN"/>
          <w:highlight w:val="auto"/>
        </w:rPr>
        <w:t>5</w:t>
      </w:r>
    </w:p>
    <w:p>
      <w:pPr>
        <w:pStyle w:val="26"/>
        <w:keepNext w:val="0"/>
        <w:keepLines w:val="0"/>
        <w:pageBreakBefore w:val="0"/>
        <w:widowControl w:val="0"/>
        <w:tabs>
          <w:tab w:val="right" w:leader="middleDot" w:pos="7980"/>
          <w:tab w:val="right" w:leader="dot" w:pos="8296"/>
        </w:tabs>
        <w:kinsoku/>
        <w:wordWrap/>
        <w:overflowPunct/>
        <w:topLinePunct w:val="0"/>
        <w:autoSpaceDE/>
        <w:autoSpaceDN/>
        <w:bidi w:val="0"/>
        <w:adjustRightInd w:val="0"/>
        <w:snapToGrid w:val="0"/>
        <w:spacing w:before="0" w:line="560" w:lineRule="exact"/>
        <w:jc w:val="left"/>
        <w:textAlignment w:val="auto"/>
        <w:rPr>
          <w:rFonts w:ascii="Times New Roman" w:eastAsia="黑体" w:cs="黑体" w:hAnsi="Times New Roman"/>
          <w:color w:val="auto"/>
          <w:sz w:val="32"/>
          <w:szCs w:val="32"/>
          <w:lang w:val="en-US" w:eastAsia="zh-CN"/>
          <w:highlight w:val="auto"/>
        </w:rPr>
      </w:pPr>
      <w:r>
        <w:rPr>
          <w:rFonts w:ascii="Times New Roman" w:eastAsia="黑体" w:cs="黑体" w:hAnsi="Times New Roman" w:hint="eastAsia"/>
          <w:color w:val="auto"/>
          <w:sz w:val="32"/>
          <w:szCs w:val="32"/>
          <w:highlight w:val="auto"/>
        </w:rPr>
        <w:t>第三部分 名词解释</w:t>
      </w:r>
      <w:r>
        <w:rPr>
          <w:rFonts w:ascii="Times New Roman" w:eastAsia="黑体" w:cs="黑体" w:hAnsi="Times New Roman"/>
          <w:color w:val="auto"/>
          <w:sz w:val="32"/>
          <w:szCs w:val="32"/>
          <w:highlight w:val="auto"/>
        </w:rPr>
        <w:tab/>
      </w:r>
      <w:r>
        <w:rPr>
          <w:rFonts w:ascii="Times New Roman" w:eastAsia="黑体" w:cs="黑体" w:hAnsi="Times New Roman" w:hint="eastAsia"/>
          <w:color w:val="auto"/>
          <w:sz w:val="32"/>
          <w:szCs w:val="32"/>
          <w:lang w:val="en-US" w:eastAsia="zh-CN"/>
          <w:highlight w:val="auto"/>
        </w:rPr>
        <w:t>1</w:t>
      </w:r>
      <w:r>
        <w:rPr>
          <w:rFonts w:ascii="Times New Roman" w:eastAsia="黑体" w:cs="黑体" w:hAnsi="Times New Roman"/>
          <w:color w:val="auto"/>
          <w:sz w:val="32"/>
          <w:szCs w:val="32"/>
          <w:lang w:val="en-US" w:eastAsia="zh-CN"/>
          <w:highlight w:val="auto"/>
        </w:rPr>
        <w:t>6</w:t>
      </w:r>
    </w:p>
    <w:p>
      <w:pPr>
        <w:pStyle w:val="26"/>
        <w:keepNext w:val="0"/>
        <w:keepLines w:val="0"/>
        <w:pageBreakBefore w:val="0"/>
        <w:widowControl w:val="0"/>
        <w:tabs>
          <w:tab w:val="right" w:leader="middleDot" w:pos="7980"/>
          <w:tab w:val="right" w:leader="dot" w:pos="8296"/>
        </w:tabs>
        <w:kinsoku/>
        <w:wordWrap/>
        <w:overflowPunct/>
        <w:topLinePunct w:val="0"/>
        <w:autoSpaceDE/>
        <w:autoSpaceDN/>
        <w:bidi w:val="0"/>
        <w:adjustRightInd w:val="0"/>
        <w:snapToGrid w:val="0"/>
        <w:spacing w:before="0" w:line="560" w:lineRule="exact"/>
        <w:jc w:val="left"/>
        <w:textAlignment w:val="auto"/>
        <w:rPr>
          <w:rFonts w:ascii="Times New Roman" w:eastAsia="黑体" w:cs="黑体" w:hAnsi="Times New Roman"/>
          <w:color w:val="auto"/>
          <w:sz w:val="32"/>
          <w:szCs w:val="32"/>
          <w:lang w:val="en-US" w:eastAsia="zh-CN"/>
          <w:highlight w:val="auto"/>
        </w:rPr>
      </w:pPr>
      <w:r>
        <w:rPr>
          <w:rFonts w:ascii="Times New Roman" w:eastAsia="黑体" w:cs="黑体" w:hAnsi="Times New Roman" w:hint="eastAsia"/>
          <w:color w:val="auto"/>
          <w:sz w:val="32"/>
          <w:szCs w:val="32"/>
          <w:highlight w:val="auto"/>
        </w:rPr>
        <w:t>第四部分 附件</w:t>
      </w:r>
      <w:r>
        <w:rPr>
          <w:rFonts w:ascii="Times New Roman" w:eastAsia="黑体" w:cs="黑体" w:hAnsi="Times New Roman"/>
          <w:color w:val="auto"/>
          <w:sz w:val="32"/>
          <w:szCs w:val="32"/>
          <w:highlight w:val="auto"/>
        </w:rPr>
        <w:tab/>
      </w:r>
      <w:r>
        <w:rPr>
          <w:rFonts w:ascii="Times New Roman" w:eastAsia="黑体" w:cs="黑体" w:hAnsi="Times New Roman"/>
          <w:color w:val="auto"/>
          <w:sz w:val="32"/>
          <w:szCs w:val="32"/>
          <w:lang w:val="en-US" w:eastAsia="zh-CN"/>
          <w:highlight w:val="auto"/>
        </w:rPr>
        <w:t>20</w:t>
      </w:r>
    </w:p>
    <w:p>
      <w:pPr>
        <w:pStyle w:val="26"/>
        <w:keepNext w:val="0"/>
        <w:keepLines w:val="0"/>
        <w:pageBreakBefore w:val="0"/>
        <w:widowControl w:val="0"/>
        <w:tabs>
          <w:tab w:val="right" w:leader="middleDot" w:pos="7980"/>
          <w:tab w:val="right" w:leader="dot" w:pos="8296"/>
        </w:tabs>
        <w:kinsoku/>
        <w:wordWrap/>
        <w:overflowPunct/>
        <w:topLinePunct w:val="0"/>
        <w:autoSpaceDE/>
        <w:autoSpaceDN/>
        <w:bidi w:val="0"/>
        <w:adjustRightInd w:val="0"/>
        <w:snapToGrid w:val="0"/>
        <w:spacing w:before="0" w:line="560" w:lineRule="exact"/>
        <w:jc w:val="left"/>
        <w:textAlignment w:val="auto"/>
        <w:rPr>
          <w:rFonts w:ascii="Times New Roman" w:eastAsia="黑体" w:cs="黑体" w:hAnsi="Times New Roman"/>
          <w:color w:val="auto"/>
          <w:sz w:val="32"/>
          <w:szCs w:val="32"/>
          <w:lang w:val="en-US" w:eastAsia="zh-CN"/>
          <w:highlight w:val="auto"/>
        </w:rPr>
      </w:pPr>
      <w:r>
        <w:rPr>
          <w:rFonts w:ascii="Times New Roman" w:eastAsia="黑体" w:cs="黑体" w:hAnsi="Times New Roman" w:hint="eastAsia"/>
          <w:color w:val="auto"/>
          <w:sz w:val="32"/>
          <w:szCs w:val="32"/>
          <w:highlight w:val="auto"/>
        </w:rPr>
        <w:t>第五部分 附表</w:t>
      </w:r>
      <w:r>
        <w:rPr>
          <w:rFonts w:ascii="Times New Roman" w:eastAsia="黑体" w:cs="黑体" w:hAnsi="Times New Roman"/>
          <w:color w:val="auto"/>
          <w:sz w:val="32"/>
          <w:szCs w:val="32"/>
          <w:highlight w:val="auto"/>
        </w:rPr>
        <w:tab/>
      </w:r>
      <w:r>
        <w:rPr>
          <w:rFonts w:ascii="Times New Roman" w:eastAsia="黑体" w:cs="黑体" w:hAnsi="Times New Roman" w:hint="eastAsia"/>
          <w:color w:val="auto"/>
          <w:sz w:val="32"/>
          <w:szCs w:val="32"/>
          <w:lang w:val="en-US" w:eastAsia="zh-CN"/>
          <w:highlight w:val="auto"/>
        </w:rPr>
        <w:t>5</w:t>
      </w:r>
      <w:r>
        <w:rPr>
          <w:rFonts w:ascii="Times New Roman" w:eastAsia="黑体" w:cs="黑体" w:hAnsi="Times New Roman"/>
          <w:color w:val="auto"/>
          <w:sz w:val="32"/>
          <w:szCs w:val="32"/>
          <w:lang w:val="en-US" w:eastAsia="zh-CN"/>
          <w:highlight w:val="auto"/>
        </w:rPr>
        <w:t>3</w:t>
      </w:r>
    </w:p>
    <w:p>
      <w:pPr>
        <w:pStyle w:val="29"/>
        <w:keepNext w:val="0"/>
        <w:keepLines w:val="0"/>
        <w:pageBreakBefore w:val="0"/>
        <w:widowControl w:val="0"/>
        <w:tabs>
          <w:tab w:val="right" w:leader="middleDot" w:pos="7980"/>
          <w:tab w:val="right" w:leader="dot" w:pos="8296"/>
        </w:tabs>
        <w:kinsoku/>
        <w:wordWrap/>
        <w:overflowPunct/>
        <w:topLinePunct w:val="0"/>
        <w:autoSpaceDE/>
        <w:autoSpaceDN/>
        <w:bidi w:val="0"/>
        <w:adjustRightInd w:val="0"/>
        <w:snapToGrid w:val="0"/>
        <w:spacing w:line="560" w:lineRule="exact"/>
        <w:ind w:leftChars="0" w:left="0" w:firstLineChars="200" w:firstLine="640"/>
        <w:jc w:val="left"/>
        <w:textAlignment w:val="auto"/>
        <w:rPr>
          <w:rFonts w:ascii="Times New Roman" w:eastAsia="仿宋_GB2312" w:cs="仿宋_GB2312" w:hAnsi="Times New Roman" w:hint="eastAsia"/>
          <w:color w:val="auto"/>
          <w:sz w:val="32"/>
          <w:szCs w:val="32"/>
          <w:highlight w:val="auto"/>
        </w:rPr>
      </w:pPr>
      <w:r>
        <w:rPr>
          <w:rFonts w:ascii="Times New Roman" w:eastAsia="仿宋_GB2312" w:cs="仿宋_GB2312" w:hAnsi="Times New Roman" w:hint="eastAsia"/>
          <w:color w:val="auto"/>
          <w:sz w:val="32"/>
          <w:szCs w:val="32"/>
          <w:highlight w:val="auto"/>
        </w:rPr>
        <w:t>一、收入支出决算总表</w:t>
      </w:r>
    </w:p>
    <w:p>
      <w:pPr>
        <w:pStyle w:val="29"/>
        <w:keepNext w:val="0"/>
        <w:keepLines w:val="0"/>
        <w:pageBreakBefore w:val="0"/>
        <w:widowControl w:val="0"/>
        <w:tabs>
          <w:tab w:val="right" w:leader="middleDot" w:pos="7980"/>
          <w:tab w:val="right" w:leader="dot" w:pos="8296"/>
        </w:tabs>
        <w:kinsoku/>
        <w:wordWrap/>
        <w:overflowPunct/>
        <w:topLinePunct w:val="0"/>
        <w:autoSpaceDE/>
        <w:autoSpaceDN/>
        <w:bidi w:val="0"/>
        <w:adjustRightInd w:val="0"/>
        <w:snapToGrid w:val="0"/>
        <w:spacing w:line="560" w:lineRule="exact"/>
        <w:ind w:leftChars="0" w:left="0" w:firstLineChars="200" w:firstLine="640"/>
        <w:jc w:val="left"/>
        <w:textAlignment w:val="auto"/>
        <w:rPr>
          <w:rFonts w:ascii="Times New Roman" w:eastAsia="仿宋_GB2312" w:cs="仿宋_GB2312" w:hAnsi="Times New Roman" w:hint="eastAsia"/>
          <w:color w:val="auto"/>
          <w:sz w:val="32"/>
          <w:szCs w:val="32"/>
          <w:highlight w:val="auto"/>
        </w:rPr>
      </w:pPr>
      <w:r>
        <w:rPr>
          <w:rFonts w:ascii="Times New Roman" w:eastAsia="仿宋_GB2312" w:cs="仿宋_GB2312" w:hAnsi="Times New Roman" w:hint="eastAsia"/>
          <w:color w:val="auto"/>
          <w:sz w:val="32"/>
          <w:szCs w:val="32"/>
          <w:highlight w:val="auto"/>
        </w:rPr>
        <w:t>二、收入决算表</w:t>
      </w:r>
    </w:p>
    <w:p>
      <w:pPr>
        <w:pStyle w:val="29"/>
        <w:keepNext w:val="0"/>
        <w:keepLines w:val="0"/>
        <w:pageBreakBefore w:val="0"/>
        <w:widowControl w:val="0"/>
        <w:tabs>
          <w:tab w:val="right" w:leader="middleDot" w:pos="7980"/>
          <w:tab w:val="right" w:leader="dot" w:pos="8296"/>
        </w:tabs>
        <w:kinsoku/>
        <w:wordWrap/>
        <w:overflowPunct/>
        <w:topLinePunct w:val="0"/>
        <w:autoSpaceDE/>
        <w:autoSpaceDN/>
        <w:bidi w:val="0"/>
        <w:adjustRightInd w:val="0"/>
        <w:snapToGrid w:val="0"/>
        <w:spacing w:line="560" w:lineRule="exact"/>
        <w:ind w:leftChars="0" w:left="0" w:firstLineChars="200" w:firstLine="640"/>
        <w:jc w:val="left"/>
        <w:textAlignment w:val="auto"/>
        <w:rPr>
          <w:rFonts w:ascii="Times New Roman" w:eastAsia="仿宋_GB2312" w:cs="仿宋_GB2312" w:hAnsi="Times New Roman" w:hint="eastAsia"/>
          <w:color w:val="auto"/>
          <w:sz w:val="32"/>
          <w:szCs w:val="32"/>
          <w:highlight w:val="auto"/>
        </w:rPr>
      </w:pPr>
      <w:r>
        <w:rPr>
          <w:rFonts w:ascii="Times New Roman" w:eastAsia="仿宋_GB2312" w:cs="仿宋_GB2312" w:hAnsi="Times New Roman" w:hint="eastAsia"/>
          <w:color w:val="auto"/>
          <w:sz w:val="32"/>
          <w:szCs w:val="32"/>
          <w:highlight w:val="auto"/>
        </w:rPr>
        <w:t>三、支出决算表</w:t>
      </w:r>
    </w:p>
    <w:p>
      <w:pPr>
        <w:pStyle w:val="29"/>
        <w:keepNext w:val="0"/>
        <w:keepLines w:val="0"/>
        <w:pageBreakBefore w:val="0"/>
        <w:widowControl w:val="0"/>
        <w:tabs>
          <w:tab w:val="right" w:leader="middleDot" w:pos="7980"/>
          <w:tab w:val="right" w:leader="dot" w:pos="8296"/>
        </w:tabs>
        <w:kinsoku/>
        <w:wordWrap/>
        <w:overflowPunct/>
        <w:topLinePunct w:val="0"/>
        <w:autoSpaceDE/>
        <w:autoSpaceDN/>
        <w:bidi w:val="0"/>
        <w:adjustRightInd w:val="0"/>
        <w:snapToGrid w:val="0"/>
        <w:spacing w:line="560" w:lineRule="exact"/>
        <w:ind w:leftChars="0" w:left="0" w:firstLineChars="200" w:firstLine="640"/>
        <w:jc w:val="left"/>
        <w:textAlignment w:val="auto"/>
        <w:rPr>
          <w:rFonts w:ascii="Times New Roman" w:eastAsia="仿宋_GB2312" w:cs="仿宋_GB2312" w:hAnsi="Times New Roman" w:hint="eastAsia"/>
          <w:color w:val="auto"/>
          <w:sz w:val="32"/>
          <w:szCs w:val="32"/>
          <w:highlight w:val="auto"/>
        </w:rPr>
      </w:pPr>
      <w:r>
        <w:rPr>
          <w:rFonts w:ascii="Times New Roman" w:eastAsia="仿宋_GB2312" w:cs="仿宋_GB2312" w:hAnsi="Times New Roman" w:hint="eastAsia"/>
          <w:color w:val="auto"/>
          <w:sz w:val="32"/>
          <w:szCs w:val="32"/>
          <w:highlight w:val="auto"/>
        </w:rPr>
        <w:t>四、财政拨款收入支出决算总表</w:t>
      </w:r>
    </w:p>
    <w:p>
      <w:pPr>
        <w:pStyle w:val="29"/>
        <w:keepNext w:val="0"/>
        <w:keepLines w:val="0"/>
        <w:pageBreakBefore w:val="0"/>
        <w:widowControl w:val="0"/>
        <w:tabs>
          <w:tab w:val="right" w:leader="middleDot" w:pos="7980"/>
          <w:tab w:val="right" w:leader="dot" w:pos="8296"/>
        </w:tabs>
        <w:kinsoku/>
        <w:wordWrap/>
        <w:overflowPunct/>
        <w:topLinePunct w:val="0"/>
        <w:autoSpaceDE/>
        <w:autoSpaceDN/>
        <w:bidi w:val="0"/>
        <w:adjustRightInd w:val="0"/>
        <w:snapToGrid w:val="0"/>
        <w:spacing w:line="560" w:lineRule="exact"/>
        <w:ind w:leftChars="0" w:left="0" w:firstLineChars="200" w:firstLine="640"/>
        <w:jc w:val="left"/>
        <w:textAlignment w:val="auto"/>
        <w:rPr>
          <w:rFonts w:ascii="Times New Roman" w:eastAsia="仿宋_GB2312" w:cs="仿宋_GB2312" w:hAnsi="Times New Roman" w:hint="eastAsia"/>
          <w:color w:val="auto"/>
          <w:sz w:val="32"/>
          <w:szCs w:val="32"/>
          <w:highlight w:val="auto"/>
        </w:rPr>
      </w:pPr>
      <w:r>
        <w:rPr>
          <w:rFonts w:ascii="Times New Roman" w:eastAsia="仿宋_GB2312" w:cs="仿宋_GB2312" w:hAnsi="Times New Roman" w:hint="eastAsia"/>
          <w:color w:val="auto"/>
          <w:sz w:val="32"/>
          <w:szCs w:val="32"/>
          <w:highlight w:val="auto"/>
        </w:rPr>
        <w:t>五、财政拨款支出决算明细表</w:t>
      </w:r>
    </w:p>
    <w:p>
      <w:pPr>
        <w:pStyle w:val="29"/>
        <w:keepNext w:val="0"/>
        <w:keepLines w:val="0"/>
        <w:pageBreakBefore w:val="0"/>
        <w:widowControl w:val="0"/>
        <w:tabs>
          <w:tab w:val="right" w:leader="middleDot" w:pos="7980"/>
          <w:tab w:val="right" w:leader="dot" w:pos="8296"/>
        </w:tabs>
        <w:kinsoku/>
        <w:wordWrap/>
        <w:overflowPunct/>
        <w:topLinePunct w:val="0"/>
        <w:autoSpaceDE/>
        <w:autoSpaceDN/>
        <w:bidi w:val="0"/>
        <w:adjustRightInd w:val="0"/>
        <w:snapToGrid w:val="0"/>
        <w:spacing w:line="560" w:lineRule="exact"/>
        <w:ind w:leftChars="0" w:left="0" w:firstLineChars="200" w:firstLine="640"/>
        <w:jc w:val="left"/>
        <w:textAlignment w:val="auto"/>
        <w:rPr>
          <w:rFonts w:ascii="Times New Roman" w:eastAsia="仿宋_GB2312" w:cs="仿宋_GB2312" w:hAnsi="Times New Roman" w:hint="eastAsia"/>
          <w:color w:val="auto"/>
          <w:sz w:val="32"/>
          <w:szCs w:val="32"/>
          <w:highlight w:val="auto"/>
        </w:rPr>
      </w:pPr>
      <w:r>
        <w:rPr>
          <w:rFonts w:ascii="Times New Roman" w:eastAsia="仿宋_GB2312" w:cs="仿宋_GB2312" w:hAnsi="Times New Roman" w:hint="eastAsia"/>
          <w:color w:val="auto"/>
          <w:sz w:val="32"/>
          <w:szCs w:val="32"/>
          <w:highlight w:val="auto"/>
        </w:rPr>
        <w:t>六、一般公共预算财政拨款支出决算表</w:t>
      </w:r>
    </w:p>
    <w:p>
      <w:pPr>
        <w:pStyle w:val="29"/>
        <w:keepNext w:val="0"/>
        <w:keepLines w:val="0"/>
        <w:pageBreakBefore w:val="0"/>
        <w:widowControl w:val="0"/>
        <w:tabs>
          <w:tab w:val="right" w:leader="middleDot" w:pos="7980"/>
          <w:tab w:val="right" w:leader="dot" w:pos="8296"/>
        </w:tabs>
        <w:kinsoku/>
        <w:wordWrap/>
        <w:overflowPunct/>
        <w:topLinePunct w:val="0"/>
        <w:autoSpaceDE/>
        <w:autoSpaceDN/>
        <w:bidi w:val="0"/>
        <w:adjustRightInd w:val="0"/>
        <w:snapToGrid w:val="0"/>
        <w:spacing w:line="560" w:lineRule="exact"/>
        <w:ind w:leftChars="0" w:left="0" w:firstLineChars="200" w:firstLine="640"/>
        <w:jc w:val="left"/>
        <w:textAlignment w:val="auto"/>
        <w:rPr>
          <w:rFonts w:ascii="Times New Roman" w:eastAsia="仿宋_GB2312" w:cs="仿宋_GB2312" w:hAnsi="Times New Roman" w:hint="eastAsia"/>
          <w:color w:val="auto"/>
          <w:sz w:val="32"/>
          <w:szCs w:val="32"/>
          <w:highlight w:val="auto"/>
        </w:rPr>
      </w:pPr>
      <w:r>
        <w:rPr>
          <w:rFonts w:ascii="Times New Roman" w:eastAsia="仿宋_GB2312" w:cs="仿宋_GB2312" w:hAnsi="Times New Roman" w:hint="eastAsia"/>
          <w:color w:val="auto"/>
          <w:sz w:val="32"/>
          <w:szCs w:val="32"/>
          <w:highlight w:val="auto"/>
        </w:rPr>
        <w:t>七、一般公共预算财政拨款支出决算明细表</w:t>
      </w:r>
    </w:p>
    <w:p>
      <w:pPr>
        <w:pStyle w:val="29"/>
        <w:keepNext w:val="0"/>
        <w:keepLines w:val="0"/>
        <w:pageBreakBefore w:val="0"/>
        <w:widowControl w:val="0"/>
        <w:tabs>
          <w:tab w:val="right" w:leader="middleDot" w:pos="7980"/>
          <w:tab w:val="right" w:leader="dot" w:pos="8296"/>
        </w:tabs>
        <w:kinsoku/>
        <w:wordWrap/>
        <w:overflowPunct/>
        <w:topLinePunct w:val="0"/>
        <w:autoSpaceDE/>
        <w:autoSpaceDN/>
        <w:bidi w:val="0"/>
        <w:adjustRightInd w:val="0"/>
        <w:snapToGrid w:val="0"/>
        <w:spacing w:line="560" w:lineRule="exact"/>
        <w:ind w:leftChars="0" w:left="0" w:firstLineChars="200" w:firstLine="640"/>
        <w:jc w:val="left"/>
        <w:textAlignment w:val="auto"/>
        <w:rPr>
          <w:rFonts w:ascii="Times New Roman" w:eastAsia="仿宋_GB2312" w:cs="仿宋_GB2312" w:hAnsi="Times New Roman" w:hint="eastAsia"/>
          <w:color w:val="auto"/>
          <w:sz w:val="32"/>
          <w:szCs w:val="32"/>
          <w:highlight w:val="auto"/>
        </w:rPr>
      </w:pPr>
      <w:r>
        <w:rPr>
          <w:rFonts w:ascii="Times New Roman" w:eastAsia="仿宋_GB2312" w:cs="仿宋_GB2312" w:hAnsi="Times New Roman" w:hint="eastAsia"/>
          <w:color w:val="auto"/>
          <w:sz w:val="32"/>
          <w:szCs w:val="32"/>
          <w:highlight w:val="auto"/>
        </w:rPr>
        <w:t>八、一般公共预算财政拨款基本支出决算</w:t>
      </w:r>
      <w:r>
        <w:rPr>
          <w:rFonts w:ascii="Times New Roman" w:eastAsia="仿宋_GB2312" w:cs="仿宋_GB2312" w:hAnsi="Times New Roman" w:hint="eastAsia"/>
          <w:color w:val="auto"/>
          <w:sz w:val="32"/>
          <w:szCs w:val="32"/>
          <w:lang w:eastAsia="zh-CN"/>
          <w:highlight w:val="auto"/>
        </w:rPr>
        <w:t>明细</w:t>
      </w:r>
      <w:r>
        <w:rPr>
          <w:rFonts w:ascii="Times New Roman" w:eastAsia="仿宋_GB2312" w:cs="仿宋_GB2312" w:hAnsi="Times New Roman" w:hint="eastAsia"/>
          <w:color w:val="auto"/>
          <w:sz w:val="32"/>
          <w:szCs w:val="32"/>
          <w:highlight w:val="auto"/>
        </w:rPr>
        <w:t>表</w:t>
      </w:r>
    </w:p>
    <w:p>
      <w:pPr>
        <w:pStyle w:val="29"/>
        <w:keepNext w:val="0"/>
        <w:keepLines w:val="0"/>
        <w:pageBreakBefore w:val="0"/>
        <w:widowControl w:val="0"/>
        <w:tabs>
          <w:tab w:val="right" w:leader="middleDot" w:pos="7980"/>
          <w:tab w:val="right" w:leader="dot" w:pos="8296"/>
        </w:tabs>
        <w:kinsoku/>
        <w:wordWrap/>
        <w:overflowPunct/>
        <w:topLinePunct w:val="0"/>
        <w:autoSpaceDE/>
        <w:autoSpaceDN/>
        <w:bidi w:val="0"/>
        <w:adjustRightInd w:val="0"/>
        <w:snapToGrid w:val="0"/>
        <w:spacing w:line="560" w:lineRule="exact"/>
        <w:ind w:leftChars="0" w:left="0" w:firstLineChars="200" w:firstLine="640"/>
        <w:jc w:val="left"/>
        <w:textAlignment w:val="auto"/>
        <w:rPr>
          <w:rFonts w:ascii="Times New Roman" w:eastAsia="仿宋_GB2312" w:cs="仿宋_GB2312" w:hAnsi="Times New Roman" w:hint="eastAsia"/>
          <w:color w:val="auto"/>
          <w:sz w:val="32"/>
          <w:szCs w:val="32"/>
          <w:highlight w:val="auto"/>
        </w:rPr>
      </w:pPr>
      <w:r>
        <w:rPr>
          <w:rFonts w:ascii="Times New Roman" w:eastAsia="仿宋_GB2312" w:cs="仿宋_GB2312" w:hAnsi="Times New Roman" w:hint="eastAsia"/>
          <w:color w:val="auto"/>
          <w:sz w:val="32"/>
          <w:szCs w:val="32"/>
          <w:highlight w:val="auto"/>
        </w:rPr>
        <w:t>九、一般公共预算财政拨款项目支出决算表</w:t>
      </w:r>
    </w:p>
    <w:p>
      <w:pPr>
        <w:pStyle w:val="29"/>
        <w:keepNext w:val="0"/>
        <w:keepLines w:val="0"/>
        <w:pageBreakBefore w:val="0"/>
        <w:widowControl w:val="0"/>
        <w:tabs>
          <w:tab w:val="right" w:leader="middleDot" w:pos="7980"/>
          <w:tab w:val="right" w:leader="dot" w:pos="8296"/>
        </w:tabs>
        <w:kinsoku/>
        <w:wordWrap/>
        <w:overflowPunct/>
        <w:topLinePunct w:val="0"/>
        <w:autoSpaceDE/>
        <w:autoSpaceDN/>
        <w:bidi w:val="0"/>
        <w:adjustRightInd w:val="0"/>
        <w:snapToGrid w:val="0"/>
        <w:spacing w:line="560" w:lineRule="exact"/>
        <w:ind w:leftChars="0" w:left="0" w:firstLineChars="200" w:firstLine="640"/>
        <w:jc w:val="left"/>
        <w:textAlignment w:val="auto"/>
        <w:rPr>
          <w:rFonts w:ascii="Times New Roman" w:eastAsia="仿宋_GB2312" w:cs="仿宋_GB2312" w:hAnsi="Times New Roman" w:hint="eastAsia"/>
          <w:color w:val="auto"/>
          <w:sz w:val="32"/>
          <w:szCs w:val="32"/>
          <w:highlight w:val="auto"/>
        </w:rPr>
      </w:pPr>
      <w:r>
        <w:rPr>
          <w:rFonts w:ascii="Times New Roman" w:eastAsia="仿宋_GB2312" w:cs="仿宋_GB2312" w:hAnsi="Times New Roman" w:hint="eastAsia"/>
          <w:color w:val="auto"/>
          <w:sz w:val="32"/>
          <w:szCs w:val="32"/>
          <w:highlight w:val="auto"/>
        </w:rPr>
        <w:t>十、政府性基金预算财政拨款收入支出决算表</w:t>
      </w:r>
    </w:p>
    <w:p>
      <w:pPr>
        <w:pStyle w:val="29"/>
        <w:keepNext w:val="0"/>
        <w:keepLines w:val="0"/>
        <w:pageBreakBefore w:val="0"/>
        <w:widowControl w:val="0"/>
        <w:tabs>
          <w:tab w:val="right" w:leader="middleDot" w:pos="7980"/>
          <w:tab w:val="right" w:leader="dot" w:pos="8296"/>
        </w:tabs>
        <w:kinsoku/>
        <w:wordWrap/>
        <w:overflowPunct/>
        <w:topLinePunct w:val="0"/>
        <w:autoSpaceDE/>
        <w:autoSpaceDN/>
        <w:bidi w:val="0"/>
        <w:adjustRightInd w:val="0"/>
        <w:snapToGrid w:val="0"/>
        <w:spacing w:line="560" w:lineRule="exact"/>
        <w:ind w:leftChars="0" w:left="0" w:firstLineChars="200" w:firstLine="640"/>
        <w:jc w:val="left"/>
        <w:textAlignment w:val="auto"/>
        <w:rPr>
          <w:rFonts w:ascii="Times New Roman" w:eastAsia="仿宋_GB2312" w:cs="仿宋_GB2312" w:hAnsi="Times New Roman" w:hint="eastAsia"/>
          <w:color w:val="auto"/>
          <w:sz w:val="32"/>
          <w:szCs w:val="32"/>
          <w:highlight w:val="auto"/>
        </w:rPr>
      </w:pPr>
      <w:r>
        <w:rPr>
          <w:rFonts w:ascii="Times New Roman" w:eastAsia="仿宋_GB2312" w:cs="仿宋_GB2312" w:hAnsi="Times New Roman" w:hint="eastAsia"/>
          <w:color w:val="auto"/>
          <w:sz w:val="32"/>
          <w:szCs w:val="32"/>
          <w:highlight w:val="auto"/>
        </w:rPr>
        <w:t>十一、国有资本经营预算财政拨款收入支出决算表</w:t>
      </w:r>
    </w:p>
    <w:p>
      <w:pPr>
        <w:pStyle w:val="29"/>
        <w:keepNext w:val="0"/>
        <w:keepLines w:val="0"/>
        <w:pageBreakBefore w:val="0"/>
        <w:widowControl w:val="0"/>
        <w:tabs>
          <w:tab w:val="right" w:leader="middleDot" w:pos="7980"/>
          <w:tab w:val="right" w:leader="dot" w:pos="8296"/>
        </w:tabs>
        <w:kinsoku/>
        <w:wordWrap/>
        <w:overflowPunct/>
        <w:topLinePunct w:val="0"/>
        <w:autoSpaceDE/>
        <w:autoSpaceDN/>
        <w:bidi w:val="0"/>
        <w:adjustRightInd w:val="0"/>
        <w:snapToGrid w:val="0"/>
        <w:spacing w:line="560" w:lineRule="exact"/>
        <w:ind w:leftChars="0" w:left="0" w:firstLineChars="200" w:firstLine="640"/>
        <w:jc w:val="left"/>
        <w:textAlignment w:val="auto"/>
        <w:rPr>
          <w:rFonts w:ascii="Times New Roman" w:eastAsia="仿宋_GB2312" w:cs="仿宋_GB2312" w:hAnsi="Times New Roman" w:hint="eastAsia"/>
          <w:color w:val="auto"/>
          <w:sz w:val="32"/>
          <w:szCs w:val="32"/>
          <w:highlight w:val="auto"/>
        </w:rPr>
      </w:pPr>
      <w:r>
        <w:rPr>
          <w:rFonts w:ascii="Times New Roman" w:eastAsia="仿宋_GB2312" w:cs="仿宋_GB2312" w:hAnsi="Times New Roman" w:hint="eastAsia"/>
          <w:color w:val="auto"/>
          <w:sz w:val="32"/>
          <w:szCs w:val="32"/>
          <w:highlight w:val="auto"/>
        </w:rPr>
        <w:t>十二、</w:t>
      </w:r>
      <w:r>
        <w:rPr>
          <w:rFonts w:ascii="Times New Roman" w:eastAsia="仿宋_GB2312" w:cs="仿宋_GB2312" w:hAnsi="Times New Roman" w:hint="eastAsia"/>
          <w:color w:val="auto"/>
          <w:sz w:val="32"/>
          <w:szCs w:val="32"/>
          <w:lang w:val="en-US" w:eastAsia="zh-CN"/>
          <w:highlight w:val="auto"/>
        </w:rPr>
        <w:t>国有资本经营预算财政拨款支出决算表</w:t>
      </w:r>
    </w:p>
    <w:p>
      <w:pPr>
        <w:pStyle w:val="29"/>
        <w:keepNext w:val="0"/>
        <w:keepLines w:val="0"/>
        <w:pageBreakBefore w:val="0"/>
        <w:widowControl w:val="0"/>
        <w:tabs>
          <w:tab w:val="right" w:leader="middleDot" w:pos="7980"/>
          <w:tab w:val="right" w:leader="dot" w:pos="8296"/>
        </w:tabs>
        <w:kinsoku/>
        <w:wordWrap/>
        <w:overflowPunct/>
        <w:topLinePunct w:val="0"/>
        <w:autoSpaceDE/>
        <w:autoSpaceDN/>
        <w:bidi w:val="0"/>
        <w:adjustRightInd w:val="0"/>
        <w:snapToGrid w:val="0"/>
        <w:spacing w:line="560" w:lineRule="exact"/>
        <w:ind w:leftChars="0" w:left="0" w:firstLineChars="200" w:firstLine="640"/>
        <w:jc w:val="left"/>
        <w:textAlignment w:val="auto"/>
        <w:rPr>
          <w:rFonts w:ascii="Times New Roman" w:eastAsia="仿宋_GB2312" w:cs="仿宋_GB2312" w:hAnsi="Times New Roman"/>
          <w:color w:val="auto"/>
          <w:sz w:val="32"/>
          <w:szCs w:val="32"/>
          <w:highlight w:val="auto"/>
        </w:rPr>
      </w:pPr>
      <w:r>
        <w:rPr>
          <w:rFonts w:ascii="Times New Roman" w:eastAsia="仿宋_GB2312" w:cs="仿宋_GB2312" w:hAnsi="Times New Roman" w:hint="eastAsia"/>
          <w:color w:val="auto"/>
          <w:sz w:val="32"/>
          <w:szCs w:val="32"/>
          <w:highlight w:val="auto"/>
        </w:rPr>
        <w:t>十三、财政拨款“三公”经费支出决算表</w:t>
      </w:r>
    </w:p>
    <w:p>
      <w:pPr>
        <w:pStyle w:val="29"/>
        <w:keepNext w:val="0"/>
        <w:keepLines w:val="0"/>
        <w:pageBreakBefore w:val="0"/>
        <w:widowControl w:val="0"/>
        <w:tabs>
          <w:tab w:val="right" w:leader="middleDot" w:pos="7980"/>
          <w:tab w:val="right" w:leader="dot" w:pos="8296"/>
        </w:tabs>
        <w:kinsoku/>
        <w:wordWrap/>
        <w:overflowPunct/>
        <w:topLinePunct w:val="0"/>
        <w:autoSpaceDE/>
        <w:autoSpaceDN/>
        <w:adjustRightInd w:val="0"/>
        <w:snapToGrid w:val="0"/>
        <w:spacing w:line="560" w:lineRule="exact"/>
        <w:ind w:leftChars="0" w:left="0" w:firstLineChars="200" w:firstLine="640"/>
        <w:jc w:val="left"/>
        <w:rPr>
          <w:rFonts w:eastAsia="仿宋_GB2312" w:cs="仿宋_GB2312" w:hint="eastAsia"/>
          <w:sz w:val="32"/>
          <w:szCs w:val="32"/>
        </w:rPr>
      </w:pPr>
      <w:bookmarkStart w:id="6" w:name="_GoBack"/>
      <w:r>
        <w:rPr>
          <w:rFonts w:eastAsia="仿宋_GB2312" w:cs="仿宋_GB2312" w:hint="eastAsia"/>
          <w:sz w:val="32"/>
          <w:szCs w:val="32"/>
        </w:rPr>
        <w:t>十四、州佛协预算绩效评价指标体系</w:t>
      </w:r>
    </w:p>
    <w:p>
      <w:pPr>
        <w:pStyle w:val="29"/>
        <w:keepNext w:val="0"/>
        <w:keepLines w:val="0"/>
        <w:pageBreakBefore w:val="0"/>
        <w:widowControl w:val="0"/>
        <w:tabs>
          <w:tab w:val="right" w:leader="dot" w:pos="8296"/>
        </w:tabs>
        <w:kinsoku/>
        <w:wordWrap/>
        <w:overflowPunct/>
        <w:topLinePunct w:val="0"/>
        <w:autoSpaceDE/>
        <w:autoSpaceDN/>
        <w:bidi w:val="0"/>
        <w:adjustRightInd w:val="0"/>
        <w:snapToGrid w:val="0"/>
        <w:spacing w:line="560" w:lineRule="exact"/>
        <w:ind w:leftChars="0" w:left="0" w:firstLineChars="200" w:firstLine="640"/>
        <w:jc w:val="left"/>
        <w:textAlignment w:val="auto"/>
        <w:rPr>
          <w:rFonts w:ascii="Times New Roman" w:eastAsia="仿宋_GB2312" w:cs="仿宋_GB2312" w:hAnsi="Times New Roman" w:hint="eastAsia"/>
          <w:b/>
          <w:bCs/>
          <w:color w:val="auto"/>
          <w:sz w:val="32"/>
          <w:szCs w:val="32"/>
          <w:lang w:eastAsia="zh-CN"/>
          <w:highlight w:val="auto"/>
        </w:rPr>
      </w:pPr>
      <w:bookmarkEnd w:id="6"/>
      <w:r>
        <w:rPr>
          <w:rFonts w:ascii="Times New Roman" w:eastAsia="仿宋_GB2312" w:cs="仿宋_GB2312" w:hAnsi="Times New Roman" w:hint="eastAsia"/>
          <w:b/>
          <w:bCs/>
          <w:color w:val="auto"/>
          <w:sz w:val="32"/>
          <w:szCs w:val="32"/>
          <w:lang w:eastAsia="zh-CN"/>
          <w:highlight w:val="auto"/>
        </w:rPr>
        <w:t>（</w:t>
      </w:r>
      <w:r>
        <w:rPr>
          <w:rFonts w:ascii="Times New Roman" w:eastAsia="仿宋_GB2312" w:cs="仿宋_GB2312" w:hAnsi="Times New Roman" w:hint="eastAsia"/>
          <w:b/>
          <w:bCs/>
          <w:color w:val="auto"/>
          <w:sz w:val="32"/>
          <w:szCs w:val="32"/>
          <w:highlight w:val="auto"/>
        </w:rPr>
        <w:t>注：请部门根据实际注明页码</w:t>
      </w:r>
      <w:r>
        <w:rPr>
          <w:rFonts w:ascii="Times New Roman" w:eastAsia="仿宋_GB2312" w:cs="仿宋_GB2312" w:hAnsi="Times New Roman" w:hint="eastAsia"/>
          <w:b/>
          <w:bCs/>
          <w:color w:val="auto"/>
          <w:sz w:val="32"/>
          <w:szCs w:val="32"/>
          <w:lang w:eastAsia="zh-CN"/>
          <w:highlight w:val="auto"/>
        </w:rPr>
        <w:t>）</w:t>
      </w:r>
    </w:p>
    <w:p>
      <w:pPr>
        <w:keepNext w:val="0"/>
        <w:keepLines w:val="0"/>
        <w:pageBreakBefore w:val="0"/>
        <w:widowControl/>
        <w:kinsoku/>
        <w:wordWrap/>
        <w:overflowPunct/>
        <w:topLinePunct w:val="0"/>
        <w:autoSpaceDE/>
        <w:autoSpaceDN/>
        <w:bidi w:val="0"/>
        <w:spacing w:line="560" w:lineRule="exact"/>
        <w:jc w:val="left"/>
        <w:textAlignment w:val="auto"/>
        <w:rPr>
          <w:rFonts w:ascii="Times New Roman" w:eastAsia="仿宋_GB2312" w:cs="仿宋_GB2312" w:hAnsi="Times New Roman" w:hint="eastAsia"/>
          <w:bCs/>
          <w:color w:val="auto"/>
          <w:kern w:val="44"/>
          <w:sz w:val="32"/>
          <w:szCs w:val="32"/>
          <w:highlight w:val="auto"/>
        </w:rPr>
      </w:pPr>
      <w:bookmarkStart w:id="7" w:name="_Toc15377196"/>
      <w:bookmarkStart w:id="8" w:name="_Toc15396599"/>
      <w:r>
        <w:rPr>
          <w:rFonts w:ascii="Times New Roman" w:eastAsia="仿宋_GB2312" w:cs="仿宋_GB2312" w:hAnsi="Times New Roman" w:hint="eastAsia"/>
          <w:b/>
          <w:color w:val="auto"/>
          <w:sz w:val="32"/>
          <w:szCs w:val="32"/>
          <w:highlight w:val="auto"/>
        </w:rPr>
        <w:br w:type="page"/>
      </w:r>
    </w:p>
    <w:p>
      <w:pPr>
        <w:pStyle w:val="1"/>
        <w:jc w:val="center"/>
        <w:rPr>
          <w:rStyle w:val="36"/>
          <w:rFonts w:hint="eastAsia"/>
          <w:highlight w:val="auto"/>
        </w:rPr>
      </w:pPr>
      <w:r>
        <w:rPr>
          <w:rStyle w:val="36"/>
          <w:rFonts w:hint="eastAsia"/>
          <w:highlight w:val="auto"/>
        </w:rPr>
        <w:t>第一部分</w:t>
      </w:r>
      <w:r>
        <w:rPr>
          <w:rStyle w:val="36"/>
          <w:rFonts w:hint="eastAsia"/>
          <w:lang w:val="en-US" w:eastAsia="zh-CN"/>
          <w:highlight w:val="auto"/>
        </w:rPr>
        <w:t xml:space="preserve"> </w:t>
      </w:r>
      <w:r>
        <w:rPr>
          <w:rStyle w:val="36"/>
          <w:rFonts w:hint="eastAsia"/>
          <w:highlight w:val="auto"/>
        </w:rPr>
        <w:t xml:space="preserve"> 部门概况</w:t>
      </w:r>
      <w:bookmarkEnd w:id="7"/>
      <w:bookmarkEnd w:id="8"/>
    </w:p>
    <w:p>
      <w:pPr>
        <w:widowControl/>
        <w:jc w:val="left"/>
        <w:rPr>
          <w:rFonts w:ascii="Times New Roman" w:eastAsia="黑体" w:hAnsi="Times New Roman"/>
          <w:color w:val="auto"/>
          <w:sz w:val="32"/>
          <w:szCs w:val="32"/>
          <w:highlight w:val="auto"/>
        </w:rPr>
      </w:pPr>
    </w:p>
    <w:p>
      <w:pPr>
        <w:pStyle w:val="2"/>
        <w:numPr>
          <w:ilvl w:val="0"/>
          <w:numId w:val="2"/>
        </w:numPr>
        <w:rPr>
          <w:rFonts w:ascii="Times New Roman" w:eastAsia="黑体" w:hAnsi="Times New Roman" w:hint="eastAsia"/>
          <w:b w:val="0"/>
          <w:color w:val="auto"/>
          <w:lang w:eastAsia="zh-CN"/>
          <w:highlight w:val="auto"/>
        </w:rPr>
      </w:pPr>
      <w:r>
        <w:rPr>
          <w:rFonts w:ascii="Times New Roman" w:eastAsia="黑体" w:hAnsi="Times New Roman" w:hint="eastAsia"/>
          <w:b w:val="0"/>
          <w:color w:val="auto"/>
          <w:lang w:eastAsia="zh-CN"/>
          <w:highlight w:val="auto"/>
        </w:rPr>
        <w:t>部门职责</w:t>
      </w:r>
    </w:p>
    <w:p>
      <w:pPr>
        <w:shd w:val="solid" w:color="FFFFFF" w:fill="auto"/>
        <w:autoSpaceDE w:val="0"/>
        <w:autoSpaceDN w:val="0"/>
        <w:adjustRightInd w:val="0"/>
        <w:spacing w:line="600" w:lineRule="exact"/>
        <w:ind w:firstLine="480"/>
        <w:rPr>
          <w:rFonts w:ascii="仿宋_GB2312" w:eastAsia="仿宋_GB2312" w:cs="仿宋_GB2312" w:hint="eastAsia"/>
          <w:kern w:val="2"/>
          <w:sz w:val="32"/>
          <w:szCs w:val="32"/>
          <w:lang w:bidi="ar-SA"/>
        </w:rPr>
      </w:pPr>
      <w:r>
        <w:rPr>
          <w:rFonts w:ascii="仿宋_GB2312" w:eastAsia="仿宋_GB2312" w:cs="仿宋_GB2312" w:hint="eastAsia"/>
          <w:kern w:val="2"/>
          <w:sz w:val="32"/>
          <w:szCs w:val="32"/>
          <w:lang w:bidi="ar-SA"/>
        </w:rPr>
        <w:t>根据阿委办〔1997〕96号文件规定，主要职责是:1.协同党和政府宣传贯彻党的宗教政策和国家有关宗教方面的法律、法规。2.组织和推动佛教徒学习国家的宗教政策和国家有关法律、法规，协助寺庙制定各项规章制度，管好宗教活动场所，开展正常的宗教活动。3.维护佛教徒信仰自由的合法权益，反映佛教界的愿望和要求。4.举办佛教教育培训，积极开展藏传佛教历史和学术研究，收集整理各教派寺庙的历史资料，保护佛教文物古迹。5.抵制境外敌对宗教势力的渗透，教育佛教徒爱国爱教。6.团结和引导全州各族佛教徒积极为国家经济建设服务，帮助和指导各教派寺庙举办以“自养”为中心的生产、服务和社会公益事业。7.承办党和政府及上级主管部门交办的其他工作。</w:t>
      </w:r>
    </w:p>
    <w:p>
      <w:pPr>
        <w:rPr>
          <w:rFonts w:hint="eastAsia"/>
          <w:lang w:eastAsia="zh-CN"/>
        </w:rPr>
      </w:pPr>
    </w:p>
    <w:p>
      <w:pPr>
        <w:pStyle w:val="2"/>
        <w:rPr>
          <w:rStyle w:val="2Char"/>
          <w:rFonts w:ascii="Times New Roman" w:hAnsi="Times New Roman"/>
          <w:b w:val="0"/>
          <w:bCs w:val="0"/>
          <w:color w:val="auto"/>
          <w:highlight w:val="auto"/>
        </w:rPr>
      </w:pPr>
      <w:bookmarkStart w:id="9" w:name="_Toc15396601"/>
      <w:bookmarkStart w:id="10" w:name="_Toc15377200"/>
      <w:r>
        <w:rPr>
          <w:rFonts w:ascii="Times New Roman" w:eastAsia="黑体" w:hAnsi="Times New Roman" w:hint="eastAsia"/>
          <w:b w:val="0"/>
          <w:color w:val="auto"/>
          <w:highlight w:val="auto"/>
        </w:rPr>
        <w:t>二、机</w:t>
      </w:r>
      <w:r>
        <w:rPr>
          <w:rStyle w:val="2Char"/>
          <w:rFonts w:ascii="Times New Roman" w:eastAsia="黑体" w:hAnsi="Times New Roman" w:hint="eastAsia"/>
          <w:b w:val="0"/>
          <w:bCs w:val="0"/>
          <w:color w:val="auto"/>
          <w:highlight w:val="auto"/>
        </w:rPr>
        <w:t>构设置</w:t>
      </w:r>
      <w:bookmarkEnd w:id="9"/>
      <w:bookmarkEnd w:id="10"/>
    </w:p>
    <w:p>
      <w:pPr>
        <w:ind w:firstLineChars="250" w:firstLine="800"/>
        <w:rPr>
          <w:rFonts w:ascii="Times New Roman" w:eastAsia="仿宋_GB2312" w:cs="仿宋_GB2312" w:hAnsi="Times New Roman" w:hint="eastAsia"/>
          <w:color w:val="auto"/>
          <w:sz w:val="32"/>
          <w:szCs w:val="32"/>
          <w:highlight w:val="auto"/>
        </w:rPr>
      </w:pPr>
      <w:r>
        <w:rPr>
          <w:rFonts w:ascii="仿宋_GB2312" w:eastAsia="仿宋_GB2312" w:cs="仿宋_GB2312" w:hint="eastAsia"/>
          <w:color w:val="auto"/>
          <w:sz w:val="32"/>
          <w:szCs w:val="32"/>
          <w:highlight w:val="auto"/>
        </w:rPr>
        <w:t>阿坝州佛教协会（本级）</w:t>
      </w:r>
      <w:r>
        <w:rPr>
          <w:rFonts w:ascii="Times New Roman" w:eastAsia="仿宋_GB2312" w:cs="仿宋_GB2312" w:hAnsi="Times New Roman" w:hint="eastAsia"/>
          <w:color w:val="auto"/>
          <w:sz w:val="32"/>
          <w:szCs w:val="32"/>
          <w:highlight w:val="auto"/>
        </w:rPr>
        <w:t>下属二级</w:t>
      </w:r>
      <w:r>
        <w:rPr>
          <w:rFonts w:ascii="Times New Roman" w:eastAsia="仿宋_GB2312" w:cs="仿宋_GB2312" w:hAnsi="Times New Roman" w:hint="eastAsia"/>
          <w:color w:val="auto"/>
          <w:sz w:val="32"/>
          <w:szCs w:val="32"/>
          <w:lang w:eastAsia="zh-CN"/>
          <w:highlight w:val="auto"/>
        </w:rPr>
        <w:t>预算</w:t>
      </w:r>
      <w:r>
        <w:rPr>
          <w:rFonts w:ascii="Times New Roman" w:eastAsia="仿宋_GB2312" w:cs="仿宋_GB2312" w:hAnsi="Times New Roman" w:hint="eastAsia"/>
          <w:color w:val="auto"/>
          <w:sz w:val="32"/>
          <w:szCs w:val="32"/>
          <w:highlight w:val="auto"/>
        </w:rPr>
        <w:t>单位</w:t>
      </w:r>
      <w:r>
        <w:rPr>
          <w:rFonts w:eastAsia="仿宋_GB2312" w:cs="仿宋_GB2312" w:hint="eastAsia"/>
          <w:color w:val="auto"/>
          <w:sz w:val="32"/>
          <w:szCs w:val="32"/>
          <w:lang w:val="en-US" w:eastAsia="zh-CN"/>
          <w:highlight w:val="auto"/>
        </w:rPr>
        <w:t>2</w:t>
      </w:r>
      <w:r>
        <w:rPr>
          <w:rFonts w:ascii="Times New Roman" w:eastAsia="仿宋_GB2312" w:cs="仿宋_GB2312" w:hAnsi="Times New Roman" w:hint="eastAsia"/>
          <w:color w:val="auto"/>
          <w:sz w:val="32"/>
          <w:szCs w:val="32"/>
          <w:highlight w:val="auto"/>
        </w:rPr>
        <w:t>个，其中行政单位</w:t>
      </w:r>
      <w:r>
        <w:rPr>
          <w:rFonts w:eastAsia="仿宋_GB2312" w:cs="仿宋_GB2312" w:hint="eastAsia"/>
          <w:color w:val="auto"/>
          <w:sz w:val="32"/>
          <w:szCs w:val="32"/>
          <w:lang w:val="en-US" w:eastAsia="zh-CN"/>
          <w:highlight w:val="auto"/>
        </w:rPr>
        <w:t>1</w:t>
      </w:r>
      <w:r>
        <w:rPr>
          <w:rFonts w:ascii="Times New Roman" w:eastAsia="仿宋_GB2312" w:cs="仿宋_GB2312" w:hAnsi="Times New Roman" w:hint="eastAsia"/>
          <w:color w:val="auto"/>
          <w:sz w:val="32"/>
          <w:szCs w:val="32"/>
          <w:highlight w:val="auto"/>
        </w:rPr>
        <w:t>个，参照公务员法管理的事业单位</w:t>
      </w:r>
      <w:r>
        <w:rPr>
          <w:rFonts w:eastAsia="仿宋_GB2312" w:cs="仿宋_GB2312" w:hint="eastAsia"/>
          <w:bCs/>
          <w:color w:val="auto"/>
          <w:sz w:val="32"/>
          <w:szCs w:val="32"/>
          <w:lang w:val="en-US" w:eastAsia="zh-CN"/>
          <w:highlight w:val="auto"/>
        </w:rPr>
        <w:t>1</w:t>
      </w:r>
      <w:r>
        <w:rPr>
          <w:rFonts w:ascii="Times New Roman" w:eastAsia="仿宋_GB2312" w:cs="仿宋_GB2312" w:hAnsi="Times New Roman" w:hint="eastAsia"/>
          <w:color w:val="auto"/>
          <w:sz w:val="32"/>
          <w:szCs w:val="32"/>
          <w:highlight w:val="auto"/>
        </w:rPr>
        <w:t>个，其他事业单位</w:t>
      </w:r>
      <w:r>
        <w:rPr>
          <w:rFonts w:eastAsia="仿宋_GB2312" w:cs="仿宋_GB2312" w:hint="eastAsia"/>
          <w:color w:val="auto"/>
          <w:sz w:val="32"/>
          <w:szCs w:val="32"/>
          <w:lang w:val="en-US" w:eastAsia="zh-CN"/>
          <w:highlight w:val="auto"/>
        </w:rPr>
        <w:t>0</w:t>
      </w:r>
      <w:r>
        <w:rPr>
          <w:rFonts w:ascii="Times New Roman" w:eastAsia="仿宋_GB2312" w:cs="仿宋_GB2312" w:hAnsi="Times New Roman" w:hint="eastAsia"/>
          <w:color w:val="auto"/>
          <w:sz w:val="32"/>
          <w:szCs w:val="32"/>
          <w:highlight w:val="auto"/>
        </w:rPr>
        <w:t>个。</w:t>
      </w:r>
    </w:p>
    <w:p>
      <w:pPr>
        <w:pStyle w:val="19"/>
        <w:adjustRightInd w:val="0"/>
        <w:snapToGrid w:val="0"/>
        <w:spacing w:beforeLines="0" w:before="93" w:line="600" w:lineRule="exact"/>
        <w:ind w:firstLineChars="208" w:firstLine="666"/>
        <w:rPr>
          <w:rFonts w:ascii="Times New Roman" w:eastAsia="仿宋_GB2312" w:cs="仿宋_GB2312" w:hAnsi="Times New Roman" w:hint="eastAsia"/>
          <w:color w:val="auto"/>
          <w:sz w:val="32"/>
          <w:szCs w:val="32"/>
          <w:highlight w:val="auto"/>
        </w:rPr>
      </w:pPr>
      <w:r>
        <w:rPr>
          <w:rFonts w:ascii="Times New Roman" w:eastAsia="仿宋_GB2312" w:cs="仿宋_GB2312" w:hAnsi="Times New Roman" w:hint="eastAsia"/>
          <w:color w:val="auto"/>
          <w:sz w:val="32"/>
          <w:szCs w:val="32"/>
          <w:highlight w:val="auto"/>
        </w:rPr>
        <w:t>纳入</w:t>
      </w:r>
      <w:r>
        <w:rPr>
          <w:sz w:val="32"/>
          <w:szCs w:val="32"/>
        </w:rPr>
        <w:t>阿坝州佛教协会（本级）</w:t>
      </w:r>
      <w:r>
        <w:rPr>
          <w:rFonts w:ascii="Times New Roman" w:eastAsia="仿宋_GB2312" w:cs="仿宋_GB2312" w:hAnsi="Times New Roman" w:hint="eastAsia"/>
          <w:color w:val="auto"/>
          <w:sz w:val="32"/>
          <w:szCs w:val="32"/>
          <w:lang w:eastAsia="zh-CN"/>
          <w:highlight w:val="auto"/>
        </w:rPr>
        <w:t>202</w:t>
      </w:r>
      <w:r>
        <w:rPr>
          <w:rFonts w:ascii="Times New Roman" w:eastAsia="仿宋_GB2312" w:cs="仿宋_GB2312" w:hAnsi="Times New Roman"/>
          <w:color w:val="auto"/>
          <w:sz w:val="32"/>
          <w:szCs w:val="32"/>
          <w:lang w:eastAsia="zh-CN"/>
          <w:highlight w:val="auto"/>
        </w:rPr>
        <w:t>5</w:t>
      </w:r>
      <w:r>
        <w:rPr>
          <w:rFonts w:ascii="Times New Roman" w:eastAsia="仿宋_GB2312" w:cs="仿宋_GB2312" w:hAnsi="Times New Roman" w:hint="eastAsia"/>
          <w:color w:val="auto"/>
          <w:sz w:val="32"/>
          <w:szCs w:val="32"/>
          <w:lang w:eastAsia="zh-CN"/>
          <w:highlight w:val="auto"/>
        </w:rPr>
        <w:t>年度</w:t>
      </w:r>
      <w:r>
        <w:rPr>
          <w:rFonts w:ascii="Times New Roman" w:eastAsia="仿宋_GB2312" w:cs="仿宋_GB2312" w:hAnsi="Times New Roman" w:hint="eastAsia"/>
          <w:color w:val="auto"/>
          <w:sz w:val="32"/>
          <w:szCs w:val="32"/>
          <w:highlight w:val="auto"/>
        </w:rPr>
        <w:t>部门决算编制范围的二级预算单位包括：</w:t>
      </w:r>
    </w:p>
    <w:p>
      <w:pPr>
        <w:pStyle w:val="19"/>
        <w:numPr>
          <w:ilvl w:val="0"/>
          <w:numId w:val="3"/>
        </w:numPr>
        <w:adjustRightInd w:val="0"/>
        <w:snapToGrid w:val="0"/>
        <w:spacing w:beforeLines="0" w:before="30" w:line="600" w:lineRule="exact"/>
        <w:outlineLvl w:val="2"/>
        <w:rPr>
          <w:rFonts w:cs="仿宋_GB2312"/>
          <w:sz w:val="32"/>
          <w:szCs w:val="32"/>
          <w:lang w:bidi="ar-SA"/>
        </w:rPr>
      </w:pPr>
      <w:bookmarkStart w:id="11" w:name="_Toc15377202"/>
      <w:bookmarkStart w:id="12" w:name="_Toc15378449"/>
      <w:bookmarkStart w:id="13" w:name="_Toc15377433"/>
      <w:bookmarkStart w:id="14" w:name="_Toc15306276"/>
      <w:r>
        <w:rPr>
          <w:rFonts w:cs="仿宋_GB2312" w:hint="eastAsia"/>
          <w:sz w:val="32"/>
          <w:szCs w:val="32"/>
          <w:lang w:bidi="ar-SA"/>
        </w:rPr>
        <w:t>阿坝州佛教协会</w:t>
      </w:r>
    </w:p>
    <w:p>
      <w:pPr>
        <w:widowControl/>
        <w:jc w:val="left"/>
        <w:rPr>
          <w:rFonts w:ascii="Times New Roman" w:eastAsia="仿宋" w:hAnsi="Times New Roman"/>
          <w:color w:val="auto"/>
          <w:kern w:val="0"/>
          <w:sz w:val="32"/>
          <w:szCs w:val="32"/>
          <w:highlight w:val="auto"/>
        </w:rPr>
      </w:pPr>
      <w:bookmarkEnd w:id="11"/>
      <w:bookmarkEnd w:id="12"/>
      <w:bookmarkEnd w:id="13"/>
      <w:bookmarkEnd w:id="14"/>
      <w:r>
        <w:rPr>
          <w:rFonts w:ascii="Times New Roman" w:eastAsia="仿宋" w:hAnsi="Times New Roman"/>
          <w:color w:val="auto"/>
          <w:sz w:val="32"/>
          <w:szCs w:val="32"/>
          <w:highlight w:val="auto"/>
        </w:rPr>
        <w:br w:type="page"/>
      </w:r>
    </w:p>
    <w:p>
      <w:pPr>
        <w:pStyle w:val="1"/>
        <w:rPr>
          <w:rFonts w:hint="eastAsia"/>
        </w:rPr>
      </w:pPr>
      <w:bookmarkStart w:id="15" w:name="_Toc15396602"/>
      <w:bookmarkStart w:id="16" w:name="_Toc15377204"/>
      <w:r>
        <w:rPr>
          <w:rFonts w:hint="eastAsia"/>
        </w:rPr>
        <w:t>第二部分  202</w:t>
      </w:r>
      <w:r>
        <w:t>5</w:t>
      </w:r>
      <w:r>
        <w:rPr>
          <w:rFonts w:hint="eastAsia"/>
        </w:rPr>
        <w:t>年度部门决算情况说明</w:t>
      </w:r>
      <w:bookmarkEnd w:id="15"/>
      <w:bookmarkEnd w:id="16"/>
    </w:p>
    <w:p>
      <w:pPr>
        <w:rPr>
          <w:rFonts w:ascii="Times New Roman" w:hAnsi="Times New Roman"/>
          <w:color w:val="auto"/>
          <w:highlight w:val="auto"/>
        </w:rPr>
      </w:pPr>
    </w:p>
    <w:p>
      <w:pPr>
        <w:pStyle w:val="2"/>
        <w:keepNext/>
        <w:keepLines/>
        <w:pageBreakBefore w:val="0"/>
        <w:widowControl w:val="0"/>
        <w:suppressLineNumbers w:val="0"/>
        <w:suppressAutoHyphens w:val="0"/>
        <w:bidi w:val="0"/>
        <w:spacing w:line="415" w:lineRule="auto"/>
        <w:outlineLvl w:val="1"/>
        <w:rPr>
          <w:rFonts w:hint="eastAsia"/>
        </w:rPr>
      </w:pPr>
      <w:bookmarkStart w:id="17" w:name="_Toc15377205"/>
      <w:bookmarkStart w:id="18" w:name="_Toc15396603"/>
      <w:r>
        <w:rPr>
          <w:rFonts w:hint="eastAsia"/>
        </w:rPr>
        <w:t>一、收入支出决算总体情况说明</w:t>
      </w:r>
      <w:bookmarkEnd w:id="17"/>
      <w:bookmarkEnd w:id="18"/>
    </w:p>
    <w:p>
      <w:pPr>
        <w:pStyle w:val="38"/>
        <w:keepNext w:val="0"/>
        <w:keepLines w:val="0"/>
        <w:pageBreakBefore w:val="0"/>
        <w:widowControl w:val="0"/>
        <w:kinsoku/>
        <w:wordWrap/>
        <w:overflowPunct/>
        <w:topLinePunct w:val="0"/>
        <w:autoSpaceDE/>
        <w:autoSpaceDN/>
        <w:bidi w:val="0"/>
        <w:adjustRightInd/>
        <w:snapToGrid/>
        <w:spacing w:line="600" w:lineRule="exact"/>
        <w:ind w:left="0" w:firstLineChars="200" w:firstLine="640"/>
        <w:textAlignment w:val="auto"/>
        <w:outlineLvl w:val="1"/>
        <w:rPr>
          <w:rFonts w:eastAsia="仿宋_GB2312" w:cs="仿宋_GB2312" w:hint="eastAsia"/>
          <w:b w:val="0"/>
          <w:bCs w:val="0"/>
          <w:color w:val="auto"/>
          <w:sz w:val="32"/>
          <w:szCs w:val="32"/>
          <w:lang w:val="en-US" w:eastAsia="zh-CN"/>
          <w:highlight w:val="auto"/>
        </w:rPr>
      </w:pPr>
      <w:r>
        <w:rPr>
          <w:rFonts w:ascii="Times New Roman" w:eastAsia="仿宋_GB2312" w:cs="仿宋_GB2312" w:hAnsi="Times New Roman" w:hint="eastAsia"/>
          <w:color w:val="auto"/>
          <w:sz w:val="32"/>
          <w:szCs w:val="32"/>
          <w:lang w:eastAsia="zh-CN"/>
          <w:highlight w:val="auto"/>
        </w:rPr>
        <w:t>202</w:t>
      </w:r>
      <w:r>
        <w:rPr>
          <w:rFonts w:ascii="Times New Roman" w:eastAsia="仿宋_GB2312" w:cs="仿宋_GB2312" w:hAnsi="Times New Roman"/>
          <w:color w:val="auto"/>
          <w:sz w:val="32"/>
          <w:szCs w:val="32"/>
          <w:lang w:eastAsia="zh-CN"/>
          <w:highlight w:val="auto"/>
        </w:rPr>
        <w:t>5</w:t>
      </w:r>
      <w:r>
        <w:rPr>
          <w:rFonts w:ascii="Times New Roman" w:eastAsia="仿宋_GB2312" w:cs="仿宋_GB2312" w:hAnsi="Times New Roman" w:hint="eastAsia"/>
          <w:color w:val="auto"/>
          <w:sz w:val="32"/>
          <w:szCs w:val="32"/>
          <w:lang w:eastAsia="zh-CN"/>
          <w:highlight w:val="auto"/>
        </w:rPr>
        <w:t>年度收入</w:t>
      </w:r>
      <w:r>
        <w:rPr>
          <w:rFonts w:ascii="Times New Roman" w:eastAsia="仿宋_GB2312" w:cs="仿宋_GB2312" w:hAnsi="Times New Roman" w:hint="eastAsia"/>
          <w:color w:val="auto"/>
          <w:sz w:val="32"/>
          <w:szCs w:val="32"/>
          <w:highlight w:val="auto"/>
        </w:rPr>
        <w:t>、</w:t>
      </w:r>
      <w:r>
        <w:rPr>
          <w:rFonts w:ascii="Times New Roman" w:eastAsia="仿宋_GB2312" w:cs="仿宋_GB2312" w:hAnsi="Times New Roman" w:hint="eastAsia"/>
          <w:color w:val="auto"/>
          <w:sz w:val="32"/>
          <w:szCs w:val="32"/>
          <w:lang w:eastAsia="zh-CN"/>
          <w:highlight w:val="auto"/>
        </w:rPr>
        <w:t>支出</w:t>
      </w:r>
      <w:r>
        <w:rPr>
          <w:rFonts w:ascii="Times New Roman" w:eastAsia="仿宋_GB2312" w:cs="仿宋_GB2312" w:hAnsi="Times New Roman" w:hint="eastAsia"/>
          <w:color w:val="auto"/>
          <w:sz w:val="32"/>
          <w:szCs w:val="32"/>
          <w:highlight w:val="auto"/>
        </w:rPr>
        <w:t>总计</w:t>
      </w:r>
      <w:r>
        <w:rPr>
          <w:rFonts w:ascii="Times New Roman" w:eastAsia="仿宋_GB2312" w:cs="仿宋_GB2312" w:hAnsi="Times New Roman" w:hint="eastAsia"/>
          <w:color w:val="auto"/>
          <w:sz w:val="32"/>
          <w:szCs w:val="32"/>
          <w:lang w:eastAsia="zh-CN"/>
          <w:highlight w:val="auto"/>
        </w:rPr>
        <w:t>均为</w:t>
      </w:r>
      <w:r>
        <w:rPr>
          <w:rFonts w:ascii="仿宋_GB2312" w:eastAsia="仿宋_GB2312" w:cs="仿宋_GB2312"/>
          <w:sz w:val="32"/>
          <w:szCs w:val="32"/>
        </w:rPr>
        <w:t>373.9</w:t>
      </w:r>
      <w:r>
        <w:rPr>
          <w:rFonts w:ascii="Times New Roman" w:eastAsia="仿宋_GB2312" w:cs="仿宋_GB2312" w:hAnsi="Times New Roman" w:hint="eastAsia"/>
          <w:color w:val="auto"/>
          <w:sz w:val="32"/>
          <w:szCs w:val="32"/>
          <w:highlight w:val="auto"/>
        </w:rPr>
        <w:t>万元。与</w:t>
      </w:r>
      <w:r>
        <w:rPr>
          <w:rFonts w:ascii="Times New Roman" w:eastAsia="仿宋_GB2312" w:cs="仿宋_GB2312" w:hAnsi="Times New Roman" w:hint="eastAsia"/>
          <w:color w:val="auto"/>
          <w:sz w:val="32"/>
          <w:szCs w:val="32"/>
          <w:lang w:eastAsia="zh-CN"/>
          <w:highlight w:val="auto"/>
        </w:rPr>
        <w:t>202</w:t>
      </w:r>
      <w:r>
        <w:rPr>
          <w:rFonts w:ascii="Times New Roman" w:eastAsia="仿宋_GB2312" w:cs="仿宋_GB2312" w:hAnsi="Times New Roman"/>
          <w:color w:val="auto"/>
          <w:sz w:val="32"/>
          <w:szCs w:val="32"/>
          <w:lang w:eastAsia="zh-CN"/>
          <w:highlight w:val="auto"/>
        </w:rPr>
        <w:t>4</w:t>
      </w:r>
      <w:r>
        <w:rPr>
          <w:rFonts w:ascii="Times New Roman" w:eastAsia="仿宋_GB2312" w:cs="仿宋_GB2312" w:hAnsi="Times New Roman" w:hint="eastAsia"/>
          <w:color w:val="auto"/>
          <w:sz w:val="32"/>
          <w:szCs w:val="32"/>
          <w:highlight w:val="auto"/>
        </w:rPr>
        <w:t>年</w:t>
      </w:r>
      <w:r>
        <w:rPr>
          <w:rFonts w:ascii="Times New Roman" w:eastAsia="仿宋_GB2312" w:cs="仿宋_GB2312" w:hAnsi="Times New Roman" w:hint="eastAsia"/>
          <w:color w:val="auto"/>
          <w:sz w:val="32"/>
          <w:szCs w:val="32"/>
          <w:lang w:eastAsia="zh-CN"/>
          <w:highlight w:val="auto"/>
        </w:rPr>
        <w:t>度</w:t>
      </w:r>
      <w:r>
        <w:rPr>
          <w:rFonts w:ascii="Times New Roman" w:eastAsia="仿宋_GB2312" w:cs="仿宋_GB2312" w:hAnsi="Times New Roman" w:hint="eastAsia"/>
          <w:color w:val="auto"/>
          <w:sz w:val="32"/>
          <w:szCs w:val="32"/>
          <w:highlight w:val="auto"/>
        </w:rPr>
        <w:t>相比，</w:t>
      </w:r>
      <w:r>
        <w:rPr>
          <w:rFonts w:ascii="Times New Roman" w:eastAsia="仿宋_GB2312" w:cs="仿宋_GB2312" w:hAnsi="Times New Roman" w:hint="eastAsia"/>
          <w:color w:val="auto"/>
          <w:sz w:val="32"/>
          <w:szCs w:val="32"/>
          <w:lang w:eastAsia="zh-CN"/>
          <w:highlight w:val="auto"/>
        </w:rPr>
        <w:t>收入</w:t>
      </w:r>
      <w:r>
        <w:rPr>
          <w:rFonts w:ascii="Times New Roman" w:eastAsia="仿宋_GB2312" w:cs="仿宋_GB2312" w:hAnsi="Times New Roman" w:hint="eastAsia"/>
          <w:color w:val="auto"/>
          <w:sz w:val="32"/>
          <w:szCs w:val="32"/>
          <w:highlight w:val="auto"/>
        </w:rPr>
        <w:t>、</w:t>
      </w:r>
      <w:r>
        <w:rPr>
          <w:rFonts w:ascii="Times New Roman" w:eastAsia="仿宋_GB2312" w:cs="仿宋_GB2312" w:hAnsi="Times New Roman" w:hint="eastAsia"/>
          <w:color w:val="auto"/>
          <w:sz w:val="32"/>
          <w:szCs w:val="32"/>
          <w:lang w:eastAsia="zh-CN"/>
          <w:highlight w:val="auto"/>
        </w:rPr>
        <w:t>支出</w:t>
      </w:r>
      <w:r>
        <w:rPr>
          <w:rFonts w:ascii="Times New Roman" w:eastAsia="仿宋_GB2312" w:cs="仿宋_GB2312" w:hAnsi="Times New Roman" w:hint="eastAsia"/>
          <w:color w:val="auto"/>
          <w:sz w:val="32"/>
          <w:szCs w:val="32"/>
          <w:highlight w:val="auto"/>
        </w:rPr>
        <w:t>总计各</w:t>
      </w:r>
      <w:r>
        <w:rPr>
          <w:rFonts w:ascii="Times New Roman" w:eastAsia="仿宋_GB2312" w:cs="仿宋_GB2312" w:hAnsi="Times New Roman"/>
          <w:color w:val="auto"/>
          <w:sz w:val="32"/>
          <w:szCs w:val="32"/>
          <w:highlight w:val="auto"/>
        </w:rPr>
        <w:t>减少37.55</w:t>
      </w:r>
      <w:r>
        <w:rPr>
          <w:rFonts w:ascii="仿宋_GB2312" w:eastAsia="仿宋_GB2312" w:cs="仿宋_GB2312" w:hint="eastAsia"/>
          <w:sz w:val="32"/>
          <w:szCs w:val="32"/>
        </w:rPr>
        <w:t>万元</w:t>
      </w:r>
      <w:r>
        <w:rPr>
          <w:rFonts w:ascii="Times New Roman" w:eastAsia="仿宋_GB2312" w:cs="仿宋_GB2312" w:hAnsi="Times New Roman" w:hint="eastAsia"/>
          <w:color w:val="auto"/>
          <w:sz w:val="32"/>
          <w:szCs w:val="32"/>
          <w:highlight w:val="auto"/>
        </w:rPr>
        <w:t>，</w:t>
      </w:r>
      <w:r>
        <w:rPr>
          <w:rFonts w:ascii="Times New Roman" w:eastAsia="仿宋_GB2312" w:cs="仿宋_GB2312" w:hAnsi="Times New Roman"/>
          <w:color w:val="auto"/>
          <w:sz w:val="32"/>
          <w:szCs w:val="32"/>
          <w:highlight w:val="auto"/>
        </w:rPr>
        <w:t>减少</w:t>
      </w:r>
      <w:r>
        <w:rPr>
          <w:rFonts w:eastAsia="仿宋_GB2312" w:cs="仿宋_GB2312" w:hint="eastAsia"/>
          <w:color w:val="auto"/>
          <w:sz w:val="32"/>
          <w:szCs w:val="32"/>
          <w:lang w:val="en-US" w:eastAsia="zh-CN"/>
          <w:highlight w:val="auto"/>
        </w:rPr>
        <w:t>9</w:t>
      </w:r>
      <w:r>
        <w:rPr>
          <w:rFonts w:eastAsia="仿宋_GB2312" w:cs="仿宋_GB2312"/>
          <w:color w:val="auto"/>
          <w:sz w:val="32"/>
          <w:szCs w:val="32"/>
          <w:lang w:val="en-US" w:eastAsia="zh-CN"/>
          <w:highlight w:val="auto"/>
        </w:rPr>
        <w:t>.13</w:t>
      </w:r>
      <w:r>
        <w:rPr>
          <w:rFonts w:ascii="Times New Roman" w:eastAsia="仿宋_GB2312" w:cs="仿宋_GB2312" w:hAnsi="Times New Roman" w:hint="eastAsia"/>
          <w:color w:val="auto"/>
          <w:sz w:val="32"/>
          <w:szCs w:val="32"/>
          <w:highlight w:val="auto"/>
        </w:rPr>
        <w:t>%。</w:t>
      </w:r>
      <w:r>
        <w:rPr>
          <w:rFonts w:ascii="Times New Roman" w:eastAsia="仿宋_GB2312" w:cs="仿宋_GB2312" w:hAnsi="Times New Roman" w:hint="eastAsia"/>
          <w:b/>
          <w:bCs/>
          <w:color w:val="auto"/>
          <w:sz w:val="32"/>
          <w:szCs w:val="32"/>
          <w:highlight w:val="auto"/>
        </w:rPr>
        <w:t>主要变动原因</w:t>
      </w:r>
      <w:r>
        <w:rPr>
          <w:rFonts w:eastAsia="仿宋_GB2312" w:cs="仿宋_GB2312" w:hint="eastAsia"/>
          <w:b/>
          <w:bCs/>
          <w:color w:val="auto"/>
          <w:sz w:val="32"/>
          <w:szCs w:val="32"/>
          <w:lang w:val="en-US" w:eastAsia="zh-CN"/>
          <w:highlight w:val="auto"/>
        </w:rPr>
        <w:t>:</w:t>
      </w:r>
      <w:r>
        <w:rPr>
          <w:rFonts w:eastAsia="仿宋_GB2312" w:cs="仿宋_GB2312" w:hint="eastAsia"/>
          <w:b w:val="0"/>
          <w:bCs w:val="0"/>
          <w:color w:val="auto"/>
          <w:sz w:val="32"/>
          <w:szCs w:val="32"/>
          <w:lang w:val="en-US" w:eastAsia="zh-CN"/>
          <w:highlight w:val="auto"/>
        </w:rPr>
        <w:t>一是</w:t>
      </w:r>
      <w:r>
        <w:rPr>
          <w:rFonts w:eastAsia="仿宋_GB2312" w:cs="仿宋_GB2312"/>
          <w:b w:val="0"/>
          <w:bCs w:val="0"/>
          <w:color w:val="auto"/>
          <w:sz w:val="32"/>
          <w:szCs w:val="32"/>
          <w:lang w:val="en-US" w:eastAsia="zh-CN"/>
        </w:rPr>
        <w:t>2024年其他收入(代管资金)中包含2023年省佛协下拨资金；二是2025年项目减少,厉行节俭节约</w:t>
      </w:r>
      <w:r>
        <w:rPr>
          <w:rFonts w:eastAsia="仿宋_GB2312" w:cs="仿宋_GB2312"/>
          <w:b w:val="0"/>
          <w:bCs w:val="0"/>
          <w:color w:val="auto"/>
          <w:sz w:val="32"/>
          <w:szCs w:val="32"/>
          <w:lang w:val="en-US" w:eastAsia="zh-CN"/>
          <w:highlight w:val="auto"/>
        </w:rPr>
        <w:t>。</w:t>
      </w:r>
    </w:p>
    <w:p>
      <w:pPr>
        <w:pStyle w:val="38"/>
        <w:keepNext w:val="0"/>
        <w:keepLines w:val="0"/>
        <w:pageBreakBefore w:val="0"/>
        <w:widowControl w:val="0"/>
        <w:kinsoku/>
        <w:wordWrap/>
        <w:overflowPunct/>
        <w:topLinePunct w:val="0"/>
        <w:autoSpaceDE/>
        <w:autoSpaceDN/>
        <w:bidi w:val="0"/>
        <w:adjustRightInd/>
        <w:snapToGrid/>
        <w:spacing w:line="240" w:lineRule="auto"/>
        <w:ind w:left="0" w:firstLineChars="200" w:firstLine="640"/>
        <w:jc w:val="center"/>
        <w:textAlignment w:val="auto"/>
        <w:outlineLvl w:val="1"/>
        <w:rPr>
          <w:rFonts w:eastAsia="仿宋_GB2312" w:cs="仿宋_GB2312"/>
          <w:b w:val="0"/>
          <w:bCs w:val="0"/>
          <w:color w:val="auto"/>
          <w:sz w:val="32"/>
          <w:szCs w:val="32"/>
          <w:lang w:val="en-US" w:eastAsia="zh-CN"/>
          <w:highlight w:val="auto"/>
        </w:rPr>
      </w:pPr>
    </w:p>
    <w:p>
      <w:pPr>
        <w:pStyle w:val="38"/>
        <w:keepNext w:val="0"/>
        <w:keepLines w:val="0"/>
        <w:pageBreakBefore w:val="0"/>
        <w:widowControl w:val="0"/>
        <w:kinsoku/>
        <w:wordWrap/>
        <w:overflowPunct/>
        <w:topLinePunct w:val="0"/>
        <w:autoSpaceDE/>
        <w:autoSpaceDN/>
        <w:bidi w:val="0"/>
        <w:adjustRightInd/>
        <w:snapToGrid/>
        <w:spacing w:line="240" w:lineRule="auto"/>
        <w:ind w:left="0" w:firstLineChars="200" w:firstLine="640"/>
        <w:jc w:val="center"/>
        <w:textAlignment w:val="auto"/>
        <w:outlineLvl w:val="1"/>
        <w:rPr>
          <w:rFonts w:eastAsia="仿宋_GB2312" w:cs="仿宋_GB2312"/>
          <w:b w:val="0"/>
          <w:bCs w:val="0"/>
          <w:color w:val="auto"/>
          <w:sz w:val="32"/>
          <w:szCs w:val="32"/>
          <w:lang w:val="en-US" w:eastAsia="zh-CN"/>
          <w:highlight w:val="auto"/>
        </w:rPr>
      </w:pPr>
    </w:p>
    <w:p>
      <w:pPr>
        <w:pStyle w:val="38"/>
        <w:keepNext w:val="0"/>
        <w:keepLines w:val="0"/>
        <w:pageBreakBefore w:val="0"/>
        <w:widowControl w:val="0"/>
        <w:kinsoku/>
        <w:wordWrap/>
        <w:overflowPunct/>
        <w:topLinePunct w:val="0"/>
        <w:autoSpaceDE/>
        <w:autoSpaceDN/>
        <w:bidi w:val="0"/>
        <w:adjustRightInd/>
        <w:snapToGrid/>
        <w:spacing w:line="240" w:lineRule="auto"/>
        <w:ind w:left="0" w:firstLineChars="200" w:firstLine="640"/>
        <w:jc w:val="center"/>
        <w:textAlignment w:val="auto"/>
        <w:outlineLvl w:val="1"/>
        <w:rPr>
          <w:rFonts w:eastAsia="仿宋_GB2312" w:cs="仿宋_GB2312"/>
          <w:b w:val="0"/>
          <w:bCs w:val="0"/>
          <w:color w:val="auto"/>
          <w:sz w:val="32"/>
          <w:szCs w:val="32"/>
          <w:lang w:val="en-US" w:eastAsia="zh-CN"/>
          <w:highlight w:val="auto"/>
        </w:rPr>
      </w:pPr>
    </w:p>
    <w:p>
      <w:pPr>
        <w:pStyle w:val="38"/>
        <w:keepNext w:val="0"/>
        <w:keepLines w:val="0"/>
        <w:pageBreakBefore w:val="0"/>
        <w:widowControl w:val="0"/>
        <w:kinsoku/>
        <w:wordWrap/>
        <w:overflowPunct/>
        <w:topLinePunct w:val="0"/>
        <w:autoSpaceDE/>
        <w:autoSpaceDN/>
        <w:bidi w:val="0"/>
        <w:adjustRightInd/>
        <w:snapToGrid/>
        <w:spacing w:line="240" w:lineRule="auto"/>
        <w:ind w:left="0" w:firstLineChars="200" w:firstLine="640"/>
        <w:jc w:val="center"/>
        <w:textAlignment w:val="auto"/>
        <w:outlineLvl w:val="1"/>
        <w:rPr>
          <w:rFonts w:eastAsia="仿宋_GB2312" w:cs="仿宋_GB2312"/>
          <w:b w:val="0"/>
          <w:bCs w:val="0"/>
          <w:color w:val="auto"/>
          <w:sz w:val="32"/>
          <w:szCs w:val="32"/>
          <w:lang w:val="en-US" w:eastAsia="zh-CN"/>
          <w:highlight w:val="auto"/>
        </w:rPr>
      </w:pPr>
    </w:p>
    <w:p>
      <w:pPr>
        <w:pStyle w:val="38"/>
        <w:keepNext w:val="0"/>
        <w:keepLines w:val="0"/>
        <w:pageBreakBefore w:val="0"/>
        <w:widowControl w:val="0"/>
        <w:kinsoku/>
        <w:wordWrap/>
        <w:overflowPunct/>
        <w:topLinePunct w:val="0"/>
        <w:autoSpaceDE/>
        <w:autoSpaceDN/>
        <w:bidi w:val="0"/>
        <w:adjustRightInd/>
        <w:snapToGrid/>
        <w:spacing w:line="240" w:lineRule="auto"/>
        <w:ind w:left="0" w:firstLineChars="200" w:firstLine="640"/>
        <w:jc w:val="center"/>
        <w:textAlignment w:val="auto"/>
        <w:outlineLvl w:val="1"/>
        <w:rPr>
          <w:rFonts w:eastAsia="仿宋_GB2312" w:cs="仿宋_GB2312" w:hint="eastAsia"/>
          <w:b w:val="0"/>
          <w:bCs w:val="0"/>
          <w:color w:val="auto"/>
          <w:sz w:val="32"/>
          <w:szCs w:val="32"/>
          <w:lang w:val="en-US" w:eastAsia="zh-CN"/>
          <w:highlight w:val="auto"/>
        </w:rPr>
      </w:pPr>
    </w:p>
    <w:p>
      <w:pPr>
        <w:pStyle w:val="38"/>
        <w:keepNext w:val="0"/>
        <w:keepLines w:val="0"/>
        <w:pageBreakBefore w:val="0"/>
        <w:widowControl w:val="0"/>
        <w:kinsoku/>
        <w:wordWrap/>
        <w:overflowPunct/>
        <w:topLinePunct w:val="0"/>
        <w:autoSpaceDE/>
        <w:autoSpaceDN/>
        <w:bidi w:val="0"/>
        <w:adjustRightInd/>
        <w:snapToGrid/>
        <w:spacing w:line="600" w:lineRule="exact"/>
        <w:ind w:left="0" w:firstLineChars="200" w:firstLine="640"/>
        <w:textAlignment w:val="auto"/>
        <w:outlineLvl w:val="1"/>
        <w:rPr>
          <w:rFonts w:eastAsia="仿宋_GB2312" w:cs="仿宋_GB2312"/>
          <w:b w:val="0"/>
          <w:bCs w:val="0"/>
          <w:color w:val="auto"/>
          <w:sz w:val="32"/>
          <w:szCs w:val="32"/>
          <w:lang w:val="en-US" w:eastAsia="zh-CN"/>
          <w:highlight w:val="auto"/>
        </w:rPr>
      </w:pPr>
    </w:p>
    <w:p>
      <w:pPr>
        <w:pStyle w:val="38"/>
        <w:keepNext w:val="0"/>
        <w:keepLines w:val="0"/>
        <w:pageBreakBefore w:val="0"/>
        <w:widowControl w:val="0"/>
        <w:kinsoku/>
        <w:wordWrap/>
        <w:overflowPunct/>
        <w:topLinePunct w:val="0"/>
        <w:autoSpaceDE/>
        <w:autoSpaceDN/>
        <w:bidi w:val="0"/>
        <w:adjustRightInd/>
        <w:snapToGrid/>
        <w:spacing w:line="600" w:lineRule="exact"/>
        <w:ind w:left="0" w:firstLineChars="200" w:firstLine="640"/>
        <w:textAlignment w:val="auto"/>
        <w:outlineLvl w:val="1"/>
        <w:rPr>
          <w:rFonts w:eastAsia="仿宋_GB2312" w:cs="仿宋_GB2312"/>
          <w:b w:val="0"/>
          <w:bCs w:val="0"/>
          <w:color w:val="auto"/>
          <w:sz w:val="32"/>
          <w:szCs w:val="32"/>
          <w:lang w:val="en-US" w:eastAsia="zh-CN"/>
          <w:highlight w:val="auto"/>
        </w:rPr>
      </w:pPr>
    </w:p>
    <w:p>
      <w:pPr>
        <w:pStyle w:val="38"/>
        <w:keepNext w:val="0"/>
        <w:keepLines w:val="0"/>
        <w:pageBreakBefore w:val="0"/>
        <w:widowControl w:val="0"/>
        <w:kinsoku/>
        <w:wordWrap/>
        <w:overflowPunct/>
        <w:topLinePunct w:val="0"/>
        <w:autoSpaceDE/>
        <w:autoSpaceDN/>
        <w:bidi w:val="0"/>
        <w:adjustRightInd/>
        <w:snapToGrid/>
        <w:spacing w:line="600" w:lineRule="exact"/>
        <w:ind w:left="0" w:firstLineChars="200" w:firstLine="640"/>
        <w:textAlignment w:val="auto"/>
        <w:outlineLvl w:val="1"/>
        <w:rPr>
          <w:rFonts w:eastAsia="仿宋_GB2312" w:cs="仿宋_GB2312"/>
          <w:b w:val="0"/>
          <w:bCs w:val="0"/>
          <w:color w:val="auto"/>
          <w:sz w:val="32"/>
          <w:szCs w:val="32"/>
          <w:lang w:val="en-US" w:eastAsia="zh-CN"/>
          <w:highlight w:val="auto"/>
        </w:rPr>
      </w:pPr>
      <w:r>
        <w:rPr>
          <w:rFonts w:eastAsia="仿宋_GB2312" w:cs="仿宋_GB2312"/>
          <w:b w:val="0"/>
          <w:bCs w:val="0"/>
          <w:color w:val="auto"/>
          <w:sz w:val="32"/>
          <w:szCs w:val="32"/>
          <w:lang w:val="en-US" w:eastAsia="zh-CN"/>
          <w:highlight w:val="auto"/>
        </w:rPr>
        <w:drawing>
          <wp:anchor distT="0" distB="0" distL="85723" distR="85723" simplePos="0" relativeHeight="42" behindDoc="0" locked="0" layoutInCell="1" hidden="0" allowOverlap="1">
            <wp:simplePos x="0" y="0"/>
            <wp:positionH relativeFrom="column">
              <wp:posOffset>406399</wp:posOffset>
            </wp:positionH>
            <wp:positionV relativeFrom="paragraph">
              <wp:posOffset>-2362157</wp:posOffset>
            </wp:positionV>
            <wp:extent cx="4571930" cy="2743157"/>
            <wp:effectExtent l="0" t="0" r="0" b="0"/>
            <wp:wrapNone/>
            <wp:docPr id="13" name="图片"/>
            <wp:cNvGraphicFramePr>
              <a:graphicFrameLocks noChangeAspect="1"/>
            </wp:cNvGraphicFramePr>
            <a:graphic>
              <a:graphicData uri="http://schemas.openxmlformats.org/drawingml/2006/picture">
                <pic:pic>
                  <pic:nvPicPr>
                    <pic:cNvPr id="15" name="图片 15"/>
                    <pic:cNvPicPr/>
                  </pic:nvPicPr>
                  <pic:blipFill>
                    <a:blip r:embed="rId7"/>
                    <a:stretch>
                      <a:fillRect/>
                    </a:stretch>
                  </pic:blipFill>
                  <pic:spPr>
                    <a:xfrm rot="0">
                      <a:off x="0" y="0"/>
                      <a:ext cx="4571930" cy="2743157"/>
                    </a:xfrm>
                    <a:prstGeom prst="rect"/>
                    <a:noFill/>
                    <a:ln w="9525" cmpd="sng" cap="flat">
                      <a:noFill/>
                      <a:prstDash val="solid"/>
                      <a:miter/>
                    </a:ln>
                  </pic:spPr>
                </pic:pic>
              </a:graphicData>
            </a:graphic>
          </wp:anchor>
        </w:drawing>
      </w:r>
    </w:p>
    <w:p>
      <w:pPr>
        <w:keepNext w:val="0"/>
        <w:keepLines w:val="0"/>
        <w:pageBreakBefore w:val="0"/>
        <w:widowControl w:val="0"/>
        <w:kinsoku/>
        <w:wordWrap/>
        <w:overflowPunct/>
        <w:topLinePunct w:val="0"/>
        <w:autoSpaceDE/>
        <w:autoSpaceDN/>
        <w:adjustRightInd/>
        <w:snapToGrid/>
        <w:ind w:firstLineChars="200" w:firstLine="640"/>
        <w:rPr>
          <w:rFonts w:eastAsia="仿宋_GB2312" w:cs="仿宋_GB2312" w:hint="eastAsia"/>
          <w:sz w:val="32"/>
          <w:szCs w:val="32"/>
        </w:rPr>
      </w:pPr>
      <w:r>
        <w:rPr>
          <w:rFonts w:ascii="Times New Roman" w:eastAsia="仿宋_GB2312" w:cs="仿宋_GB2312" w:hAnsi="Times New Roman" w:hint="eastAsia"/>
          <w:color w:val="auto"/>
          <w:sz w:val="32"/>
          <w:szCs w:val="32"/>
          <w:highlight w:val="auto"/>
        </w:rPr>
        <w:t>（图1：</w:t>
      </w:r>
      <w:r>
        <w:rPr>
          <w:rFonts w:ascii="Times New Roman" w:eastAsia="仿宋_GB2312" w:cs="仿宋_GB2312" w:hAnsi="Times New Roman" w:hint="eastAsia"/>
          <w:color w:val="auto"/>
          <w:sz w:val="32"/>
          <w:szCs w:val="32"/>
          <w:lang w:eastAsia="zh-CN"/>
          <w:highlight w:val="auto"/>
        </w:rPr>
        <w:t>收入</w:t>
      </w:r>
      <w:r>
        <w:rPr>
          <w:rFonts w:ascii="Times New Roman" w:eastAsia="仿宋_GB2312" w:cs="仿宋_GB2312" w:hAnsi="Times New Roman" w:hint="eastAsia"/>
          <w:color w:val="auto"/>
          <w:sz w:val="32"/>
          <w:szCs w:val="32"/>
          <w:highlight w:val="auto"/>
        </w:rPr>
        <w:t>、</w:t>
      </w:r>
      <w:r>
        <w:rPr>
          <w:rFonts w:ascii="Times New Roman" w:eastAsia="仿宋_GB2312" w:cs="仿宋_GB2312" w:hAnsi="Times New Roman" w:hint="eastAsia"/>
          <w:color w:val="auto"/>
          <w:sz w:val="32"/>
          <w:szCs w:val="32"/>
          <w:lang w:eastAsia="zh-CN"/>
          <w:highlight w:val="auto"/>
        </w:rPr>
        <w:t>支出</w:t>
      </w:r>
      <w:r>
        <w:rPr>
          <w:rFonts w:ascii="Times New Roman" w:eastAsia="仿宋_GB2312" w:cs="仿宋_GB2312" w:hAnsi="Times New Roman" w:hint="eastAsia"/>
          <w:color w:val="auto"/>
          <w:sz w:val="32"/>
          <w:szCs w:val="32"/>
          <w:highlight w:val="auto"/>
        </w:rPr>
        <w:t>决算总计变动情况图）（柱状图）</w:t>
      </w:r>
    </w:p>
    <w:p>
      <w:pPr>
        <w:pStyle w:val="2"/>
        <w:keepNext/>
        <w:keepLines/>
        <w:pageBreakBefore w:val="0"/>
        <w:widowControl w:val="0"/>
        <w:suppressLineNumbers w:val="0"/>
        <w:suppressAutoHyphens w:val="0"/>
        <w:rPr>
          <w:rFonts w:hint="eastAsia"/>
        </w:rPr>
      </w:pPr>
      <w:bookmarkStart w:id="19" w:name="_Toc15377206"/>
      <w:bookmarkStart w:id="20" w:name="_Toc15396604"/>
      <w:r>
        <w:rPr>
          <w:rFonts w:hint="eastAsia"/>
        </w:rPr>
        <w:t>二、收入决算情况说明</w:t>
      </w:r>
      <w:bookmarkEnd w:id="19"/>
      <w:bookmarkEnd w:id="20"/>
    </w:p>
    <w:p>
      <w:pPr>
        <w:pStyle w:val="38"/>
        <w:keepNext w:val="0"/>
        <w:keepLines w:val="0"/>
        <w:pageBreakBefore w:val="0"/>
        <w:widowControl w:val="0"/>
        <w:kinsoku/>
        <w:wordWrap/>
        <w:overflowPunct/>
        <w:topLinePunct w:val="0"/>
        <w:autoSpaceDE/>
        <w:autoSpaceDN/>
        <w:bidi w:val="0"/>
        <w:adjustRightInd/>
        <w:snapToGrid/>
        <w:spacing w:line="600" w:lineRule="exact"/>
        <w:ind w:left="0" w:firstLineChars="200" w:firstLine="640"/>
        <w:jc w:val="left"/>
        <w:textAlignment w:val="auto"/>
        <w:outlineLvl w:val="1"/>
        <w:rPr>
          <w:rFonts w:ascii="Times New Roman" w:eastAsia="仿宋_GB2312" w:cs="仿宋_GB2312" w:hAnsi="Times New Roman" w:hint="eastAsia"/>
          <w:b/>
          <w:bCs/>
          <w:color w:val="auto"/>
          <w:sz w:val="32"/>
          <w:szCs w:val="32"/>
          <w:lang w:eastAsia="zh-CN"/>
          <w:highlight w:val="auto"/>
        </w:rPr>
      </w:pPr>
      <w:r>
        <w:rPr>
          <w:rFonts w:ascii="仿宋_GB2312" w:eastAsia="仿宋_GB2312" w:cs="仿宋_GB2312" w:hint="eastAsia"/>
          <w:color w:val="auto"/>
          <w:sz w:val="32"/>
          <w:szCs w:val="32"/>
          <w:lang w:eastAsia="zh-CN"/>
          <w:highlight w:val="auto"/>
        </w:rPr>
        <w:t>202</w:t>
      </w:r>
      <w:r>
        <w:rPr>
          <w:rFonts w:ascii="仿宋_GB2312" w:eastAsia="仿宋_GB2312" w:cs="仿宋_GB2312"/>
          <w:color w:val="auto"/>
          <w:sz w:val="32"/>
          <w:szCs w:val="32"/>
          <w:lang w:eastAsia="zh-CN"/>
          <w:highlight w:val="auto"/>
        </w:rPr>
        <w:t>5</w:t>
      </w:r>
      <w:r>
        <w:rPr>
          <w:rFonts w:ascii="仿宋_GB2312" w:eastAsia="仿宋_GB2312" w:cs="仿宋_GB2312" w:hint="eastAsia"/>
          <w:color w:val="auto"/>
          <w:sz w:val="32"/>
          <w:szCs w:val="32"/>
          <w:lang w:eastAsia="zh-CN"/>
          <w:highlight w:val="auto"/>
        </w:rPr>
        <w:t>年度本年收入合计</w:t>
      </w:r>
      <w:r>
        <w:rPr>
          <w:rFonts w:ascii="仿宋_GB2312" w:eastAsia="仿宋_GB2312" w:cs="仿宋_GB2312"/>
          <w:sz w:val="32"/>
          <w:szCs w:val="32"/>
        </w:rPr>
        <w:t>353.28</w:t>
      </w:r>
      <w:r>
        <w:rPr>
          <w:rFonts w:ascii="仿宋_GB2312" w:eastAsia="仿宋_GB2312" w:cs="仿宋_GB2312" w:hint="eastAsia"/>
          <w:sz w:val="32"/>
          <w:szCs w:val="32"/>
        </w:rPr>
        <w:t>万元，其中：一般公共预算财政拨款收入</w:t>
      </w:r>
      <w:r>
        <w:rPr>
          <w:rFonts w:ascii="仿宋_GB2312" w:eastAsia="仿宋_GB2312" w:cs="仿宋_GB2312"/>
          <w:sz w:val="32"/>
          <w:szCs w:val="32"/>
        </w:rPr>
        <w:t>336.28</w:t>
      </w:r>
      <w:r>
        <w:rPr>
          <w:rFonts w:ascii="仿宋_GB2312" w:eastAsia="仿宋_GB2312" w:cs="仿宋_GB2312" w:hint="eastAsia"/>
          <w:color w:val="auto"/>
          <w:sz w:val="32"/>
          <w:szCs w:val="32"/>
          <w:lang w:eastAsia="zh-CN"/>
          <w:highlight w:val="auto"/>
        </w:rPr>
        <w:t>万元，占</w:t>
      </w:r>
      <w:r>
        <w:rPr>
          <w:rFonts w:ascii="仿宋_GB2312" w:eastAsia="仿宋_GB2312" w:cs="仿宋_GB2312" w:hint="eastAsia"/>
          <w:sz w:val="32"/>
          <w:szCs w:val="32"/>
        </w:rPr>
        <w:t>93.55</w:t>
      </w:r>
      <w:r>
        <w:rPr>
          <w:rFonts w:ascii="仿宋_GB2312" w:eastAsia="仿宋_GB2312" w:cs="仿宋_GB2312" w:hint="eastAsia"/>
          <w:color w:val="auto"/>
          <w:sz w:val="32"/>
          <w:szCs w:val="32"/>
          <w:lang w:eastAsia="zh-CN"/>
          <w:highlight w:val="auto"/>
        </w:rPr>
        <w:t>%；政府性基金预算财政拨款收入</w:t>
      </w:r>
      <w:r>
        <w:rPr>
          <w:rFonts w:ascii="仿宋_GB2312" w:eastAsia="仿宋_GB2312" w:cs="仿宋_GB2312" w:hint="eastAsia"/>
          <w:sz w:val="32"/>
          <w:szCs w:val="32"/>
        </w:rPr>
        <w:t>0</w:t>
      </w:r>
      <w:r>
        <w:rPr>
          <w:rFonts w:ascii="仿宋_GB2312" w:eastAsia="仿宋_GB2312" w:cs="仿宋_GB2312" w:hint="eastAsia"/>
          <w:color w:val="auto"/>
          <w:sz w:val="32"/>
          <w:szCs w:val="32"/>
          <w:lang w:eastAsia="zh-CN"/>
          <w:highlight w:val="auto"/>
        </w:rPr>
        <w:t>万元，占0%；国有资本经营预算财政拨款收入</w:t>
      </w:r>
      <w:r>
        <w:rPr>
          <w:rFonts w:ascii="仿宋_GB2312" w:eastAsia="仿宋_GB2312" w:cs="仿宋_GB2312" w:hint="eastAsia"/>
          <w:sz w:val="32"/>
          <w:szCs w:val="32"/>
        </w:rPr>
        <w:t>0</w:t>
      </w:r>
      <w:r>
        <w:rPr>
          <w:rFonts w:ascii="仿宋_GB2312" w:eastAsia="仿宋_GB2312" w:cs="仿宋_GB2312" w:hint="eastAsia"/>
          <w:color w:val="auto"/>
          <w:sz w:val="32"/>
          <w:szCs w:val="32"/>
          <w:lang w:eastAsia="zh-CN"/>
          <w:highlight w:val="auto"/>
        </w:rPr>
        <w:t>万元，占</w:t>
      </w:r>
      <w:r>
        <w:rPr>
          <w:rFonts w:ascii="仿宋_GB2312" w:eastAsia="仿宋_GB2312" w:cs="仿宋_GB2312" w:hint="eastAsia"/>
          <w:sz w:val="32"/>
          <w:szCs w:val="32"/>
        </w:rPr>
        <w:t>0</w:t>
      </w:r>
      <w:r>
        <w:rPr>
          <w:rFonts w:ascii="仿宋_GB2312" w:eastAsia="仿宋_GB2312" w:cs="仿宋_GB2312" w:hint="eastAsia"/>
          <w:color w:val="auto"/>
          <w:sz w:val="32"/>
          <w:szCs w:val="32"/>
          <w:lang w:eastAsia="zh-CN"/>
          <w:highlight w:val="auto"/>
        </w:rPr>
        <w:t>%；上级补助收入</w:t>
      </w:r>
      <w:r>
        <w:rPr>
          <w:rFonts w:ascii="仿宋_GB2312" w:eastAsia="仿宋_GB2312" w:cs="仿宋_GB2312" w:hint="eastAsia"/>
          <w:sz w:val="32"/>
          <w:szCs w:val="32"/>
        </w:rPr>
        <w:t>0</w:t>
      </w:r>
      <w:r>
        <w:rPr>
          <w:rFonts w:ascii="仿宋_GB2312" w:eastAsia="仿宋_GB2312" w:cs="仿宋_GB2312" w:hint="eastAsia"/>
          <w:color w:val="auto"/>
          <w:sz w:val="32"/>
          <w:szCs w:val="32"/>
          <w:lang w:eastAsia="zh-CN"/>
          <w:highlight w:val="auto"/>
        </w:rPr>
        <w:t>万元，占</w:t>
      </w:r>
      <w:r>
        <w:rPr>
          <w:rFonts w:ascii="仿宋_GB2312" w:eastAsia="仿宋_GB2312" w:cs="仿宋_GB2312" w:hint="eastAsia"/>
          <w:sz w:val="32"/>
          <w:szCs w:val="32"/>
        </w:rPr>
        <w:t>0</w:t>
      </w:r>
      <w:r>
        <w:rPr>
          <w:rFonts w:ascii="仿宋_GB2312" w:eastAsia="仿宋_GB2312" w:cs="仿宋_GB2312" w:hint="eastAsia"/>
          <w:color w:val="auto"/>
          <w:sz w:val="32"/>
          <w:szCs w:val="32"/>
          <w:lang w:eastAsia="zh-CN"/>
          <w:highlight w:val="auto"/>
        </w:rPr>
        <w:t>%；事业收入</w:t>
      </w:r>
      <w:r>
        <w:rPr>
          <w:rFonts w:ascii="仿宋_GB2312" w:eastAsia="仿宋_GB2312" w:cs="仿宋_GB2312" w:hint="eastAsia"/>
          <w:sz w:val="32"/>
          <w:szCs w:val="32"/>
        </w:rPr>
        <w:t>0</w:t>
      </w:r>
      <w:r>
        <w:rPr>
          <w:rFonts w:ascii="仿宋_GB2312" w:eastAsia="仿宋_GB2312" w:cs="仿宋_GB2312" w:hint="eastAsia"/>
          <w:color w:val="auto"/>
          <w:sz w:val="32"/>
          <w:szCs w:val="32"/>
          <w:lang w:eastAsia="zh-CN"/>
          <w:highlight w:val="auto"/>
        </w:rPr>
        <w:t>万元，占</w:t>
      </w:r>
      <w:r>
        <w:rPr>
          <w:rFonts w:ascii="仿宋_GB2312" w:eastAsia="仿宋_GB2312" w:cs="仿宋_GB2312" w:hint="eastAsia"/>
          <w:sz w:val="32"/>
          <w:szCs w:val="32"/>
        </w:rPr>
        <w:t>0</w:t>
      </w:r>
      <w:r>
        <w:rPr>
          <w:rFonts w:ascii="仿宋_GB2312" w:eastAsia="仿宋_GB2312" w:cs="仿宋_GB2312" w:hint="eastAsia"/>
          <w:color w:val="auto"/>
          <w:sz w:val="32"/>
          <w:szCs w:val="32"/>
          <w:lang w:eastAsia="zh-CN"/>
          <w:highlight w:val="auto"/>
        </w:rPr>
        <w:t>%；经营收入</w:t>
      </w:r>
      <w:r>
        <w:rPr>
          <w:rFonts w:ascii="仿宋_GB2312" w:eastAsia="仿宋_GB2312" w:cs="仿宋_GB2312" w:hint="eastAsia"/>
          <w:sz w:val="32"/>
          <w:szCs w:val="32"/>
        </w:rPr>
        <w:t>0</w:t>
      </w:r>
      <w:r>
        <w:rPr>
          <w:rFonts w:ascii="仿宋_GB2312" w:eastAsia="仿宋_GB2312" w:cs="仿宋_GB2312" w:hint="eastAsia"/>
          <w:color w:val="auto"/>
          <w:sz w:val="32"/>
          <w:szCs w:val="32"/>
          <w:lang w:eastAsia="zh-CN"/>
          <w:highlight w:val="auto"/>
        </w:rPr>
        <w:t>万元，占</w:t>
      </w:r>
      <w:r>
        <w:rPr>
          <w:rFonts w:ascii="仿宋_GB2312" w:eastAsia="仿宋_GB2312" w:cs="仿宋_GB2312" w:hint="eastAsia"/>
          <w:sz w:val="32"/>
          <w:szCs w:val="32"/>
        </w:rPr>
        <w:t>0</w:t>
      </w:r>
      <w:r>
        <w:rPr>
          <w:rFonts w:ascii="仿宋_GB2312" w:eastAsia="仿宋_GB2312" w:cs="仿宋_GB2312" w:hint="eastAsia"/>
          <w:color w:val="auto"/>
          <w:sz w:val="32"/>
          <w:szCs w:val="32"/>
          <w:lang w:eastAsia="zh-CN"/>
          <w:highlight w:val="auto"/>
        </w:rPr>
        <w:t>%；附属单位上缴收入</w:t>
      </w:r>
      <w:r>
        <w:rPr>
          <w:rFonts w:ascii="仿宋_GB2312" w:eastAsia="仿宋_GB2312" w:cs="仿宋_GB2312" w:hint="eastAsia"/>
          <w:sz w:val="32"/>
          <w:szCs w:val="32"/>
        </w:rPr>
        <w:t>0</w:t>
      </w:r>
      <w:r>
        <w:rPr>
          <w:rFonts w:ascii="仿宋_GB2312" w:eastAsia="仿宋_GB2312" w:cs="仿宋_GB2312" w:hint="eastAsia"/>
          <w:color w:val="auto"/>
          <w:sz w:val="32"/>
          <w:szCs w:val="32"/>
          <w:lang w:eastAsia="zh-CN"/>
          <w:highlight w:val="auto"/>
        </w:rPr>
        <w:t>万元，占</w:t>
      </w:r>
      <w:r>
        <w:rPr>
          <w:rFonts w:ascii="仿宋_GB2312" w:eastAsia="仿宋_GB2312" w:cs="仿宋_GB2312" w:hint="eastAsia"/>
          <w:sz w:val="32"/>
          <w:szCs w:val="32"/>
        </w:rPr>
        <w:t>0</w:t>
      </w:r>
      <w:r>
        <w:rPr>
          <w:rFonts w:ascii="仿宋_GB2312" w:eastAsia="仿宋_GB2312" w:cs="仿宋_GB2312" w:hint="eastAsia"/>
          <w:color w:val="auto"/>
          <w:sz w:val="32"/>
          <w:szCs w:val="32"/>
          <w:lang w:eastAsia="zh-CN"/>
          <w:highlight w:val="auto"/>
        </w:rPr>
        <w:t>%；其他收入</w:t>
      </w:r>
      <w:r>
        <w:rPr>
          <w:rFonts w:ascii="仿宋_GB2312" w:eastAsia="仿宋_GB2312" w:cs="仿宋_GB2312"/>
          <w:sz w:val="32"/>
          <w:szCs w:val="32"/>
        </w:rPr>
        <w:t>17</w:t>
      </w:r>
      <w:r>
        <w:rPr>
          <w:rFonts w:ascii="仿宋_GB2312" w:eastAsia="仿宋_GB2312" w:cs="仿宋_GB2312" w:hint="eastAsia"/>
          <w:color w:val="auto"/>
          <w:sz w:val="32"/>
          <w:szCs w:val="32"/>
          <w:lang w:eastAsia="zh-CN"/>
          <w:highlight w:val="auto"/>
        </w:rPr>
        <w:t>万元，占</w:t>
      </w:r>
      <w:r>
        <w:rPr>
          <w:rFonts w:ascii="仿宋_GB2312" w:eastAsia="仿宋_GB2312" w:cs="仿宋_GB2312" w:hint="eastAsia"/>
          <w:sz w:val="32"/>
          <w:szCs w:val="32"/>
        </w:rPr>
        <w:t>6.44</w:t>
      </w:r>
      <w:r>
        <w:rPr>
          <w:rFonts w:ascii="仿宋_GB2312" w:eastAsia="仿宋_GB2312" w:cs="仿宋_GB2312" w:hint="eastAsia"/>
          <w:color w:val="auto"/>
          <w:sz w:val="32"/>
          <w:szCs w:val="32"/>
          <w:lang w:eastAsia="zh-CN"/>
          <w:highlight w:val="auto"/>
        </w:rPr>
        <w:t>%。</w:t>
      </w:r>
      <w:r>
        <w:rPr>
          <w:rFonts w:ascii="Times New Roman" w:eastAsia="仿宋_GB2312" w:cs="仿宋_GB2312" w:hAnsi="Times New Roman" w:hint="eastAsia"/>
          <w:b/>
          <w:bCs/>
          <w:color w:val="auto"/>
          <w:sz w:val="32"/>
          <w:szCs w:val="32"/>
          <w:lang w:eastAsia="zh-CN"/>
          <w:highlight w:val="auto"/>
        </w:rPr>
        <w:t>（注：仅罗列本部门涉及的收入）</w:t>
      </w:r>
    </w:p>
    <w:p>
      <w:pPr>
        <w:pStyle w:val="38"/>
        <w:keepNext w:val="0"/>
        <w:keepLines w:val="0"/>
        <w:pageBreakBefore w:val="0"/>
        <w:widowControl w:val="0"/>
        <w:kinsoku/>
        <w:wordWrap/>
        <w:overflowPunct/>
        <w:topLinePunct w:val="0"/>
        <w:autoSpaceDE/>
        <w:autoSpaceDN/>
        <w:bidi w:val="0"/>
        <w:adjustRightInd/>
        <w:snapToGrid/>
        <w:spacing w:line="240" w:lineRule="auto"/>
        <w:ind w:left="0" w:firstLineChars="200" w:firstLine="420"/>
        <w:jc w:val="center"/>
        <w:textAlignment w:val="auto"/>
        <w:outlineLvl w:val="1"/>
        <w:rPr>
          <w:rFonts w:ascii="Times New Roman" w:eastAsia="仿宋_GB2312" w:cs="仿宋_GB2312" w:hAnsi="Times New Roman" w:hint="eastAsia"/>
          <w:b/>
          <w:bCs/>
          <w:color w:val="auto"/>
          <w:sz w:val="32"/>
          <w:szCs w:val="32"/>
          <w:lang w:eastAsia="zh-CN"/>
          <w:highlight w:val="auto"/>
        </w:rPr>
      </w:pPr>
      <w:r>
        <w:drawing>
          <wp:anchor distT="0" distB="0" distL="114300" distR="114300" simplePos="0" relativeHeight="32" behindDoc="0" locked="0" layoutInCell="1" hidden="0" allowOverlap="1">
            <wp:simplePos x="0" y="0"/>
            <wp:positionH relativeFrom="column">
              <wp:posOffset>298450</wp:posOffset>
            </wp:positionH>
            <wp:positionV relativeFrom="paragraph">
              <wp:posOffset>160020</wp:posOffset>
            </wp:positionV>
            <wp:extent cx="3837305" cy="2118995"/>
            <wp:effectExtent l="0" t="0" r="27" b="1"/>
            <wp:wrapSquare wrapText="bothSides"/>
            <wp:docPr id="16" name="图表 2"/>
            <wp:cNvGraphicFramePr>
              <a:graphicFrameLocks noChangeAspect="0"/>
            </wp:cNvGraphicFramePr>
            <a:graphic>
              <a:graphicData uri="http://schemas.openxmlformats.org/drawingml/2006/chart">
                <c:chart xmlns:c="http://schemas.openxmlformats.org/drawingml/2006/chart" r:id="rId8"/>
              </a:graphicData>
            </a:graphic>
          </wp:anchor>
        </w:drawing>
      </w:r>
    </w:p>
    <w:p>
      <w:pPr>
        <w:pStyle w:val="38"/>
        <w:keepNext w:val="0"/>
        <w:keepLines w:val="0"/>
        <w:pageBreakBefore w:val="0"/>
        <w:widowControl w:val="0"/>
        <w:kinsoku/>
        <w:wordWrap/>
        <w:overflowPunct/>
        <w:topLinePunct w:val="0"/>
        <w:autoSpaceDE/>
        <w:autoSpaceDN/>
        <w:bidi w:val="0"/>
        <w:adjustRightInd/>
        <w:snapToGrid/>
        <w:spacing w:line="240" w:lineRule="auto"/>
        <w:ind w:left="0" w:firstLineChars="200" w:firstLine="640"/>
        <w:jc w:val="center"/>
        <w:textAlignment w:val="auto"/>
        <w:outlineLvl w:val="1"/>
        <w:rPr>
          <w:rFonts w:ascii="Times New Roman" w:eastAsia="仿宋_GB2312" w:cs="仿宋_GB2312" w:hAnsi="Times New Roman" w:hint="eastAsia"/>
          <w:b/>
          <w:bCs/>
          <w:color w:val="auto"/>
          <w:sz w:val="32"/>
          <w:szCs w:val="32"/>
          <w:lang w:eastAsia="zh-CN"/>
          <w:highlight w:val="auto"/>
        </w:rPr>
      </w:pPr>
    </w:p>
    <w:p>
      <w:pPr>
        <w:pStyle w:val="38"/>
        <w:keepNext w:val="0"/>
        <w:keepLines w:val="0"/>
        <w:pageBreakBefore w:val="0"/>
        <w:widowControl w:val="0"/>
        <w:kinsoku/>
        <w:wordWrap/>
        <w:overflowPunct/>
        <w:topLinePunct w:val="0"/>
        <w:autoSpaceDE/>
        <w:autoSpaceDN/>
        <w:bidi w:val="0"/>
        <w:adjustRightInd/>
        <w:snapToGrid/>
        <w:spacing w:line="240" w:lineRule="auto"/>
        <w:ind w:left="0" w:firstLineChars="200" w:firstLine="640"/>
        <w:jc w:val="center"/>
        <w:textAlignment w:val="auto"/>
        <w:outlineLvl w:val="1"/>
        <w:rPr>
          <w:rFonts w:ascii="Times New Roman" w:eastAsia="仿宋_GB2312" w:cs="仿宋_GB2312" w:hAnsi="Times New Roman" w:hint="eastAsia"/>
          <w:b/>
          <w:bCs/>
          <w:color w:val="auto"/>
          <w:sz w:val="32"/>
          <w:szCs w:val="32"/>
          <w:lang w:eastAsia="zh-CN"/>
          <w:highlight w:val="auto"/>
        </w:rPr>
      </w:pPr>
    </w:p>
    <w:p>
      <w:pPr>
        <w:pStyle w:val="38"/>
        <w:keepNext w:val="0"/>
        <w:keepLines w:val="0"/>
        <w:pageBreakBefore w:val="0"/>
        <w:widowControl w:val="0"/>
        <w:kinsoku/>
        <w:wordWrap/>
        <w:overflowPunct/>
        <w:topLinePunct w:val="0"/>
        <w:autoSpaceDE/>
        <w:autoSpaceDN/>
        <w:bidi w:val="0"/>
        <w:adjustRightInd/>
        <w:snapToGrid/>
        <w:spacing w:line="240" w:lineRule="auto"/>
        <w:ind w:left="0" w:firstLineChars="200" w:firstLine="640"/>
        <w:jc w:val="center"/>
        <w:textAlignment w:val="auto"/>
        <w:outlineLvl w:val="1"/>
        <w:rPr>
          <w:rFonts w:ascii="Times New Roman" w:eastAsia="仿宋_GB2312" w:cs="仿宋_GB2312" w:hAnsi="Times New Roman" w:hint="eastAsia"/>
          <w:b/>
          <w:bCs/>
          <w:color w:val="auto"/>
          <w:sz w:val="32"/>
          <w:szCs w:val="32"/>
          <w:lang w:eastAsia="zh-CN"/>
          <w:highlight w:val="auto"/>
        </w:rPr>
      </w:pPr>
    </w:p>
    <w:p>
      <w:pPr>
        <w:pStyle w:val="38"/>
        <w:keepNext w:val="0"/>
        <w:keepLines w:val="0"/>
        <w:pageBreakBefore w:val="0"/>
        <w:widowControl w:val="0"/>
        <w:kinsoku/>
        <w:wordWrap/>
        <w:overflowPunct/>
        <w:topLinePunct w:val="0"/>
        <w:autoSpaceDE/>
        <w:autoSpaceDN/>
        <w:bidi w:val="0"/>
        <w:adjustRightInd/>
        <w:snapToGrid/>
        <w:spacing w:line="600" w:lineRule="exact"/>
        <w:ind w:left="0" w:firstLineChars="200" w:firstLine="640"/>
        <w:jc w:val="left"/>
        <w:textAlignment w:val="auto"/>
        <w:outlineLvl w:val="1"/>
        <w:rPr>
          <w:rFonts w:ascii="Times New Roman" w:eastAsia="仿宋_GB2312" w:cs="仿宋_GB2312" w:hAnsi="Times New Roman" w:hint="eastAsia"/>
          <w:b/>
          <w:bCs/>
          <w:color w:val="auto"/>
          <w:sz w:val="32"/>
          <w:szCs w:val="32"/>
          <w:lang w:eastAsia="zh-CN"/>
          <w:highlight w:val="auto"/>
        </w:rPr>
      </w:pPr>
    </w:p>
    <w:p>
      <w:pPr>
        <w:pStyle w:val="38"/>
        <w:keepNext w:val="0"/>
        <w:keepLines w:val="0"/>
        <w:pageBreakBefore w:val="0"/>
        <w:widowControl w:val="0"/>
        <w:kinsoku/>
        <w:wordWrap/>
        <w:overflowPunct/>
        <w:topLinePunct w:val="0"/>
        <w:autoSpaceDE/>
        <w:autoSpaceDN/>
        <w:bidi w:val="0"/>
        <w:adjustRightInd/>
        <w:snapToGrid/>
        <w:spacing w:line="600" w:lineRule="exact"/>
        <w:ind w:left="0" w:firstLineChars="200" w:firstLine="640"/>
        <w:jc w:val="left"/>
        <w:textAlignment w:val="auto"/>
        <w:outlineLvl w:val="1"/>
        <w:rPr>
          <w:rFonts w:ascii="Times New Roman" w:eastAsia="仿宋_GB2312" w:cs="仿宋_GB2312" w:hAnsi="Times New Roman" w:hint="eastAsia"/>
          <w:b/>
          <w:bCs/>
          <w:color w:val="auto"/>
          <w:sz w:val="32"/>
          <w:szCs w:val="32"/>
          <w:lang w:eastAsia="zh-CN"/>
          <w:highlight w:val="auto"/>
        </w:rPr>
      </w:pPr>
    </w:p>
    <w:p>
      <w:pPr>
        <w:ind w:firstLineChars="250" w:firstLine="800"/>
        <w:rPr>
          <w:rFonts w:eastAsia="仿宋_GB2312" w:cs="仿宋_GB2312" w:hint="eastAsia"/>
          <w:sz w:val="52"/>
          <w:szCs w:val="52"/>
        </w:rPr>
      </w:pPr>
      <w:r>
        <w:rPr>
          <w:rFonts w:ascii="Times New Roman" w:eastAsia="仿宋_GB2312" w:cs="仿宋_GB2312" w:hAnsi="Times New Roman" w:hint="eastAsia"/>
          <w:color w:val="auto"/>
          <w:sz w:val="32"/>
          <w:szCs w:val="32"/>
          <w:lang w:eastAsia="zh-CN"/>
          <w:highlight w:val="auto"/>
        </w:rPr>
        <w:t>（图2：收入决算结构图）（饼状图）</w:t>
      </w:r>
    </w:p>
    <w:p>
      <w:pPr>
        <w:pStyle w:val="2"/>
        <w:keepNext/>
        <w:keepLines/>
        <w:pageBreakBefore w:val="0"/>
        <w:widowControl w:val="0"/>
        <w:suppressLineNumbers w:val="0"/>
        <w:suppressAutoHyphens w:val="0"/>
        <w:rPr>
          <w:rFonts w:hint="eastAsia"/>
        </w:rPr>
      </w:pPr>
      <w:bookmarkStart w:id="21" w:name="_Toc15377207"/>
      <w:bookmarkStart w:id="22" w:name="_Toc15396605"/>
      <w:r>
        <w:rPr>
          <w:rFonts w:hint="eastAsia"/>
        </w:rPr>
        <w:t>三、支出决算情况说明</w:t>
      </w:r>
      <w:bookmarkEnd w:id="21"/>
      <w:bookmarkEnd w:id="22"/>
    </w:p>
    <w:p>
      <w:pPr>
        <w:pStyle w:val="38"/>
        <w:keepNext w:val="0"/>
        <w:keepLines w:val="0"/>
        <w:pageBreakBefore w:val="0"/>
        <w:widowControl w:val="0"/>
        <w:kinsoku/>
        <w:wordWrap/>
        <w:overflowPunct/>
        <w:topLinePunct w:val="0"/>
        <w:autoSpaceDE/>
        <w:autoSpaceDN/>
        <w:bidi w:val="0"/>
        <w:adjustRightInd/>
        <w:snapToGrid/>
        <w:spacing w:line="600" w:lineRule="exact"/>
        <w:ind w:left="0" w:firstLineChars="200" w:firstLine="640"/>
        <w:jc w:val="left"/>
        <w:textAlignment w:val="auto"/>
        <w:outlineLvl w:val="1"/>
        <w:rPr>
          <w:rFonts w:ascii="Times New Roman" w:eastAsia="仿宋_GB2312" w:cs="仿宋_GB2312" w:hAnsi="Times New Roman" w:hint="eastAsia"/>
          <w:b/>
          <w:bCs/>
          <w:color w:val="auto"/>
          <w:sz w:val="32"/>
          <w:szCs w:val="32"/>
          <w:lang w:eastAsia="zh-CN"/>
          <w:highlight w:val="auto"/>
        </w:rPr>
      </w:pPr>
      <w:r>
        <w:rPr>
          <w:rFonts w:ascii="仿宋_GB2312" w:eastAsia="仿宋_GB2312" w:cs="仿宋_GB2312" w:hint="eastAsia"/>
          <w:color w:val="auto"/>
          <w:sz w:val="32"/>
          <w:szCs w:val="32"/>
          <w:lang w:eastAsia="zh-CN"/>
          <w:highlight w:val="auto"/>
        </w:rPr>
        <w:t>202</w:t>
      </w:r>
      <w:r>
        <w:rPr>
          <w:rFonts w:ascii="仿宋_GB2312" w:eastAsia="仿宋_GB2312" w:cs="仿宋_GB2312"/>
          <w:color w:val="auto"/>
          <w:sz w:val="32"/>
          <w:szCs w:val="32"/>
          <w:lang w:eastAsia="zh-CN"/>
          <w:highlight w:val="auto"/>
        </w:rPr>
        <w:t>5</w:t>
      </w:r>
      <w:r>
        <w:rPr>
          <w:rFonts w:ascii="仿宋_GB2312" w:eastAsia="仿宋_GB2312" w:cs="仿宋_GB2312" w:hint="eastAsia"/>
          <w:color w:val="auto"/>
          <w:sz w:val="32"/>
          <w:szCs w:val="32"/>
          <w:lang w:eastAsia="zh-CN"/>
          <w:highlight w:val="auto"/>
        </w:rPr>
        <w:t>年度本年支出合计</w:t>
      </w:r>
      <w:r>
        <w:rPr>
          <w:rFonts w:ascii="仿宋_GB2312" w:eastAsia="仿宋_GB2312" w:cs="仿宋_GB2312"/>
          <w:sz w:val="32"/>
          <w:szCs w:val="32"/>
        </w:rPr>
        <w:t>351.61</w:t>
      </w:r>
      <w:r>
        <w:rPr>
          <w:rFonts w:ascii="仿宋_GB2312" w:eastAsia="仿宋_GB2312" w:cs="仿宋_GB2312" w:hint="eastAsia"/>
          <w:color w:val="auto"/>
          <w:sz w:val="32"/>
          <w:szCs w:val="32"/>
          <w:lang w:eastAsia="zh-CN"/>
          <w:highlight w:val="auto"/>
        </w:rPr>
        <w:t>万元，其中：基本支出</w:t>
      </w:r>
      <w:r>
        <w:rPr>
          <w:rFonts w:ascii="仿宋_GB2312" w:eastAsia="仿宋_GB2312" w:cs="仿宋_GB2312"/>
          <w:sz w:val="32"/>
          <w:szCs w:val="32"/>
        </w:rPr>
        <w:t>167.33</w:t>
      </w:r>
      <w:r>
        <w:rPr>
          <w:rFonts w:ascii="仿宋_GB2312" w:eastAsia="仿宋_GB2312" w:cs="仿宋_GB2312" w:hint="eastAsia"/>
          <w:color w:val="auto"/>
          <w:sz w:val="32"/>
          <w:szCs w:val="32"/>
          <w:lang w:eastAsia="zh-CN"/>
          <w:highlight w:val="auto"/>
        </w:rPr>
        <w:t>万元，占</w:t>
      </w:r>
      <w:r>
        <w:rPr>
          <w:rFonts w:ascii="仿宋_GB2312" w:eastAsia="仿宋_GB2312" w:cs="仿宋_GB2312" w:hint="eastAsia"/>
          <w:sz w:val="32"/>
          <w:szCs w:val="32"/>
        </w:rPr>
        <w:t>42.44</w:t>
      </w:r>
      <w:r>
        <w:rPr>
          <w:rFonts w:ascii="仿宋_GB2312" w:eastAsia="仿宋_GB2312" w:cs="仿宋_GB2312" w:hint="eastAsia"/>
          <w:color w:val="auto"/>
          <w:sz w:val="32"/>
          <w:szCs w:val="32"/>
          <w:lang w:eastAsia="zh-CN"/>
          <w:highlight w:val="auto"/>
        </w:rPr>
        <w:t>%；项目支出</w:t>
      </w:r>
      <w:r>
        <w:rPr>
          <w:rFonts w:ascii="仿宋_GB2312" w:eastAsia="仿宋_GB2312" w:cs="仿宋_GB2312"/>
          <w:sz w:val="32"/>
          <w:szCs w:val="32"/>
        </w:rPr>
        <w:t>184.27</w:t>
      </w:r>
      <w:r>
        <w:rPr>
          <w:rFonts w:ascii="仿宋_GB2312" w:eastAsia="仿宋_GB2312" w:cs="仿宋_GB2312" w:hint="eastAsia"/>
          <w:color w:val="auto"/>
          <w:sz w:val="32"/>
          <w:szCs w:val="32"/>
          <w:lang w:eastAsia="zh-CN"/>
          <w:highlight w:val="auto"/>
        </w:rPr>
        <w:t>万元，占</w:t>
      </w:r>
      <w:r>
        <w:rPr>
          <w:rFonts w:ascii="仿宋_GB2312" w:eastAsia="仿宋_GB2312" w:cs="仿宋_GB2312" w:hint="eastAsia"/>
          <w:sz w:val="32"/>
          <w:szCs w:val="32"/>
        </w:rPr>
        <w:t>57.55</w:t>
      </w:r>
      <w:r>
        <w:rPr>
          <w:rFonts w:ascii="仿宋_GB2312" w:eastAsia="仿宋_GB2312" w:cs="仿宋_GB2312" w:hint="eastAsia"/>
          <w:color w:val="auto"/>
          <w:sz w:val="32"/>
          <w:szCs w:val="32"/>
          <w:lang w:eastAsia="zh-CN"/>
          <w:highlight w:val="auto"/>
        </w:rPr>
        <w:t>%；上缴上级支出</w:t>
      </w:r>
      <w:r>
        <w:rPr>
          <w:rFonts w:ascii="仿宋_GB2312" w:eastAsia="仿宋_GB2312" w:cs="仿宋_GB2312" w:hint="eastAsia"/>
          <w:sz w:val="32"/>
          <w:szCs w:val="32"/>
        </w:rPr>
        <w:t>0</w:t>
      </w:r>
      <w:r>
        <w:rPr>
          <w:rFonts w:ascii="仿宋_GB2312" w:eastAsia="仿宋_GB2312" w:cs="仿宋_GB2312" w:hint="eastAsia"/>
          <w:color w:val="auto"/>
          <w:sz w:val="32"/>
          <w:szCs w:val="32"/>
          <w:lang w:eastAsia="zh-CN"/>
          <w:highlight w:val="auto"/>
        </w:rPr>
        <w:t>万元，占</w:t>
      </w:r>
      <w:r>
        <w:rPr>
          <w:rFonts w:ascii="仿宋_GB2312" w:eastAsia="仿宋_GB2312" w:cs="仿宋_GB2312" w:hint="eastAsia"/>
          <w:sz w:val="32"/>
          <w:szCs w:val="32"/>
        </w:rPr>
        <w:t>0</w:t>
      </w:r>
      <w:r>
        <w:rPr>
          <w:rFonts w:ascii="仿宋_GB2312" w:eastAsia="仿宋_GB2312" w:cs="仿宋_GB2312" w:hint="eastAsia"/>
          <w:color w:val="auto"/>
          <w:sz w:val="32"/>
          <w:szCs w:val="32"/>
          <w:lang w:eastAsia="zh-CN"/>
          <w:highlight w:val="auto"/>
        </w:rPr>
        <w:t>%；经营支出</w:t>
      </w:r>
      <w:r>
        <w:rPr>
          <w:rFonts w:ascii="仿宋_GB2312" w:eastAsia="仿宋_GB2312" w:cs="仿宋_GB2312" w:hint="eastAsia"/>
          <w:sz w:val="32"/>
          <w:szCs w:val="32"/>
        </w:rPr>
        <w:t>0</w:t>
      </w:r>
      <w:r>
        <w:rPr>
          <w:rFonts w:ascii="仿宋_GB2312" w:eastAsia="仿宋_GB2312" w:cs="仿宋_GB2312" w:hint="eastAsia"/>
          <w:color w:val="auto"/>
          <w:sz w:val="32"/>
          <w:szCs w:val="32"/>
          <w:lang w:eastAsia="zh-CN"/>
          <w:highlight w:val="auto"/>
        </w:rPr>
        <w:t>万元，占</w:t>
      </w:r>
      <w:r>
        <w:rPr>
          <w:rFonts w:ascii="仿宋_GB2312" w:eastAsia="仿宋_GB2312" w:cs="仿宋_GB2312" w:hint="eastAsia"/>
          <w:sz w:val="32"/>
          <w:szCs w:val="32"/>
        </w:rPr>
        <w:t>0</w:t>
      </w:r>
      <w:r>
        <w:rPr>
          <w:rFonts w:ascii="仿宋_GB2312" w:eastAsia="仿宋_GB2312" w:cs="仿宋_GB2312" w:hint="eastAsia"/>
          <w:color w:val="auto"/>
          <w:sz w:val="32"/>
          <w:szCs w:val="32"/>
          <w:lang w:eastAsia="zh-CN"/>
          <w:highlight w:val="auto"/>
        </w:rPr>
        <w:t>%；对附属单位补助支出</w:t>
      </w:r>
      <w:r>
        <w:rPr>
          <w:rFonts w:ascii="仿宋_GB2312" w:eastAsia="仿宋_GB2312" w:cs="仿宋_GB2312" w:hint="eastAsia"/>
          <w:sz w:val="32"/>
          <w:szCs w:val="32"/>
        </w:rPr>
        <w:t>0</w:t>
      </w:r>
      <w:r>
        <w:rPr>
          <w:rFonts w:ascii="仿宋_GB2312" w:eastAsia="仿宋_GB2312" w:cs="仿宋_GB2312" w:hint="eastAsia"/>
          <w:color w:val="auto"/>
          <w:sz w:val="32"/>
          <w:szCs w:val="32"/>
          <w:lang w:eastAsia="zh-CN"/>
          <w:highlight w:val="auto"/>
        </w:rPr>
        <w:t>万元，占0%。</w:t>
      </w:r>
      <w:r>
        <w:rPr>
          <w:rFonts w:ascii="Times New Roman" w:eastAsia="仿宋_GB2312" w:cs="仿宋_GB2312" w:hAnsi="Times New Roman" w:hint="eastAsia"/>
          <w:b/>
          <w:bCs/>
          <w:color w:val="auto"/>
          <w:sz w:val="32"/>
          <w:szCs w:val="32"/>
          <w:lang w:eastAsia="zh-CN"/>
          <w:highlight w:val="auto"/>
        </w:rPr>
        <w:t>（注：仅罗列本部门涉及的支出）</w:t>
      </w:r>
    </w:p>
    <w:p>
      <w:pPr>
        <w:pStyle w:val="38"/>
        <w:keepNext w:val="0"/>
        <w:keepLines w:val="0"/>
        <w:pageBreakBefore w:val="0"/>
        <w:widowControl w:val="0"/>
        <w:kinsoku/>
        <w:wordWrap/>
        <w:overflowPunct/>
        <w:topLinePunct w:val="0"/>
        <w:autoSpaceDE/>
        <w:autoSpaceDN/>
        <w:bidi w:val="0"/>
        <w:adjustRightInd/>
        <w:snapToGrid/>
        <w:spacing w:line="600" w:lineRule="exact"/>
        <w:ind w:left="0" w:firstLineChars="200" w:firstLine="640"/>
        <w:jc w:val="left"/>
        <w:textAlignment w:val="auto"/>
        <w:outlineLvl w:val="1"/>
        <w:rPr>
          <w:rFonts w:ascii="Times New Roman" w:eastAsia="仿宋_GB2312" w:cs="仿宋_GB2312" w:hAnsi="Times New Roman" w:hint="eastAsia"/>
          <w:b/>
          <w:bCs/>
          <w:color w:val="auto"/>
          <w:sz w:val="32"/>
          <w:szCs w:val="32"/>
          <w:lang w:eastAsia="zh-CN"/>
          <w:highlight w:val="auto"/>
        </w:rPr>
      </w:pPr>
    </w:p>
    <w:p>
      <w:pPr>
        <w:pStyle w:val="38"/>
        <w:keepNext w:val="0"/>
        <w:keepLines w:val="0"/>
        <w:pageBreakBefore w:val="0"/>
        <w:widowControl w:val="0"/>
        <w:kinsoku/>
        <w:wordWrap/>
        <w:overflowPunct/>
        <w:topLinePunct w:val="0"/>
        <w:autoSpaceDE/>
        <w:autoSpaceDN/>
        <w:bidi w:val="0"/>
        <w:adjustRightInd/>
        <w:snapToGrid/>
        <w:spacing w:line="600" w:lineRule="exact"/>
        <w:ind w:left="0" w:firstLineChars="200" w:firstLine="640"/>
        <w:jc w:val="left"/>
        <w:textAlignment w:val="auto"/>
        <w:outlineLvl w:val="1"/>
        <w:rPr>
          <w:rFonts w:ascii="Times New Roman" w:eastAsia="仿宋_GB2312" w:cs="仿宋_GB2312" w:hAnsi="Times New Roman" w:hint="eastAsia"/>
          <w:b/>
          <w:bCs/>
          <w:color w:val="auto"/>
          <w:sz w:val="32"/>
          <w:szCs w:val="32"/>
          <w:lang w:eastAsia="zh-CN"/>
          <w:highlight w:val="auto"/>
        </w:rPr>
      </w:pPr>
    </w:p>
    <w:p>
      <w:pPr>
        <w:pStyle w:val="38"/>
        <w:keepNext w:val="0"/>
        <w:keepLines w:val="0"/>
        <w:pageBreakBefore w:val="0"/>
        <w:widowControl w:val="0"/>
        <w:kinsoku/>
        <w:wordWrap/>
        <w:overflowPunct/>
        <w:topLinePunct w:val="0"/>
        <w:autoSpaceDE/>
        <w:autoSpaceDN/>
        <w:bidi w:val="0"/>
        <w:adjustRightInd/>
        <w:snapToGrid/>
        <w:spacing w:line="240" w:lineRule="auto"/>
        <w:ind w:left="0" w:firstLineChars="200" w:firstLine="640"/>
        <w:jc w:val="center"/>
        <w:textAlignment w:val="auto"/>
        <w:outlineLvl w:val="1"/>
        <w:rPr>
          <w:rFonts w:ascii="Times New Roman" w:eastAsia="仿宋_GB2312" w:cs="仿宋_GB2312" w:hAnsi="Times New Roman" w:hint="eastAsia"/>
          <w:b/>
          <w:bCs/>
          <w:color w:val="auto"/>
          <w:sz w:val="32"/>
          <w:szCs w:val="32"/>
          <w:lang w:eastAsia="zh-CN"/>
          <w:highlight w:val="auto"/>
        </w:rPr>
      </w:pPr>
    </w:p>
    <w:p>
      <w:pPr>
        <w:pStyle w:val="38"/>
        <w:keepNext w:val="0"/>
        <w:keepLines w:val="0"/>
        <w:pageBreakBefore w:val="0"/>
        <w:widowControl w:val="0"/>
        <w:kinsoku/>
        <w:wordWrap/>
        <w:overflowPunct/>
        <w:topLinePunct w:val="0"/>
        <w:autoSpaceDE/>
        <w:autoSpaceDN/>
        <w:bidi w:val="0"/>
        <w:adjustRightInd/>
        <w:snapToGrid/>
        <w:spacing w:line="600" w:lineRule="exact"/>
        <w:ind w:left="0" w:firstLineChars="200" w:firstLine="420"/>
        <w:jc w:val="left"/>
        <w:textAlignment w:val="auto"/>
        <w:outlineLvl w:val="1"/>
        <w:rPr>
          <w:rFonts w:ascii="Times New Roman" w:eastAsia="仿宋_GB2312" w:cs="仿宋_GB2312" w:hAnsi="Times New Roman" w:hint="eastAsia"/>
          <w:b/>
          <w:bCs/>
          <w:color w:val="auto"/>
          <w:sz w:val="32"/>
          <w:szCs w:val="32"/>
          <w:lang w:eastAsia="zh-CN"/>
          <w:highlight w:val="auto"/>
        </w:rPr>
      </w:pPr>
      <w:r>
        <w:drawing>
          <wp:anchor distT="0" distB="0" distL="114300" distR="114300" simplePos="0" relativeHeight="34" behindDoc="0" locked="0" layoutInCell="1" hidden="0" allowOverlap="1">
            <wp:simplePos x="0" y="0"/>
            <wp:positionH relativeFrom="column">
              <wp:posOffset>271145</wp:posOffset>
            </wp:positionH>
            <wp:positionV relativeFrom="paragraph">
              <wp:posOffset>-2453005</wp:posOffset>
            </wp:positionV>
            <wp:extent cx="4572000" cy="2743200"/>
            <wp:effectExtent l="0" t="0" r="25" b="42"/>
            <wp:wrapSquare wrapText="bothSides"/>
            <wp:docPr id="17" name="图表 2"/>
            <wp:cNvGraphicFramePr>
              <a:graphicFrameLocks noChangeAspect="0"/>
            </wp:cNvGraphicFramePr>
            <a:graphic>
              <a:graphicData uri="http://schemas.openxmlformats.org/drawingml/2006/chart">
                <c:chart xmlns:c="http://schemas.openxmlformats.org/drawingml/2006/chart" r:id="rId9"/>
              </a:graphicData>
            </a:graphic>
          </wp:anchor>
        </w:drawing>
      </w:r>
    </w:p>
    <w:p>
      <w:pPr>
        <w:ind w:left="0"/>
        <w:rPr>
          <w:rFonts w:ascii="Times New Roman" w:eastAsia="仿宋_GB2312" w:cs="仿宋_GB2312" w:hAnsi="Times New Roman" w:hint="eastAsia"/>
          <w:color w:val="auto"/>
          <w:sz w:val="32"/>
          <w:szCs w:val="32"/>
          <w:lang w:eastAsia="zh-CN"/>
          <w:highlight w:val="auto"/>
        </w:rPr>
      </w:pPr>
    </w:p>
    <w:p>
      <w:pPr>
        <w:ind w:firstLineChars="450" w:firstLine="1440"/>
        <w:rPr>
          <w:rFonts w:ascii="Times New Roman" w:eastAsia="仿宋_GB2312" w:cs="仿宋_GB2312" w:hAnsi="Times New Roman" w:hint="eastAsia"/>
          <w:color w:val="auto"/>
          <w:sz w:val="32"/>
          <w:szCs w:val="32"/>
          <w:lang w:eastAsia="zh-CN"/>
          <w:highlight w:val="auto"/>
        </w:rPr>
      </w:pPr>
      <w:r>
        <w:rPr>
          <w:rFonts w:ascii="Times New Roman" w:eastAsia="仿宋_GB2312" w:cs="仿宋_GB2312" w:hAnsi="Times New Roman" w:hint="eastAsia"/>
          <w:color w:val="auto"/>
          <w:sz w:val="32"/>
          <w:szCs w:val="32"/>
          <w:lang w:eastAsia="zh-CN"/>
          <w:highlight w:val="auto"/>
        </w:rPr>
        <w:t>（图3：支出决算结构图）（饼状图）</w:t>
      </w:r>
    </w:p>
    <w:p>
      <w:pPr>
        <w:pStyle w:val="2"/>
        <w:keepNext/>
        <w:keepLines/>
        <w:pageBreakBefore w:val="0"/>
        <w:widowControl w:val="0"/>
        <w:suppressLineNumbers w:val="0"/>
        <w:suppressAutoHyphens w:val="0"/>
        <w:rPr>
          <w:rFonts w:hint="eastAsia"/>
        </w:rPr>
      </w:pPr>
      <w:bookmarkStart w:id="23" w:name="_Toc15396606"/>
      <w:bookmarkStart w:id="24" w:name="_Toc15377208"/>
      <w:r>
        <w:rPr>
          <w:rFonts w:hint="eastAsia"/>
        </w:rPr>
        <w:t>四、财政拨款收入支出决算总体情况说明</w:t>
      </w:r>
      <w:bookmarkEnd w:id="23"/>
      <w:bookmarkEnd w:id="24"/>
    </w:p>
    <w:p>
      <w:pPr>
        <w:pStyle w:val="38"/>
        <w:keepNext w:val="0"/>
        <w:keepLines w:val="0"/>
        <w:pageBreakBefore w:val="0"/>
        <w:widowControl w:val="0"/>
        <w:kinsoku/>
        <w:wordWrap/>
        <w:overflowPunct/>
        <w:topLinePunct w:val="0"/>
        <w:autoSpaceDE/>
        <w:autoSpaceDN/>
        <w:adjustRightInd/>
        <w:snapToGrid/>
        <w:spacing w:line="600" w:lineRule="exact"/>
        <w:ind w:left="0" w:firstLineChars="200" w:firstLine="640"/>
        <w:outlineLvl w:val="1"/>
        <w:rPr>
          <w:rFonts w:eastAsia="仿宋_GB2312" w:cs="仿宋_GB2312" w:hint="eastAsia"/>
          <w:sz w:val="32"/>
          <w:szCs w:val="32"/>
        </w:rPr>
      </w:pPr>
      <w:r>
        <w:rPr>
          <w:rFonts w:ascii="仿宋_GB2312" w:eastAsia="仿宋_GB2312" w:cs="仿宋_GB2312" w:hint="eastAsia"/>
          <w:color w:val="auto"/>
          <w:kern w:val="2"/>
          <w:sz w:val="32"/>
          <w:szCs w:val="32"/>
          <w:lang w:val="en-US" w:eastAsia="zh-CN" w:bidi="ar-SA"/>
          <w:highlight w:val="auto"/>
        </w:rPr>
        <w:t>202</w:t>
      </w:r>
      <w:r>
        <w:rPr>
          <w:rFonts w:ascii="仿宋_GB2312" w:eastAsia="仿宋_GB2312" w:cs="仿宋_GB2312"/>
          <w:color w:val="auto"/>
          <w:kern w:val="2"/>
          <w:sz w:val="32"/>
          <w:szCs w:val="32"/>
          <w:lang w:val="en-US" w:eastAsia="zh-CN" w:bidi="ar-SA"/>
          <w:highlight w:val="auto"/>
        </w:rPr>
        <w:t>5</w:t>
      </w:r>
      <w:r>
        <w:rPr>
          <w:rFonts w:ascii="仿宋_GB2312" w:eastAsia="仿宋_GB2312" w:cs="仿宋_GB2312" w:hint="eastAsia"/>
          <w:color w:val="auto"/>
          <w:kern w:val="2"/>
          <w:sz w:val="32"/>
          <w:szCs w:val="32"/>
          <w:lang w:val="en-US" w:eastAsia="zh-CN" w:bidi="ar-SA"/>
          <w:highlight w:val="auto"/>
        </w:rPr>
        <w:t>年度财政拨款收入、支出总计均为</w:t>
      </w:r>
      <w:r>
        <w:rPr>
          <w:rFonts w:ascii="仿宋_GB2312" w:eastAsia="仿宋_GB2312" w:cs="仿宋_GB2312"/>
          <w:color w:val="auto"/>
          <w:kern w:val="2"/>
          <w:sz w:val="32"/>
          <w:szCs w:val="32"/>
          <w:lang w:val="en-US" w:eastAsia="zh-CN" w:bidi="ar-SA"/>
          <w:highlight w:val="auto"/>
        </w:rPr>
        <w:t>336.28</w:t>
      </w:r>
      <w:r>
        <w:rPr>
          <w:rFonts w:ascii="仿宋_GB2312" w:eastAsia="仿宋_GB2312" w:cs="仿宋_GB2312" w:hint="eastAsia"/>
          <w:color w:val="auto"/>
          <w:kern w:val="2"/>
          <w:sz w:val="32"/>
          <w:szCs w:val="32"/>
          <w:lang w:val="en-US" w:eastAsia="zh-CN" w:bidi="ar-SA"/>
          <w:highlight w:val="auto"/>
        </w:rPr>
        <w:t>万元。与2023年度相比，财政拨款收入总计、支出总计各</w:t>
      </w:r>
      <w:r>
        <w:rPr>
          <w:rFonts w:ascii="仿宋_GB2312" w:eastAsia="仿宋_GB2312" w:cs="仿宋_GB2312"/>
          <w:color w:val="auto"/>
          <w:kern w:val="2"/>
          <w:sz w:val="32"/>
          <w:szCs w:val="32"/>
          <w:lang w:val="en-US" w:eastAsia="zh-CN" w:bidi="ar-SA"/>
          <w:highlight w:val="auto"/>
        </w:rPr>
        <w:t>减少41.14</w:t>
      </w:r>
      <w:r>
        <w:rPr>
          <w:rFonts w:ascii="仿宋_GB2312" w:eastAsia="仿宋_GB2312" w:cs="仿宋_GB2312" w:hint="eastAsia"/>
          <w:color w:val="auto"/>
          <w:kern w:val="2"/>
          <w:sz w:val="32"/>
          <w:szCs w:val="32"/>
          <w:lang w:val="en-US" w:eastAsia="zh-CN" w:bidi="ar-SA"/>
          <w:highlight w:val="auto"/>
        </w:rPr>
        <w:t>万元，</w:t>
      </w:r>
      <w:r>
        <w:rPr>
          <w:rFonts w:ascii="仿宋_GB2312" w:eastAsia="仿宋_GB2312" w:cs="仿宋_GB2312"/>
          <w:color w:val="auto"/>
          <w:kern w:val="2"/>
          <w:sz w:val="32"/>
          <w:szCs w:val="32"/>
          <w:lang w:val="en-US" w:eastAsia="zh-CN" w:bidi="ar-SA"/>
          <w:highlight w:val="auto"/>
        </w:rPr>
        <w:t>减少10.9</w:t>
      </w:r>
      <w:r>
        <w:rPr>
          <w:rFonts w:ascii="仿宋_GB2312" w:eastAsia="仿宋_GB2312" w:cs="仿宋_GB2312" w:hint="eastAsia"/>
          <w:color w:val="auto"/>
          <w:kern w:val="2"/>
          <w:sz w:val="32"/>
          <w:szCs w:val="32"/>
          <w:lang w:val="en-US" w:eastAsia="zh-CN" w:bidi="ar-SA"/>
          <w:highlight w:val="auto"/>
        </w:rPr>
        <w:t>%。主要变动原因：</w:t>
      </w:r>
      <w:r>
        <w:rPr>
          <w:rFonts w:ascii="仿宋_GB2312" w:eastAsia="仿宋_GB2312" w:cs="仿宋_GB2312"/>
          <w:color w:val="auto"/>
          <w:kern w:val="2"/>
          <w:sz w:val="32"/>
          <w:szCs w:val="32"/>
          <w:lang w:val="en-US" w:eastAsia="zh-CN" w:bidi="ar-SA"/>
          <w:highlight w:val="auto"/>
        </w:rPr>
        <w:t>一是</w:t>
      </w:r>
      <w:r>
        <w:rPr>
          <w:rFonts w:ascii="仿宋_GB2312" w:eastAsia="仿宋_GB2312" w:cs="仿宋_GB2312"/>
          <w:color w:val="auto"/>
          <w:kern w:val="2"/>
          <w:sz w:val="32"/>
          <w:szCs w:val="32"/>
          <w:lang w:val="en-US" w:eastAsia="zh-CN" w:bidi="ar-SA"/>
        </w:rPr>
        <w:t>2025年项目减少；二是厉行节俭节约</w:t>
      </w:r>
      <w:r>
        <w:rPr>
          <w:rFonts w:eastAsia="仿宋_GB2312" w:cs="仿宋_GB2312"/>
          <w:b w:val="0"/>
          <w:bCs w:val="0"/>
          <w:color w:val="auto"/>
          <w:sz w:val="32"/>
          <w:szCs w:val="32"/>
          <w:lang w:val="en-US" w:eastAsia="zh-CN"/>
          <w:highlight w:val="auto"/>
        </w:rPr>
        <w:t>。</w:t>
      </w:r>
    </w:p>
    <w:p>
      <w:pPr>
        <w:pStyle w:val="17"/>
        <w:rPr>
          <w:rFonts w:ascii="Times New Roman" w:eastAsia="仿宋_GB2312" w:cs="仿宋_GB2312" w:hAnsi="Times New Roman" w:hint="eastAsia"/>
          <w:color w:val="auto"/>
          <w:kern w:val="2"/>
          <w:sz w:val="32"/>
          <w:szCs w:val="32"/>
          <w:lang w:val="en-US" w:eastAsia="zh-CN" w:bidi="ar-SA"/>
          <w:highlight w:val="auto"/>
        </w:rPr>
      </w:pPr>
      <w:r>
        <w:rPr>
          <w:rFonts w:ascii="Times New Roman" w:eastAsia="仿宋_GB2312" w:cs="仿宋_GB2312" w:hAnsi="Times New Roman"/>
          <w:color w:val="auto"/>
          <w:kern w:val="2"/>
          <w:sz w:val="32"/>
          <w:szCs w:val="32"/>
          <w:lang w:val="en-US" w:eastAsia="zh-CN" w:bidi="ar-SA"/>
          <w:highlight w:val="auto"/>
        </w:rPr>
        <w:drawing>
          <wp:inline distT="0" distB="0" distL="85723" distR="85723">
            <wp:extent cx="4571929" cy="2743157"/>
            <wp:effectExtent l="0" t="0" r="1" b="1"/>
            <wp:docPr id="18" name="图片"/>
            <wp:cNvGraphicFramePr>
              <a:graphicFrameLocks noChangeAspect="1"/>
            </wp:cNvGraphicFramePr>
            <a:graphic>
              <a:graphicData uri="http://schemas.openxmlformats.org/drawingml/2006/picture">
                <pic:pic>
                  <pic:nvPicPr>
                    <pic:cNvPr id="20" name="图片 20"/>
                    <pic:cNvPicPr/>
                  </pic:nvPicPr>
                  <pic:blipFill>
                    <a:blip r:embed="rId10"/>
                    <a:stretch>
                      <a:fillRect/>
                    </a:stretch>
                  </pic:blipFill>
                  <pic:spPr>
                    <a:xfrm rot="0">
                      <a:off x="0" y="0"/>
                      <a:ext cx="4571929" cy="2743157"/>
                    </a:xfrm>
                    <a:prstGeom prst="rect"/>
                    <a:noFill/>
                    <a:ln w="9525" cmpd="sng" cap="flat">
                      <a:noFill/>
                      <a:prstDash val="solid"/>
                      <a:miter/>
                    </a:ln>
                  </pic:spPr>
                </pic:pic>
              </a:graphicData>
            </a:graphic>
          </wp:inline>
        </w:drawing>
      </w:r>
    </w:p>
    <w:p>
      <w:pPr>
        <w:spacing w:line="600" w:lineRule="exact"/>
        <w:ind w:firstLineChars="200" w:firstLine="640"/>
        <w:rPr>
          <w:rFonts w:ascii="Times New Roman" w:eastAsia="仿宋_GB2312" w:cs="仿宋_GB2312" w:hAnsi="Times New Roman" w:hint="eastAsia"/>
          <w:color w:val="auto"/>
          <w:kern w:val="2"/>
          <w:sz w:val="32"/>
          <w:szCs w:val="32"/>
          <w:lang w:val="en-US" w:eastAsia="zh-CN" w:bidi="ar-SA"/>
          <w:highlight w:val="auto"/>
        </w:rPr>
      </w:pPr>
      <w:r>
        <w:rPr>
          <w:rFonts w:ascii="Times New Roman" w:eastAsia="仿宋_GB2312" w:cs="仿宋_GB2312" w:hAnsi="Times New Roman" w:hint="eastAsia"/>
          <w:color w:val="auto"/>
          <w:kern w:val="2"/>
          <w:sz w:val="32"/>
          <w:szCs w:val="32"/>
          <w:lang w:val="en-US" w:eastAsia="zh-CN" w:bidi="ar-SA"/>
          <w:highlight w:val="auto"/>
        </w:rPr>
        <w:t>（图4：财政拨款收、支决算总计变动情况）（柱状图）</w:t>
      </w:r>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p>
    <w:p>
      <w:pPr>
        <w:pStyle w:val="2"/>
        <w:keepNext/>
        <w:keepLines/>
        <w:pageBreakBefore w:val="0"/>
        <w:widowControl w:val="0"/>
        <w:suppressLineNumbers w:val="0"/>
        <w:suppressAutoHyphens w:val="0"/>
        <w:rPr>
          <w:rFonts w:hint="eastAsia"/>
        </w:rPr>
      </w:pPr>
      <w:bookmarkStart w:id="25" w:name="_Toc15377209"/>
      <w:bookmarkStart w:id="26" w:name="_Toc15396607"/>
      <w:r>
        <w:rPr>
          <w:rFonts w:hint="eastAsia"/>
        </w:rPr>
        <w:t>五、一般公共预算财政拨款支出决算情况说明</w:t>
      </w:r>
      <w:bookmarkEnd w:id="25"/>
      <w:bookmarkEnd w:id="26"/>
    </w:p>
    <w:p>
      <w:pPr>
        <w:spacing w:line="600" w:lineRule="exact"/>
        <w:ind w:firstLineChars="200" w:firstLine="640"/>
        <w:outlineLvl w:val="2"/>
        <w:rPr>
          <w:rFonts w:ascii="Times New Roman" w:eastAsia="楷体_GB2312" w:cs="楷体_GB2312" w:hAnsi="Times New Roman" w:hint="eastAsia"/>
          <w:b/>
          <w:color w:val="auto"/>
          <w:sz w:val="32"/>
          <w:szCs w:val="32"/>
          <w:highlight w:val="auto"/>
        </w:rPr>
      </w:pPr>
      <w:bookmarkStart w:id="27" w:name="_Toc15377210"/>
      <w:r>
        <w:rPr>
          <w:rFonts w:ascii="Times New Roman" w:eastAsia="楷体_GB2312" w:cs="楷体_GB2312" w:hAnsi="Times New Roman" w:hint="eastAsia"/>
          <w:b/>
          <w:color w:val="auto"/>
          <w:sz w:val="32"/>
          <w:szCs w:val="32"/>
          <w:highlight w:val="auto"/>
        </w:rPr>
        <w:t>（一）一般公共预算财政拨款支出决算总体情况</w:t>
      </w:r>
      <w:bookmarkEnd w:id="27"/>
    </w:p>
    <w:p>
      <w:pPr>
        <w:pStyle w:val="38"/>
        <w:keepNext w:val="0"/>
        <w:keepLines w:val="0"/>
        <w:pageBreakBefore w:val="0"/>
        <w:widowControl w:val="0"/>
        <w:kinsoku/>
        <w:wordWrap/>
        <w:overflowPunct/>
        <w:topLinePunct w:val="0"/>
        <w:autoSpaceDE/>
        <w:autoSpaceDN/>
        <w:adjustRightInd/>
        <w:snapToGrid/>
        <w:spacing w:line="600" w:lineRule="exact"/>
        <w:ind w:left="0" w:firstLineChars="200" w:firstLine="640"/>
        <w:outlineLvl w:val="1"/>
        <w:rPr>
          <w:rFonts w:eastAsia="仿宋_GB2312" w:cs="仿宋_GB2312" w:hint="eastAsia"/>
          <w:sz w:val="32"/>
          <w:szCs w:val="32"/>
        </w:rPr>
      </w:pPr>
      <w:r>
        <w:rPr>
          <w:rFonts w:ascii="仿宋_GB2312" w:eastAsia="仿宋_GB2312" w:cs="仿宋_GB2312" w:hint="eastAsia"/>
          <w:color w:val="auto"/>
          <w:kern w:val="2"/>
          <w:sz w:val="32"/>
          <w:szCs w:val="32"/>
          <w:lang w:val="en-US" w:eastAsia="zh-CN" w:bidi="ar-SA"/>
          <w:highlight w:val="auto"/>
        </w:rPr>
        <w:t>202</w:t>
      </w:r>
      <w:r>
        <w:rPr>
          <w:rFonts w:ascii="仿宋_GB2312" w:eastAsia="仿宋_GB2312" w:cs="仿宋_GB2312"/>
          <w:color w:val="auto"/>
          <w:kern w:val="2"/>
          <w:sz w:val="32"/>
          <w:szCs w:val="32"/>
          <w:lang w:val="en-US" w:eastAsia="zh-CN" w:bidi="ar-SA"/>
          <w:highlight w:val="auto"/>
        </w:rPr>
        <w:t>5</w:t>
      </w:r>
      <w:r>
        <w:rPr>
          <w:rFonts w:ascii="仿宋_GB2312" w:eastAsia="仿宋_GB2312" w:cs="仿宋_GB2312" w:hint="eastAsia"/>
          <w:color w:val="auto"/>
          <w:kern w:val="2"/>
          <w:sz w:val="32"/>
          <w:szCs w:val="32"/>
          <w:lang w:val="en-US" w:eastAsia="zh-CN" w:bidi="ar-SA"/>
          <w:highlight w:val="auto"/>
        </w:rPr>
        <w:t>年度一般公共预算财政拨款支出</w:t>
      </w:r>
      <w:r>
        <w:rPr>
          <w:rFonts w:ascii="仿宋_GB2312" w:eastAsia="仿宋_GB2312" w:cs="仿宋_GB2312"/>
          <w:sz w:val="32"/>
          <w:szCs w:val="32"/>
        </w:rPr>
        <w:t>336.28</w:t>
      </w:r>
      <w:r>
        <w:rPr>
          <w:rFonts w:ascii="仿宋_GB2312" w:eastAsia="仿宋_GB2312" w:cs="仿宋_GB2312" w:hint="eastAsia"/>
          <w:color w:val="auto"/>
          <w:kern w:val="2"/>
          <w:sz w:val="32"/>
          <w:szCs w:val="32"/>
          <w:lang w:val="en-US" w:eastAsia="zh-CN" w:bidi="ar-SA"/>
          <w:highlight w:val="auto"/>
        </w:rPr>
        <w:t>万元，占本年支出合计的</w:t>
      </w:r>
      <w:r>
        <w:rPr>
          <w:rFonts w:ascii="仿宋_GB2312" w:eastAsia="仿宋_GB2312" w:cs="仿宋_GB2312" w:hint="eastAsia"/>
          <w:sz w:val="32"/>
          <w:szCs w:val="32"/>
        </w:rPr>
        <w:t>96.56</w:t>
      </w:r>
      <w:r>
        <w:rPr>
          <w:rFonts w:ascii="仿宋_GB2312" w:eastAsia="仿宋_GB2312" w:cs="仿宋_GB2312" w:hint="eastAsia"/>
          <w:color w:val="auto"/>
          <w:kern w:val="2"/>
          <w:sz w:val="32"/>
          <w:szCs w:val="32"/>
          <w:lang w:val="en-US" w:eastAsia="zh-CN" w:bidi="ar-SA"/>
          <w:highlight w:val="auto"/>
        </w:rPr>
        <w:t>%。与202</w:t>
      </w:r>
      <w:r>
        <w:rPr>
          <w:rFonts w:ascii="仿宋_GB2312" w:eastAsia="仿宋_GB2312" w:cs="仿宋_GB2312"/>
          <w:color w:val="auto"/>
          <w:kern w:val="2"/>
          <w:sz w:val="32"/>
          <w:szCs w:val="32"/>
          <w:lang w:val="en-US" w:eastAsia="zh-CN" w:bidi="ar-SA"/>
          <w:highlight w:val="auto"/>
        </w:rPr>
        <w:t>4</w:t>
      </w:r>
      <w:r>
        <w:rPr>
          <w:rFonts w:ascii="仿宋_GB2312" w:eastAsia="仿宋_GB2312" w:cs="仿宋_GB2312" w:hint="eastAsia"/>
          <w:color w:val="auto"/>
          <w:kern w:val="2"/>
          <w:sz w:val="32"/>
          <w:szCs w:val="32"/>
          <w:lang w:val="en-US" w:eastAsia="zh-CN" w:bidi="ar-SA"/>
          <w:highlight w:val="auto"/>
        </w:rPr>
        <w:t>年度相比，一般公共预算财政拨款支出</w:t>
      </w:r>
      <w:r>
        <w:rPr>
          <w:rFonts w:ascii="仿宋_GB2312" w:eastAsia="仿宋_GB2312" w:cs="仿宋_GB2312"/>
          <w:color w:val="auto"/>
          <w:kern w:val="2"/>
          <w:sz w:val="32"/>
          <w:szCs w:val="32"/>
          <w:lang w:val="en-US" w:eastAsia="zh-CN" w:bidi="ar-SA"/>
          <w:highlight w:val="auto"/>
        </w:rPr>
        <w:t>减少</w:t>
      </w:r>
      <w:r>
        <w:rPr>
          <w:rFonts w:ascii="仿宋_GB2312" w:eastAsia="仿宋_GB2312" w:cs="仿宋_GB2312"/>
          <w:sz w:val="32"/>
          <w:szCs w:val="32"/>
          <w:lang w:val="en-US" w:eastAsia="zh-CN"/>
        </w:rPr>
        <w:t>41.14</w:t>
      </w:r>
      <w:r>
        <w:rPr>
          <w:rFonts w:ascii="仿宋_GB2312" w:eastAsia="仿宋_GB2312" w:cs="仿宋_GB2312" w:hint="eastAsia"/>
          <w:sz w:val="32"/>
          <w:szCs w:val="32"/>
        </w:rPr>
        <w:t>万元</w:t>
      </w:r>
      <w:r>
        <w:rPr>
          <w:rFonts w:ascii="Times New Roman" w:eastAsia="仿宋_GB2312" w:cs="仿宋_GB2312" w:hAnsi="Times New Roman" w:hint="eastAsia"/>
          <w:color w:val="auto"/>
          <w:sz w:val="32"/>
          <w:szCs w:val="32"/>
          <w:highlight w:val="auto"/>
        </w:rPr>
        <w:t>，</w:t>
      </w:r>
      <w:r>
        <w:rPr>
          <w:rFonts w:ascii="Times New Roman" w:eastAsia="仿宋_GB2312" w:cs="仿宋_GB2312" w:hAnsi="Times New Roman"/>
          <w:color w:val="auto"/>
          <w:sz w:val="32"/>
          <w:szCs w:val="32"/>
          <w:highlight w:val="auto"/>
        </w:rPr>
        <w:t>减少</w:t>
      </w:r>
      <w:r>
        <w:rPr>
          <w:rFonts w:eastAsia="仿宋_GB2312" w:cs="仿宋_GB2312"/>
          <w:color w:val="auto"/>
          <w:sz w:val="32"/>
          <w:szCs w:val="32"/>
          <w:lang w:val="en-US" w:eastAsia="zh-CN"/>
          <w:highlight w:val="auto"/>
        </w:rPr>
        <w:t>10.9</w:t>
      </w:r>
      <w:r>
        <w:rPr>
          <w:rFonts w:ascii="Times New Roman" w:eastAsia="仿宋_GB2312" w:cs="仿宋_GB2312" w:hAnsi="Times New Roman" w:hint="eastAsia"/>
          <w:color w:val="auto"/>
          <w:sz w:val="32"/>
          <w:szCs w:val="32"/>
          <w:highlight w:val="auto"/>
        </w:rPr>
        <w:t>%。</w:t>
      </w:r>
      <w:r>
        <w:rPr>
          <w:rFonts w:ascii="Times New Roman" w:eastAsia="仿宋_GB2312" w:cs="仿宋_GB2312" w:hAnsi="Times New Roman" w:hint="eastAsia"/>
          <w:b/>
          <w:bCs/>
          <w:color w:val="auto"/>
          <w:sz w:val="32"/>
          <w:szCs w:val="32"/>
          <w:highlight w:val="auto"/>
        </w:rPr>
        <w:t>主要变动原因</w:t>
      </w:r>
      <w:r>
        <w:rPr>
          <w:rFonts w:eastAsia="仿宋_GB2312" w:cs="仿宋_GB2312" w:hint="eastAsia"/>
          <w:b/>
          <w:bCs/>
          <w:color w:val="auto"/>
          <w:sz w:val="32"/>
          <w:szCs w:val="32"/>
          <w:lang w:eastAsia="zh-CN"/>
          <w:highlight w:val="auto"/>
        </w:rPr>
        <w:t>：</w:t>
      </w:r>
      <w:r>
        <w:rPr>
          <w:rFonts w:ascii="仿宋_GB2312" w:eastAsia="仿宋_GB2312" w:cs="仿宋_GB2312"/>
          <w:color w:val="auto"/>
          <w:kern w:val="2"/>
          <w:sz w:val="32"/>
          <w:szCs w:val="32"/>
          <w:lang w:val="en-US" w:eastAsia="zh-CN" w:bidi="ar-SA"/>
          <w:highlight w:val="auto"/>
        </w:rPr>
        <w:t>一是</w:t>
      </w:r>
      <w:r>
        <w:rPr>
          <w:rFonts w:ascii="仿宋_GB2312" w:eastAsia="仿宋_GB2312" w:cs="仿宋_GB2312"/>
          <w:color w:val="auto"/>
          <w:kern w:val="2"/>
          <w:sz w:val="32"/>
          <w:szCs w:val="32"/>
          <w:lang w:val="en-US" w:eastAsia="zh-CN" w:bidi="ar-SA"/>
        </w:rPr>
        <w:t>2025年项目减少；二是厉行节俭节约</w:t>
      </w:r>
      <w:r>
        <w:rPr>
          <w:rFonts w:eastAsia="仿宋_GB2312" w:cs="仿宋_GB2312"/>
          <w:b w:val="0"/>
          <w:bCs w:val="0"/>
          <w:color w:val="auto"/>
          <w:sz w:val="32"/>
          <w:szCs w:val="32"/>
          <w:lang w:val="en-US" w:eastAsia="zh-CN"/>
          <w:highlight w:val="auto"/>
        </w:rPr>
        <w:t>。</w:t>
      </w:r>
    </w:p>
    <w:p>
      <w:pPr>
        <w:pStyle w:val="17"/>
        <w:rPr>
          <w:rFonts w:eastAsia="仿宋_GB2312" w:cs="仿宋_GB2312" w:hint="eastAsia"/>
          <w:b w:val="0"/>
          <w:bCs w:val="0"/>
          <w:color w:val="auto"/>
          <w:sz w:val="32"/>
          <w:szCs w:val="32"/>
          <w:lang w:val="en-US" w:eastAsia="zh-CN"/>
          <w:highlight w:val="auto"/>
        </w:rPr>
      </w:pPr>
      <w:r>
        <w:rPr>
          <w:rFonts w:eastAsia="仿宋_GB2312" w:cs="仿宋_GB2312"/>
          <w:b w:val="0"/>
          <w:bCs w:val="0"/>
          <w:color w:val="auto"/>
          <w:sz w:val="32"/>
          <w:szCs w:val="32"/>
          <w:lang w:val="en-US" w:eastAsia="zh-CN"/>
          <w:highlight w:val="auto"/>
        </w:rPr>
        <w:drawing>
          <wp:inline distT="0" distB="0" distL="85723" distR="85723">
            <wp:extent cx="4571929" cy="2743157"/>
            <wp:effectExtent l="0" t="0" r="1" b="1"/>
            <wp:docPr id="21" name="图片"/>
            <wp:cNvGraphicFramePr>
              <a:graphicFrameLocks noChangeAspect="1"/>
            </wp:cNvGraphicFramePr>
            <a:graphic>
              <a:graphicData uri="http://schemas.openxmlformats.org/drawingml/2006/picture">
                <pic:pic>
                  <pic:nvPicPr>
                    <pic:cNvPr id="23" name="图片 23"/>
                    <pic:cNvPicPr/>
                  </pic:nvPicPr>
                  <pic:blipFill>
                    <a:blip r:embed="rId11"/>
                    <a:stretch>
                      <a:fillRect/>
                    </a:stretch>
                  </pic:blipFill>
                  <pic:spPr>
                    <a:xfrm rot="0">
                      <a:off x="0" y="0"/>
                      <a:ext cx="4571929" cy="2743157"/>
                    </a:xfrm>
                    <a:prstGeom prst="rect"/>
                    <a:noFill/>
                    <a:ln w="9525" cmpd="sng" cap="flat">
                      <a:noFill/>
                      <a:prstDash val="solid"/>
                      <a:miter/>
                    </a:ln>
                  </pic:spPr>
                </pic:pic>
              </a:graphicData>
            </a:graphic>
          </wp:inline>
        </w:drawing>
      </w:r>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r>
        <w:rPr>
          <w:rFonts w:ascii="Times New Roman" w:eastAsia="仿宋_GB2312" w:cs="仿宋_GB2312" w:hAnsi="Times New Roman" w:hint="eastAsia"/>
          <w:color w:val="auto"/>
          <w:kern w:val="2"/>
          <w:sz w:val="32"/>
          <w:szCs w:val="32"/>
          <w:lang w:val="en-US" w:eastAsia="zh-CN" w:bidi="ar-SA"/>
          <w:highlight w:val="auto"/>
        </w:rPr>
        <w:t>（图5：一般公共预算财政拨款支出决算变动情况）（柱状图）</w:t>
      </w:r>
    </w:p>
    <w:p>
      <w:pPr>
        <w:spacing w:line="600" w:lineRule="exact"/>
        <w:ind w:firstLineChars="200" w:firstLine="640"/>
        <w:outlineLvl w:val="2"/>
        <w:rPr>
          <w:rFonts w:ascii="Times New Roman" w:eastAsia="楷体_GB2312" w:cs="楷体_GB2312" w:hAnsi="Times New Roman" w:hint="eastAsia"/>
          <w:b/>
          <w:color w:val="auto"/>
          <w:sz w:val="32"/>
          <w:szCs w:val="32"/>
          <w:highlight w:val="auto"/>
        </w:rPr>
      </w:pPr>
      <w:bookmarkStart w:id="28" w:name="_Toc15377211"/>
      <w:r>
        <w:rPr>
          <w:rFonts w:ascii="Times New Roman" w:eastAsia="楷体_GB2312" w:cs="楷体_GB2312" w:hAnsi="Times New Roman" w:hint="eastAsia"/>
          <w:b/>
          <w:color w:val="auto"/>
          <w:sz w:val="32"/>
          <w:szCs w:val="32"/>
          <w:highlight w:val="auto"/>
        </w:rPr>
        <w:t>（二）一般公共预算财政拨款支出决算结构情况</w:t>
      </w:r>
      <w:bookmarkEnd w:id="28"/>
    </w:p>
    <w:p>
      <w:pPr>
        <w:spacing w:line="600" w:lineRule="exact"/>
        <w:ind w:firstLine="640"/>
        <w:rPr>
          <w:rFonts w:ascii="Times New Roman" w:eastAsia="仿宋_GB2312" w:cs="仿宋_GB2312" w:hAnsi="Times New Roman" w:hint="eastAsia"/>
          <w:b/>
          <w:bCs/>
          <w:color w:val="auto"/>
          <w:kern w:val="2"/>
          <w:sz w:val="32"/>
          <w:szCs w:val="32"/>
          <w:lang w:val="en-US" w:eastAsia="zh-CN" w:bidi="ar-SA"/>
          <w:highlight w:val="auto"/>
        </w:rPr>
      </w:pPr>
      <w:r>
        <w:rPr>
          <w:rFonts w:ascii="Times New Roman" w:eastAsia="仿宋_GB2312" w:cs="仿宋_GB2312" w:hAnsi="Times New Roman" w:hint="eastAsia"/>
          <w:color w:val="auto"/>
          <w:kern w:val="2"/>
          <w:sz w:val="32"/>
          <w:szCs w:val="32"/>
          <w:lang w:val="en-US" w:eastAsia="zh-CN" w:bidi="ar-SA"/>
          <w:highlight w:val="auto"/>
        </w:rPr>
        <w:t>202</w:t>
      </w:r>
      <w:r>
        <w:rPr>
          <w:rFonts w:ascii="Times New Roman" w:eastAsia="仿宋_GB2312" w:cs="仿宋_GB2312" w:hAnsi="Times New Roman"/>
          <w:color w:val="auto"/>
          <w:kern w:val="2"/>
          <w:sz w:val="32"/>
          <w:szCs w:val="32"/>
          <w:lang w:val="en-US" w:eastAsia="zh-CN" w:bidi="ar-SA"/>
          <w:highlight w:val="auto"/>
        </w:rPr>
        <w:t>5</w:t>
      </w:r>
      <w:r>
        <w:rPr>
          <w:rFonts w:ascii="Times New Roman" w:eastAsia="仿宋_GB2312" w:cs="仿宋_GB2312" w:hAnsi="Times New Roman" w:hint="eastAsia"/>
          <w:color w:val="auto"/>
          <w:kern w:val="2"/>
          <w:sz w:val="32"/>
          <w:szCs w:val="32"/>
          <w:lang w:val="en-US" w:eastAsia="zh-CN" w:bidi="ar-SA"/>
          <w:highlight w:val="auto"/>
        </w:rPr>
        <w:t>年度一般公共预算财政拨款支出</w:t>
      </w:r>
      <w:r>
        <w:rPr>
          <w:rFonts w:ascii="仿宋_GB2312" w:eastAsia="仿宋_GB2312" w:cs="仿宋_GB2312"/>
          <w:sz w:val="32"/>
          <w:szCs w:val="32"/>
        </w:rPr>
        <w:t>336.28</w:t>
      </w:r>
      <w:r>
        <w:rPr>
          <w:rFonts w:ascii="仿宋_GB2312" w:eastAsia="仿宋_GB2312" w:cs="仿宋_GB2312" w:hint="eastAsia"/>
          <w:color w:val="auto"/>
          <w:kern w:val="2"/>
          <w:sz w:val="32"/>
          <w:szCs w:val="32"/>
          <w:lang w:val="en-US" w:eastAsia="zh-CN" w:bidi="ar-SA"/>
          <w:highlight w:val="auto"/>
        </w:rPr>
        <w:t>万元</w:t>
      </w:r>
      <w:r>
        <w:rPr>
          <w:rFonts w:ascii="Times New Roman" w:eastAsia="仿宋_GB2312" w:cs="仿宋_GB2312" w:hAnsi="Times New Roman" w:hint="eastAsia"/>
          <w:color w:val="auto"/>
          <w:kern w:val="2"/>
          <w:sz w:val="32"/>
          <w:szCs w:val="32"/>
          <w:lang w:val="en-US" w:eastAsia="zh-CN" w:bidi="ar-SA"/>
          <w:highlight w:val="auto"/>
        </w:rPr>
        <w:t>，主要用于以下方面</w:t>
      </w:r>
      <w:r>
        <w:rPr>
          <w:rFonts w:eastAsia="仿宋_GB2312" w:cs="仿宋_GB2312" w:hint="eastAsia"/>
          <w:color w:val="auto"/>
          <w:kern w:val="2"/>
          <w:sz w:val="32"/>
          <w:szCs w:val="32"/>
          <w:lang w:val="en-US" w:eastAsia="zh-CN" w:bidi="ar-SA"/>
          <w:highlight w:val="auto"/>
        </w:rPr>
        <w:t>：</w:t>
      </w:r>
      <w:r>
        <w:rPr>
          <w:rFonts w:ascii="Times New Roman" w:eastAsia="仿宋_GB2312" w:cs="仿宋_GB2312" w:hAnsi="Times New Roman" w:hint="eastAsia"/>
          <w:color w:val="auto"/>
          <w:kern w:val="2"/>
          <w:sz w:val="32"/>
          <w:szCs w:val="32"/>
          <w:lang w:val="en-US" w:eastAsia="zh-CN" w:bidi="ar-SA"/>
          <w:highlight w:val="auto"/>
        </w:rPr>
        <w:t>一般公共服务支出</w:t>
      </w:r>
      <w:r>
        <w:rPr>
          <w:rFonts w:eastAsia="仿宋_GB2312" w:cs="仿宋_GB2312"/>
          <w:color w:val="auto"/>
          <w:kern w:val="2"/>
          <w:sz w:val="32"/>
          <w:szCs w:val="32"/>
          <w:lang w:val="en-US" w:eastAsia="zh-CN" w:bidi="ar-SA"/>
          <w:highlight w:val="auto"/>
        </w:rPr>
        <w:t>316.91</w:t>
      </w:r>
      <w:r>
        <w:rPr>
          <w:rFonts w:ascii="Times New Roman" w:eastAsia="仿宋_GB2312" w:cs="仿宋_GB2312" w:hAnsi="Times New Roman" w:hint="eastAsia"/>
          <w:color w:val="auto"/>
          <w:kern w:val="2"/>
          <w:sz w:val="32"/>
          <w:szCs w:val="32"/>
          <w:lang w:val="en-US" w:eastAsia="zh-CN" w:bidi="ar-SA"/>
          <w:highlight w:val="auto"/>
        </w:rPr>
        <w:t>元，占</w:t>
      </w:r>
      <w:r>
        <w:rPr>
          <w:rFonts w:eastAsia="仿宋_GB2312" w:cs="仿宋_GB2312" w:hint="eastAsia"/>
          <w:color w:val="auto"/>
          <w:kern w:val="2"/>
          <w:sz w:val="32"/>
          <w:szCs w:val="32"/>
          <w:lang w:val="en-US" w:eastAsia="zh-CN" w:bidi="ar-SA"/>
          <w:highlight w:val="auto"/>
        </w:rPr>
        <w:t>90.9</w:t>
      </w:r>
      <w:r>
        <w:rPr>
          <w:rFonts w:ascii="Times New Roman" w:eastAsia="仿宋_GB2312" w:cs="仿宋_GB2312" w:hAnsi="Times New Roman" w:hint="eastAsia"/>
          <w:color w:val="auto"/>
          <w:kern w:val="2"/>
          <w:sz w:val="32"/>
          <w:szCs w:val="32"/>
          <w:lang w:val="en-US" w:eastAsia="zh-CN" w:bidi="ar-SA"/>
          <w:highlight w:val="auto"/>
        </w:rPr>
        <w:t>%；教育支出</w:t>
      </w:r>
      <w:r>
        <w:rPr>
          <w:rFonts w:eastAsia="仿宋_GB2312" w:cs="仿宋_GB2312" w:hint="eastAsia"/>
          <w:color w:val="auto"/>
          <w:kern w:val="2"/>
          <w:sz w:val="32"/>
          <w:szCs w:val="32"/>
          <w:lang w:val="en-US" w:eastAsia="zh-CN" w:bidi="ar-SA"/>
          <w:highlight w:val="auto"/>
        </w:rPr>
        <w:t>0</w:t>
      </w:r>
      <w:r>
        <w:rPr>
          <w:rFonts w:ascii="Times New Roman" w:eastAsia="仿宋_GB2312" w:cs="仿宋_GB2312" w:hAnsi="Times New Roman" w:hint="eastAsia"/>
          <w:color w:val="auto"/>
          <w:kern w:val="2"/>
          <w:sz w:val="32"/>
          <w:szCs w:val="32"/>
          <w:lang w:val="en-US" w:eastAsia="zh-CN" w:bidi="ar-SA"/>
          <w:highlight w:val="auto"/>
        </w:rPr>
        <w:t>万元，占</w:t>
      </w:r>
      <w:r>
        <w:rPr>
          <w:rFonts w:eastAsia="仿宋_GB2312" w:cs="仿宋_GB2312" w:hint="eastAsia"/>
          <w:color w:val="auto"/>
          <w:kern w:val="2"/>
          <w:sz w:val="32"/>
          <w:szCs w:val="32"/>
          <w:lang w:val="en-US" w:eastAsia="zh-CN" w:bidi="ar-SA"/>
          <w:highlight w:val="auto"/>
        </w:rPr>
        <w:t>0</w:t>
      </w:r>
      <w:r>
        <w:rPr>
          <w:rFonts w:ascii="Times New Roman" w:eastAsia="仿宋_GB2312" w:cs="仿宋_GB2312" w:hAnsi="Times New Roman" w:hint="eastAsia"/>
          <w:color w:val="auto"/>
          <w:kern w:val="2"/>
          <w:sz w:val="32"/>
          <w:szCs w:val="32"/>
          <w:lang w:val="en-US" w:eastAsia="zh-CN" w:bidi="ar-SA"/>
          <w:highlight w:val="auto"/>
        </w:rPr>
        <w:t>%；科学技术支出</w:t>
      </w:r>
      <w:r>
        <w:rPr>
          <w:rFonts w:eastAsia="仿宋_GB2312" w:cs="仿宋_GB2312" w:hint="eastAsia"/>
          <w:color w:val="auto"/>
          <w:kern w:val="2"/>
          <w:sz w:val="32"/>
          <w:szCs w:val="32"/>
          <w:lang w:val="en-US" w:eastAsia="zh-CN" w:bidi="ar-SA"/>
          <w:highlight w:val="auto"/>
        </w:rPr>
        <w:t>0</w:t>
      </w:r>
      <w:r>
        <w:rPr>
          <w:rFonts w:ascii="Times New Roman" w:eastAsia="仿宋_GB2312" w:cs="仿宋_GB2312" w:hAnsi="Times New Roman" w:hint="eastAsia"/>
          <w:color w:val="auto"/>
          <w:kern w:val="2"/>
          <w:sz w:val="32"/>
          <w:szCs w:val="32"/>
          <w:lang w:val="en-US" w:eastAsia="zh-CN" w:bidi="ar-SA"/>
          <w:highlight w:val="auto"/>
        </w:rPr>
        <w:t>万元，占</w:t>
      </w:r>
      <w:r>
        <w:rPr>
          <w:rFonts w:eastAsia="仿宋_GB2312" w:cs="仿宋_GB2312" w:hint="eastAsia"/>
          <w:color w:val="auto"/>
          <w:kern w:val="2"/>
          <w:sz w:val="32"/>
          <w:szCs w:val="32"/>
          <w:lang w:val="en-US" w:eastAsia="zh-CN" w:bidi="ar-SA"/>
          <w:highlight w:val="auto"/>
        </w:rPr>
        <w:t>0</w:t>
      </w:r>
      <w:r>
        <w:rPr>
          <w:rFonts w:ascii="Times New Roman" w:eastAsia="仿宋_GB2312" w:cs="仿宋_GB2312" w:hAnsi="Times New Roman" w:hint="eastAsia"/>
          <w:color w:val="auto"/>
          <w:kern w:val="2"/>
          <w:sz w:val="32"/>
          <w:szCs w:val="32"/>
          <w:lang w:val="en-US" w:eastAsia="zh-CN" w:bidi="ar-SA"/>
          <w:highlight w:val="auto"/>
        </w:rPr>
        <w:t>%；文化旅游体育与传媒支出</w:t>
      </w:r>
      <w:r>
        <w:rPr>
          <w:rFonts w:eastAsia="仿宋_GB2312" w:cs="仿宋_GB2312" w:hint="eastAsia"/>
          <w:color w:val="auto"/>
          <w:kern w:val="2"/>
          <w:sz w:val="32"/>
          <w:szCs w:val="32"/>
          <w:lang w:val="en-US" w:eastAsia="zh-CN" w:bidi="ar-SA"/>
          <w:highlight w:val="auto"/>
        </w:rPr>
        <w:t>0</w:t>
      </w:r>
      <w:r>
        <w:rPr>
          <w:rFonts w:ascii="Times New Roman" w:eastAsia="仿宋_GB2312" w:cs="仿宋_GB2312" w:hAnsi="Times New Roman" w:hint="eastAsia"/>
          <w:color w:val="auto"/>
          <w:kern w:val="2"/>
          <w:sz w:val="32"/>
          <w:szCs w:val="32"/>
          <w:lang w:val="en-US" w:eastAsia="zh-CN" w:bidi="ar-SA"/>
          <w:highlight w:val="auto"/>
        </w:rPr>
        <w:t>万元，占</w:t>
      </w:r>
      <w:r>
        <w:rPr>
          <w:rFonts w:eastAsia="仿宋_GB2312" w:cs="仿宋_GB2312" w:hint="eastAsia"/>
          <w:color w:val="auto"/>
          <w:kern w:val="2"/>
          <w:sz w:val="32"/>
          <w:szCs w:val="32"/>
          <w:lang w:val="en-US" w:eastAsia="zh-CN" w:bidi="ar-SA"/>
          <w:highlight w:val="auto"/>
        </w:rPr>
        <w:t>0</w:t>
      </w:r>
      <w:r>
        <w:rPr>
          <w:rFonts w:ascii="Times New Roman" w:eastAsia="仿宋_GB2312" w:cs="仿宋_GB2312" w:hAnsi="Times New Roman" w:hint="eastAsia"/>
          <w:color w:val="auto"/>
          <w:kern w:val="2"/>
          <w:sz w:val="32"/>
          <w:szCs w:val="32"/>
          <w:lang w:val="en-US" w:eastAsia="zh-CN" w:bidi="ar-SA"/>
          <w:highlight w:val="auto"/>
        </w:rPr>
        <w:t>%；社会保障和就业支出</w:t>
      </w:r>
      <w:r>
        <w:rPr>
          <w:rFonts w:eastAsia="仿宋_GB2312" w:cs="仿宋_GB2312"/>
          <w:color w:val="auto"/>
          <w:kern w:val="2"/>
          <w:sz w:val="32"/>
          <w:szCs w:val="32"/>
          <w:lang w:val="en-US" w:eastAsia="zh-CN" w:bidi="ar-SA"/>
          <w:highlight w:val="auto"/>
        </w:rPr>
        <w:t>17.73</w:t>
      </w:r>
      <w:r>
        <w:rPr>
          <w:rFonts w:ascii="Times New Roman" w:eastAsia="仿宋_GB2312" w:cs="仿宋_GB2312" w:hAnsi="Times New Roman" w:hint="eastAsia"/>
          <w:color w:val="auto"/>
          <w:kern w:val="2"/>
          <w:sz w:val="32"/>
          <w:szCs w:val="32"/>
          <w:lang w:val="en-US" w:eastAsia="zh-CN" w:bidi="ar-SA"/>
          <w:highlight w:val="auto"/>
        </w:rPr>
        <w:t>万元，占</w:t>
      </w:r>
      <w:r>
        <w:rPr>
          <w:rFonts w:eastAsia="仿宋_GB2312" w:cs="仿宋_GB2312" w:hint="eastAsia"/>
          <w:color w:val="auto"/>
          <w:kern w:val="2"/>
          <w:sz w:val="32"/>
          <w:szCs w:val="32"/>
          <w:lang w:val="en-US" w:eastAsia="zh-CN" w:bidi="ar-SA"/>
          <w:highlight w:val="auto"/>
        </w:rPr>
        <w:t>4.5</w:t>
      </w:r>
      <w:r>
        <w:rPr>
          <w:rFonts w:ascii="Times New Roman" w:eastAsia="仿宋_GB2312" w:cs="仿宋_GB2312" w:hAnsi="Times New Roman" w:hint="eastAsia"/>
          <w:color w:val="auto"/>
          <w:kern w:val="2"/>
          <w:sz w:val="32"/>
          <w:szCs w:val="32"/>
          <w:lang w:val="en-US" w:eastAsia="zh-CN" w:bidi="ar-SA"/>
          <w:highlight w:val="auto"/>
        </w:rPr>
        <w:t>%；卫生健康支出</w:t>
      </w:r>
      <w:r>
        <w:rPr>
          <w:rFonts w:eastAsia="仿宋_GB2312" w:cs="仿宋_GB2312"/>
          <w:color w:val="auto"/>
          <w:kern w:val="2"/>
          <w:sz w:val="32"/>
          <w:szCs w:val="32"/>
          <w:lang w:val="en-US" w:eastAsia="zh-CN" w:bidi="ar-SA"/>
          <w:highlight w:val="auto"/>
        </w:rPr>
        <w:t>6.98</w:t>
      </w:r>
      <w:r>
        <w:rPr>
          <w:rFonts w:ascii="Times New Roman" w:eastAsia="仿宋_GB2312" w:cs="仿宋_GB2312" w:hAnsi="Times New Roman" w:hint="eastAsia"/>
          <w:color w:val="auto"/>
          <w:kern w:val="2"/>
          <w:sz w:val="32"/>
          <w:szCs w:val="32"/>
          <w:lang w:val="en-US" w:eastAsia="zh-CN" w:bidi="ar-SA"/>
          <w:highlight w:val="auto"/>
        </w:rPr>
        <w:t>万元，占</w:t>
      </w:r>
      <w:r>
        <w:rPr>
          <w:rFonts w:eastAsia="仿宋_GB2312" w:cs="仿宋_GB2312" w:hint="eastAsia"/>
          <w:color w:val="auto"/>
          <w:kern w:val="2"/>
          <w:sz w:val="32"/>
          <w:szCs w:val="32"/>
          <w:lang w:val="en-US" w:eastAsia="zh-CN" w:bidi="ar-SA"/>
          <w:highlight w:val="auto"/>
        </w:rPr>
        <w:t>1.9</w:t>
      </w:r>
      <w:r>
        <w:rPr>
          <w:rFonts w:ascii="Times New Roman" w:eastAsia="仿宋_GB2312" w:cs="仿宋_GB2312" w:hAnsi="Times New Roman" w:hint="eastAsia"/>
          <w:color w:val="auto"/>
          <w:kern w:val="2"/>
          <w:sz w:val="32"/>
          <w:szCs w:val="32"/>
          <w:lang w:val="en-US" w:eastAsia="zh-CN" w:bidi="ar-SA"/>
          <w:highlight w:val="auto"/>
        </w:rPr>
        <w:t>%；住房保障支出</w:t>
      </w:r>
      <w:r>
        <w:rPr>
          <w:rFonts w:eastAsia="仿宋_GB2312" w:cs="仿宋_GB2312"/>
          <w:color w:val="auto"/>
          <w:kern w:val="2"/>
          <w:sz w:val="32"/>
          <w:szCs w:val="32"/>
          <w:lang w:val="en-US" w:eastAsia="zh-CN" w:bidi="ar-SA"/>
          <w:highlight w:val="auto"/>
        </w:rPr>
        <w:t>9.98</w:t>
      </w:r>
      <w:r>
        <w:rPr>
          <w:rFonts w:ascii="Times New Roman" w:eastAsia="仿宋_GB2312" w:cs="仿宋_GB2312" w:hAnsi="Times New Roman" w:hint="eastAsia"/>
          <w:color w:val="auto"/>
          <w:kern w:val="2"/>
          <w:sz w:val="32"/>
          <w:szCs w:val="32"/>
          <w:lang w:val="en-US" w:eastAsia="zh-CN" w:bidi="ar-SA"/>
          <w:highlight w:val="auto"/>
        </w:rPr>
        <w:t>万元，占</w:t>
      </w:r>
      <w:r>
        <w:rPr>
          <w:rFonts w:eastAsia="仿宋_GB2312" w:cs="仿宋_GB2312" w:hint="eastAsia"/>
          <w:color w:val="auto"/>
          <w:kern w:val="2"/>
          <w:sz w:val="32"/>
          <w:szCs w:val="32"/>
          <w:lang w:val="en-US" w:eastAsia="zh-CN" w:bidi="ar-SA"/>
          <w:highlight w:val="auto"/>
        </w:rPr>
        <w:t>2.7</w:t>
      </w:r>
      <w:r>
        <w:rPr>
          <w:rFonts w:ascii="Times New Roman" w:eastAsia="仿宋_GB2312" w:cs="仿宋_GB2312" w:hAnsi="Times New Roman" w:hint="eastAsia"/>
          <w:color w:val="auto"/>
          <w:kern w:val="2"/>
          <w:sz w:val="32"/>
          <w:szCs w:val="32"/>
          <w:lang w:val="en-US" w:eastAsia="zh-CN" w:bidi="ar-SA"/>
          <w:highlight w:val="auto"/>
        </w:rPr>
        <w:t>%；……</w:t>
      </w:r>
      <w:r>
        <w:rPr>
          <w:rFonts w:ascii="Times New Roman" w:eastAsia="仿宋_GB2312" w:cs="仿宋_GB2312" w:hAnsi="Times New Roman" w:hint="eastAsia"/>
          <w:b/>
          <w:bCs/>
          <w:color w:val="auto"/>
          <w:kern w:val="2"/>
          <w:sz w:val="32"/>
          <w:szCs w:val="32"/>
          <w:lang w:val="en-US" w:eastAsia="zh-CN" w:bidi="ar-SA"/>
          <w:highlight w:val="auto"/>
        </w:rPr>
        <w:t>（注：仅罗列本部门涉及的全部功能分类科目，至类级）</w:t>
      </w:r>
    </w:p>
    <w:p>
      <w:pPr>
        <w:pStyle w:val="17"/>
        <w:rPr>
          <w:rFonts w:ascii="Times New Roman" w:eastAsia="仿宋_GB2312" w:cs="仿宋_GB2312" w:hAnsi="Times New Roman" w:hint="eastAsia"/>
          <w:b/>
          <w:bCs/>
          <w:color w:val="auto"/>
          <w:kern w:val="2"/>
          <w:sz w:val="32"/>
          <w:szCs w:val="32"/>
          <w:lang w:val="en-US" w:eastAsia="zh-CN" w:bidi="ar-SA"/>
          <w:highlight w:val="auto"/>
        </w:rPr>
      </w:pPr>
      <w:r>
        <w:drawing>
          <wp:inline distT="0" distB="0" distL="114300" distR="114300">
            <wp:extent cx="4572000" cy="2743200"/>
            <wp:effectExtent l="0" t="0" r="0" b="0"/>
            <wp:docPr id="24" name="图表 4"/>
            <wp:cNvGraphicFramePr>
              <a:graphicFrameLocks noChangeAspect="0"/>
            </wp:cNvGraphicFramePr>
            <a:graphic>
              <a:graphicData uri="http://schemas.openxmlformats.org/drawingml/2006/chart">
                <c:chart xmlns:c="http://schemas.openxmlformats.org/drawingml/2006/chart" r:id="rId12"/>
              </a:graphicData>
            </a:graphic>
          </wp:inline>
        </w:drawing>
      </w:r>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r>
        <w:rPr>
          <w:rFonts w:ascii="Times New Roman" w:eastAsia="仿宋_GB2312" w:cs="仿宋_GB2312" w:hAnsi="Times New Roman" w:hint="eastAsia"/>
          <w:color w:val="auto"/>
          <w:kern w:val="2"/>
          <w:sz w:val="32"/>
          <w:szCs w:val="32"/>
          <w:lang w:val="en-US" w:eastAsia="zh-CN" w:bidi="ar-SA"/>
          <w:highlight w:val="auto"/>
        </w:rPr>
        <w:t>（图6：一般公共预算财政拨款支出决算结构）（饼状图）</w:t>
      </w:r>
    </w:p>
    <w:p>
      <w:pPr>
        <w:spacing w:line="600" w:lineRule="exact"/>
        <w:ind w:firstLineChars="200" w:firstLine="640"/>
        <w:outlineLvl w:val="2"/>
        <w:rPr>
          <w:rFonts w:ascii="Times New Roman" w:eastAsia="楷体_GB2312" w:cs="楷体_GB2312" w:hAnsi="Times New Roman" w:hint="eastAsia"/>
          <w:b/>
          <w:color w:val="auto"/>
          <w:sz w:val="32"/>
          <w:szCs w:val="32"/>
          <w:highlight w:val="auto"/>
        </w:rPr>
      </w:pPr>
      <w:bookmarkStart w:id="29" w:name="_Toc15377212"/>
      <w:r>
        <w:rPr>
          <w:rFonts w:ascii="Times New Roman" w:eastAsia="楷体_GB2312" w:cs="楷体_GB2312" w:hAnsi="Times New Roman" w:hint="eastAsia"/>
          <w:b/>
          <w:color w:val="auto"/>
          <w:sz w:val="32"/>
          <w:szCs w:val="32"/>
          <w:highlight w:val="auto"/>
        </w:rPr>
        <w:t>（三）一般公共预算财政拨款支出决算具体情况</w:t>
      </w:r>
      <w:bookmarkEnd w:id="29"/>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bookmarkStart w:id="30" w:name="_Toc15378460"/>
      <w:bookmarkStart w:id="31" w:name="_Toc15377444"/>
      <w:bookmarkStart w:id="32" w:name="_Toc15377213"/>
      <w:r>
        <w:rPr>
          <w:rFonts w:ascii="Times New Roman" w:eastAsia="仿宋_GB2312" w:cs="仿宋_GB2312" w:hAnsi="Times New Roman" w:hint="eastAsia"/>
          <w:color w:val="auto"/>
          <w:kern w:val="2"/>
          <w:sz w:val="32"/>
          <w:szCs w:val="32"/>
          <w:lang w:val="en-US" w:eastAsia="zh-CN" w:bidi="ar-SA"/>
          <w:highlight w:val="auto"/>
        </w:rPr>
        <w:t>202</w:t>
      </w:r>
      <w:r>
        <w:rPr>
          <w:rFonts w:ascii="Times New Roman" w:eastAsia="仿宋_GB2312" w:cs="仿宋_GB2312" w:hAnsi="Times New Roman"/>
          <w:color w:val="auto"/>
          <w:kern w:val="2"/>
          <w:sz w:val="32"/>
          <w:szCs w:val="32"/>
          <w:lang w:val="en-US" w:eastAsia="zh-CN" w:bidi="ar-SA"/>
          <w:highlight w:val="auto"/>
        </w:rPr>
        <w:t>5</w:t>
      </w:r>
      <w:r>
        <w:rPr>
          <w:rFonts w:ascii="Times New Roman" w:eastAsia="仿宋_GB2312" w:cs="仿宋_GB2312" w:hAnsi="Times New Roman" w:hint="eastAsia"/>
          <w:color w:val="auto"/>
          <w:kern w:val="2"/>
          <w:sz w:val="32"/>
          <w:szCs w:val="32"/>
          <w:lang w:val="en-US" w:eastAsia="zh-CN" w:bidi="ar-SA"/>
          <w:highlight w:val="auto"/>
        </w:rPr>
        <w:t>年度一般公共预算财政拨款支出决算数为</w:t>
      </w:r>
      <w:r>
        <w:rPr>
          <w:rFonts w:ascii="仿宋_GB2312" w:eastAsia="仿宋_GB2312" w:cs="仿宋_GB2312"/>
          <w:sz w:val="32"/>
          <w:szCs w:val="32"/>
        </w:rPr>
        <w:t>336.28</w:t>
      </w:r>
      <w:r>
        <w:rPr>
          <w:rFonts w:ascii="仿宋_GB2312" w:eastAsia="仿宋_GB2312" w:cs="仿宋_GB2312" w:hint="eastAsia"/>
          <w:color w:val="auto"/>
          <w:kern w:val="2"/>
          <w:sz w:val="32"/>
          <w:szCs w:val="32"/>
          <w:lang w:val="en-US" w:eastAsia="zh-CN" w:bidi="ar-SA"/>
          <w:highlight w:val="auto"/>
        </w:rPr>
        <w:t>，</w:t>
      </w:r>
      <w:r>
        <w:rPr>
          <w:rFonts w:ascii="Times New Roman" w:eastAsia="仿宋_GB2312" w:cs="仿宋_GB2312" w:hAnsi="Times New Roman" w:hint="eastAsia"/>
          <w:color w:val="auto"/>
          <w:kern w:val="2"/>
          <w:sz w:val="32"/>
          <w:szCs w:val="32"/>
          <w:lang w:val="en-US" w:eastAsia="zh-CN" w:bidi="ar-SA"/>
          <w:highlight w:val="auto"/>
        </w:rPr>
        <w:t>完成预算</w:t>
      </w:r>
      <w:r>
        <w:rPr>
          <w:rFonts w:eastAsia="仿宋_GB2312" w:cs="仿宋_GB2312" w:hint="eastAsia"/>
          <w:color w:val="auto"/>
          <w:kern w:val="2"/>
          <w:sz w:val="32"/>
          <w:szCs w:val="32"/>
          <w:lang w:val="en-US" w:eastAsia="zh-CN" w:bidi="ar-SA"/>
          <w:highlight w:val="auto"/>
        </w:rPr>
        <w:t>100</w:t>
      </w:r>
      <w:r>
        <w:rPr>
          <w:rFonts w:ascii="Times New Roman" w:eastAsia="仿宋_GB2312" w:cs="仿宋_GB2312" w:hAnsi="Times New Roman" w:hint="eastAsia"/>
          <w:color w:val="auto"/>
          <w:kern w:val="2"/>
          <w:sz w:val="32"/>
          <w:szCs w:val="32"/>
          <w:lang w:val="en-US" w:eastAsia="zh-CN" w:bidi="ar-SA"/>
          <w:highlight w:val="auto"/>
        </w:rPr>
        <w:t>%。其中：</w:t>
      </w:r>
      <w:bookmarkEnd w:id="30"/>
      <w:bookmarkEnd w:id="31"/>
      <w:bookmarkEnd w:id="32"/>
    </w:p>
    <w:p>
      <w:pPr>
        <w:spacing w:line="600" w:lineRule="exact"/>
        <w:ind w:firstLineChars="200" w:firstLine="640"/>
        <w:rPr>
          <w:rFonts w:ascii="仿宋" w:eastAsia="仿宋" w:hint="eastAsia"/>
          <w:b/>
          <w:color w:val="auto"/>
          <w:sz w:val="32"/>
          <w:szCs w:val="32"/>
          <w:highlight w:val="auto"/>
        </w:rPr>
      </w:pPr>
      <w:r>
        <w:rPr>
          <w:rFonts w:ascii="Times New Roman" w:eastAsia="仿宋_GB2312" w:cs="仿宋_GB2312" w:hAnsi="Times New Roman" w:hint="eastAsia"/>
          <w:color w:val="auto"/>
          <w:kern w:val="2"/>
          <w:sz w:val="32"/>
          <w:szCs w:val="32"/>
          <w:lang w:val="en-US" w:eastAsia="zh-CN" w:bidi="ar-SA"/>
          <w:highlight w:val="auto"/>
        </w:rPr>
        <w:t>1</w:t>
      </w:r>
      <w:r>
        <w:rPr>
          <w:rFonts w:eastAsia="仿宋_GB2312" w:cs="仿宋_GB2312" w:hint="eastAsia"/>
          <w:color w:val="auto"/>
          <w:kern w:val="2"/>
          <w:sz w:val="32"/>
          <w:szCs w:val="32"/>
          <w:lang w:val="en-US" w:eastAsia="zh-CN" w:bidi="ar-SA"/>
          <w:highlight w:val="auto"/>
        </w:rPr>
        <w:t>.</w:t>
      </w:r>
      <w:r>
        <w:rPr>
          <w:rFonts w:ascii="Times New Roman" w:eastAsia="仿宋_GB2312" w:cs="仿宋_GB2312" w:hAnsi="Times New Roman" w:hint="eastAsia"/>
          <w:color w:val="auto"/>
          <w:kern w:val="2"/>
          <w:sz w:val="32"/>
          <w:szCs w:val="32"/>
          <w:lang w:val="en-US" w:eastAsia="zh-CN" w:bidi="ar-SA"/>
          <w:highlight w:val="auto"/>
        </w:rPr>
        <w:t>一般公共服务（类）群众团体事务（款）行政</w:t>
      </w:r>
      <w:r>
        <w:rPr>
          <w:rStyle w:val="31"/>
          <w:rFonts w:ascii="仿宋" w:eastAsia="仿宋" w:cs="仿宋_GB2312" w:hint="eastAsia"/>
          <w:bCs/>
          <w:sz w:val="32"/>
          <w:szCs w:val="32"/>
          <w:lang w:bidi="ar-SA"/>
        </w:rPr>
        <w:t>运行（项）</w:t>
      </w:r>
      <w:r>
        <w:rPr>
          <w:rFonts w:eastAsia="仿宋_GB2312" w:cs="仿宋_GB2312" w:hint="eastAsia"/>
          <w:color w:val="auto"/>
          <w:kern w:val="2"/>
          <w:sz w:val="32"/>
          <w:szCs w:val="32"/>
          <w:lang w:val="en-US" w:eastAsia="zh-CN" w:bidi="ar-SA"/>
          <w:highlight w:val="auto"/>
        </w:rPr>
        <w:t>：</w:t>
      </w:r>
      <w:r>
        <w:rPr>
          <w:rFonts w:ascii="Times New Roman" w:eastAsia="仿宋_GB2312" w:cs="仿宋_GB2312" w:hAnsi="Times New Roman" w:hint="eastAsia"/>
          <w:color w:val="auto"/>
          <w:kern w:val="2"/>
          <w:sz w:val="32"/>
          <w:szCs w:val="32"/>
          <w:lang w:val="en-US" w:eastAsia="zh-CN" w:bidi="ar-SA"/>
          <w:highlight w:val="auto"/>
        </w:rPr>
        <w:t>支出决算为</w:t>
      </w:r>
      <w:r>
        <w:rPr>
          <w:rFonts w:eastAsia="仿宋_GB2312" w:cs="仿宋_GB2312"/>
          <w:color w:val="auto"/>
          <w:kern w:val="2"/>
          <w:sz w:val="32"/>
          <w:szCs w:val="32"/>
          <w:lang w:val="en-US" w:eastAsia="zh-CN" w:bidi="ar-SA"/>
          <w:highlight w:val="auto"/>
        </w:rPr>
        <w:t>132.64</w:t>
      </w:r>
      <w:r>
        <w:rPr>
          <w:rFonts w:ascii="Times New Roman" w:eastAsia="仿宋_GB2312" w:cs="仿宋_GB2312" w:hAnsi="Times New Roman" w:hint="eastAsia"/>
          <w:color w:val="auto"/>
          <w:kern w:val="2"/>
          <w:sz w:val="32"/>
          <w:szCs w:val="32"/>
          <w:lang w:val="en-US" w:eastAsia="zh-CN" w:bidi="ar-SA"/>
          <w:highlight w:val="auto"/>
        </w:rPr>
        <w:t>万元，完成预算</w:t>
      </w:r>
      <w:r>
        <w:rPr>
          <w:rFonts w:eastAsia="仿宋_GB2312" w:cs="仿宋_GB2312" w:hint="eastAsia"/>
          <w:color w:val="auto"/>
          <w:kern w:val="2"/>
          <w:sz w:val="32"/>
          <w:szCs w:val="32"/>
          <w:lang w:val="en-US" w:eastAsia="zh-CN" w:bidi="ar-SA"/>
          <w:highlight w:val="auto"/>
        </w:rPr>
        <w:t>100</w:t>
      </w:r>
      <w:r>
        <w:rPr>
          <w:rFonts w:ascii="Times New Roman" w:eastAsia="仿宋_GB2312" w:cs="仿宋_GB2312" w:hAnsi="Times New Roman" w:hint="eastAsia"/>
          <w:color w:val="auto"/>
          <w:kern w:val="2"/>
          <w:sz w:val="32"/>
          <w:szCs w:val="32"/>
          <w:lang w:val="en-US" w:eastAsia="zh-CN" w:bidi="ar-SA"/>
          <w:highlight w:val="auto"/>
        </w:rPr>
        <w:t>%，</w:t>
      </w:r>
      <w:r>
        <w:rPr>
          <w:rStyle w:val="31"/>
          <w:rFonts w:ascii="仿宋" w:eastAsia="仿宋" w:hint="eastAsia"/>
          <w:b w:val="0"/>
          <w:bCs/>
          <w:color w:val="auto"/>
          <w:sz w:val="32"/>
          <w:szCs w:val="32"/>
          <w:highlight w:val="auto"/>
        </w:rPr>
        <w:t>决算数等于预算数。</w:t>
      </w:r>
    </w:p>
    <w:p>
      <w:pPr>
        <w:spacing w:line="600" w:lineRule="exact"/>
        <w:ind w:firstLineChars="200" w:firstLine="640"/>
        <w:rPr>
          <w:rFonts w:ascii="仿宋" w:eastAsia="仿宋" w:hint="eastAsia"/>
          <w:b/>
          <w:color w:val="auto"/>
          <w:sz w:val="32"/>
          <w:szCs w:val="32"/>
          <w:highlight w:val="auto"/>
        </w:rPr>
      </w:pPr>
      <w:r>
        <w:rPr>
          <w:rFonts w:ascii="Times New Roman" w:eastAsia="仿宋_GB2312" w:cs="仿宋_GB2312" w:hAnsi="Times New Roman" w:hint="eastAsia"/>
          <w:color w:val="auto"/>
          <w:kern w:val="2"/>
          <w:sz w:val="32"/>
          <w:szCs w:val="32"/>
          <w:lang w:val="en-US" w:eastAsia="zh-CN" w:bidi="ar-SA"/>
          <w:highlight w:val="auto"/>
        </w:rPr>
        <w:t>2.教育（类）***（款）***（项）</w:t>
      </w:r>
      <w:r>
        <w:rPr>
          <w:rFonts w:eastAsia="仿宋_GB2312" w:cs="仿宋_GB2312" w:hint="eastAsia"/>
          <w:color w:val="auto"/>
          <w:kern w:val="2"/>
          <w:sz w:val="32"/>
          <w:szCs w:val="32"/>
          <w:lang w:val="en-US" w:eastAsia="zh-CN" w:bidi="ar-SA"/>
          <w:highlight w:val="auto"/>
        </w:rPr>
        <w:t>：</w:t>
      </w:r>
      <w:r>
        <w:rPr>
          <w:rFonts w:ascii="Times New Roman" w:eastAsia="仿宋_GB2312" w:cs="仿宋_GB2312" w:hAnsi="Times New Roman" w:hint="eastAsia"/>
          <w:color w:val="auto"/>
          <w:kern w:val="2"/>
          <w:sz w:val="32"/>
          <w:szCs w:val="32"/>
          <w:lang w:val="en-US" w:eastAsia="zh-CN" w:bidi="ar-SA"/>
          <w:highlight w:val="auto"/>
        </w:rPr>
        <w:t xml:space="preserve"> 支出决算为</w:t>
      </w:r>
      <w:r>
        <w:rPr>
          <w:rFonts w:eastAsia="仿宋_GB2312" w:cs="仿宋_GB2312" w:hint="eastAsia"/>
          <w:color w:val="auto"/>
          <w:kern w:val="2"/>
          <w:sz w:val="32"/>
          <w:szCs w:val="32"/>
          <w:lang w:val="en-US" w:eastAsia="zh-CN" w:bidi="ar-SA"/>
          <w:highlight w:val="auto"/>
        </w:rPr>
        <w:t>0</w:t>
      </w:r>
      <w:r>
        <w:rPr>
          <w:rFonts w:ascii="Times New Roman" w:eastAsia="仿宋_GB2312" w:cs="仿宋_GB2312" w:hAnsi="Times New Roman" w:hint="eastAsia"/>
          <w:color w:val="auto"/>
          <w:kern w:val="2"/>
          <w:sz w:val="32"/>
          <w:szCs w:val="32"/>
          <w:lang w:val="en-US" w:eastAsia="zh-CN" w:bidi="ar-SA"/>
          <w:highlight w:val="auto"/>
        </w:rPr>
        <w:t>万元，完成预算</w:t>
      </w:r>
      <w:r>
        <w:rPr>
          <w:rFonts w:eastAsia="仿宋_GB2312" w:cs="仿宋_GB2312" w:hint="eastAsia"/>
          <w:color w:val="auto"/>
          <w:kern w:val="2"/>
          <w:sz w:val="32"/>
          <w:szCs w:val="32"/>
          <w:lang w:val="en-US" w:eastAsia="zh-CN" w:bidi="ar-SA"/>
          <w:highlight w:val="auto"/>
        </w:rPr>
        <w:t>0</w:t>
      </w:r>
      <w:r>
        <w:rPr>
          <w:rFonts w:ascii="Times New Roman" w:eastAsia="仿宋_GB2312" w:cs="仿宋_GB2312" w:hAnsi="Times New Roman" w:hint="eastAsia"/>
          <w:color w:val="auto"/>
          <w:kern w:val="2"/>
          <w:sz w:val="32"/>
          <w:szCs w:val="32"/>
          <w:lang w:val="en-US" w:eastAsia="zh-CN" w:bidi="ar-SA"/>
          <w:highlight w:val="auto"/>
        </w:rPr>
        <w:t>%，</w:t>
      </w:r>
      <w:r>
        <w:rPr>
          <w:rStyle w:val="31"/>
          <w:rFonts w:ascii="仿宋" w:eastAsia="仿宋" w:hint="eastAsia"/>
          <w:b w:val="0"/>
          <w:bCs/>
          <w:color w:val="auto"/>
          <w:sz w:val="32"/>
          <w:szCs w:val="32"/>
          <w:highlight w:val="auto"/>
        </w:rPr>
        <w:t>我会不涉及此科目，202</w:t>
      </w:r>
      <w:r>
        <w:rPr>
          <w:rStyle w:val="31"/>
          <w:rFonts w:ascii="仿宋" w:eastAsia="仿宋"/>
          <w:b w:val="0"/>
          <w:bCs/>
          <w:color w:val="auto"/>
          <w:sz w:val="32"/>
          <w:szCs w:val="32"/>
          <w:highlight w:val="auto"/>
        </w:rPr>
        <w:t>5</w:t>
      </w:r>
      <w:r>
        <w:rPr>
          <w:rStyle w:val="31"/>
          <w:rFonts w:ascii="仿宋" w:eastAsia="仿宋" w:hint="eastAsia"/>
          <w:b w:val="0"/>
          <w:bCs/>
          <w:color w:val="auto"/>
          <w:sz w:val="32"/>
          <w:szCs w:val="32"/>
          <w:highlight w:val="auto"/>
        </w:rPr>
        <w:t>年度教育类支出0万元。</w:t>
      </w:r>
    </w:p>
    <w:p>
      <w:pPr>
        <w:spacing w:line="600" w:lineRule="exact"/>
        <w:ind w:firstLineChars="200" w:firstLine="640"/>
        <w:rPr>
          <w:rStyle w:val="31"/>
          <w:rFonts w:ascii="仿宋" w:eastAsia="仿宋" w:hint="eastAsia"/>
          <w:b w:val="0"/>
          <w:bCs/>
          <w:color w:val="auto"/>
          <w:sz w:val="32"/>
          <w:szCs w:val="32"/>
          <w:highlight w:val="auto"/>
        </w:rPr>
      </w:pPr>
      <w:r>
        <w:rPr>
          <w:rFonts w:ascii="Times New Roman" w:eastAsia="仿宋_GB2312" w:cs="仿宋_GB2312" w:hAnsi="Times New Roman" w:hint="eastAsia"/>
          <w:color w:val="auto"/>
          <w:kern w:val="2"/>
          <w:sz w:val="32"/>
          <w:szCs w:val="32"/>
          <w:lang w:val="en-US" w:eastAsia="zh-CN" w:bidi="ar-SA"/>
          <w:highlight w:val="auto"/>
        </w:rPr>
        <w:t>3.科学技术（类）***（款）***（项）</w:t>
      </w:r>
      <w:r>
        <w:rPr>
          <w:rFonts w:eastAsia="仿宋_GB2312" w:cs="仿宋_GB2312" w:hint="eastAsia"/>
          <w:color w:val="auto"/>
          <w:kern w:val="2"/>
          <w:sz w:val="32"/>
          <w:szCs w:val="32"/>
          <w:lang w:val="en-US" w:eastAsia="zh-CN" w:bidi="ar-SA"/>
          <w:highlight w:val="auto"/>
        </w:rPr>
        <w:t>：</w:t>
      </w:r>
      <w:r>
        <w:rPr>
          <w:rFonts w:ascii="Times New Roman" w:eastAsia="仿宋_GB2312" w:cs="仿宋_GB2312" w:hAnsi="Times New Roman" w:hint="eastAsia"/>
          <w:color w:val="auto"/>
          <w:kern w:val="2"/>
          <w:sz w:val="32"/>
          <w:szCs w:val="32"/>
          <w:lang w:val="en-US" w:eastAsia="zh-CN" w:bidi="ar-SA"/>
          <w:highlight w:val="auto"/>
        </w:rPr>
        <w:t>支出决算为</w:t>
      </w:r>
      <w:r>
        <w:rPr>
          <w:rFonts w:eastAsia="仿宋_GB2312" w:cs="仿宋_GB2312" w:hint="eastAsia"/>
          <w:color w:val="auto"/>
          <w:kern w:val="2"/>
          <w:sz w:val="32"/>
          <w:szCs w:val="32"/>
          <w:lang w:val="en-US" w:eastAsia="zh-CN" w:bidi="ar-SA"/>
          <w:highlight w:val="auto"/>
        </w:rPr>
        <w:t>0</w:t>
      </w:r>
      <w:r>
        <w:rPr>
          <w:rFonts w:ascii="Times New Roman" w:eastAsia="仿宋_GB2312" w:cs="仿宋_GB2312" w:hAnsi="Times New Roman" w:hint="eastAsia"/>
          <w:color w:val="auto"/>
          <w:kern w:val="2"/>
          <w:sz w:val="32"/>
          <w:szCs w:val="32"/>
          <w:lang w:val="en-US" w:eastAsia="zh-CN" w:bidi="ar-SA"/>
          <w:highlight w:val="auto"/>
        </w:rPr>
        <w:t>万元，完成预算</w:t>
      </w:r>
      <w:r>
        <w:rPr>
          <w:rFonts w:eastAsia="仿宋_GB2312" w:cs="仿宋_GB2312" w:hint="eastAsia"/>
          <w:color w:val="auto"/>
          <w:kern w:val="2"/>
          <w:sz w:val="32"/>
          <w:szCs w:val="32"/>
          <w:lang w:val="en-US" w:eastAsia="zh-CN" w:bidi="ar-SA"/>
          <w:highlight w:val="auto"/>
        </w:rPr>
        <w:t>0</w:t>
      </w:r>
      <w:r>
        <w:rPr>
          <w:rFonts w:ascii="Times New Roman" w:eastAsia="仿宋_GB2312" w:cs="仿宋_GB2312" w:hAnsi="Times New Roman" w:hint="eastAsia"/>
          <w:color w:val="auto"/>
          <w:kern w:val="2"/>
          <w:sz w:val="32"/>
          <w:szCs w:val="32"/>
          <w:lang w:val="en-US" w:eastAsia="zh-CN" w:bidi="ar-SA"/>
          <w:highlight w:val="auto"/>
        </w:rPr>
        <w:t>%，</w:t>
      </w:r>
      <w:r>
        <w:rPr>
          <w:rStyle w:val="31"/>
          <w:rFonts w:ascii="仿宋" w:eastAsia="仿宋" w:hint="eastAsia"/>
          <w:b w:val="0"/>
          <w:bCs/>
          <w:color w:val="auto"/>
          <w:sz w:val="32"/>
          <w:szCs w:val="32"/>
          <w:highlight w:val="auto"/>
        </w:rPr>
        <w:t>我会不涉及此科目，202</w:t>
      </w:r>
      <w:r>
        <w:rPr>
          <w:rStyle w:val="31"/>
          <w:rFonts w:ascii="仿宋" w:eastAsia="仿宋"/>
          <w:b w:val="0"/>
          <w:bCs/>
          <w:color w:val="auto"/>
          <w:sz w:val="32"/>
          <w:szCs w:val="32"/>
          <w:highlight w:val="auto"/>
        </w:rPr>
        <w:t>5</w:t>
      </w:r>
      <w:r>
        <w:rPr>
          <w:rStyle w:val="31"/>
          <w:rFonts w:ascii="仿宋" w:eastAsia="仿宋" w:hint="eastAsia"/>
          <w:b w:val="0"/>
          <w:bCs/>
          <w:color w:val="auto"/>
          <w:sz w:val="32"/>
          <w:szCs w:val="32"/>
          <w:highlight w:val="auto"/>
        </w:rPr>
        <w:t>年度科学技术类支出0万元。</w:t>
      </w:r>
    </w:p>
    <w:p>
      <w:pPr>
        <w:spacing w:line="600" w:lineRule="exact"/>
        <w:ind w:firstLineChars="200" w:firstLine="640"/>
        <w:rPr>
          <w:rStyle w:val="31"/>
          <w:rFonts w:ascii="仿宋" w:eastAsia="仿宋" w:hint="eastAsia"/>
          <w:b w:val="0"/>
          <w:bCs/>
          <w:color w:val="auto"/>
          <w:sz w:val="32"/>
          <w:szCs w:val="32"/>
          <w:highlight w:val="auto"/>
        </w:rPr>
      </w:pPr>
      <w:r>
        <w:rPr>
          <w:rFonts w:ascii="Times New Roman" w:eastAsia="仿宋_GB2312" w:cs="仿宋_GB2312" w:hAnsi="Times New Roman" w:hint="eastAsia"/>
          <w:color w:val="auto"/>
          <w:kern w:val="2"/>
          <w:sz w:val="32"/>
          <w:szCs w:val="32"/>
          <w:lang w:val="en-US" w:eastAsia="zh-CN" w:bidi="ar-SA"/>
          <w:highlight w:val="auto"/>
        </w:rPr>
        <w:t>4.文化旅游体育与传媒（类）***（款）***（项）</w:t>
      </w:r>
      <w:r>
        <w:rPr>
          <w:rFonts w:eastAsia="仿宋_GB2312" w:cs="仿宋_GB2312" w:hint="eastAsia"/>
          <w:color w:val="auto"/>
          <w:kern w:val="2"/>
          <w:sz w:val="32"/>
          <w:szCs w:val="32"/>
          <w:lang w:val="en-US" w:eastAsia="zh-CN" w:bidi="ar-SA"/>
          <w:highlight w:val="auto"/>
        </w:rPr>
        <w:t>：</w:t>
      </w:r>
      <w:r>
        <w:rPr>
          <w:rFonts w:ascii="Times New Roman" w:eastAsia="仿宋_GB2312" w:cs="仿宋_GB2312" w:hAnsi="Times New Roman" w:hint="eastAsia"/>
          <w:color w:val="auto"/>
          <w:kern w:val="2"/>
          <w:sz w:val="32"/>
          <w:szCs w:val="32"/>
          <w:lang w:val="en-US" w:eastAsia="zh-CN" w:bidi="ar-SA"/>
          <w:highlight w:val="auto"/>
        </w:rPr>
        <w:t>支出决算为</w:t>
      </w:r>
      <w:r>
        <w:rPr>
          <w:rFonts w:eastAsia="仿宋_GB2312" w:cs="仿宋_GB2312" w:hint="eastAsia"/>
          <w:color w:val="auto"/>
          <w:kern w:val="2"/>
          <w:sz w:val="32"/>
          <w:szCs w:val="32"/>
          <w:lang w:val="en-US" w:eastAsia="zh-CN" w:bidi="ar-SA"/>
          <w:highlight w:val="auto"/>
        </w:rPr>
        <w:t>0</w:t>
      </w:r>
      <w:r>
        <w:rPr>
          <w:rFonts w:ascii="Times New Roman" w:eastAsia="仿宋_GB2312" w:cs="仿宋_GB2312" w:hAnsi="Times New Roman" w:hint="eastAsia"/>
          <w:color w:val="auto"/>
          <w:kern w:val="2"/>
          <w:sz w:val="32"/>
          <w:szCs w:val="32"/>
          <w:lang w:val="en-US" w:eastAsia="zh-CN" w:bidi="ar-SA"/>
          <w:highlight w:val="auto"/>
        </w:rPr>
        <w:t>万元，完成预算</w:t>
      </w:r>
      <w:r>
        <w:rPr>
          <w:rFonts w:eastAsia="仿宋_GB2312" w:cs="仿宋_GB2312" w:hint="eastAsia"/>
          <w:color w:val="auto"/>
          <w:kern w:val="2"/>
          <w:sz w:val="32"/>
          <w:szCs w:val="32"/>
          <w:lang w:val="en-US" w:eastAsia="zh-CN" w:bidi="ar-SA"/>
          <w:highlight w:val="auto"/>
        </w:rPr>
        <w:t>0</w:t>
      </w:r>
      <w:r>
        <w:rPr>
          <w:rFonts w:ascii="Times New Roman" w:eastAsia="仿宋_GB2312" w:cs="仿宋_GB2312" w:hAnsi="Times New Roman" w:hint="eastAsia"/>
          <w:color w:val="auto"/>
          <w:kern w:val="2"/>
          <w:sz w:val="32"/>
          <w:szCs w:val="32"/>
          <w:lang w:val="en-US" w:eastAsia="zh-CN" w:bidi="ar-SA"/>
          <w:highlight w:val="auto"/>
        </w:rPr>
        <w:t>%，</w:t>
      </w:r>
      <w:r>
        <w:rPr>
          <w:rStyle w:val="31"/>
          <w:rFonts w:ascii="仿宋" w:eastAsia="仿宋" w:hint="eastAsia"/>
          <w:b w:val="0"/>
          <w:bCs/>
          <w:color w:val="auto"/>
          <w:sz w:val="32"/>
          <w:szCs w:val="32"/>
          <w:highlight w:val="auto"/>
        </w:rPr>
        <w:t>我会不涉及此科目，202</w:t>
      </w:r>
      <w:r>
        <w:rPr>
          <w:rStyle w:val="31"/>
          <w:rFonts w:ascii="仿宋" w:eastAsia="仿宋" w:hint="eastAsia"/>
          <w:b w:val="0"/>
          <w:bCs/>
          <w:color w:val="auto"/>
          <w:sz w:val="32"/>
          <w:szCs w:val="32"/>
          <w:lang w:val="en-US" w:eastAsia="zh-CN"/>
          <w:highlight w:val="auto"/>
        </w:rPr>
        <w:t>4</w:t>
      </w:r>
      <w:r>
        <w:rPr>
          <w:rStyle w:val="31"/>
          <w:rFonts w:ascii="仿宋" w:eastAsia="仿宋" w:hint="eastAsia"/>
          <w:b w:val="0"/>
          <w:bCs/>
          <w:color w:val="auto"/>
          <w:sz w:val="32"/>
          <w:szCs w:val="32"/>
          <w:highlight w:val="auto"/>
        </w:rPr>
        <w:t>年度文化旅游类支出0万元。</w:t>
      </w:r>
    </w:p>
    <w:p>
      <w:pPr>
        <w:spacing w:line="600" w:lineRule="exact"/>
        <w:ind w:firstLine="640"/>
        <w:rPr>
          <w:rStyle w:val="31"/>
          <w:rFonts w:ascii="仿宋" w:eastAsia="仿宋" w:hint="eastAsia"/>
          <w:b w:val="0"/>
          <w:bCs/>
          <w:color w:val="auto"/>
          <w:sz w:val="32"/>
          <w:szCs w:val="32"/>
          <w:highlight w:val="auto"/>
        </w:rPr>
      </w:pPr>
      <w:r>
        <w:rPr>
          <w:rFonts w:ascii="Times New Roman" w:eastAsia="仿宋_GB2312" w:cs="仿宋_GB2312" w:hAnsi="Times New Roman" w:hint="eastAsia"/>
          <w:color w:val="auto"/>
          <w:kern w:val="2"/>
          <w:sz w:val="32"/>
          <w:szCs w:val="32"/>
          <w:lang w:val="en-US" w:eastAsia="zh-CN" w:bidi="ar-SA"/>
          <w:highlight w:val="auto"/>
        </w:rPr>
        <w:t>5.社会保障和就业（类）</w:t>
      </w:r>
      <w:r>
        <w:rPr>
          <w:rStyle w:val="31"/>
          <w:rFonts w:ascii="仿宋" w:eastAsia="仿宋" w:cs="仿宋_GB2312" w:hint="eastAsia"/>
          <w:bCs/>
          <w:sz w:val="32"/>
          <w:szCs w:val="32"/>
          <w:lang w:bidi="ar-SA"/>
        </w:rPr>
        <w:t>行</w:t>
      </w:r>
      <w:r>
        <w:rPr>
          <w:rFonts w:ascii="Times New Roman" w:eastAsia="仿宋_GB2312" w:cs="仿宋_GB2312" w:hAnsi="Times New Roman" w:hint="eastAsia"/>
          <w:color w:val="auto"/>
          <w:kern w:val="2"/>
          <w:sz w:val="32"/>
          <w:szCs w:val="32"/>
          <w:lang w:val="en-US" w:eastAsia="zh-CN" w:bidi="ar-SA"/>
          <w:highlight w:val="auto"/>
        </w:rPr>
        <w:t>政事业单位离退休（款）机关事业单位基本养老保险缴费支出（项）</w:t>
      </w:r>
      <w:r>
        <w:rPr>
          <w:rFonts w:eastAsia="仿宋_GB2312" w:cs="仿宋_GB2312" w:hint="eastAsia"/>
          <w:color w:val="auto"/>
          <w:kern w:val="2"/>
          <w:sz w:val="32"/>
          <w:szCs w:val="32"/>
          <w:lang w:val="en-US" w:eastAsia="zh-CN" w:bidi="ar-SA"/>
          <w:highlight w:val="auto"/>
        </w:rPr>
        <w:t>：</w:t>
      </w:r>
      <w:r>
        <w:rPr>
          <w:rFonts w:ascii="Times New Roman" w:eastAsia="仿宋_GB2312" w:cs="仿宋_GB2312" w:hAnsi="Times New Roman" w:hint="eastAsia"/>
          <w:color w:val="auto"/>
          <w:kern w:val="2"/>
          <w:sz w:val="32"/>
          <w:szCs w:val="32"/>
          <w:lang w:val="en-US" w:eastAsia="zh-CN" w:bidi="ar-SA"/>
          <w:highlight w:val="auto"/>
        </w:rPr>
        <w:t>支出决算为</w:t>
      </w:r>
      <w:r>
        <w:rPr>
          <w:rFonts w:eastAsia="仿宋_GB2312" w:cs="仿宋_GB2312"/>
          <w:color w:val="auto"/>
          <w:kern w:val="2"/>
          <w:sz w:val="32"/>
          <w:szCs w:val="32"/>
          <w:lang w:val="en-US" w:eastAsia="zh-CN" w:bidi="ar-SA"/>
          <w:highlight w:val="auto"/>
        </w:rPr>
        <w:t>17.73</w:t>
      </w:r>
      <w:r>
        <w:rPr>
          <w:rFonts w:ascii="Times New Roman" w:eastAsia="仿宋_GB2312" w:cs="仿宋_GB2312" w:hAnsi="Times New Roman" w:hint="eastAsia"/>
          <w:color w:val="auto"/>
          <w:kern w:val="2"/>
          <w:sz w:val="32"/>
          <w:szCs w:val="32"/>
          <w:lang w:val="en-US" w:eastAsia="zh-CN" w:bidi="ar-SA"/>
          <w:highlight w:val="auto"/>
        </w:rPr>
        <w:t>万元，完成预算</w:t>
      </w:r>
      <w:r>
        <w:rPr>
          <w:rFonts w:eastAsia="仿宋_GB2312" w:cs="仿宋_GB2312" w:hint="eastAsia"/>
          <w:color w:val="auto"/>
          <w:kern w:val="2"/>
          <w:sz w:val="32"/>
          <w:szCs w:val="32"/>
          <w:lang w:val="en-US" w:eastAsia="zh-CN" w:bidi="ar-SA"/>
          <w:highlight w:val="auto"/>
        </w:rPr>
        <w:t>100</w:t>
      </w:r>
      <w:r>
        <w:rPr>
          <w:rFonts w:ascii="Times New Roman" w:eastAsia="仿宋_GB2312" w:cs="仿宋_GB2312" w:hAnsi="Times New Roman" w:hint="eastAsia"/>
          <w:color w:val="auto"/>
          <w:kern w:val="2"/>
          <w:sz w:val="32"/>
          <w:szCs w:val="32"/>
          <w:lang w:val="en-US" w:eastAsia="zh-CN" w:bidi="ar-SA"/>
          <w:highlight w:val="auto"/>
        </w:rPr>
        <w:t>%，</w:t>
      </w:r>
      <w:r>
        <w:rPr>
          <w:rStyle w:val="31"/>
          <w:rFonts w:ascii="仿宋" w:eastAsia="仿宋" w:hint="eastAsia"/>
          <w:b w:val="0"/>
          <w:bCs/>
          <w:color w:val="auto"/>
          <w:sz w:val="32"/>
          <w:szCs w:val="32"/>
          <w:highlight w:val="auto"/>
        </w:rPr>
        <w:t>决算数等于预算数。</w:t>
      </w:r>
    </w:p>
    <w:p>
      <w:pPr>
        <w:pStyle w:val="15"/>
        <w:ind w:firstLineChars="200" w:firstLine="640"/>
        <w:rPr>
          <w:rFonts w:ascii="Times New Roman" w:eastAsia="仿宋_GB2312" w:cs="仿宋_GB2312" w:hAnsi="Times New Roman" w:hint="eastAsia"/>
          <w:color w:val="auto"/>
          <w:kern w:val="2"/>
          <w:sz w:val="32"/>
          <w:szCs w:val="32"/>
          <w:lang w:val="en-US" w:eastAsia="zh-CN" w:bidi="ar-SA"/>
          <w:highlight w:val="auto"/>
        </w:rPr>
      </w:pPr>
      <w:r>
        <w:rPr>
          <w:rFonts w:ascii="Times New Roman" w:eastAsia="仿宋_GB2312" w:cs="仿宋_GB2312" w:hAnsi="Times New Roman" w:hint="eastAsia"/>
          <w:color w:val="auto"/>
          <w:kern w:val="2"/>
          <w:sz w:val="32"/>
          <w:szCs w:val="32"/>
          <w:lang w:val="en-US" w:eastAsia="zh-CN" w:bidi="ar-SA"/>
          <w:highlight w:val="auto"/>
        </w:rPr>
        <w:t>6.社会保障和就业（类）行政事业单位离退休（款）机关事业单位职业年金缴费支出（项）支出决算为</w:t>
      </w:r>
      <w:r>
        <w:rPr>
          <w:rFonts w:eastAsia="仿宋_GB2312" w:cs="仿宋_GB2312"/>
          <w:color w:val="auto"/>
          <w:kern w:val="2"/>
          <w:sz w:val="32"/>
          <w:szCs w:val="32"/>
          <w:lang w:val="en-US" w:eastAsia="zh-CN" w:bidi="ar-SA"/>
          <w:highlight w:val="auto"/>
        </w:rPr>
        <w:t>11.82</w:t>
      </w:r>
      <w:r>
        <w:rPr>
          <w:rFonts w:ascii="Times New Roman" w:eastAsia="仿宋_GB2312" w:cs="仿宋_GB2312" w:hAnsi="Times New Roman" w:hint="eastAsia"/>
          <w:color w:val="auto"/>
          <w:kern w:val="2"/>
          <w:sz w:val="32"/>
          <w:szCs w:val="32"/>
          <w:lang w:val="en-US" w:eastAsia="zh-CN" w:bidi="ar-SA"/>
          <w:highlight w:val="auto"/>
        </w:rPr>
        <w:t>万元，完成预算100%，决算数等于预算数。</w:t>
      </w:r>
    </w:p>
    <w:p>
      <w:pPr>
        <w:spacing w:line="600" w:lineRule="exact"/>
        <w:ind w:firstLineChars="200" w:firstLine="640"/>
        <w:rPr>
          <w:rFonts w:ascii="仿宋" w:eastAsia="仿宋" w:hint="eastAsia"/>
          <w:b/>
          <w:color w:val="auto"/>
          <w:sz w:val="32"/>
          <w:szCs w:val="32"/>
          <w:highlight w:val="auto"/>
        </w:rPr>
      </w:pPr>
      <w:r>
        <w:rPr>
          <w:rStyle w:val="31"/>
          <w:rFonts w:ascii="仿宋" w:eastAsia="仿宋" w:hint="eastAsia"/>
          <w:bCs/>
          <w:color w:val="auto"/>
          <w:sz w:val="32"/>
          <w:szCs w:val="32"/>
          <w:highlight w:val="auto"/>
        </w:rPr>
        <w:t>7.</w:t>
      </w:r>
      <w:r>
        <w:rPr>
          <w:rFonts w:ascii="仿宋" w:eastAsia="仿宋" w:hint="eastAsia"/>
          <w:b/>
          <w:bCs/>
          <w:color w:val="auto"/>
          <w:sz w:val="32"/>
          <w:szCs w:val="32"/>
          <w:highlight w:val="auto"/>
        </w:rPr>
        <w:t>卫生健康</w:t>
      </w:r>
      <w:r>
        <w:rPr>
          <w:rStyle w:val="31"/>
          <w:rFonts w:ascii="仿宋" w:eastAsia="仿宋" w:hint="eastAsia"/>
          <w:bCs/>
          <w:color w:val="auto"/>
          <w:sz w:val="32"/>
          <w:szCs w:val="32"/>
          <w:highlight w:val="auto"/>
        </w:rPr>
        <w:t>（类）</w:t>
      </w:r>
      <w:r>
        <w:rPr>
          <w:rFonts w:ascii="仿宋" w:eastAsia="仿宋" w:cs="仿宋_GB2312" w:hint="eastAsia"/>
          <w:b/>
          <w:bCs/>
          <w:sz w:val="32"/>
          <w:szCs w:val="32"/>
          <w:lang w:bidi="ar-SA"/>
        </w:rPr>
        <w:t>行政事业单位医疗（款）行政单位医疗（项）</w:t>
      </w:r>
      <w:r>
        <w:rPr>
          <w:rFonts w:ascii="仿宋" w:eastAsia="仿宋" w:cs="仿宋_GB2312" w:hint="eastAsia"/>
          <w:b/>
          <w:bCs/>
          <w:sz w:val="32"/>
          <w:szCs w:val="32"/>
          <w:lang w:eastAsia="zh-CN" w:bidi="ar-SA"/>
        </w:rPr>
        <w:t>：</w:t>
      </w:r>
      <w:r>
        <w:rPr>
          <w:rStyle w:val="31"/>
          <w:rFonts w:ascii="仿宋" w:eastAsia="仿宋" w:hint="eastAsia"/>
          <w:b w:val="0"/>
          <w:bCs/>
          <w:color w:val="auto"/>
          <w:sz w:val="32"/>
          <w:szCs w:val="32"/>
          <w:highlight w:val="auto"/>
        </w:rPr>
        <w:t>支出决算为</w:t>
      </w:r>
      <w:r>
        <w:rPr>
          <w:rStyle w:val="31"/>
          <w:rFonts w:ascii="仿宋" w:eastAsia="仿宋"/>
          <w:b w:val="0"/>
          <w:bCs/>
          <w:color w:val="auto"/>
          <w:sz w:val="32"/>
          <w:szCs w:val="32"/>
          <w:lang w:val="en-US" w:eastAsia="zh-CN"/>
          <w:highlight w:val="auto"/>
        </w:rPr>
        <w:t>6.98</w:t>
      </w:r>
      <w:r>
        <w:rPr>
          <w:rStyle w:val="31"/>
          <w:rFonts w:ascii="仿宋" w:eastAsia="仿宋" w:hint="eastAsia"/>
          <w:b w:val="0"/>
          <w:bCs/>
          <w:color w:val="auto"/>
          <w:sz w:val="32"/>
          <w:szCs w:val="32"/>
          <w:highlight w:val="auto"/>
        </w:rPr>
        <w:t>万元，完成预算100%，决算数等于预算数。</w:t>
      </w:r>
    </w:p>
    <w:p>
      <w:pPr>
        <w:spacing w:line="600" w:lineRule="exact"/>
        <w:ind w:firstLineChars="200" w:firstLine="640"/>
        <w:rPr>
          <w:rFonts w:ascii="仿宋" w:eastAsia="仿宋" w:hint="eastAsia"/>
          <w:b/>
          <w:sz w:val="32"/>
          <w:szCs w:val="32"/>
        </w:rPr>
      </w:pPr>
      <w:r>
        <w:rPr>
          <w:rStyle w:val="31"/>
          <w:rFonts w:ascii="仿宋" w:eastAsia="仿宋" w:cs="仿宋_GB2312" w:hint="eastAsia"/>
          <w:bCs/>
          <w:sz w:val="32"/>
          <w:szCs w:val="32"/>
          <w:lang w:bidi="ar-SA"/>
        </w:rPr>
        <w:t>8.</w:t>
      </w:r>
      <w:r>
        <w:rPr>
          <w:rStyle w:val="31"/>
          <w:rFonts w:ascii="仿宋" w:eastAsia="仿宋" w:hint="eastAsia"/>
          <w:bCs/>
          <w:sz w:val="32"/>
          <w:szCs w:val="32"/>
          <w:highlight w:val="auto"/>
        </w:rPr>
        <w:t>卫生</w:t>
      </w:r>
      <w:r>
        <w:rPr>
          <w:rFonts w:ascii="仿宋" w:eastAsia="仿宋" w:hint="eastAsia"/>
          <w:b/>
          <w:bCs/>
          <w:color w:val="auto"/>
          <w:sz w:val="32"/>
          <w:szCs w:val="32"/>
          <w:highlight w:val="auto"/>
        </w:rPr>
        <w:t>健康</w:t>
      </w:r>
      <w:r>
        <w:rPr>
          <w:rStyle w:val="31"/>
          <w:rFonts w:ascii="仿宋" w:eastAsia="仿宋" w:hint="eastAsia"/>
          <w:bCs/>
          <w:color w:val="auto"/>
          <w:sz w:val="32"/>
          <w:szCs w:val="32"/>
          <w:highlight w:val="auto"/>
        </w:rPr>
        <w:t>（类）</w:t>
      </w:r>
      <w:r>
        <w:rPr>
          <w:rFonts w:ascii="仿宋" w:eastAsia="仿宋" w:cs="仿宋_GB2312" w:hint="eastAsia"/>
          <w:b/>
          <w:bCs/>
          <w:sz w:val="32"/>
          <w:szCs w:val="32"/>
          <w:lang w:bidi="ar-SA"/>
        </w:rPr>
        <w:t>行政事业单位医疗（款）公务员医疗补助（项）</w:t>
      </w:r>
      <w:r>
        <w:rPr>
          <w:rFonts w:ascii="仿宋" w:eastAsia="仿宋" w:cs="仿宋_GB2312" w:hint="eastAsia"/>
          <w:b/>
          <w:bCs/>
          <w:sz w:val="32"/>
          <w:szCs w:val="32"/>
          <w:lang w:eastAsia="zh-CN" w:bidi="ar-SA"/>
        </w:rPr>
        <w:t>：</w:t>
      </w:r>
      <w:r>
        <w:rPr>
          <w:rFonts w:ascii="仿宋_GB2312" w:eastAsia="仿宋_GB2312" w:cs="仿宋_GB2312" w:hint="eastAsia"/>
          <w:kern w:val="0"/>
          <w:sz w:val="32"/>
          <w:szCs w:val="32"/>
          <w:lang w:bidi="ar-SA"/>
        </w:rPr>
        <w:t>支出决算为</w:t>
      </w:r>
      <w:r>
        <w:rPr>
          <w:rFonts w:ascii="仿宋_GB2312" w:eastAsia="仿宋_GB2312" w:cs="仿宋_GB2312"/>
          <w:kern w:val="0"/>
          <w:sz w:val="32"/>
          <w:szCs w:val="32"/>
          <w:lang w:bidi="ar-SA"/>
        </w:rPr>
        <w:t>1.43</w:t>
      </w:r>
      <w:r>
        <w:rPr>
          <w:rFonts w:ascii="仿宋_GB2312" w:eastAsia="仿宋_GB2312" w:cs="仿宋_GB2312" w:hint="eastAsia"/>
          <w:kern w:val="0"/>
          <w:sz w:val="32"/>
          <w:szCs w:val="32"/>
          <w:lang w:bidi="ar-SA"/>
        </w:rPr>
        <w:t>万元，完成预算100%。</w:t>
      </w:r>
      <w:r>
        <w:rPr>
          <w:rStyle w:val="31"/>
          <w:rFonts w:ascii="仿宋" w:eastAsia="仿宋" w:hint="eastAsia"/>
          <w:b w:val="0"/>
          <w:bCs/>
          <w:color w:val="auto"/>
          <w:sz w:val="32"/>
          <w:szCs w:val="32"/>
          <w:highlight w:val="auto"/>
        </w:rPr>
        <w:t>决算数等于预算数。</w:t>
      </w:r>
      <w:r>
        <w:rPr>
          <w:rFonts w:ascii="仿宋_GB2312" w:eastAsia="仿宋_GB2312" w:cs="仿宋_GB2312" w:hint="eastAsia"/>
          <w:kern w:val="0"/>
          <w:sz w:val="32"/>
          <w:szCs w:val="32"/>
          <w:lang w:val="en-US" w:eastAsia="zh-CN" w:bidi="ar-SA"/>
        </w:rPr>
        <w:t xml:space="preserve"> </w:t>
      </w:r>
    </w:p>
    <w:p>
      <w:pPr>
        <w:spacing w:line="600" w:lineRule="exact"/>
        <w:ind w:firstLineChars="200" w:firstLine="640"/>
        <w:rPr>
          <w:rFonts w:ascii="仿宋" w:eastAsia="仿宋" w:hint="eastAsia"/>
          <w:b/>
          <w:sz w:val="32"/>
          <w:szCs w:val="32"/>
        </w:rPr>
      </w:pPr>
      <w:r>
        <w:rPr>
          <w:rStyle w:val="31"/>
          <w:rFonts w:ascii="仿宋" w:eastAsia="仿宋" w:cs="仿宋_GB2312" w:hint="eastAsia"/>
          <w:bCs/>
          <w:sz w:val="32"/>
          <w:szCs w:val="32"/>
          <w:lang w:val="en-US" w:bidi="ar-SA"/>
        </w:rPr>
        <w:t>9.</w:t>
      </w:r>
      <w:r>
        <w:rPr>
          <w:rStyle w:val="31"/>
          <w:rFonts w:ascii="仿宋" w:eastAsia="仿宋" w:cs="仿宋_GB2312" w:hint="eastAsia"/>
          <w:bCs/>
          <w:sz w:val="32"/>
          <w:szCs w:val="32"/>
          <w:lang w:bidi="ar-SA"/>
        </w:rPr>
        <w:t>住</w:t>
      </w:r>
      <w:r>
        <w:rPr>
          <w:rFonts w:ascii="仿宋" w:eastAsia="仿宋" w:cs="仿宋_GB2312" w:hint="eastAsia"/>
          <w:b/>
          <w:bCs/>
          <w:sz w:val="32"/>
          <w:szCs w:val="32"/>
          <w:lang w:bidi="ar-SA"/>
        </w:rPr>
        <w:t>房保障</w:t>
      </w:r>
      <w:r>
        <w:rPr>
          <w:rFonts w:ascii="仿宋" w:eastAsia="仿宋" w:cs="仿宋_GB2312" w:hint="eastAsia"/>
          <w:b/>
          <w:bCs/>
          <w:sz w:val="32"/>
          <w:szCs w:val="32"/>
          <w:lang w:eastAsia="zh-CN" w:bidi="ar-SA"/>
        </w:rPr>
        <w:t>（</w:t>
      </w:r>
      <w:r>
        <w:rPr>
          <w:rFonts w:ascii="仿宋" w:eastAsia="仿宋" w:cs="仿宋_GB2312" w:hint="eastAsia"/>
          <w:b/>
          <w:bCs/>
          <w:sz w:val="32"/>
          <w:szCs w:val="32"/>
          <w:lang w:bidi="ar-SA"/>
        </w:rPr>
        <w:t>类</w:t>
      </w:r>
      <w:r>
        <w:rPr>
          <w:rFonts w:ascii="仿宋" w:eastAsia="仿宋" w:cs="仿宋_GB2312" w:hint="eastAsia"/>
          <w:b/>
          <w:bCs/>
          <w:sz w:val="32"/>
          <w:szCs w:val="32"/>
          <w:lang w:eastAsia="zh-CN" w:bidi="ar-SA"/>
        </w:rPr>
        <w:t>）住房</w:t>
      </w:r>
      <w:r>
        <w:rPr>
          <w:rFonts w:ascii="仿宋" w:eastAsia="仿宋" w:cs="仿宋_GB2312" w:hint="eastAsia"/>
          <w:b/>
          <w:bCs/>
          <w:sz w:val="32"/>
          <w:szCs w:val="32"/>
          <w:lang w:bidi="ar-SA"/>
        </w:rPr>
        <w:t>改革支出</w:t>
      </w:r>
      <w:r>
        <w:rPr>
          <w:rFonts w:ascii="仿宋" w:eastAsia="仿宋" w:cs="仿宋_GB2312" w:hint="eastAsia"/>
          <w:b/>
          <w:bCs/>
          <w:sz w:val="32"/>
          <w:szCs w:val="32"/>
          <w:lang w:eastAsia="zh-CN" w:bidi="ar-SA"/>
        </w:rPr>
        <w:t>（</w:t>
      </w:r>
      <w:r>
        <w:rPr>
          <w:rFonts w:ascii="仿宋" w:eastAsia="仿宋" w:cs="仿宋_GB2312" w:hint="eastAsia"/>
          <w:b/>
          <w:bCs/>
          <w:sz w:val="32"/>
          <w:szCs w:val="32"/>
          <w:lang w:bidi="ar-SA"/>
        </w:rPr>
        <w:t>款</w:t>
      </w:r>
      <w:r>
        <w:rPr>
          <w:rFonts w:ascii="仿宋" w:eastAsia="仿宋" w:cs="仿宋_GB2312" w:hint="eastAsia"/>
          <w:b/>
          <w:bCs/>
          <w:sz w:val="32"/>
          <w:szCs w:val="32"/>
          <w:lang w:eastAsia="zh-CN" w:bidi="ar-SA"/>
        </w:rPr>
        <w:t>）</w:t>
      </w:r>
      <w:r>
        <w:rPr>
          <w:rFonts w:ascii="仿宋" w:eastAsia="仿宋" w:cs="仿宋_GB2312" w:hint="eastAsia"/>
          <w:b/>
          <w:bCs/>
          <w:sz w:val="32"/>
          <w:szCs w:val="32"/>
          <w:lang w:bidi="ar-SA"/>
        </w:rPr>
        <w:t>住房公积金</w:t>
      </w:r>
      <w:r>
        <w:rPr>
          <w:rFonts w:ascii="仿宋" w:eastAsia="仿宋" w:cs="仿宋_GB2312" w:hint="eastAsia"/>
          <w:b/>
          <w:bCs/>
          <w:sz w:val="32"/>
          <w:szCs w:val="32"/>
          <w:lang w:eastAsia="zh-CN" w:bidi="ar-SA"/>
        </w:rPr>
        <w:t>（</w:t>
      </w:r>
      <w:r>
        <w:rPr>
          <w:rFonts w:ascii="仿宋" w:eastAsia="仿宋" w:cs="仿宋_GB2312" w:hint="eastAsia"/>
          <w:b/>
          <w:bCs/>
          <w:sz w:val="32"/>
          <w:szCs w:val="32"/>
          <w:lang w:bidi="ar-SA"/>
        </w:rPr>
        <w:t>项</w:t>
      </w:r>
      <w:r>
        <w:rPr>
          <w:rFonts w:ascii="仿宋" w:eastAsia="仿宋" w:cs="仿宋_GB2312" w:hint="eastAsia"/>
          <w:b/>
          <w:bCs/>
          <w:sz w:val="32"/>
          <w:szCs w:val="32"/>
          <w:lang w:eastAsia="zh-CN" w:bidi="ar-SA"/>
        </w:rPr>
        <w:t>）：</w:t>
      </w:r>
      <w:r>
        <w:rPr>
          <w:rFonts w:cs="仿宋_GB2312" w:hint="eastAsia"/>
          <w:sz w:val="32"/>
          <w:szCs w:val="32"/>
          <w:lang w:bidi="ar-SA"/>
        </w:rPr>
        <w:t>支出决算为</w:t>
      </w:r>
      <w:r>
        <w:rPr>
          <w:rFonts w:cs="仿宋_GB2312"/>
          <w:sz w:val="32"/>
          <w:szCs w:val="32"/>
          <w:lang w:val="en-US" w:eastAsia="zh-CN" w:bidi="ar-SA"/>
        </w:rPr>
        <w:t>9.98</w:t>
      </w:r>
      <w:r>
        <w:rPr>
          <w:rFonts w:cs="仿宋_GB2312" w:hint="eastAsia"/>
          <w:sz w:val="32"/>
          <w:szCs w:val="32"/>
          <w:lang w:bidi="ar-SA"/>
        </w:rPr>
        <w:t>万元，完成预算100%。</w:t>
      </w:r>
      <w:r>
        <w:rPr>
          <w:rStyle w:val="31"/>
          <w:rFonts w:ascii="仿宋" w:eastAsia="仿宋" w:hint="eastAsia"/>
          <w:b w:val="0"/>
          <w:bCs/>
          <w:color w:val="auto"/>
          <w:sz w:val="32"/>
          <w:szCs w:val="32"/>
          <w:highlight w:val="auto"/>
        </w:rPr>
        <w:t>决算数等于预算数。</w:t>
      </w:r>
    </w:p>
    <w:p>
      <w:pPr>
        <w:spacing w:line="600" w:lineRule="exact"/>
        <w:rPr>
          <w:rFonts w:eastAsia="仿宋_GB2312" w:cs="仿宋_GB2312" w:hint="eastAsia"/>
          <w:b/>
          <w:bCs/>
          <w:sz w:val="32"/>
          <w:szCs w:val="32"/>
        </w:rPr>
      </w:pPr>
      <w:r>
        <w:rPr>
          <w:rFonts w:ascii="Times New Roman" w:eastAsia="仿宋_GB2312" w:cs="仿宋_GB2312" w:hAnsi="Times New Roman" w:hint="eastAsia"/>
          <w:b/>
          <w:bCs/>
          <w:color w:val="auto"/>
          <w:kern w:val="2"/>
          <w:sz w:val="32"/>
          <w:szCs w:val="32"/>
          <w:lang w:val="en-US" w:eastAsia="zh-CN" w:bidi="ar-SA"/>
          <w:highlight w:val="auto"/>
        </w:rPr>
        <w:t>（注：仅罗列本部门涉及的全部功能分类科目，至项级。上述“预算”口径为全年预算数。增减变动原因为决算数</w:t>
      </w:r>
      <w:r>
        <w:rPr>
          <w:rFonts w:eastAsia="仿宋_GB2312" w:cs="仿宋_GB2312" w:hint="eastAsia"/>
          <w:b/>
          <w:bCs/>
          <w:color w:val="auto"/>
          <w:kern w:val="2"/>
          <w:sz w:val="32"/>
          <w:szCs w:val="32"/>
          <w:lang w:val="en-US" w:eastAsia="zh-CN" w:bidi="ar-SA"/>
          <w:highlight w:val="auto"/>
        </w:rPr>
        <w:t>〈</w:t>
      </w:r>
      <w:r>
        <w:rPr>
          <w:rFonts w:ascii="Times New Roman" w:eastAsia="仿宋_GB2312" w:cs="仿宋_GB2312" w:hAnsi="Times New Roman" w:hint="eastAsia"/>
          <w:b/>
          <w:bCs/>
          <w:color w:val="auto"/>
          <w:kern w:val="2"/>
          <w:sz w:val="32"/>
          <w:szCs w:val="32"/>
          <w:lang w:val="en-US" w:eastAsia="zh-CN" w:bidi="ar-SA"/>
          <w:highlight w:val="auto"/>
        </w:rPr>
        <w:t>项级</w:t>
      </w:r>
      <w:r>
        <w:rPr>
          <w:rFonts w:eastAsia="仿宋_GB2312" w:cs="仿宋_GB2312" w:hint="eastAsia"/>
          <w:b/>
          <w:bCs/>
          <w:color w:val="auto"/>
          <w:kern w:val="2"/>
          <w:sz w:val="32"/>
          <w:szCs w:val="32"/>
          <w:lang w:val="en-US" w:eastAsia="zh-CN" w:bidi="ar-SA"/>
          <w:highlight w:val="auto"/>
        </w:rPr>
        <w:t>〉</w:t>
      </w:r>
      <w:r>
        <w:rPr>
          <w:rFonts w:ascii="Times New Roman" w:eastAsia="仿宋_GB2312" w:cs="仿宋_GB2312" w:hAnsi="Times New Roman" w:hint="eastAsia"/>
          <w:b/>
          <w:bCs/>
          <w:color w:val="auto"/>
          <w:kern w:val="2"/>
          <w:sz w:val="32"/>
          <w:szCs w:val="32"/>
          <w:lang w:val="en-US" w:eastAsia="zh-CN" w:bidi="ar-SA"/>
          <w:highlight w:val="auto"/>
        </w:rPr>
        <w:t>和全年预算数</w:t>
      </w:r>
      <w:r>
        <w:rPr>
          <w:rFonts w:eastAsia="仿宋_GB2312" w:cs="仿宋_GB2312" w:hint="eastAsia"/>
          <w:b/>
          <w:bCs/>
          <w:color w:val="auto"/>
          <w:kern w:val="2"/>
          <w:sz w:val="32"/>
          <w:szCs w:val="32"/>
          <w:lang w:val="en-US" w:eastAsia="zh-CN" w:bidi="ar-SA"/>
          <w:highlight w:val="auto"/>
        </w:rPr>
        <w:t>〈</w:t>
      </w:r>
      <w:r>
        <w:rPr>
          <w:rFonts w:ascii="Times New Roman" w:eastAsia="仿宋_GB2312" w:cs="仿宋_GB2312" w:hAnsi="Times New Roman" w:hint="eastAsia"/>
          <w:b/>
          <w:bCs/>
          <w:color w:val="auto"/>
          <w:kern w:val="2"/>
          <w:sz w:val="32"/>
          <w:szCs w:val="32"/>
          <w:lang w:val="en-US" w:eastAsia="zh-CN" w:bidi="ar-SA"/>
          <w:highlight w:val="auto"/>
        </w:rPr>
        <w:t>项级</w:t>
      </w:r>
      <w:r>
        <w:rPr>
          <w:rFonts w:eastAsia="仿宋_GB2312" w:cs="仿宋_GB2312" w:hint="eastAsia"/>
          <w:b/>
          <w:bCs/>
          <w:color w:val="auto"/>
          <w:kern w:val="2"/>
          <w:sz w:val="32"/>
          <w:szCs w:val="32"/>
          <w:lang w:val="en-US" w:eastAsia="zh-CN" w:bidi="ar-SA"/>
          <w:highlight w:val="auto"/>
        </w:rPr>
        <w:t>〉</w:t>
      </w:r>
      <w:r>
        <w:rPr>
          <w:rFonts w:ascii="Times New Roman" w:eastAsia="仿宋_GB2312" w:cs="仿宋_GB2312" w:hAnsi="Times New Roman" w:hint="eastAsia"/>
          <w:b/>
          <w:bCs/>
          <w:color w:val="auto"/>
          <w:kern w:val="2"/>
          <w:sz w:val="32"/>
          <w:szCs w:val="32"/>
          <w:lang w:val="en-US" w:eastAsia="zh-CN" w:bidi="ar-SA"/>
          <w:highlight w:val="auto"/>
        </w:rPr>
        <w:t>比较，与预算数持平可以不写原因）</w:t>
      </w:r>
    </w:p>
    <w:p>
      <w:pPr>
        <w:pStyle w:val="2"/>
        <w:keepNext/>
        <w:keepLines/>
        <w:pageBreakBefore w:val="0"/>
        <w:widowControl w:val="0"/>
        <w:suppressLineNumbers w:val="0"/>
        <w:suppressAutoHyphens w:val="0"/>
        <w:rPr>
          <w:rFonts w:hint="eastAsia"/>
        </w:rPr>
      </w:pPr>
      <w:bookmarkStart w:id="33" w:name="_Toc15377214"/>
      <w:bookmarkStart w:id="34" w:name="_Toc15396608"/>
      <w:r>
        <w:rPr>
          <w:rFonts w:hint="eastAsia"/>
        </w:rPr>
        <w:t>六、一般公共预算财政拨款基本支出决算情况说明</w:t>
      </w:r>
      <w:bookmarkEnd w:id="33"/>
      <w:bookmarkEnd w:id="34"/>
      <w:r>
        <w:rPr>
          <w:rFonts w:hint="eastAsia"/>
        </w:rPr>
        <w:tab/>
      </w:r>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r>
        <w:rPr>
          <w:rFonts w:ascii="Times New Roman" w:eastAsia="仿宋_GB2312" w:cs="仿宋_GB2312" w:hAnsi="Times New Roman" w:hint="eastAsia"/>
          <w:color w:val="auto"/>
          <w:kern w:val="2"/>
          <w:sz w:val="32"/>
          <w:szCs w:val="32"/>
          <w:lang w:val="en-US" w:eastAsia="zh-CN" w:bidi="ar-SA"/>
          <w:highlight w:val="auto"/>
        </w:rPr>
        <w:t>202</w:t>
      </w:r>
      <w:r>
        <w:rPr>
          <w:rFonts w:ascii="Times New Roman" w:eastAsia="仿宋_GB2312" w:cs="仿宋_GB2312" w:hAnsi="Times New Roman"/>
          <w:color w:val="auto"/>
          <w:kern w:val="2"/>
          <w:sz w:val="32"/>
          <w:szCs w:val="32"/>
          <w:lang w:val="en-US" w:eastAsia="zh-CN" w:bidi="ar-SA"/>
          <w:highlight w:val="auto"/>
        </w:rPr>
        <w:t>5</w:t>
      </w:r>
      <w:r>
        <w:rPr>
          <w:rFonts w:ascii="Times New Roman" w:eastAsia="仿宋_GB2312" w:cs="仿宋_GB2312" w:hAnsi="Times New Roman" w:hint="eastAsia"/>
          <w:color w:val="auto"/>
          <w:kern w:val="2"/>
          <w:sz w:val="32"/>
          <w:szCs w:val="32"/>
          <w:lang w:val="en-US" w:eastAsia="zh-CN" w:bidi="ar-SA"/>
          <w:highlight w:val="auto"/>
        </w:rPr>
        <w:t>年度一般公共预算财政拨款基本支出</w:t>
      </w:r>
      <w:r>
        <w:rPr>
          <w:rFonts w:ascii="仿宋_GB2312" w:eastAsia="仿宋_GB2312" w:cs="仿宋_GB2312"/>
          <w:sz w:val="32"/>
          <w:szCs w:val="32"/>
        </w:rPr>
        <w:t>167.33</w:t>
      </w:r>
      <w:r>
        <w:rPr>
          <w:rFonts w:ascii="仿宋_GB2312" w:eastAsia="仿宋_GB2312" w:cs="仿宋_GB2312" w:hint="eastAsia"/>
          <w:color w:val="auto"/>
          <w:kern w:val="2"/>
          <w:sz w:val="32"/>
          <w:szCs w:val="32"/>
          <w:lang w:val="en-US" w:eastAsia="zh-CN" w:bidi="ar-SA"/>
          <w:highlight w:val="auto"/>
        </w:rPr>
        <w:t>万</w:t>
      </w:r>
      <w:r>
        <w:rPr>
          <w:rFonts w:ascii="Times New Roman" w:eastAsia="仿宋_GB2312" w:cs="仿宋_GB2312" w:hAnsi="Times New Roman" w:hint="eastAsia"/>
          <w:color w:val="auto"/>
          <w:kern w:val="2"/>
          <w:sz w:val="32"/>
          <w:szCs w:val="32"/>
          <w:lang w:val="en-US" w:eastAsia="zh-CN" w:bidi="ar-SA"/>
          <w:highlight w:val="auto"/>
        </w:rPr>
        <w:t>元，其中：</w:t>
      </w:r>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r>
        <w:rPr>
          <w:rFonts w:ascii="Times New Roman" w:eastAsia="仿宋_GB2312" w:cs="仿宋_GB2312" w:hAnsi="Times New Roman" w:hint="eastAsia"/>
          <w:color w:val="auto"/>
          <w:kern w:val="2"/>
          <w:sz w:val="32"/>
          <w:szCs w:val="32"/>
          <w:lang w:val="en-US" w:eastAsia="zh-CN" w:bidi="ar-SA"/>
          <w:highlight w:val="auto"/>
        </w:rPr>
        <w:t>人员经费</w:t>
      </w:r>
      <w:r>
        <w:rPr>
          <w:rFonts w:ascii="仿宋_GB2312" w:eastAsia="仿宋_GB2312" w:cs="仿宋_GB2312"/>
          <w:sz w:val="32"/>
          <w:szCs w:val="32"/>
        </w:rPr>
        <w:t>148.93</w:t>
      </w:r>
      <w:r>
        <w:rPr>
          <w:rFonts w:ascii="仿宋_GB2312" w:eastAsia="仿宋_GB2312" w:cs="仿宋_GB2312" w:hint="eastAsia"/>
          <w:color w:val="auto"/>
          <w:kern w:val="2"/>
          <w:sz w:val="32"/>
          <w:szCs w:val="32"/>
          <w:lang w:val="en-US" w:eastAsia="zh-CN" w:bidi="ar-SA"/>
          <w:highlight w:val="auto"/>
        </w:rPr>
        <w:t>万</w:t>
      </w:r>
      <w:r>
        <w:rPr>
          <w:rFonts w:ascii="Times New Roman" w:eastAsia="仿宋_GB2312" w:cs="仿宋_GB2312" w:hAnsi="Times New Roman" w:hint="eastAsia"/>
          <w:color w:val="auto"/>
          <w:kern w:val="2"/>
          <w:sz w:val="32"/>
          <w:szCs w:val="32"/>
          <w:lang w:val="en-US" w:eastAsia="zh-CN" w:bidi="ar-SA"/>
          <w:highlight w:val="auto"/>
        </w:rPr>
        <w:t>元，主要包括：基本工资、津贴补贴、奖金、伙食补助费、绩效工资、机关事业单位基本养老保险缴费、职业年金缴费、其他社会保障缴费、其他工资福利支出、离休费、退休费、抚恤金、生活补助、医疗费补助、奖励金、住房公积金、其他对个人和家庭的补助支出等。</w:t>
        <w:br/>
        <w:t>　　公用经费</w:t>
      </w:r>
      <w:r>
        <w:rPr>
          <w:rFonts w:ascii="仿宋_GB2312" w:eastAsia="仿宋_GB2312" w:cs="仿宋_GB2312"/>
          <w:sz w:val="32"/>
          <w:szCs w:val="32"/>
        </w:rPr>
        <w:t>18.4</w:t>
      </w:r>
      <w:r>
        <w:rPr>
          <w:rFonts w:ascii="仿宋_GB2312" w:eastAsia="仿宋_GB2312" w:cs="仿宋_GB2312" w:hint="eastAsia"/>
          <w:color w:val="auto"/>
          <w:kern w:val="2"/>
          <w:sz w:val="32"/>
          <w:szCs w:val="32"/>
          <w:lang w:val="en-US" w:eastAsia="zh-CN" w:bidi="ar-SA"/>
          <w:highlight w:val="auto"/>
        </w:rPr>
        <w:t>万</w:t>
      </w:r>
      <w:r>
        <w:rPr>
          <w:rFonts w:ascii="Times New Roman" w:eastAsia="仿宋_GB2312" w:cs="仿宋_GB2312" w:hAnsi="Times New Roman" w:hint="eastAsia"/>
          <w:color w:val="auto"/>
          <w:kern w:val="2"/>
          <w:sz w:val="32"/>
          <w:szCs w:val="32"/>
          <w:lang w:val="en-US" w:eastAsia="zh-CN" w:bidi="ar-SA"/>
          <w:highlight w:val="auto"/>
        </w:rPr>
        <w:t>元，主要包括：办公费、印刷费、咨询费、手续费、水费、电费、邮电费、取暖费、物业管理费、差旅费、因公出国（境）费用、维修（护）费、租赁费、会议费、培训费、公务接待费、劳务费、委托业务费、工会经费、福利费、公务用车运行维护费、其他交通费、税金及附加费用、其他商品和服务支出、办公设备购置、专用设备购置、信息网络及软件购置更新、其他资本性支出等。</w:t>
      </w:r>
    </w:p>
    <w:p>
      <w:pPr>
        <w:spacing w:line="600" w:lineRule="exact"/>
        <w:ind w:firstLine="640"/>
        <w:rPr>
          <w:rFonts w:ascii="Times New Roman" w:eastAsia="仿宋_GB2312" w:cs="仿宋_GB2312" w:hAnsi="Times New Roman" w:hint="eastAsia"/>
          <w:b/>
          <w:bCs/>
          <w:color w:val="auto"/>
          <w:kern w:val="2"/>
          <w:sz w:val="32"/>
          <w:szCs w:val="32"/>
          <w:lang w:val="en-US" w:eastAsia="zh-CN" w:bidi="ar-SA"/>
          <w:highlight w:val="auto"/>
        </w:rPr>
      </w:pPr>
      <w:r>
        <w:rPr>
          <w:rFonts w:ascii="Times New Roman" w:eastAsia="仿宋_GB2312" w:cs="仿宋_GB2312" w:hAnsi="Times New Roman" w:hint="eastAsia"/>
          <w:b/>
          <w:bCs/>
          <w:color w:val="auto"/>
          <w:kern w:val="2"/>
          <w:sz w:val="32"/>
          <w:szCs w:val="32"/>
          <w:lang w:val="en-US" w:eastAsia="zh-CN" w:bidi="ar-SA"/>
          <w:highlight w:val="auto"/>
        </w:rPr>
        <w:t>（注：仅罗列本部门实际支出涉及的经济分类科目）</w:t>
      </w:r>
    </w:p>
    <w:p>
      <w:pPr>
        <w:pStyle w:val="2"/>
        <w:keepNext/>
        <w:keepLines/>
        <w:pageBreakBefore w:val="0"/>
        <w:widowControl w:val="0"/>
        <w:suppressLineNumbers w:val="0"/>
        <w:suppressAutoHyphens w:val="0"/>
        <w:rPr>
          <w:rFonts w:hint="eastAsia"/>
        </w:rPr>
      </w:pPr>
      <w:bookmarkStart w:id="35" w:name="_Toc15377215"/>
      <w:bookmarkStart w:id="36" w:name="_Toc15396609"/>
      <w:r>
        <w:rPr>
          <w:rFonts w:hint="eastAsia"/>
        </w:rPr>
        <w:t>七、财政拨款“三公”经费支出决算情况说明</w:t>
      </w:r>
      <w:bookmarkEnd w:id="35"/>
      <w:bookmarkEnd w:id="36"/>
    </w:p>
    <w:p>
      <w:pPr>
        <w:spacing w:line="600" w:lineRule="exact"/>
        <w:ind w:firstLineChars="200" w:firstLine="640"/>
        <w:outlineLvl w:val="2"/>
        <w:rPr>
          <w:rFonts w:ascii="Times New Roman" w:eastAsia="楷体_GB2312" w:cs="楷体_GB2312" w:hAnsi="Times New Roman" w:hint="eastAsia"/>
          <w:b/>
          <w:color w:val="auto"/>
          <w:sz w:val="32"/>
          <w:szCs w:val="32"/>
          <w:highlight w:val="auto"/>
        </w:rPr>
      </w:pPr>
      <w:bookmarkStart w:id="37" w:name="_Toc15377216"/>
      <w:r>
        <w:rPr>
          <w:rFonts w:ascii="Times New Roman" w:eastAsia="楷体_GB2312" w:cs="楷体_GB2312" w:hAnsi="Times New Roman" w:hint="eastAsia"/>
          <w:b/>
          <w:color w:val="auto"/>
          <w:sz w:val="32"/>
          <w:szCs w:val="32"/>
          <w:highlight w:val="auto"/>
        </w:rPr>
        <w:t>（一）“三公”经费财政拨款支出决算总体情况说明</w:t>
      </w:r>
      <w:bookmarkEnd w:id="37"/>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r>
        <w:rPr>
          <w:rFonts w:ascii="Times New Roman" w:eastAsia="仿宋_GB2312" w:cs="仿宋_GB2312" w:hAnsi="Times New Roman" w:hint="eastAsia"/>
          <w:color w:val="auto"/>
          <w:kern w:val="2"/>
          <w:sz w:val="32"/>
          <w:szCs w:val="32"/>
          <w:lang w:val="en-US" w:eastAsia="zh-CN" w:bidi="ar-SA"/>
          <w:highlight w:val="auto"/>
        </w:rPr>
        <w:t>202</w:t>
      </w:r>
      <w:r>
        <w:rPr>
          <w:rFonts w:ascii="Times New Roman" w:eastAsia="仿宋_GB2312" w:cs="仿宋_GB2312" w:hAnsi="Times New Roman"/>
          <w:color w:val="auto"/>
          <w:kern w:val="2"/>
          <w:sz w:val="32"/>
          <w:szCs w:val="32"/>
          <w:lang w:val="en-US" w:eastAsia="zh-CN" w:bidi="ar-SA"/>
          <w:highlight w:val="auto"/>
        </w:rPr>
        <w:t>5</w:t>
      </w:r>
      <w:r>
        <w:rPr>
          <w:rFonts w:ascii="Times New Roman" w:eastAsia="仿宋_GB2312" w:cs="仿宋_GB2312" w:hAnsi="Times New Roman" w:hint="eastAsia"/>
          <w:color w:val="auto"/>
          <w:kern w:val="2"/>
          <w:sz w:val="32"/>
          <w:szCs w:val="32"/>
          <w:lang w:val="en-US" w:eastAsia="zh-CN" w:bidi="ar-SA"/>
          <w:highlight w:val="auto"/>
        </w:rPr>
        <w:t>年度“三公”经费财政拨款支出决算为</w:t>
      </w:r>
      <w:r>
        <w:rPr>
          <w:rFonts w:ascii="仿宋_GB2312" w:eastAsia="仿宋_GB2312" w:cs="仿宋_GB2312"/>
          <w:sz w:val="32"/>
          <w:szCs w:val="32"/>
        </w:rPr>
        <w:t>7.9</w:t>
      </w:r>
      <w:r>
        <w:rPr>
          <w:rFonts w:ascii="仿宋_GB2312" w:eastAsia="仿宋_GB2312" w:cs="仿宋_GB2312" w:hint="eastAsia"/>
          <w:color w:val="auto"/>
          <w:kern w:val="2"/>
          <w:sz w:val="32"/>
          <w:szCs w:val="32"/>
          <w:lang w:val="en-US" w:eastAsia="zh-CN" w:bidi="ar-SA"/>
          <w:highlight w:val="auto"/>
        </w:rPr>
        <w:t>万元，完成预算</w:t>
      </w:r>
      <w:r>
        <w:rPr>
          <w:rFonts w:ascii="仿宋_GB2312" w:eastAsia="仿宋_GB2312" w:cs="仿宋_GB2312" w:hint="eastAsia"/>
          <w:sz w:val="32"/>
          <w:szCs w:val="32"/>
        </w:rPr>
        <w:t>100</w:t>
      </w:r>
      <w:r>
        <w:rPr>
          <w:rFonts w:ascii="仿宋_GB2312" w:eastAsia="仿宋_GB2312" w:cs="仿宋_GB2312" w:hint="eastAsia"/>
          <w:color w:val="auto"/>
          <w:kern w:val="2"/>
          <w:sz w:val="32"/>
          <w:szCs w:val="32"/>
          <w:lang w:val="en-US" w:eastAsia="zh-CN" w:bidi="ar-SA"/>
          <w:highlight w:val="auto"/>
        </w:rPr>
        <w:t>%，</w:t>
      </w:r>
      <w:r>
        <w:rPr>
          <w:rFonts w:ascii="Times New Roman" w:eastAsia="仿宋_GB2312" w:cs="仿宋_GB2312" w:hAnsi="Times New Roman" w:hint="eastAsia"/>
          <w:color w:val="auto"/>
          <w:kern w:val="2"/>
          <w:sz w:val="32"/>
          <w:szCs w:val="32"/>
          <w:lang w:val="en-US" w:eastAsia="zh-CN" w:bidi="ar-SA"/>
          <w:highlight w:val="auto"/>
        </w:rPr>
        <w:t>较上年度增加</w:t>
      </w:r>
      <w:r>
        <w:rPr>
          <w:rFonts w:eastAsia="仿宋_GB2312" w:cs="仿宋_GB2312"/>
          <w:color w:val="auto"/>
          <w:kern w:val="2"/>
          <w:sz w:val="32"/>
          <w:szCs w:val="32"/>
          <w:lang w:val="en-US" w:eastAsia="zh-CN" w:bidi="ar-SA"/>
          <w:highlight w:val="auto"/>
        </w:rPr>
        <w:t>2.85</w:t>
      </w:r>
      <w:r>
        <w:rPr>
          <w:rFonts w:ascii="Times New Roman" w:eastAsia="仿宋_GB2312" w:cs="仿宋_GB2312" w:hAnsi="Times New Roman" w:hint="eastAsia"/>
          <w:color w:val="auto"/>
          <w:kern w:val="2"/>
          <w:sz w:val="32"/>
          <w:szCs w:val="32"/>
          <w:lang w:val="en-US" w:eastAsia="zh-CN" w:bidi="ar-SA"/>
          <w:highlight w:val="auto"/>
        </w:rPr>
        <w:t>万元，</w:t>
      </w:r>
      <w:r>
        <w:rPr>
          <w:rFonts w:ascii="Times New Roman" w:eastAsia="仿宋_GB2312" w:cs="仿宋_GB2312" w:hAnsi="Times New Roman"/>
          <w:color w:val="auto"/>
          <w:kern w:val="2"/>
          <w:sz w:val="32"/>
          <w:szCs w:val="32"/>
          <w:lang w:val="en-US" w:eastAsia="zh-CN" w:bidi="ar-SA"/>
          <w:highlight w:val="auto"/>
        </w:rPr>
        <w:t>减少</w:t>
      </w:r>
      <w:r>
        <w:rPr>
          <w:rFonts w:eastAsia="仿宋_GB2312" w:cs="仿宋_GB2312"/>
          <w:color w:val="auto"/>
          <w:kern w:val="2"/>
          <w:sz w:val="32"/>
          <w:szCs w:val="32"/>
          <w:lang w:val="en-US" w:eastAsia="zh-CN" w:bidi="ar-SA"/>
          <w:highlight w:val="auto"/>
        </w:rPr>
        <w:t>26.53</w:t>
      </w:r>
      <w:r>
        <w:rPr>
          <w:rFonts w:ascii="Times New Roman" w:eastAsia="仿宋_GB2312" w:cs="仿宋_GB2312" w:hAnsi="Times New Roman" w:hint="eastAsia"/>
          <w:color w:val="auto"/>
          <w:kern w:val="2"/>
          <w:sz w:val="32"/>
          <w:szCs w:val="32"/>
          <w:lang w:val="en-US" w:eastAsia="zh-CN" w:bidi="ar-SA"/>
          <w:highlight w:val="auto"/>
        </w:rPr>
        <w:t>%。决算数与预算数持平</w:t>
      </w:r>
      <w:r>
        <w:rPr>
          <w:rFonts w:ascii="仿宋" w:eastAsia="仿宋" w:hint="eastAsia"/>
          <w:color w:val="auto"/>
          <w:sz w:val="32"/>
          <w:szCs w:val="32"/>
          <w:highlight w:val="auto"/>
        </w:rPr>
        <w:t>。</w:t>
      </w:r>
    </w:p>
    <w:p>
      <w:pPr>
        <w:spacing w:line="600" w:lineRule="exact"/>
        <w:ind w:firstLine="640"/>
        <w:rPr>
          <w:rFonts w:ascii="Times New Roman" w:eastAsia="仿宋_GB2312" w:cs="仿宋_GB2312" w:hAnsi="Times New Roman" w:hint="eastAsia"/>
          <w:b/>
          <w:bCs/>
          <w:color w:val="auto"/>
          <w:kern w:val="2"/>
          <w:sz w:val="32"/>
          <w:szCs w:val="32"/>
          <w:lang w:val="en-US" w:eastAsia="zh-CN" w:bidi="ar-SA"/>
          <w:highlight w:val="auto"/>
        </w:rPr>
      </w:pPr>
      <w:r>
        <w:rPr>
          <w:rFonts w:ascii="Times New Roman" w:eastAsia="仿宋_GB2312" w:cs="仿宋_GB2312" w:hAnsi="Times New Roman" w:hint="eastAsia"/>
          <w:b/>
          <w:bCs/>
          <w:color w:val="auto"/>
          <w:kern w:val="2"/>
          <w:sz w:val="32"/>
          <w:szCs w:val="32"/>
          <w:lang w:val="en-US" w:eastAsia="zh-CN" w:bidi="ar-SA"/>
          <w:highlight w:val="auto"/>
        </w:rPr>
        <w:t>（注：上述“预算”口径为全年预算数，包括一般公共预算和政府性基金预算财政拨款支出决算情况）</w:t>
      </w:r>
    </w:p>
    <w:p>
      <w:pPr>
        <w:spacing w:line="600" w:lineRule="exact"/>
        <w:ind w:firstLineChars="200" w:firstLine="640"/>
        <w:outlineLvl w:val="2"/>
        <w:rPr>
          <w:rFonts w:ascii="Times New Roman" w:eastAsia="楷体_GB2312" w:cs="楷体_GB2312" w:hAnsi="Times New Roman" w:hint="eastAsia"/>
          <w:b/>
          <w:color w:val="auto"/>
          <w:sz w:val="32"/>
          <w:szCs w:val="32"/>
          <w:highlight w:val="auto"/>
        </w:rPr>
      </w:pPr>
      <w:bookmarkStart w:id="38" w:name="_Toc15377217"/>
      <w:r>
        <w:rPr>
          <w:rFonts w:ascii="Times New Roman" w:eastAsia="楷体_GB2312" w:cs="楷体_GB2312" w:hAnsi="Times New Roman" w:hint="eastAsia"/>
          <w:b/>
          <w:color w:val="auto"/>
          <w:sz w:val="32"/>
          <w:szCs w:val="32"/>
          <w:highlight w:val="auto"/>
        </w:rPr>
        <w:t>（二）“三公”经费财政拨款支出决算具体情况说明</w:t>
      </w:r>
      <w:bookmarkEnd w:id="38"/>
    </w:p>
    <w:p>
      <w:pPr>
        <w:spacing w:line="600" w:lineRule="exact"/>
        <w:ind w:firstLine="640"/>
        <w:rPr>
          <w:rFonts w:ascii="仿宋_GB2312" w:eastAsia="仿宋_GB2312" w:cs="仿宋_GB2312" w:hint="eastAsia"/>
          <w:color w:val="auto"/>
          <w:kern w:val="2"/>
          <w:sz w:val="32"/>
          <w:szCs w:val="32"/>
          <w:lang w:val="en-US" w:eastAsia="zh-CN" w:bidi="ar-SA"/>
          <w:highlight w:val="auto"/>
        </w:rPr>
      </w:pPr>
      <w:r>
        <w:rPr>
          <w:rFonts w:ascii="仿宋_GB2312" w:eastAsia="仿宋_GB2312" w:cs="仿宋_GB2312" w:hint="eastAsia"/>
          <w:color w:val="auto"/>
          <w:kern w:val="2"/>
          <w:sz w:val="32"/>
          <w:szCs w:val="32"/>
          <w:lang w:val="en-US" w:eastAsia="zh-CN" w:bidi="ar-SA"/>
          <w:highlight w:val="auto"/>
        </w:rPr>
        <w:t>202</w:t>
      </w:r>
      <w:r>
        <w:rPr>
          <w:rFonts w:ascii="仿宋_GB2312" w:eastAsia="仿宋_GB2312" w:cs="仿宋_GB2312"/>
          <w:color w:val="auto"/>
          <w:kern w:val="2"/>
          <w:sz w:val="32"/>
          <w:szCs w:val="32"/>
          <w:lang w:val="en-US" w:eastAsia="zh-CN" w:bidi="ar-SA"/>
          <w:highlight w:val="auto"/>
        </w:rPr>
        <w:t>5</w:t>
      </w:r>
      <w:r>
        <w:rPr>
          <w:rFonts w:ascii="仿宋_GB2312" w:eastAsia="仿宋_GB2312" w:cs="仿宋_GB2312" w:hint="eastAsia"/>
          <w:color w:val="auto"/>
          <w:kern w:val="2"/>
          <w:sz w:val="32"/>
          <w:szCs w:val="32"/>
          <w:lang w:val="en-US" w:eastAsia="zh-CN" w:bidi="ar-SA"/>
          <w:highlight w:val="auto"/>
        </w:rPr>
        <w:t>年度“三公”经费财政拨款支出决算中，因公出国（境）费支出决算</w:t>
      </w:r>
      <w:r>
        <w:rPr>
          <w:rFonts w:ascii="仿宋_GB2312" w:eastAsia="仿宋_GB2312" w:cs="仿宋_GB2312" w:hint="eastAsia"/>
          <w:sz w:val="32"/>
          <w:szCs w:val="32"/>
        </w:rPr>
        <w:t>0</w:t>
      </w:r>
      <w:r>
        <w:rPr>
          <w:rFonts w:ascii="仿宋_GB2312" w:eastAsia="仿宋_GB2312" w:cs="仿宋_GB2312" w:hint="eastAsia"/>
          <w:color w:val="auto"/>
          <w:kern w:val="2"/>
          <w:sz w:val="32"/>
          <w:szCs w:val="32"/>
          <w:lang w:val="en-US" w:eastAsia="zh-CN" w:bidi="ar-SA"/>
          <w:highlight w:val="auto"/>
        </w:rPr>
        <w:t>万元，占**%；公务用车购置及运行维护费支出决算</w:t>
      </w:r>
      <w:r>
        <w:rPr>
          <w:rFonts w:ascii="仿宋_GB2312" w:eastAsia="仿宋_GB2312" w:cs="仿宋_GB2312"/>
          <w:sz w:val="32"/>
          <w:szCs w:val="32"/>
        </w:rPr>
        <w:t>7.9</w:t>
      </w:r>
      <w:r>
        <w:rPr>
          <w:rFonts w:ascii="仿宋_GB2312" w:eastAsia="仿宋_GB2312" w:cs="仿宋_GB2312" w:hint="eastAsia"/>
          <w:color w:val="auto"/>
          <w:kern w:val="2"/>
          <w:sz w:val="32"/>
          <w:szCs w:val="32"/>
          <w:lang w:val="en-US" w:eastAsia="zh-CN" w:bidi="ar-SA"/>
          <w:highlight w:val="auto"/>
        </w:rPr>
        <w:t>万元，占</w:t>
      </w:r>
      <w:r>
        <w:rPr>
          <w:rFonts w:ascii="仿宋_GB2312" w:eastAsia="仿宋_GB2312" w:cs="仿宋_GB2312"/>
          <w:color w:val="auto"/>
          <w:kern w:val="2"/>
          <w:sz w:val="32"/>
          <w:szCs w:val="32"/>
          <w:lang w:val="en-US" w:eastAsia="zh-CN" w:bidi="ar-SA"/>
          <w:highlight w:val="auto"/>
        </w:rPr>
        <w:t>100</w:t>
      </w:r>
      <w:r>
        <w:rPr>
          <w:rFonts w:ascii="仿宋_GB2312" w:eastAsia="仿宋_GB2312" w:cs="仿宋_GB2312" w:hint="eastAsia"/>
          <w:color w:val="auto"/>
          <w:kern w:val="2"/>
          <w:sz w:val="32"/>
          <w:szCs w:val="32"/>
          <w:lang w:val="en-US" w:eastAsia="zh-CN" w:bidi="ar-SA"/>
          <w:highlight w:val="auto"/>
        </w:rPr>
        <w:t>%；公务接待费支出决算</w:t>
      </w:r>
      <w:r>
        <w:rPr>
          <w:rFonts w:ascii="仿宋_GB2312" w:eastAsia="仿宋_GB2312" w:cs="仿宋_GB2312"/>
          <w:sz w:val="32"/>
          <w:szCs w:val="32"/>
        </w:rPr>
        <w:t>0</w:t>
      </w:r>
      <w:r>
        <w:rPr>
          <w:rFonts w:ascii="仿宋_GB2312" w:eastAsia="仿宋_GB2312" w:cs="仿宋_GB2312" w:hint="eastAsia"/>
          <w:color w:val="auto"/>
          <w:kern w:val="2"/>
          <w:sz w:val="32"/>
          <w:szCs w:val="32"/>
          <w:lang w:val="en-US" w:eastAsia="zh-CN" w:bidi="ar-SA"/>
          <w:highlight w:val="auto"/>
        </w:rPr>
        <w:t>万元，占</w:t>
      </w:r>
      <w:r>
        <w:rPr>
          <w:rFonts w:ascii="仿宋_GB2312" w:eastAsia="仿宋_GB2312" w:cs="仿宋_GB2312"/>
          <w:color w:val="auto"/>
          <w:kern w:val="2"/>
          <w:sz w:val="32"/>
          <w:szCs w:val="32"/>
          <w:lang w:val="en-US" w:eastAsia="zh-CN" w:bidi="ar-SA"/>
          <w:highlight w:val="auto"/>
        </w:rPr>
        <w:t>0</w:t>
      </w:r>
      <w:r>
        <w:rPr>
          <w:rFonts w:ascii="仿宋_GB2312" w:eastAsia="仿宋_GB2312" w:cs="仿宋_GB2312" w:hint="eastAsia"/>
          <w:color w:val="auto"/>
          <w:kern w:val="2"/>
          <w:sz w:val="32"/>
          <w:szCs w:val="32"/>
          <w:lang w:val="en-US" w:eastAsia="zh-CN" w:bidi="ar-SA"/>
          <w:highlight w:val="auto"/>
        </w:rPr>
        <w:t>%。具体情况如下：</w:t>
      </w:r>
    </w:p>
    <w:p>
      <w:pPr>
        <w:pStyle w:val="17"/>
        <w:rPr>
          <w:rFonts w:ascii="仿宋_GB2312" w:eastAsia="仿宋_GB2312" w:cs="仿宋_GB2312" w:hint="eastAsia"/>
          <w:color w:val="auto"/>
          <w:kern w:val="2"/>
          <w:sz w:val="32"/>
          <w:szCs w:val="32"/>
          <w:lang w:val="en-US" w:eastAsia="zh-CN" w:bidi="ar-SA"/>
          <w:highlight w:val="auto"/>
        </w:rPr>
      </w:pPr>
      <w:r>
        <w:rPr>
          <w:rFonts w:ascii="仿宋_GB2312" w:eastAsia="仿宋_GB2312" w:cs="仿宋_GB2312"/>
          <w:color w:val="auto"/>
          <w:kern w:val="2"/>
          <w:sz w:val="32"/>
          <w:szCs w:val="32"/>
          <w:lang w:val="en-US" w:eastAsia="zh-CN" w:bidi="ar-SA"/>
          <w:highlight w:val="auto"/>
        </w:rPr>
        <w:drawing>
          <wp:inline distT="0" distB="0" distL="85723" distR="85723">
            <wp:extent cx="3458455" cy="2229572"/>
            <wp:effectExtent l="0" t="0" r="20" b="6"/>
            <wp:docPr id="25" name="图片"/>
            <wp:cNvGraphicFramePr>
              <a:graphicFrameLocks noChangeAspect="1"/>
            </wp:cNvGraphicFramePr>
            <a:graphic>
              <a:graphicData uri="http://schemas.openxmlformats.org/drawingml/2006/picture">
                <pic:pic>
                  <pic:nvPicPr>
                    <pic:cNvPr id="27" name="图片 27"/>
                    <pic:cNvPicPr/>
                  </pic:nvPicPr>
                  <pic:blipFill>
                    <a:blip r:embed="rId13"/>
                    <a:stretch>
                      <a:fillRect/>
                    </a:stretch>
                  </pic:blipFill>
                  <pic:spPr>
                    <a:xfrm rot="0">
                      <a:off x="0" y="0"/>
                      <a:ext cx="3458455" cy="2229572"/>
                    </a:xfrm>
                    <a:prstGeom prst="rect"/>
                    <a:noFill/>
                    <a:ln w="9525" cmpd="sng" cap="flat">
                      <a:noFill/>
                      <a:prstDash val="solid"/>
                      <a:miter/>
                    </a:ln>
                  </pic:spPr>
                </pic:pic>
              </a:graphicData>
            </a:graphic>
          </wp:inline>
        </w:drawing>
      </w:r>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r>
        <w:rPr>
          <w:rFonts w:ascii="Times New Roman" w:eastAsia="仿宋_GB2312" w:cs="仿宋_GB2312" w:hAnsi="Times New Roman" w:hint="eastAsia"/>
          <w:color w:val="auto"/>
          <w:kern w:val="2"/>
          <w:sz w:val="32"/>
          <w:szCs w:val="32"/>
          <w:lang w:val="en-US" w:eastAsia="zh-CN" w:bidi="ar-SA"/>
          <w:highlight w:val="auto"/>
        </w:rPr>
        <w:t>（图7：“三公”经费财政拨款支出结构）（饼状图）</w:t>
      </w:r>
    </w:p>
    <w:p>
      <w:pPr>
        <w:spacing w:line="600" w:lineRule="exact"/>
        <w:ind w:firstLine="640"/>
        <w:rPr>
          <w:rFonts w:ascii="仿宋_GB2312" w:eastAsia="仿宋_GB2312" w:hint="eastAsia"/>
          <w:b/>
          <w:color w:val="auto"/>
          <w:sz w:val="32"/>
          <w:szCs w:val="32"/>
          <w:highlight w:val="auto"/>
        </w:rPr>
      </w:pPr>
      <w:r>
        <w:rPr>
          <w:rFonts w:ascii="Times New Roman" w:eastAsia="仿宋_GB2312" w:cs="仿宋_GB2312" w:hAnsi="Times New Roman" w:hint="eastAsia"/>
          <w:b/>
          <w:bCs/>
          <w:color w:val="auto"/>
          <w:kern w:val="2"/>
          <w:sz w:val="32"/>
          <w:szCs w:val="32"/>
          <w:lang w:val="en-US" w:eastAsia="zh-CN" w:bidi="ar-SA"/>
          <w:highlight w:val="auto"/>
        </w:rPr>
        <w:t>1.因公出国（境）经费支出</w:t>
      </w:r>
      <w:r>
        <w:rPr>
          <w:rFonts w:eastAsia="仿宋_GB2312" w:cs="仿宋_GB2312" w:hint="eastAsia"/>
          <w:b/>
          <w:bCs/>
          <w:color w:val="auto"/>
          <w:kern w:val="2"/>
          <w:sz w:val="32"/>
          <w:szCs w:val="32"/>
          <w:lang w:val="en-US" w:eastAsia="zh-CN" w:bidi="ar-SA"/>
          <w:highlight w:val="auto"/>
        </w:rPr>
        <w:t>0</w:t>
      </w:r>
      <w:r>
        <w:rPr>
          <w:rFonts w:ascii="Times New Roman" w:eastAsia="仿宋_GB2312" w:cs="仿宋_GB2312" w:hAnsi="Times New Roman" w:hint="eastAsia"/>
          <w:b/>
          <w:bCs/>
          <w:color w:val="auto"/>
          <w:kern w:val="2"/>
          <w:sz w:val="32"/>
          <w:szCs w:val="32"/>
          <w:lang w:val="en-US" w:eastAsia="zh-CN" w:bidi="ar-SA"/>
          <w:highlight w:val="auto"/>
        </w:rPr>
        <w:t>万元，完成预算</w:t>
      </w:r>
      <w:r>
        <w:rPr>
          <w:rFonts w:eastAsia="仿宋_GB2312" w:cs="仿宋_GB2312" w:hint="eastAsia"/>
          <w:b/>
          <w:bCs/>
          <w:color w:val="auto"/>
          <w:kern w:val="2"/>
          <w:sz w:val="32"/>
          <w:szCs w:val="32"/>
          <w:lang w:val="en-US" w:eastAsia="zh-CN" w:bidi="ar-SA"/>
          <w:highlight w:val="auto"/>
        </w:rPr>
        <w:t>0</w:t>
      </w:r>
      <w:r>
        <w:rPr>
          <w:rFonts w:ascii="Times New Roman" w:eastAsia="仿宋_GB2312" w:cs="仿宋_GB2312" w:hAnsi="Times New Roman" w:hint="eastAsia"/>
          <w:b/>
          <w:bCs/>
          <w:color w:val="auto"/>
          <w:kern w:val="2"/>
          <w:sz w:val="32"/>
          <w:szCs w:val="32"/>
          <w:lang w:val="en-US" w:eastAsia="zh-CN" w:bidi="ar-SA"/>
          <w:highlight w:val="auto"/>
        </w:rPr>
        <w:t>%。</w:t>
      </w:r>
      <w:r>
        <w:rPr>
          <w:rFonts w:ascii="Times New Roman" w:eastAsia="仿宋_GB2312" w:cs="仿宋_GB2312" w:hAnsi="Times New Roman" w:hint="eastAsia"/>
          <w:color w:val="auto"/>
          <w:kern w:val="2"/>
          <w:sz w:val="32"/>
          <w:szCs w:val="32"/>
          <w:lang w:val="en-US" w:eastAsia="zh-CN" w:bidi="ar-SA"/>
          <w:highlight w:val="auto"/>
        </w:rPr>
        <w:t>全年安排因公出国（境）团</w:t>
      </w:r>
      <w:r>
        <w:rPr>
          <w:rFonts w:ascii="仿宋_GB2312" w:eastAsia="仿宋_GB2312" w:cs="仿宋_GB2312" w:hint="eastAsia"/>
          <w:color w:val="auto"/>
          <w:kern w:val="2"/>
          <w:sz w:val="32"/>
          <w:szCs w:val="32"/>
          <w:lang w:val="en-US" w:eastAsia="zh-CN" w:bidi="ar-SA"/>
          <w:highlight w:val="auto"/>
        </w:rPr>
        <w:t>组</w:t>
      </w:r>
      <w:r>
        <w:rPr>
          <w:rFonts w:ascii="仿宋_GB2312" w:eastAsia="仿宋_GB2312" w:cs="仿宋_GB2312" w:hint="eastAsia"/>
          <w:sz w:val="32"/>
          <w:szCs w:val="32"/>
        </w:rPr>
        <w:t>0</w:t>
      </w:r>
      <w:r>
        <w:rPr>
          <w:rFonts w:ascii="Times New Roman" w:eastAsia="仿宋_GB2312" w:cs="仿宋_GB2312" w:hAnsi="Times New Roman" w:hint="eastAsia"/>
          <w:color w:val="auto"/>
          <w:kern w:val="2"/>
          <w:sz w:val="32"/>
          <w:szCs w:val="32"/>
          <w:lang w:val="en-US" w:eastAsia="zh-CN" w:bidi="ar-SA"/>
          <w:highlight w:val="auto"/>
        </w:rPr>
        <w:t>次，出国（境）</w:t>
      </w:r>
      <w:r>
        <w:rPr>
          <w:rFonts w:ascii="仿宋_GB2312" w:eastAsia="仿宋_GB2312" w:cs="仿宋_GB2312" w:hint="eastAsia"/>
          <w:sz w:val="32"/>
          <w:szCs w:val="32"/>
        </w:rPr>
        <w:t>0</w:t>
      </w:r>
      <w:r>
        <w:rPr>
          <w:rFonts w:ascii="仿宋_GB2312" w:eastAsia="仿宋_GB2312" w:cs="仿宋_GB2312" w:hint="eastAsia"/>
          <w:color w:val="auto"/>
          <w:kern w:val="2"/>
          <w:sz w:val="32"/>
          <w:szCs w:val="32"/>
          <w:lang w:val="en-US" w:eastAsia="zh-CN" w:bidi="ar-SA"/>
          <w:highlight w:val="auto"/>
        </w:rPr>
        <w:t>人</w:t>
      </w:r>
      <w:r>
        <w:rPr>
          <w:rFonts w:ascii="Times New Roman" w:eastAsia="仿宋_GB2312" w:cs="仿宋_GB2312" w:hAnsi="Times New Roman" w:hint="eastAsia"/>
          <w:color w:val="auto"/>
          <w:kern w:val="2"/>
          <w:sz w:val="32"/>
          <w:szCs w:val="32"/>
          <w:lang w:val="en-US" w:eastAsia="zh-CN" w:bidi="ar-SA"/>
          <w:highlight w:val="auto"/>
        </w:rPr>
        <w:t>。因公出国（境）支出决算比202</w:t>
      </w:r>
      <w:r>
        <w:rPr>
          <w:rFonts w:ascii="Times New Roman" w:eastAsia="仿宋_GB2312" w:cs="仿宋_GB2312" w:hAnsi="Times New Roman"/>
          <w:color w:val="auto"/>
          <w:kern w:val="2"/>
          <w:sz w:val="32"/>
          <w:szCs w:val="32"/>
          <w:lang w:val="en-US" w:eastAsia="zh-CN" w:bidi="ar-SA"/>
          <w:highlight w:val="auto"/>
        </w:rPr>
        <w:t>4</w:t>
      </w:r>
      <w:r>
        <w:rPr>
          <w:rFonts w:ascii="Times New Roman" w:eastAsia="仿宋_GB2312" w:cs="仿宋_GB2312" w:hAnsi="Times New Roman" w:hint="eastAsia"/>
          <w:color w:val="auto"/>
          <w:kern w:val="2"/>
          <w:sz w:val="32"/>
          <w:szCs w:val="32"/>
          <w:lang w:val="en-US" w:eastAsia="zh-CN" w:bidi="ar-SA"/>
          <w:highlight w:val="auto"/>
        </w:rPr>
        <w:t>年增加/减少</w:t>
      </w:r>
      <w:r>
        <w:rPr>
          <w:rFonts w:eastAsia="仿宋_GB2312" w:cs="仿宋_GB2312"/>
          <w:color w:val="auto"/>
          <w:kern w:val="2"/>
          <w:sz w:val="32"/>
          <w:szCs w:val="32"/>
          <w:lang w:val="en-US" w:eastAsia="zh-CN" w:bidi="ar-SA"/>
          <w:highlight w:val="auto"/>
        </w:rPr>
        <w:t>0</w:t>
      </w:r>
      <w:r>
        <w:rPr>
          <w:rFonts w:ascii="Times New Roman" w:eastAsia="仿宋_GB2312" w:cs="仿宋_GB2312" w:hAnsi="Times New Roman" w:hint="eastAsia"/>
          <w:color w:val="auto"/>
          <w:kern w:val="2"/>
          <w:sz w:val="32"/>
          <w:szCs w:val="32"/>
          <w:lang w:val="en-US" w:eastAsia="zh-CN" w:bidi="ar-SA"/>
          <w:highlight w:val="auto"/>
        </w:rPr>
        <w:t>万元，增长/下降</w:t>
      </w:r>
      <w:r>
        <w:rPr>
          <w:rFonts w:eastAsia="仿宋_GB2312" w:cs="仿宋_GB2312"/>
          <w:color w:val="auto"/>
          <w:kern w:val="2"/>
          <w:sz w:val="32"/>
          <w:szCs w:val="32"/>
          <w:lang w:val="en-US" w:eastAsia="zh-CN" w:bidi="ar-SA"/>
          <w:highlight w:val="auto"/>
        </w:rPr>
        <w:t>0</w:t>
      </w:r>
      <w:r>
        <w:rPr>
          <w:rFonts w:ascii="Times New Roman" w:eastAsia="仿宋_GB2312" w:cs="仿宋_GB2312" w:hAnsi="Times New Roman" w:hint="eastAsia"/>
          <w:color w:val="auto"/>
          <w:kern w:val="2"/>
          <w:sz w:val="32"/>
          <w:szCs w:val="32"/>
          <w:lang w:val="en-US" w:eastAsia="zh-CN" w:bidi="ar-SA"/>
          <w:highlight w:val="auto"/>
        </w:rPr>
        <w:t>%。</w:t>
      </w:r>
      <w:r>
        <w:rPr>
          <w:rFonts w:ascii="仿宋_GB2312" w:eastAsia="仿宋_GB2312" w:hint="eastAsia"/>
          <w:color w:val="auto"/>
          <w:sz w:val="32"/>
          <w:szCs w:val="32"/>
          <w:highlight w:val="auto"/>
        </w:rPr>
        <w:t>主要原因是在经费预算编制中，基于实际业务情况，我会未安排因公出国（境）经费。</w:t>
      </w:r>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r>
        <w:rPr>
          <w:rFonts w:ascii="Times New Roman" w:eastAsia="仿宋_GB2312" w:cs="仿宋_GB2312" w:hAnsi="Times New Roman" w:hint="eastAsia"/>
          <w:color w:val="auto"/>
          <w:kern w:val="2"/>
          <w:sz w:val="32"/>
          <w:szCs w:val="32"/>
          <w:lang w:val="en-US" w:eastAsia="zh-CN" w:bidi="ar-SA"/>
          <w:highlight w:val="auto"/>
        </w:rPr>
        <w:t>开支内容包括：……（团组名称、出访地点、取得成效等）</w:t>
      </w:r>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r>
        <w:rPr>
          <w:rFonts w:ascii="Times New Roman" w:eastAsia="仿宋_GB2312" w:cs="仿宋_GB2312" w:hAnsi="Times New Roman" w:hint="eastAsia"/>
          <w:b/>
          <w:bCs/>
          <w:color w:val="auto"/>
          <w:kern w:val="2"/>
          <w:sz w:val="32"/>
          <w:szCs w:val="32"/>
          <w:lang w:val="en-US" w:eastAsia="zh-CN" w:bidi="ar-SA"/>
          <w:highlight w:val="auto"/>
        </w:rPr>
        <w:t>2.公务用车购置及运行维护费支出</w:t>
      </w:r>
      <w:r>
        <w:rPr>
          <w:rFonts w:ascii="仿宋_GB2312" w:eastAsia="仿宋_GB2312" w:cs="仿宋_GB2312"/>
          <w:b/>
          <w:bCs/>
          <w:color w:val="auto"/>
          <w:kern w:val="2"/>
          <w:sz w:val="32"/>
          <w:szCs w:val="32"/>
          <w:lang w:val="en-US" w:eastAsia="zh-CN" w:bidi="ar-SA"/>
          <w:highlight w:val="auto"/>
        </w:rPr>
        <w:t>7.9</w:t>
      </w:r>
      <w:r>
        <w:rPr>
          <w:rFonts w:ascii="仿宋_GB2312" w:eastAsia="仿宋_GB2312" w:cs="仿宋_GB2312" w:hint="eastAsia"/>
          <w:b/>
          <w:bCs/>
          <w:color w:val="auto"/>
          <w:kern w:val="2"/>
          <w:sz w:val="32"/>
          <w:szCs w:val="32"/>
          <w:lang w:val="en-US" w:eastAsia="zh-CN" w:bidi="ar-SA"/>
          <w:highlight w:val="auto"/>
        </w:rPr>
        <w:t>万</w:t>
      </w:r>
      <w:r>
        <w:rPr>
          <w:rFonts w:ascii="Times New Roman" w:eastAsia="仿宋_GB2312" w:cs="仿宋_GB2312" w:hAnsi="Times New Roman" w:hint="eastAsia"/>
          <w:b/>
          <w:bCs/>
          <w:color w:val="auto"/>
          <w:kern w:val="2"/>
          <w:sz w:val="32"/>
          <w:szCs w:val="32"/>
          <w:lang w:val="en-US" w:eastAsia="zh-CN" w:bidi="ar-SA"/>
          <w:highlight w:val="auto"/>
        </w:rPr>
        <w:t>元</w:t>
      </w:r>
      <w:r>
        <w:rPr>
          <w:rFonts w:eastAsia="仿宋_GB2312" w:cs="仿宋_GB2312" w:hint="eastAsia"/>
          <w:b/>
          <w:bCs/>
          <w:color w:val="auto"/>
          <w:kern w:val="2"/>
          <w:sz w:val="32"/>
          <w:szCs w:val="32"/>
          <w:lang w:val="en-US" w:eastAsia="zh-CN" w:bidi="ar-SA"/>
          <w:highlight w:val="auto"/>
        </w:rPr>
        <w:t>，</w:t>
      </w:r>
      <w:r>
        <w:rPr>
          <w:rFonts w:ascii="Times New Roman" w:eastAsia="仿宋_GB2312" w:cs="仿宋_GB2312" w:hAnsi="Times New Roman" w:hint="eastAsia"/>
          <w:b/>
          <w:bCs/>
          <w:color w:val="auto"/>
          <w:kern w:val="2"/>
          <w:sz w:val="32"/>
          <w:szCs w:val="32"/>
          <w:lang w:val="en-US" w:eastAsia="zh-CN" w:bidi="ar-SA"/>
          <w:highlight w:val="auto"/>
        </w:rPr>
        <w:t>完成预算</w:t>
      </w:r>
      <w:r>
        <w:rPr>
          <w:rFonts w:eastAsia="仿宋_GB2312" w:cs="仿宋_GB2312"/>
          <w:b/>
          <w:bCs/>
          <w:color w:val="auto"/>
          <w:kern w:val="2"/>
          <w:sz w:val="32"/>
          <w:szCs w:val="32"/>
          <w:lang w:val="en-US" w:eastAsia="zh-CN" w:bidi="ar-SA"/>
          <w:highlight w:val="auto"/>
        </w:rPr>
        <w:t>100</w:t>
      </w:r>
      <w:r>
        <w:rPr>
          <w:rFonts w:ascii="Times New Roman" w:eastAsia="仿宋_GB2312" w:cs="仿宋_GB2312" w:hAnsi="Times New Roman" w:hint="eastAsia"/>
          <w:b/>
          <w:bCs/>
          <w:color w:val="auto"/>
          <w:kern w:val="2"/>
          <w:sz w:val="32"/>
          <w:szCs w:val="32"/>
          <w:lang w:val="en-US" w:eastAsia="zh-CN" w:bidi="ar-SA"/>
          <w:highlight w:val="auto"/>
        </w:rPr>
        <w:t>%。</w:t>
      </w:r>
      <w:r>
        <w:rPr>
          <w:rFonts w:ascii="Times New Roman" w:eastAsia="仿宋_GB2312" w:cs="仿宋_GB2312" w:hAnsi="Times New Roman" w:hint="eastAsia"/>
          <w:color w:val="auto"/>
          <w:kern w:val="2"/>
          <w:sz w:val="32"/>
          <w:szCs w:val="32"/>
          <w:lang w:val="en-US" w:eastAsia="zh-CN" w:bidi="ar-SA"/>
          <w:highlight w:val="auto"/>
        </w:rPr>
        <w:t>公务用车购置及运行维护费支出决算比202</w:t>
      </w:r>
      <w:r>
        <w:rPr>
          <w:rFonts w:ascii="Times New Roman" w:eastAsia="仿宋_GB2312" w:cs="仿宋_GB2312" w:hAnsi="Times New Roman"/>
          <w:color w:val="auto"/>
          <w:kern w:val="2"/>
          <w:sz w:val="32"/>
          <w:szCs w:val="32"/>
          <w:lang w:val="en-US" w:eastAsia="zh-CN" w:bidi="ar-SA"/>
          <w:highlight w:val="auto"/>
        </w:rPr>
        <w:t>4</w:t>
      </w:r>
      <w:r>
        <w:rPr>
          <w:rFonts w:ascii="Times New Roman" w:eastAsia="仿宋_GB2312" w:cs="仿宋_GB2312" w:hAnsi="Times New Roman" w:hint="eastAsia"/>
          <w:color w:val="auto"/>
          <w:kern w:val="2"/>
          <w:sz w:val="32"/>
          <w:szCs w:val="32"/>
          <w:lang w:val="en-US" w:eastAsia="zh-CN" w:bidi="ar-SA"/>
          <w:highlight w:val="auto"/>
        </w:rPr>
        <w:t>年度</w:t>
      </w:r>
      <w:r>
        <w:rPr>
          <w:rFonts w:ascii="Times New Roman" w:eastAsia="仿宋_GB2312" w:cs="仿宋_GB2312" w:hAnsi="Times New Roman"/>
          <w:color w:val="auto"/>
          <w:kern w:val="2"/>
          <w:sz w:val="32"/>
          <w:szCs w:val="32"/>
          <w:lang w:val="en-US" w:eastAsia="zh-CN" w:bidi="ar-SA"/>
          <w:highlight w:val="auto"/>
        </w:rPr>
        <w:t>减少</w:t>
      </w:r>
      <w:r>
        <w:rPr>
          <w:rFonts w:eastAsia="仿宋_GB2312" w:cs="仿宋_GB2312"/>
          <w:color w:val="auto"/>
          <w:kern w:val="2"/>
          <w:sz w:val="32"/>
          <w:szCs w:val="32"/>
          <w:lang w:val="en-US" w:eastAsia="zh-CN" w:bidi="ar-SA"/>
          <w:highlight w:val="auto"/>
        </w:rPr>
        <w:t>2.85</w:t>
      </w:r>
      <w:r>
        <w:rPr>
          <w:rFonts w:ascii="Times New Roman" w:eastAsia="仿宋_GB2312" w:cs="仿宋_GB2312" w:hAnsi="Times New Roman" w:hint="eastAsia"/>
          <w:color w:val="auto"/>
          <w:kern w:val="2"/>
          <w:sz w:val="32"/>
          <w:szCs w:val="32"/>
          <w:lang w:val="en-US" w:eastAsia="zh-CN" w:bidi="ar-SA"/>
          <w:highlight w:val="auto"/>
        </w:rPr>
        <w:t>万元，</w:t>
      </w:r>
      <w:r>
        <w:rPr>
          <w:rFonts w:ascii="Times New Roman" w:eastAsia="仿宋_GB2312" w:cs="仿宋_GB2312" w:hAnsi="Times New Roman"/>
          <w:color w:val="auto"/>
          <w:kern w:val="2"/>
          <w:sz w:val="32"/>
          <w:szCs w:val="32"/>
          <w:lang w:val="en-US" w:eastAsia="zh-CN" w:bidi="ar-SA"/>
          <w:highlight w:val="auto"/>
        </w:rPr>
        <w:t>减少</w:t>
      </w:r>
      <w:r>
        <w:rPr>
          <w:rFonts w:eastAsia="仿宋_GB2312" w:cs="仿宋_GB2312"/>
          <w:color w:val="auto"/>
          <w:kern w:val="2"/>
          <w:sz w:val="32"/>
          <w:szCs w:val="32"/>
          <w:lang w:val="en-US" w:eastAsia="zh-CN" w:bidi="ar-SA"/>
          <w:highlight w:val="auto"/>
        </w:rPr>
        <w:t>26.53</w:t>
      </w:r>
      <w:r>
        <w:rPr>
          <w:rFonts w:ascii="Times New Roman" w:eastAsia="仿宋_GB2312" w:cs="仿宋_GB2312" w:hAnsi="Times New Roman" w:hint="eastAsia"/>
          <w:color w:val="auto"/>
          <w:kern w:val="2"/>
          <w:sz w:val="32"/>
          <w:szCs w:val="32"/>
          <w:lang w:val="en-US" w:eastAsia="zh-CN" w:bidi="ar-SA"/>
          <w:highlight w:val="auto"/>
        </w:rPr>
        <w:t>%。主要原因是</w:t>
      </w:r>
      <w:r>
        <w:rPr>
          <w:rFonts w:eastAsia="仿宋_GB2312" w:cs="仿宋_GB2312" w:hint="eastAsia"/>
          <w:color w:val="auto"/>
          <w:kern w:val="2"/>
          <w:sz w:val="32"/>
          <w:szCs w:val="32"/>
          <w:lang w:val="en-US" w:eastAsia="zh-CN" w:bidi="ar-SA"/>
          <w:highlight w:val="auto"/>
        </w:rPr>
        <w:t>：</w:t>
      </w:r>
      <w:r>
        <w:rPr>
          <w:rFonts w:eastAsia="仿宋_GB2312" w:cs="仿宋_GB2312"/>
          <w:color w:val="auto"/>
          <w:kern w:val="2"/>
          <w:sz w:val="32"/>
          <w:szCs w:val="32"/>
          <w:lang w:val="en-US" w:eastAsia="zh-CN" w:bidi="ar-SA"/>
          <w:highlight w:val="auto"/>
        </w:rPr>
        <w:t>严格落实中央八项规定精神和厉行节俭节约，加强公务用车日常管理，压缩非必要的公务出行</w:t>
      </w:r>
      <w:r>
        <w:rPr>
          <w:rFonts w:eastAsia="仿宋_GB2312" w:cs="仿宋_GB2312" w:hint="eastAsia"/>
          <w:color w:val="auto"/>
          <w:kern w:val="2"/>
          <w:sz w:val="32"/>
          <w:szCs w:val="32"/>
          <w:lang w:val="en-US" w:eastAsia="zh-CN" w:bidi="ar-SA"/>
          <w:highlight w:val="auto"/>
        </w:rPr>
        <w:t>。</w:t>
      </w:r>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r>
        <w:rPr>
          <w:rFonts w:ascii="Times New Roman" w:eastAsia="仿宋_GB2312" w:cs="仿宋_GB2312" w:hAnsi="Times New Roman" w:hint="eastAsia"/>
          <w:color w:val="auto"/>
          <w:kern w:val="2"/>
          <w:sz w:val="32"/>
          <w:szCs w:val="32"/>
          <w:lang w:val="en-US" w:eastAsia="zh-CN" w:bidi="ar-SA"/>
          <w:highlight w:val="auto"/>
        </w:rPr>
        <w:t>其中：公务用车购置支</w:t>
      </w:r>
      <w:r>
        <w:rPr>
          <w:rFonts w:ascii="仿宋_GB2312" w:eastAsia="仿宋_GB2312" w:cs="仿宋_GB2312" w:hint="eastAsia"/>
          <w:color w:val="auto"/>
          <w:kern w:val="2"/>
          <w:sz w:val="32"/>
          <w:szCs w:val="32"/>
          <w:lang w:val="en-US" w:eastAsia="zh-CN" w:bidi="ar-SA"/>
          <w:highlight w:val="auto"/>
        </w:rPr>
        <w:t>出</w:t>
      </w:r>
      <w:r>
        <w:rPr>
          <w:rFonts w:ascii="仿宋_GB2312" w:eastAsia="仿宋_GB2312" w:cs="仿宋_GB2312" w:hint="eastAsia"/>
          <w:sz w:val="32"/>
          <w:szCs w:val="32"/>
        </w:rPr>
        <w:t>0</w:t>
      </w:r>
      <w:r>
        <w:rPr>
          <w:rFonts w:ascii="Times New Roman" w:eastAsia="仿宋_GB2312" w:cs="仿宋_GB2312" w:hAnsi="Times New Roman" w:hint="eastAsia"/>
          <w:color w:val="auto"/>
          <w:kern w:val="2"/>
          <w:sz w:val="32"/>
          <w:szCs w:val="32"/>
          <w:lang w:val="en-US" w:eastAsia="zh-CN" w:bidi="ar-SA"/>
          <w:highlight w:val="auto"/>
        </w:rPr>
        <w:t>万元。全年按规定更新购置公务用车</w:t>
      </w:r>
      <w:r>
        <w:rPr>
          <w:rFonts w:eastAsia="仿宋_GB2312" w:cs="仿宋_GB2312" w:hint="eastAsia"/>
          <w:color w:val="auto"/>
          <w:kern w:val="2"/>
          <w:sz w:val="32"/>
          <w:szCs w:val="32"/>
          <w:lang w:val="en-US" w:eastAsia="zh-CN" w:bidi="ar-SA"/>
          <w:highlight w:val="auto"/>
        </w:rPr>
        <w:t>0</w:t>
      </w:r>
      <w:r>
        <w:rPr>
          <w:rFonts w:ascii="Times New Roman" w:eastAsia="仿宋_GB2312" w:cs="仿宋_GB2312" w:hAnsi="Times New Roman" w:hint="eastAsia"/>
          <w:color w:val="auto"/>
          <w:kern w:val="2"/>
          <w:sz w:val="32"/>
          <w:szCs w:val="32"/>
          <w:lang w:val="en-US" w:eastAsia="zh-CN" w:bidi="ar-SA"/>
          <w:highlight w:val="auto"/>
        </w:rPr>
        <w:t>辆，其中：轿车</w:t>
      </w:r>
      <w:r>
        <w:rPr>
          <w:rFonts w:eastAsia="仿宋_GB2312" w:cs="仿宋_GB2312" w:hint="eastAsia"/>
          <w:color w:val="auto"/>
          <w:kern w:val="2"/>
          <w:sz w:val="32"/>
          <w:szCs w:val="32"/>
          <w:lang w:val="en-US" w:eastAsia="zh-CN" w:bidi="ar-SA"/>
          <w:highlight w:val="auto"/>
        </w:rPr>
        <w:t>0</w:t>
      </w:r>
      <w:r>
        <w:rPr>
          <w:rFonts w:ascii="Times New Roman" w:eastAsia="仿宋_GB2312" w:cs="仿宋_GB2312" w:hAnsi="Times New Roman" w:hint="eastAsia"/>
          <w:color w:val="auto"/>
          <w:kern w:val="2"/>
          <w:sz w:val="32"/>
          <w:szCs w:val="32"/>
          <w:lang w:val="en-US" w:eastAsia="zh-CN" w:bidi="ar-SA"/>
          <w:highlight w:val="auto"/>
        </w:rPr>
        <w:t>辆、金额</w:t>
      </w:r>
      <w:r>
        <w:rPr>
          <w:rFonts w:eastAsia="仿宋_GB2312" w:cs="仿宋_GB2312" w:hint="eastAsia"/>
          <w:color w:val="auto"/>
          <w:kern w:val="2"/>
          <w:sz w:val="32"/>
          <w:szCs w:val="32"/>
          <w:lang w:val="en-US" w:eastAsia="zh-CN" w:bidi="ar-SA"/>
          <w:highlight w:val="auto"/>
        </w:rPr>
        <w:t>0</w:t>
      </w:r>
      <w:r>
        <w:rPr>
          <w:rFonts w:ascii="Times New Roman" w:eastAsia="仿宋_GB2312" w:cs="仿宋_GB2312" w:hAnsi="Times New Roman" w:hint="eastAsia"/>
          <w:color w:val="auto"/>
          <w:kern w:val="2"/>
          <w:sz w:val="32"/>
          <w:szCs w:val="32"/>
          <w:lang w:val="en-US" w:eastAsia="zh-CN" w:bidi="ar-SA"/>
          <w:highlight w:val="auto"/>
        </w:rPr>
        <w:t>万元，越野车</w:t>
      </w:r>
      <w:r>
        <w:rPr>
          <w:rFonts w:eastAsia="仿宋_GB2312" w:cs="仿宋_GB2312" w:hint="eastAsia"/>
          <w:color w:val="auto"/>
          <w:kern w:val="2"/>
          <w:sz w:val="32"/>
          <w:szCs w:val="32"/>
          <w:lang w:val="en-US" w:eastAsia="zh-CN" w:bidi="ar-SA"/>
          <w:highlight w:val="auto"/>
        </w:rPr>
        <w:t>0</w:t>
      </w:r>
      <w:r>
        <w:rPr>
          <w:rFonts w:ascii="Times New Roman" w:eastAsia="仿宋_GB2312" w:cs="仿宋_GB2312" w:hAnsi="Times New Roman" w:hint="eastAsia"/>
          <w:color w:val="auto"/>
          <w:kern w:val="2"/>
          <w:sz w:val="32"/>
          <w:szCs w:val="32"/>
          <w:lang w:val="en-US" w:eastAsia="zh-CN" w:bidi="ar-SA"/>
          <w:highlight w:val="auto"/>
        </w:rPr>
        <w:t>辆、金额</w:t>
      </w:r>
      <w:r>
        <w:rPr>
          <w:rFonts w:eastAsia="仿宋_GB2312" w:cs="仿宋_GB2312" w:hint="eastAsia"/>
          <w:color w:val="auto"/>
          <w:kern w:val="2"/>
          <w:sz w:val="32"/>
          <w:szCs w:val="32"/>
          <w:lang w:val="en-US" w:eastAsia="zh-CN" w:bidi="ar-SA"/>
          <w:highlight w:val="auto"/>
        </w:rPr>
        <w:t>0</w:t>
      </w:r>
      <w:r>
        <w:rPr>
          <w:rFonts w:ascii="Times New Roman" w:eastAsia="仿宋_GB2312" w:cs="仿宋_GB2312" w:hAnsi="Times New Roman" w:hint="eastAsia"/>
          <w:color w:val="auto"/>
          <w:kern w:val="2"/>
          <w:sz w:val="32"/>
          <w:szCs w:val="32"/>
          <w:lang w:val="en-US" w:eastAsia="zh-CN" w:bidi="ar-SA"/>
          <w:highlight w:val="auto"/>
        </w:rPr>
        <w:t>万元，载客汽车</w:t>
      </w:r>
      <w:r>
        <w:rPr>
          <w:rFonts w:eastAsia="仿宋_GB2312" w:cs="仿宋_GB2312" w:hint="eastAsia"/>
          <w:color w:val="auto"/>
          <w:kern w:val="2"/>
          <w:sz w:val="32"/>
          <w:szCs w:val="32"/>
          <w:lang w:val="en-US" w:eastAsia="zh-CN" w:bidi="ar-SA"/>
          <w:highlight w:val="auto"/>
        </w:rPr>
        <w:t>0</w:t>
      </w:r>
      <w:r>
        <w:rPr>
          <w:rFonts w:ascii="Times New Roman" w:eastAsia="仿宋_GB2312" w:cs="仿宋_GB2312" w:hAnsi="Times New Roman" w:hint="eastAsia"/>
          <w:color w:val="auto"/>
          <w:kern w:val="2"/>
          <w:sz w:val="32"/>
          <w:szCs w:val="32"/>
          <w:lang w:val="en-US" w:eastAsia="zh-CN" w:bidi="ar-SA"/>
          <w:highlight w:val="auto"/>
        </w:rPr>
        <w:t>辆、金额</w:t>
      </w:r>
      <w:r>
        <w:rPr>
          <w:rFonts w:eastAsia="仿宋_GB2312" w:cs="仿宋_GB2312" w:hint="eastAsia"/>
          <w:color w:val="auto"/>
          <w:kern w:val="2"/>
          <w:sz w:val="32"/>
          <w:szCs w:val="32"/>
          <w:lang w:val="en-US" w:eastAsia="zh-CN" w:bidi="ar-SA"/>
          <w:highlight w:val="auto"/>
        </w:rPr>
        <w:t>0</w:t>
      </w:r>
      <w:r>
        <w:rPr>
          <w:rFonts w:ascii="Times New Roman" w:eastAsia="仿宋_GB2312" w:cs="仿宋_GB2312" w:hAnsi="Times New Roman" w:hint="eastAsia"/>
          <w:color w:val="auto"/>
          <w:kern w:val="2"/>
          <w:sz w:val="32"/>
          <w:szCs w:val="32"/>
          <w:lang w:val="en-US" w:eastAsia="zh-CN" w:bidi="ar-SA"/>
          <w:highlight w:val="auto"/>
        </w:rPr>
        <w:t>万元，主要用于……。截至202</w:t>
      </w:r>
      <w:r>
        <w:rPr>
          <w:rFonts w:ascii="Times New Roman" w:eastAsia="仿宋_GB2312" w:cs="仿宋_GB2312" w:hAnsi="Times New Roman"/>
          <w:color w:val="auto"/>
          <w:kern w:val="2"/>
          <w:sz w:val="32"/>
          <w:szCs w:val="32"/>
          <w:lang w:val="en-US" w:eastAsia="zh-CN" w:bidi="ar-SA"/>
          <w:highlight w:val="auto"/>
        </w:rPr>
        <w:t>5</w:t>
      </w:r>
      <w:r>
        <w:rPr>
          <w:rFonts w:ascii="Times New Roman" w:eastAsia="仿宋_GB2312" w:cs="仿宋_GB2312" w:hAnsi="Times New Roman" w:hint="eastAsia"/>
          <w:color w:val="auto"/>
          <w:kern w:val="2"/>
          <w:sz w:val="32"/>
          <w:szCs w:val="32"/>
          <w:lang w:val="en-US" w:eastAsia="zh-CN" w:bidi="ar-SA"/>
          <w:highlight w:val="auto"/>
        </w:rPr>
        <w:t>年12月31日，单位共有公务用车</w:t>
      </w:r>
      <w:r>
        <w:rPr>
          <w:rFonts w:eastAsia="仿宋_GB2312" w:cs="仿宋_GB2312" w:hint="eastAsia"/>
          <w:color w:val="auto"/>
          <w:kern w:val="2"/>
          <w:sz w:val="32"/>
          <w:szCs w:val="32"/>
          <w:lang w:val="en-US" w:eastAsia="zh-CN" w:bidi="ar-SA"/>
          <w:highlight w:val="auto"/>
        </w:rPr>
        <w:t>2</w:t>
      </w:r>
      <w:r>
        <w:rPr>
          <w:rFonts w:ascii="Times New Roman" w:eastAsia="仿宋_GB2312" w:cs="仿宋_GB2312" w:hAnsi="Times New Roman" w:hint="eastAsia"/>
          <w:color w:val="auto"/>
          <w:kern w:val="2"/>
          <w:sz w:val="32"/>
          <w:szCs w:val="32"/>
          <w:lang w:val="en-US" w:eastAsia="zh-CN" w:bidi="ar-SA"/>
          <w:highlight w:val="auto"/>
        </w:rPr>
        <w:t>辆，其中：轿车</w:t>
      </w:r>
      <w:r>
        <w:rPr>
          <w:rFonts w:eastAsia="仿宋_GB2312" w:cs="仿宋_GB2312" w:hint="eastAsia"/>
          <w:color w:val="auto"/>
          <w:kern w:val="2"/>
          <w:sz w:val="32"/>
          <w:szCs w:val="32"/>
          <w:lang w:val="en-US" w:eastAsia="zh-CN" w:bidi="ar-SA"/>
          <w:highlight w:val="auto"/>
        </w:rPr>
        <w:t>0</w:t>
      </w:r>
      <w:r>
        <w:rPr>
          <w:rFonts w:ascii="Times New Roman" w:eastAsia="仿宋_GB2312" w:cs="仿宋_GB2312" w:hAnsi="Times New Roman" w:hint="eastAsia"/>
          <w:color w:val="auto"/>
          <w:kern w:val="2"/>
          <w:sz w:val="32"/>
          <w:szCs w:val="32"/>
          <w:lang w:val="en-US" w:eastAsia="zh-CN" w:bidi="ar-SA"/>
          <w:highlight w:val="auto"/>
        </w:rPr>
        <w:t>辆、越野车</w:t>
      </w:r>
      <w:r>
        <w:rPr>
          <w:rFonts w:eastAsia="仿宋_GB2312" w:cs="仿宋_GB2312" w:hint="eastAsia"/>
          <w:color w:val="auto"/>
          <w:kern w:val="2"/>
          <w:sz w:val="32"/>
          <w:szCs w:val="32"/>
          <w:lang w:val="en-US" w:eastAsia="zh-CN" w:bidi="ar-SA"/>
          <w:highlight w:val="auto"/>
        </w:rPr>
        <w:t>2</w:t>
      </w:r>
      <w:r>
        <w:rPr>
          <w:rFonts w:ascii="Times New Roman" w:eastAsia="仿宋_GB2312" w:cs="仿宋_GB2312" w:hAnsi="Times New Roman" w:hint="eastAsia"/>
          <w:color w:val="auto"/>
          <w:kern w:val="2"/>
          <w:sz w:val="32"/>
          <w:szCs w:val="32"/>
          <w:lang w:val="en-US" w:eastAsia="zh-CN" w:bidi="ar-SA"/>
          <w:highlight w:val="auto"/>
        </w:rPr>
        <w:t>辆、载客汽车</w:t>
      </w:r>
      <w:r>
        <w:rPr>
          <w:rFonts w:eastAsia="仿宋_GB2312" w:cs="仿宋_GB2312" w:hint="eastAsia"/>
          <w:color w:val="auto"/>
          <w:kern w:val="2"/>
          <w:sz w:val="32"/>
          <w:szCs w:val="32"/>
          <w:lang w:val="en-US" w:eastAsia="zh-CN" w:bidi="ar-SA"/>
          <w:highlight w:val="auto"/>
        </w:rPr>
        <w:t>0</w:t>
      </w:r>
      <w:r>
        <w:rPr>
          <w:rFonts w:ascii="Times New Roman" w:eastAsia="仿宋_GB2312" w:cs="仿宋_GB2312" w:hAnsi="Times New Roman" w:hint="eastAsia"/>
          <w:color w:val="auto"/>
          <w:kern w:val="2"/>
          <w:sz w:val="32"/>
          <w:szCs w:val="32"/>
          <w:lang w:val="en-US" w:eastAsia="zh-CN" w:bidi="ar-SA"/>
          <w:highlight w:val="auto"/>
        </w:rPr>
        <w:t>辆。</w:t>
      </w:r>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r>
        <w:rPr>
          <w:rFonts w:ascii="Times New Roman" w:eastAsia="仿宋_GB2312" w:cs="仿宋_GB2312" w:hAnsi="Times New Roman" w:hint="eastAsia"/>
          <w:color w:val="auto"/>
          <w:kern w:val="2"/>
          <w:sz w:val="32"/>
          <w:szCs w:val="32"/>
          <w:lang w:val="en-US" w:eastAsia="zh-CN" w:bidi="ar-SA"/>
          <w:highlight w:val="auto"/>
        </w:rPr>
        <w:t>公务用车运行维护费支</w:t>
      </w:r>
      <w:r>
        <w:rPr>
          <w:rFonts w:ascii="仿宋_GB2312" w:eastAsia="仿宋_GB2312" w:cs="仿宋_GB2312" w:hint="eastAsia"/>
          <w:color w:val="auto"/>
          <w:kern w:val="2"/>
          <w:sz w:val="32"/>
          <w:szCs w:val="32"/>
          <w:lang w:val="en-US" w:eastAsia="zh-CN" w:bidi="ar-SA"/>
          <w:highlight w:val="auto"/>
        </w:rPr>
        <w:t>出</w:t>
      </w:r>
      <w:r>
        <w:rPr>
          <w:rFonts w:ascii="仿宋_GB2312" w:eastAsia="仿宋_GB2312" w:cs="仿宋_GB2312"/>
          <w:sz w:val="32"/>
          <w:szCs w:val="32"/>
        </w:rPr>
        <w:t>7.9</w:t>
      </w:r>
      <w:r>
        <w:rPr>
          <w:rFonts w:ascii="Times New Roman" w:eastAsia="仿宋_GB2312" w:cs="仿宋_GB2312" w:hAnsi="Times New Roman" w:hint="eastAsia"/>
          <w:color w:val="auto"/>
          <w:kern w:val="2"/>
          <w:sz w:val="32"/>
          <w:szCs w:val="32"/>
          <w:lang w:val="en-US" w:eastAsia="zh-CN" w:bidi="ar-SA"/>
          <w:highlight w:val="auto"/>
        </w:rPr>
        <w:t>万元。</w:t>
      </w:r>
      <w:r>
        <w:rPr>
          <w:rFonts w:eastAsia="仿宋_GB2312" w:cs="仿宋_GB2312" w:hint="eastAsia"/>
          <w:color w:val="auto"/>
          <w:kern w:val="2"/>
          <w:sz w:val="32"/>
          <w:szCs w:val="32"/>
          <w:lang w:val="en-US" w:eastAsia="zh-CN" w:bidi="ar-SA"/>
          <w:highlight w:val="auto"/>
        </w:rPr>
        <w:t>主要用于</w:t>
      </w:r>
      <w:r>
        <w:rPr>
          <w:rFonts w:ascii="仿宋_GB2312" w:eastAsia="仿宋_GB2312" w:hint="eastAsia"/>
          <w:color w:val="auto"/>
          <w:sz w:val="32"/>
          <w:szCs w:val="32"/>
          <w:highlight w:val="auto"/>
        </w:rPr>
        <w:t>开展教规戒律、和谐寺庙创建等检查、指导工作、举办1期理事培训班，开展《阿坝州珍稀古籍文献会编》收集、编辑、出版，开展“两联一进”群众工作</w:t>
      </w:r>
      <w:r>
        <w:rPr>
          <w:rFonts w:ascii="仿宋_GB2312" w:eastAsia="仿宋_GB2312" w:hint="eastAsia"/>
          <w:color w:val="auto"/>
          <w:sz w:val="32"/>
          <w:szCs w:val="32"/>
          <w:lang w:eastAsia="zh-CN"/>
          <w:highlight w:val="auto"/>
        </w:rPr>
        <w:t>、联心同行、</w:t>
      </w:r>
      <w:r>
        <w:rPr>
          <w:rFonts w:eastAsia="仿宋_GB2312" w:cs="仿宋_GB2312" w:hint="eastAsia"/>
          <w:color w:val="auto"/>
          <w:kern w:val="2"/>
          <w:sz w:val="32"/>
          <w:szCs w:val="32"/>
          <w:lang w:val="en-US" w:eastAsia="zh-CN" w:bidi="ar-SA"/>
          <w:highlight w:val="auto"/>
        </w:rPr>
        <w:t>控辍保学、前方工作组</w:t>
      </w:r>
      <w:r>
        <w:rPr>
          <w:rFonts w:ascii="仿宋_GB2312" w:eastAsia="仿宋_GB2312" w:hint="eastAsia"/>
          <w:color w:val="auto"/>
          <w:sz w:val="32"/>
          <w:szCs w:val="32"/>
          <w:highlight w:val="auto"/>
        </w:rPr>
        <w:t>等</w:t>
      </w:r>
      <w:r>
        <w:rPr>
          <w:rFonts w:ascii="Times New Roman" w:eastAsia="仿宋_GB2312" w:cs="仿宋_GB2312" w:hAnsi="Times New Roman" w:hint="eastAsia"/>
          <w:color w:val="auto"/>
          <w:kern w:val="2"/>
          <w:sz w:val="32"/>
          <w:szCs w:val="32"/>
          <w:lang w:val="en-US" w:eastAsia="zh-CN" w:bidi="ar-SA"/>
          <w:highlight w:val="auto"/>
        </w:rPr>
        <w:t>所需的公务用车燃料费、维修费、过路过桥费、保险费等支出。</w:t>
      </w:r>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r>
        <w:rPr>
          <w:rFonts w:ascii="Times New Roman" w:eastAsia="仿宋_GB2312" w:cs="仿宋_GB2312" w:hAnsi="Times New Roman" w:hint="eastAsia"/>
          <w:b/>
          <w:bCs/>
          <w:color w:val="auto"/>
          <w:kern w:val="2"/>
          <w:sz w:val="32"/>
          <w:szCs w:val="32"/>
          <w:lang w:val="en-US" w:eastAsia="zh-CN" w:bidi="ar-SA"/>
          <w:highlight w:val="auto"/>
        </w:rPr>
        <w:t>3.公务接待费支出</w:t>
      </w:r>
      <w:r>
        <w:rPr>
          <w:rFonts w:ascii="仿宋_GB2312" w:eastAsia="仿宋_GB2312" w:cs="仿宋_GB2312"/>
          <w:b/>
          <w:bCs/>
          <w:color w:val="auto"/>
          <w:kern w:val="2"/>
          <w:sz w:val="32"/>
          <w:szCs w:val="32"/>
          <w:lang w:val="en-US" w:eastAsia="zh-CN" w:bidi="ar-SA"/>
          <w:highlight w:val="auto"/>
        </w:rPr>
        <w:t>0</w:t>
      </w:r>
      <w:r>
        <w:rPr>
          <w:rFonts w:ascii="仿宋_GB2312" w:eastAsia="仿宋_GB2312" w:cs="仿宋_GB2312" w:hint="eastAsia"/>
          <w:b/>
          <w:bCs/>
          <w:color w:val="auto"/>
          <w:kern w:val="2"/>
          <w:sz w:val="32"/>
          <w:szCs w:val="32"/>
          <w:lang w:val="en-US" w:eastAsia="zh-CN" w:bidi="ar-SA"/>
          <w:highlight w:val="auto"/>
        </w:rPr>
        <w:t>万</w:t>
      </w:r>
      <w:r>
        <w:rPr>
          <w:rFonts w:ascii="Times New Roman" w:eastAsia="仿宋_GB2312" w:cs="仿宋_GB2312" w:hAnsi="Times New Roman" w:hint="eastAsia"/>
          <w:b/>
          <w:bCs/>
          <w:color w:val="auto"/>
          <w:kern w:val="2"/>
          <w:sz w:val="32"/>
          <w:szCs w:val="32"/>
          <w:lang w:val="en-US" w:eastAsia="zh-CN" w:bidi="ar-SA"/>
          <w:highlight w:val="auto"/>
        </w:rPr>
        <w:t>元，完成预算</w:t>
      </w:r>
      <w:r>
        <w:rPr>
          <w:rFonts w:eastAsia="仿宋_GB2312" w:cs="仿宋_GB2312"/>
          <w:b/>
          <w:bCs/>
          <w:color w:val="auto"/>
          <w:kern w:val="2"/>
          <w:sz w:val="32"/>
          <w:szCs w:val="32"/>
          <w:lang w:val="en-US" w:eastAsia="zh-CN" w:bidi="ar-SA"/>
          <w:highlight w:val="auto"/>
        </w:rPr>
        <w:t>0</w:t>
      </w:r>
      <w:r>
        <w:rPr>
          <w:rFonts w:ascii="Times New Roman" w:eastAsia="仿宋_GB2312" w:cs="仿宋_GB2312" w:hAnsi="Times New Roman" w:hint="eastAsia"/>
          <w:b/>
          <w:bCs/>
          <w:color w:val="auto"/>
          <w:kern w:val="2"/>
          <w:sz w:val="32"/>
          <w:szCs w:val="32"/>
          <w:lang w:val="en-US" w:eastAsia="zh-CN" w:bidi="ar-SA"/>
          <w:highlight w:val="auto"/>
        </w:rPr>
        <w:t>%。</w:t>
      </w:r>
      <w:r>
        <w:rPr>
          <w:rFonts w:ascii="Times New Roman" w:eastAsia="仿宋_GB2312" w:cs="仿宋_GB2312" w:hAnsi="Times New Roman" w:hint="eastAsia"/>
          <w:color w:val="auto"/>
          <w:kern w:val="2"/>
          <w:sz w:val="32"/>
          <w:szCs w:val="32"/>
          <w:lang w:val="en-US" w:eastAsia="zh-CN" w:bidi="ar-SA"/>
          <w:highlight w:val="auto"/>
        </w:rPr>
        <w:t>公务接待费支出决算比202</w:t>
      </w:r>
      <w:r>
        <w:rPr>
          <w:rFonts w:ascii="Times New Roman" w:eastAsia="仿宋_GB2312" w:cs="仿宋_GB2312" w:hAnsi="Times New Roman"/>
          <w:color w:val="auto"/>
          <w:kern w:val="2"/>
          <w:sz w:val="32"/>
          <w:szCs w:val="32"/>
          <w:lang w:val="en-US" w:eastAsia="zh-CN" w:bidi="ar-SA"/>
          <w:highlight w:val="auto"/>
        </w:rPr>
        <w:t>4</w:t>
      </w:r>
      <w:r>
        <w:rPr>
          <w:rFonts w:ascii="Times New Roman" w:eastAsia="仿宋_GB2312" w:cs="仿宋_GB2312" w:hAnsi="Times New Roman" w:hint="eastAsia"/>
          <w:color w:val="auto"/>
          <w:kern w:val="2"/>
          <w:sz w:val="32"/>
          <w:szCs w:val="32"/>
          <w:lang w:val="en-US" w:eastAsia="zh-CN" w:bidi="ar-SA"/>
          <w:highlight w:val="auto"/>
        </w:rPr>
        <w:t>年度</w:t>
      </w:r>
      <w:r>
        <w:rPr>
          <w:rFonts w:eastAsia="仿宋_GB2312" w:cs="仿宋_GB2312" w:hint="eastAsia"/>
          <w:color w:val="auto"/>
          <w:kern w:val="2"/>
          <w:sz w:val="32"/>
          <w:szCs w:val="32"/>
          <w:lang w:val="en-US" w:eastAsia="zh-CN" w:bidi="ar-SA"/>
          <w:highlight w:val="auto"/>
        </w:rPr>
        <w:t>减少</w:t>
      </w:r>
      <w:r>
        <w:rPr>
          <w:rFonts w:eastAsia="仿宋_GB2312" w:cs="仿宋_GB2312"/>
          <w:color w:val="auto"/>
          <w:kern w:val="2"/>
          <w:sz w:val="32"/>
          <w:szCs w:val="32"/>
          <w:lang w:val="en-US" w:eastAsia="zh-CN" w:bidi="ar-SA"/>
          <w:highlight w:val="auto"/>
        </w:rPr>
        <w:t>0.2</w:t>
      </w:r>
      <w:r>
        <w:rPr>
          <w:rFonts w:ascii="Times New Roman" w:eastAsia="仿宋_GB2312" w:cs="仿宋_GB2312" w:hAnsi="Times New Roman" w:hint="eastAsia"/>
          <w:color w:val="auto"/>
          <w:kern w:val="2"/>
          <w:sz w:val="32"/>
          <w:szCs w:val="32"/>
          <w:lang w:val="en-US" w:eastAsia="zh-CN" w:bidi="ar-SA"/>
          <w:highlight w:val="auto"/>
        </w:rPr>
        <w:t>万元，下降</w:t>
      </w:r>
      <w:r>
        <w:rPr>
          <w:rFonts w:eastAsia="仿宋_GB2312" w:cs="仿宋_GB2312"/>
          <w:color w:val="auto"/>
          <w:kern w:val="2"/>
          <w:sz w:val="32"/>
          <w:szCs w:val="32"/>
          <w:lang w:val="en-US" w:eastAsia="zh-CN" w:bidi="ar-SA"/>
          <w:highlight w:val="auto"/>
        </w:rPr>
        <w:t>100</w:t>
      </w:r>
      <w:r>
        <w:rPr>
          <w:rFonts w:ascii="Times New Roman" w:eastAsia="仿宋_GB2312" w:cs="仿宋_GB2312" w:hAnsi="Times New Roman" w:hint="eastAsia"/>
          <w:color w:val="auto"/>
          <w:kern w:val="2"/>
          <w:sz w:val="32"/>
          <w:szCs w:val="32"/>
          <w:lang w:val="en-US" w:eastAsia="zh-CN" w:bidi="ar-SA"/>
          <w:highlight w:val="auto"/>
        </w:rPr>
        <w:t>%。主要原因是</w:t>
      </w:r>
      <w:r>
        <w:rPr>
          <w:rFonts w:eastAsia="仿宋_GB2312" w:cs="仿宋_GB2312" w:hint="eastAsia"/>
          <w:color w:val="auto"/>
          <w:kern w:val="2"/>
          <w:sz w:val="32"/>
          <w:szCs w:val="32"/>
          <w:lang w:val="en-US" w:eastAsia="zh-CN" w:bidi="ar-SA"/>
          <w:highlight w:val="auto"/>
        </w:rPr>
        <w:t>强化过紧日子的理念，严控“三公”经费和一般性支出，加强了对公务接待费的预算编制和审核，使得预算更加精准、严格，从源头上控制了接待费用的支出</w:t>
      </w:r>
      <w:r>
        <w:rPr>
          <w:rFonts w:ascii="Times New Roman" w:eastAsia="仿宋_GB2312" w:cs="仿宋_GB2312" w:hAnsi="Times New Roman" w:hint="eastAsia"/>
          <w:color w:val="auto"/>
          <w:kern w:val="2"/>
          <w:sz w:val="32"/>
          <w:szCs w:val="32"/>
          <w:lang w:val="en-US" w:eastAsia="zh-CN" w:bidi="ar-SA"/>
          <w:highlight w:val="auto"/>
        </w:rPr>
        <w:t>。其中：</w:t>
      </w:r>
    </w:p>
    <w:p>
      <w:pPr>
        <w:spacing w:line="600" w:lineRule="exact"/>
        <w:ind w:firstLine="640"/>
        <w:rPr>
          <w:rFonts w:ascii="仿宋_GB2312" w:eastAsia="仿宋_GB2312" w:cs="仿宋_GB2312"/>
          <w:color w:val="auto"/>
          <w:kern w:val="2"/>
          <w:sz w:val="32"/>
          <w:szCs w:val="32"/>
          <w:lang w:val="en-US" w:eastAsia="zh-CN" w:bidi="ar-SA"/>
          <w:highlight w:val="auto"/>
        </w:rPr>
      </w:pPr>
      <w:r>
        <w:rPr>
          <w:rFonts w:ascii="Times New Roman" w:eastAsia="仿宋_GB2312" w:cs="仿宋_GB2312" w:hAnsi="Times New Roman" w:hint="eastAsia"/>
          <w:color w:val="auto"/>
          <w:kern w:val="2"/>
          <w:sz w:val="32"/>
          <w:szCs w:val="32"/>
          <w:lang w:val="en-US" w:eastAsia="zh-CN" w:bidi="ar-SA"/>
          <w:highlight w:val="auto"/>
        </w:rPr>
        <w:t>国内公务接待支</w:t>
      </w:r>
      <w:r>
        <w:rPr>
          <w:rFonts w:ascii="仿宋_GB2312" w:eastAsia="仿宋_GB2312" w:cs="仿宋_GB2312" w:hint="eastAsia"/>
          <w:color w:val="auto"/>
          <w:kern w:val="2"/>
          <w:sz w:val="32"/>
          <w:szCs w:val="32"/>
          <w:lang w:val="en-US" w:eastAsia="zh-CN" w:bidi="ar-SA"/>
          <w:highlight w:val="auto"/>
        </w:rPr>
        <w:t>出</w:t>
      </w:r>
      <w:r>
        <w:rPr>
          <w:rFonts w:ascii="仿宋_GB2312" w:eastAsia="仿宋_GB2312" w:cs="仿宋_GB2312"/>
          <w:sz w:val="32"/>
          <w:szCs w:val="32"/>
        </w:rPr>
        <w:t>0</w:t>
      </w:r>
      <w:r>
        <w:rPr>
          <w:rFonts w:ascii="仿宋_GB2312" w:eastAsia="仿宋_GB2312" w:cs="仿宋_GB2312" w:hint="eastAsia"/>
          <w:color w:val="auto"/>
          <w:kern w:val="2"/>
          <w:sz w:val="32"/>
          <w:szCs w:val="32"/>
          <w:lang w:val="en-US" w:eastAsia="zh-CN" w:bidi="ar-SA"/>
          <w:highlight w:val="auto"/>
        </w:rPr>
        <w:t>万</w:t>
      </w:r>
      <w:r>
        <w:rPr>
          <w:rFonts w:ascii="Times New Roman" w:eastAsia="仿宋_GB2312" w:cs="仿宋_GB2312" w:hAnsi="Times New Roman" w:hint="eastAsia"/>
          <w:color w:val="auto"/>
          <w:kern w:val="2"/>
          <w:sz w:val="32"/>
          <w:szCs w:val="32"/>
          <w:lang w:val="en-US" w:eastAsia="zh-CN" w:bidi="ar-SA"/>
          <w:highlight w:val="auto"/>
        </w:rPr>
        <w:t>元，主要用于</w:t>
      </w:r>
      <w:r>
        <w:rPr>
          <w:rFonts w:ascii="仿宋_GB2312" w:eastAsia="仿宋_GB2312" w:cs="仿宋_GB2312" w:hint="eastAsia"/>
          <w:color w:val="auto"/>
          <w:kern w:val="2"/>
          <w:sz w:val="32"/>
          <w:szCs w:val="32"/>
          <w:lang w:val="en-US" w:eastAsia="zh-CN" w:bidi="ar-SA"/>
          <w:highlight w:val="auto"/>
        </w:rPr>
        <w:t>……（具体项目）</w:t>
      </w:r>
      <w:r>
        <w:rPr>
          <w:rFonts w:ascii="Times New Roman" w:eastAsia="仿宋_GB2312" w:cs="仿宋_GB2312" w:hAnsi="Times New Roman" w:hint="eastAsia"/>
          <w:color w:val="auto"/>
          <w:kern w:val="2"/>
          <w:sz w:val="32"/>
          <w:szCs w:val="32"/>
          <w:lang w:val="en-US" w:eastAsia="zh-CN" w:bidi="ar-SA"/>
          <w:highlight w:val="auto"/>
        </w:rPr>
        <w:t>。国内公务接</w:t>
      </w:r>
      <w:r>
        <w:rPr>
          <w:rFonts w:ascii="仿宋_GB2312" w:eastAsia="仿宋_GB2312" w:cs="仿宋_GB2312" w:hint="eastAsia"/>
          <w:color w:val="auto"/>
          <w:kern w:val="2"/>
          <w:sz w:val="32"/>
          <w:szCs w:val="32"/>
          <w:lang w:val="en-US" w:eastAsia="zh-CN" w:bidi="ar-SA"/>
          <w:highlight w:val="auto"/>
        </w:rPr>
        <w:t>待</w:t>
      </w:r>
      <w:r>
        <w:rPr>
          <w:rFonts w:ascii="仿宋_GB2312" w:eastAsia="仿宋_GB2312" w:cs="仿宋_GB2312"/>
          <w:sz w:val="32"/>
          <w:szCs w:val="32"/>
        </w:rPr>
        <w:t>0</w:t>
      </w:r>
      <w:r>
        <w:rPr>
          <w:rFonts w:ascii="仿宋_GB2312" w:eastAsia="仿宋_GB2312" w:cs="仿宋_GB2312" w:hint="eastAsia"/>
          <w:color w:val="auto"/>
          <w:kern w:val="2"/>
          <w:sz w:val="32"/>
          <w:szCs w:val="32"/>
          <w:lang w:val="en-US" w:eastAsia="zh-CN" w:bidi="ar-SA"/>
          <w:highlight w:val="auto"/>
        </w:rPr>
        <w:t>批次，</w:t>
      </w:r>
      <w:r>
        <w:rPr>
          <w:rFonts w:ascii="仿宋_GB2312" w:eastAsia="仿宋_GB2312" w:cs="仿宋_GB2312"/>
          <w:sz w:val="32"/>
          <w:szCs w:val="32"/>
          <w:lang w:val="en-US" w:eastAsia="zh-CN"/>
        </w:rPr>
        <w:t>0</w:t>
      </w:r>
      <w:r>
        <w:rPr>
          <w:rFonts w:ascii="Times New Roman" w:eastAsia="仿宋_GB2312" w:cs="仿宋_GB2312" w:hAnsi="Times New Roman" w:hint="eastAsia"/>
          <w:color w:val="auto"/>
          <w:kern w:val="2"/>
          <w:sz w:val="32"/>
          <w:szCs w:val="32"/>
          <w:lang w:val="en-US" w:eastAsia="zh-CN" w:bidi="ar-SA"/>
          <w:highlight w:val="auto"/>
        </w:rPr>
        <w:t>人次（不包括陪同人员），共计支出</w:t>
      </w:r>
      <w:r>
        <w:rPr>
          <w:rFonts w:eastAsia="仿宋_GB2312" w:cs="仿宋_GB2312"/>
          <w:color w:val="auto"/>
          <w:kern w:val="2"/>
          <w:sz w:val="32"/>
          <w:szCs w:val="32"/>
          <w:lang w:val="en-US" w:eastAsia="zh-CN" w:bidi="ar-SA"/>
          <w:highlight w:val="auto"/>
        </w:rPr>
        <w:t>0</w:t>
      </w:r>
      <w:r>
        <w:rPr>
          <w:rFonts w:ascii="Times New Roman" w:eastAsia="仿宋_GB2312" w:cs="仿宋_GB2312" w:hAnsi="Times New Roman" w:hint="eastAsia"/>
          <w:color w:val="auto"/>
          <w:kern w:val="2"/>
          <w:sz w:val="32"/>
          <w:szCs w:val="32"/>
          <w:lang w:val="en-US" w:eastAsia="zh-CN" w:bidi="ar-SA"/>
          <w:highlight w:val="auto"/>
        </w:rPr>
        <w:t>万元，具体内容包括：</w:t>
      </w:r>
      <w:r>
        <w:rPr>
          <w:rFonts w:ascii="仿宋_GB2312" w:eastAsia="仿宋_GB2312" w:cs="仿宋_GB2312" w:hint="eastAsia"/>
          <w:color w:val="auto"/>
          <w:kern w:val="2"/>
          <w:sz w:val="32"/>
          <w:szCs w:val="32"/>
          <w:lang w:val="en-US" w:eastAsia="zh-CN" w:bidi="ar-SA"/>
          <w:highlight w:val="auto"/>
        </w:rPr>
        <w:t>……</w:t>
      </w:r>
      <w:r>
        <w:rPr>
          <w:rFonts w:ascii="仿宋_GB2312" w:eastAsia="仿宋_GB2312" w:cs="仿宋_GB2312"/>
          <w:color w:val="auto"/>
          <w:kern w:val="2"/>
          <w:sz w:val="32"/>
          <w:szCs w:val="32"/>
          <w:lang w:val="en-US" w:eastAsia="zh-CN" w:bidi="ar-SA"/>
          <w:highlight w:val="auto"/>
        </w:rPr>
        <w:t>.</w:t>
      </w:r>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r>
        <w:rPr>
          <w:rFonts w:ascii="Times New Roman" w:eastAsia="仿宋_GB2312" w:cs="仿宋_GB2312" w:hAnsi="Times New Roman" w:hint="eastAsia"/>
          <w:color w:val="auto"/>
          <w:kern w:val="2"/>
          <w:sz w:val="32"/>
          <w:szCs w:val="32"/>
          <w:lang w:val="en-US" w:eastAsia="zh-CN" w:bidi="ar-SA"/>
          <w:highlight w:val="auto"/>
        </w:rPr>
        <w:t>外事接待支</w:t>
      </w:r>
      <w:r>
        <w:rPr>
          <w:rFonts w:ascii="仿宋_GB2312" w:eastAsia="仿宋_GB2312" w:cs="仿宋_GB2312" w:hint="eastAsia"/>
          <w:color w:val="auto"/>
          <w:kern w:val="2"/>
          <w:sz w:val="32"/>
          <w:szCs w:val="32"/>
          <w:lang w:val="en-US" w:eastAsia="zh-CN" w:bidi="ar-SA"/>
          <w:highlight w:val="auto"/>
        </w:rPr>
        <w:t>出</w:t>
      </w:r>
      <w:r>
        <w:rPr>
          <w:rFonts w:ascii="仿宋_GB2312" w:eastAsia="仿宋_GB2312" w:cs="仿宋_GB2312" w:hint="eastAsia"/>
          <w:sz w:val="32"/>
          <w:szCs w:val="32"/>
        </w:rPr>
        <w:t>0</w:t>
      </w:r>
      <w:r>
        <w:rPr>
          <w:rFonts w:ascii="仿宋_GB2312" w:eastAsia="仿宋_GB2312" w:cs="仿宋_GB2312" w:hint="eastAsia"/>
          <w:color w:val="auto"/>
          <w:kern w:val="2"/>
          <w:sz w:val="32"/>
          <w:szCs w:val="32"/>
          <w:lang w:val="en-US" w:eastAsia="zh-CN" w:bidi="ar-SA"/>
          <w:highlight w:val="auto"/>
        </w:rPr>
        <w:t>万元，主要用于……（具体项目）。外事接待</w:t>
      </w:r>
      <w:r>
        <w:rPr>
          <w:rFonts w:ascii="仿宋_GB2312" w:eastAsia="仿宋_GB2312" w:cs="仿宋_GB2312" w:hint="eastAsia"/>
          <w:sz w:val="32"/>
          <w:szCs w:val="32"/>
        </w:rPr>
        <w:t>0</w:t>
      </w:r>
      <w:r>
        <w:rPr>
          <w:rFonts w:ascii="仿宋_GB2312" w:eastAsia="仿宋_GB2312" w:cs="仿宋_GB2312" w:hint="eastAsia"/>
          <w:color w:val="auto"/>
          <w:kern w:val="2"/>
          <w:sz w:val="32"/>
          <w:szCs w:val="32"/>
          <w:lang w:val="en-US" w:eastAsia="zh-CN" w:bidi="ar-SA"/>
          <w:highlight w:val="auto"/>
        </w:rPr>
        <w:t>批次，</w:t>
      </w:r>
      <w:r>
        <w:rPr>
          <w:rFonts w:ascii="仿宋_GB2312" w:eastAsia="仿宋_GB2312" w:cs="仿宋_GB2312" w:hint="eastAsia"/>
          <w:sz w:val="32"/>
          <w:szCs w:val="32"/>
        </w:rPr>
        <w:t>0</w:t>
      </w:r>
      <w:r>
        <w:rPr>
          <w:rFonts w:ascii="仿宋_GB2312" w:eastAsia="仿宋_GB2312" w:cs="仿宋_GB2312" w:hint="eastAsia"/>
          <w:color w:val="auto"/>
          <w:kern w:val="2"/>
          <w:sz w:val="32"/>
          <w:szCs w:val="32"/>
          <w:lang w:val="en-US" w:eastAsia="zh-CN" w:bidi="ar-SA"/>
          <w:highlight w:val="auto"/>
        </w:rPr>
        <w:t>人次（不包括陪同人员），共计支出0万</w:t>
      </w:r>
      <w:r>
        <w:rPr>
          <w:rFonts w:ascii="Times New Roman" w:eastAsia="仿宋_GB2312" w:cs="仿宋_GB2312" w:hAnsi="Times New Roman" w:hint="eastAsia"/>
          <w:color w:val="auto"/>
          <w:kern w:val="2"/>
          <w:sz w:val="32"/>
          <w:szCs w:val="32"/>
          <w:lang w:val="en-US" w:eastAsia="zh-CN" w:bidi="ar-SA"/>
          <w:highlight w:val="auto"/>
        </w:rPr>
        <w:t>元。</w:t>
      </w:r>
    </w:p>
    <w:p>
      <w:pPr>
        <w:pStyle w:val="2"/>
        <w:spacing w:line="415" w:lineRule="auto"/>
        <w:rPr>
          <w:rFonts w:hint="eastAsia"/>
        </w:rPr>
      </w:pPr>
      <w:bookmarkStart w:id="39" w:name="_Toc15377218"/>
      <w:bookmarkStart w:id="40" w:name="_Toc15396610"/>
    </w:p>
    <w:p>
      <w:pPr>
        <w:pStyle w:val="2"/>
        <w:spacing w:line="415" w:lineRule="auto"/>
        <w:outlineLvl w:val="1"/>
      </w:pPr>
      <w:r>
        <w:rPr>
          <w:rFonts w:hint="eastAsia"/>
        </w:rPr>
        <w:t>八、政府性基金预算支出决算情况说明</w:t>
      </w:r>
      <w:bookmarkEnd w:id="39"/>
      <w:bookmarkEnd w:id="40"/>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r>
        <w:rPr>
          <w:rFonts w:ascii="仿宋_GB2312" w:eastAsia="仿宋_GB2312" w:cs="仿宋_GB2312" w:hint="eastAsia"/>
          <w:color w:val="auto"/>
          <w:kern w:val="2"/>
          <w:sz w:val="32"/>
          <w:szCs w:val="32"/>
          <w:lang w:val="en-US" w:eastAsia="zh-CN" w:bidi="ar-SA"/>
          <w:highlight w:val="auto"/>
        </w:rPr>
        <w:t>202</w:t>
      </w:r>
      <w:r>
        <w:rPr>
          <w:rFonts w:ascii="仿宋_GB2312" w:eastAsia="仿宋_GB2312" w:cs="仿宋_GB2312"/>
          <w:color w:val="auto"/>
          <w:kern w:val="2"/>
          <w:sz w:val="32"/>
          <w:szCs w:val="32"/>
          <w:lang w:val="en-US" w:eastAsia="zh-CN" w:bidi="ar-SA"/>
          <w:highlight w:val="auto"/>
        </w:rPr>
        <w:t>5</w:t>
      </w:r>
      <w:r>
        <w:rPr>
          <w:rFonts w:ascii="仿宋_GB2312" w:eastAsia="仿宋_GB2312" w:cs="仿宋_GB2312" w:hint="eastAsia"/>
          <w:color w:val="auto"/>
          <w:kern w:val="2"/>
          <w:sz w:val="32"/>
          <w:szCs w:val="32"/>
          <w:lang w:val="en-US" w:eastAsia="zh-CN" w:bidi="ar-SA"/>
          <w:highlight w:val="auto"/>
        </w:rPr>
        <w:t>年度政府性基金预算财政拨款支出</w:t>
      </w:r>
      <w:r>
        <w:rPr>
          <w:rFonts w:ascii="仿宋_GB2312" w:eastAsia="仿宋_GB2312" w:cs="仿宋_GB2312" w:hint="eastAsia"/>
          <w:sz w:val="32"/>
          <w:szCs w:val="32"/>
        </w:rPr>
        <w:t>0</w:t>
      </w:r>
      <w:r>
        <w:rPr>
          <w:rFonts w:ascii="仿宋_GB2312" w:eastAsia="仿宋_GB2312" w:cs="仿宋_GB2312" w:hint="eastAsia"/>
          <w:color w:val="auto"/>
          <w:kern w:val="2"/>
          <w:sz w:val="32"/>
          <w:szCs w:val="32"/>
          <w:lang w:val="en-US" w:eastAsia="zh-CN" w:bidi="ar-SA"/>
          <w:highlight w:val="auto"/>
        </w:rPr>
        <w:t>万元，占本年支出合计的</w:t>
      </w:r>
      <w:r>
        <w:rPr>
          <w:rFonts w:ascii="仿宋_GB2312" w:eastAsia="仿宋_GB2312" w:cs="仿宋_GB2312" w:hint="eastAsia"/>
          <w:sz w:val="32"/>
          <w:szCs w:val="32"/>
        </w:rPr>
        <w:t>0</w:t>
      </w:r>
      <w:r>
        <w:rPr>
          <w:rFonts w:ascii="仿宋_GB2312" w:eastAsia="仿宋_GB2312" w:cs="仿宋_GB2312" w:hint="eastAsia"/>
          <w:color w:val="auto"/>
          <w:kern w:val="2"/>
          <w:sz w:val="32"/>
          <w:szCs w:val="32"/>
          <w:lang w:val="en-US" w:eastAsia="zh-CN" w:bidi="ar-SA"/>
          <w:highlight w:val="auto"/>
        </w:rPr>
        <w:t>%</w:t>
      </w:r>
      <w:r>
        <w:rPr>
          <w:rFonts w:ascii="Times New Roman" w:eastAsia="仿宋_GB2312" w:cs="仿宋_GB2312" w:hAnsi="Times New Roman" w:hint="eastAsia"/>
          <w:color w:val="auto"/>
          <w:kern w:val="2"/>
          <w:sz w:val="32"/>
          <w:szCs w:val="32"/>
          <w:lang w:val="en-US" w:eastAsia="zh-CN" w:bidi="ar-SA"/>
          <w:highlight w:val="auto"/>
        </w:rPr>
        <w:t>。与202</w:t>
      </w:r>
      <w:r>
        <w:rPr>
          <w:rFonts w:ascii="Times New Roman" w:eastAsia="仿宋_GB2312" w:cs="仿宋_GB2312" w:hAnsi="Times New Roman"/>
          <w:color w:val="auto"/>
          <w:kern w:val="2"/>
          <w:sz w:val="32"/>
          <w:szCs w:val="32"/>
          <w:lang w:val="en-US" w:eastAsia="zh-CN" w:bidi="ar-SA"/>
          <w:highlight w:val="auto"/>
        </w:rPr>
        <w:t>4</w:t>
      </w:r>
      <w:r>
        <w:rPr>
          <w:rFonts w:ascii="Times New Roman" w:eastAsia="仿宋_GB2312" w:cs="仿宋_GB2312" w:hAnsi="Times New Roman" w:hint="eastAsia"/>
          <w:color w:val="auto"/>
          <w:kern w:val="2"/>
          <w:sz w:val="32"/>
          <w:szCs w:val="32"/>
          <w:lang w:val="en-US" w:eastAsia="zh-CN" w:bidi="ar-SA"/>
          <w:highlight w:val="auto"/>
        </w:rPr>
        <w:t>年度相比，政府性基金预算财政拨款支出增加/减少</w:t>
      </w:r>
      <w:r>
        <w:rPr>
          <w:rFonts w:eastAsia="仿宋_GB2312" w:cs="仿宋_GB2312" w:hint="eastAsia"/>
          <w:color w:val="auto"/>
          <w:kern w:val="2"/>
          <w:sz w:val="32"/>
          <w:szCs w:val="32"/>
          <w:lang w:val="en-US" w:eastAsia="zh-CN" w:bidi="ar-SA"/>
          <w:highlight w:val="auto"/>
        </w:rPr>
        <w:t>0</w:t>
      </w:r>
      <w:r>
        <w:rPr>
          <w:rFonts w:ascii="Times New Roman" w:eastAsia="仿宋_GB2312" w:cs="仿宋_GB2312" w:hAnsi="Times New Roman" w:hint="eastAsia"/>
          <w:color w:val="auto"/>
          <w:kern w:val="2"/>
          <w:sz w:val="32"/>
          <w:szCs w:val="32"/>
          <w:lang w:val="en-US" w:eastAsia="zh-CN" w:bidi="ar-SA"/>
          <w:highlight w:val="auto"/>
        </w:rPr>
        <w:t>万元，增长/下降</w:t>
      </w:r>
      <w:r>
        <w:rPr>
          <w:rFonts w:eastAsia="仿宋_GB2312" w:cs="仿宋_GB2312" w:hint="eastAsia"/>
          <w:color w:val="auto"/>
          <w:kern w:val="2"/>
          <w:sz w:val="32"/>
          <w:szCs w:val="32"/>
          <w:lang w:val="en-US" w:eastAsia="zh-CN" w:bidi="ar-SA"/>
          <w:highlight w:val="auto"/>
        </w:rPr>
        <w:t>0</w:t>
      </w:r>
      <w:r>
        <w:rPr>
          <w:rFonts w:ascii="Times New Roman" w:eastAsia="仿宋_GB2312" w:cs="仿宋_GB2312" w:hAnsi="Times New Roman" w:hint="eastAsia"/>
          <w:color w:val="auto"/>
          <w:kern w:val="2"/>
          <w:sz w:val="32"/>
          <w:szCs w:val="32"/>
          <w:lang w:val="en-US" w:eastAsia="zh-CN" w:bidi="ar-SA"/>
          <w:highlight w:val="auto"/>
        </w:rPr>
        <w:t>%。</w:t>
      </w:r>
      <w:r>
        <w:rPr>
          <w:rFonts w:ascii="仿宋_GB2312" w:eastAsia="仿宋_GB2312" w:hint="eastAsia"/>
          <w:color w:val="auto"/>
          <w:sz w:val="32"/>
          <w:szCs w:val="32"/>
          <w:lang w:eastAsia="zh-CN"/>
          <w:highlight w:val="auto"/>
        </w:rPr>
        <w:t>根据经济发展状况和政策环境的需求，我会不涉及政府性基金支持的项目。因此在202</w:t>
      </w:r>
      <w:r>
        <w:rPr>
          <w:rFonts w:ascii="仿宋_GB2312" w:eastAsia="仿宋_GB2312" w:hint="eastAsia"/>
          <w:color w:val="auto"/>
          <w:sz w:val="32"/>
          <w:szCs w:val="32"/>
          <w:lang w:val="en-US" w:eastAsia="zh-CN"/>
          <w:highlight w:val="auto"/>
        </w:rPr>
        <w:t>4</w:t>
      </w:r>
      <w:r>
        <w:rPr>
          <w:rFonts w:ascii="仿宋_GB2312" w:eastAsia="仿宋_GB2312" w:hint="eastAsia"/>
          <w:color w:val="auto"/>
          <w:sz w:val="32"/>
          <w:szCs w:val="32"/>
          <w:highlight w:val="auto"/>
        </w:rPr>
        <w:t>年</w:t>
      </w:r>
      <w:r>
        <w:rPr>
          <w:rFonts w:ascii="仿宋_GB2312" w:eastAsia="仿宋_GB2312" w:hint="eastAsia"/>
          <w:color w:val="auto"/>
          <w:sz w:val="32"/>
          <w:szCs w:val="32"/>
          <w:lang w:eastAsia="zh-CN"/>
          <w:highlight w:val="auto"/>
        </w:rPr>
        <w:t>度的预算安排和实际执行中，均未产生</w:t>
      </w:r>
      <w:r>
        <w:rPr>
          <w:rFonts w:ascii="仿宋_GB2312" w:eastAsia="仿宋_GB2312" w:hint="eastAsia"/>
          <w:color w:val="auto"/>
          <w:sz w:val="32"/>
          <w:szCs w:val="32"/>
          <w:highlight w:val="auto"/>
        </w:rPr>
        <w:t>政府性基金预算支出。政府性基金预算</w:t>
      </w:r>
      <w:r>
        <w:rPr>
          <w:rFonts w:ascii="仿宋_GB2312" w:eastAsia="仿宋_GB2312" w:hint="eastAsia"/>
          <w:color w:val="auto"/>
          <w:sz w:val="32"/>
          <w:szCs w:val="32"/>
          <w:lang w:eastAsia="zh-CN"/>
          <w:highlight w:val="auto"/>
        </w:rPr>
        <w:t>财政</w:t>
      </w:r>
      <w:r>
        <w:rPr>
          <w:rFonts w:ascii="仿宋_GB2312" w:eastAsia="仿宋_GB2312" w:hint="eastAsia"/>
          <w:color w:val="auto"/>
          <w:sz w:val="32"/>
          <w:szCs w:val="32"/>
          <w:highlight w:val="auto"/>
        </w:rPr>
        <w:t>拨款支出0万元。</w:t>
      </w:r>
    </w:p>
    <w:p>
      <w:pPr>
        <w:pStyle w:val="2"/>
        <w:spacing w:line="415" w:lineRule="auto"/>
        <w:outlineLvl w:val="1"/>
      </w:pPr>
      <w:bookmarkStart w:id="41" w:name="_Toc15396611"/>
      <w:bookmarkStart w:id="42" w:name="_Toc15377219"/>
      <w:r>
        <w:rPr>
          <w:rFonts w:hint="eastAsia"/>
        </w:rPr>
        <w:t>九、国有资本经营预算支出决算情况说明</w:t>
      </w:r>
      <w:bookmarkEnd w:id="41"/>
      <w:bookmarkEnd w:id="42"/>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r>
        <w:rPr>
          <w:rFonts w:ascii="Times New Roman" w:eastAsia="仿宋_GB2312" w:cs="仿宋_GB2312" w:hAnsi="Times New Roman" w:hint="eastAsia"/>
          <w:color w:val="auto"/>
          <w:kern w:val="2"/>
          <w:sz w:val="32"/>
          <w:szCs w:val="32"/>
          <w:lang w:val="en-US" w:eastAsia="zh-CN" w:bidi="ar-SA"/>
          <w:highlight w:val="auto"/>
        </w:rPr>
        <w:t>202</w:t>
      </w:r>
      <w:r>
        <w:rPr>
          <w:rFonts w:ascii="Times New Roman" w:eastAsia="仿宋_GB2312" w:cs="仿宋_GB2312" w:hAnsi="Times New Roman"/>
          <w:color w:val="auto"/>
          <w:kern w:val="2"/>
          <w:sz w:val="32"/>
          <w:szCs w:val="32"/>
          <w:lang w:val="en-US" w:eastAsia="zh-CN" w:bidi="ar-SA"/>
          <w:highlight w:val="auto"/>
        </w:rPr>
        <w:t>5</w:t>
      </w:r>
      <w:r>
        <w:rPr>
          <w:rFonts w:ascii="Times New Roman" w:eastAsia="仿宋_GB2312" w:cs="仿宋_GB2312" w:hAnsi="Times New Roman" w:hint="eastAsia"/>
          <w:color w:val="auto"/>
          <w:kern w:val="2"/>
          <w:sz w:val="32"/>
          <w:szCs w:val="32"/>
          <w:lang w:val="en-US" w:eastAsia="zh-CN" w:bidi="ar-SA"/>
          <w:highlight w:val="auto"/>
        </w:rPr>
        <w:t>年度国有资本经营预算财政拨款支出</w:t>
      </w:r>
      <w:r>
        <w:rPr>
          <w:rFonts w:ascii="仿宋_GB2312" w:eastAsia="仿宋_GB2312" w:cs="仿宋_GB2312" w:hint="eastAsia"/>
          <w:sz w:val="32"/>
          <w:szCs w:val="32"/>
        </w:rPr>
        <w:t>0</w:t>
      </w:r>
      <w:r>
        <w:rPr>
          <w:rFonts w:ascii="仿宋_GB2312" w:eastAsia="仿宋_GB2312" w:cs="仿宋_GB2312" w:hint="eastAsia"/>
          <w:color w:val="auto"/>
          <w:kern w:val="2"/>
          <w:sz w:val="32"/>
          <w:szCs w:val="32"/>
          <w:lang w:val="en-US" w:eastAsia="zh-CN" w:bidi="ar-SA"/>
          <w:highlight w:val="auto"/>
        </w:rPr>
        <w:t>万元，占本年支出合计的</w:t>
      </w:r>
      <w:r>
        <w:rPr>
          <w:rFonts w:ascii="仿宋_GB2312" w:eastAsia="仿宋_GB2312" w:cs="仿宋_GB2312" w:hint="eastAsia"/>
          <w:sz w:val="32"/>
          <w:szCs w:val="32"/>
        </w:rPr>
        <w:t>0</w:t>
      </w:r>
      <w:r>
        <w:rPr>
          <w:rFonts w:ascii="仿宋_GB2312" w:eastAsia="仿宋_GB2312" w:cs="仿宋_GB2312" w:hint="eastAsia"/>
          <w:color w:val="auto"/>
          <w:kern w:val="2"/>
          <w:sz w:val="32"/>
          <w:szCs w:val="32"/>
          <w:lang w:val="en-US" w:eastAsia="zh-CN" w:bidi="ar-SA"/>
          <w:highlight w:val="auto"/>
        </w:rPr>
        <w:t>%</w:t>
      </w:r>
      <w:r>
        <w:rPr>
          <w:rFonts w:ascii="Times New Roman" w:eastAsia="仿宋_GB2312" w:cs="仿宋_GB2312" w:hAnsi="Times New Roman" w:hint="eastAsia"/>
          <w:color w:val="auto"/>
          <w:kern w:val="2"/>
          <w:sz w:val="32"/>
          <w:szCs w:val="32"/>
          <w:lang w:val="en-US" w:eastAsia="zh-CN" w:bidi="ar-SA"/>
          <w:highlight w:val="auto"/>
        </w:rPr>
        <w:t>。与202</w:t>
      </w:r>
      <w:r>
        <w:rPr>
          <w:rFonts w:ascii="Times New Roman" w:eastAsia="仿宋_GB2312" w:cs="仿宋_GB2312" w:hAnsi="Times New Roman"/>
          <w:color w:val="auto"/>
          <w:kern w:val="2"/>
          <w:sz w:val="32"/>
          <w:szCs w:val="32"/>
          <w:lang w:val="en-US" w:eastAsia="zh-CN" w:bidi="ar-SA"/>
          <w:highlight w:val="auto"/>
        </w:rPr>
        <w:t>4</w:t>
      </w:r>
      <w:r>
        <w:rPr>
          <w:rFonts w:ascii="Times New Roman" w:eastAsia="仿宋_GB2312" w:cs="仿宋_GB2312" w:hAnsi="Times New Roman" w:hint="eastAsia"/>
          <w:color w:val="auto"/>
          <w:kern w:val="2"/>
          <w:sz w:val="32"/>
          <w:szCs w:val="32"/>
          <w:lang w:val="en-US" w:eastAsia="zh-CN" w:bidi="ar-SA"/>
          <w:highlight w:val="auto"/>
        </w:rPr>
        <w:t>年度相比，国有资本经营预算财政拨款支出增加/减少</w:t>
      </w:r>
      <w:r>
        <w:rPr>
          <w:rFonts w:eastAsia="仿宋_GB2312" w:cs="仿宋_GB2312" w:hint="eastAsia"/>
          <w:color w:val="auto"/>
          <w:kern w:val="2"/>
          <w:sz w:val="32"/>
          <w:szCs w:val="32"/>
          <w:lang w:val="en-US" w:eastAsia="zh-CN" w:bidi="ar-SA"/>
          <w:highlight w:val="auto"/>
        </w:rPr>
        <w:t>0</w:t>
      </w:r>
      <w:r>
        <w:rPr>
          <w:rFonts w:ascii="Times New Roman" w:eastAsia="仿宋_GB2312" w:cs="仿宋_GB2312" w:hAnsi="Times New Roman" w:hint="eastAsia"/>
          <w:color w:val="auto"/>
          <w:kern w:val="2"/>
          <w:sz w:val="32"/>
          <w:szCs w:val="32"/>
          <w:lang w:val="en-US" w:eastAsia="zh-CN" w:bidi="ar-SA"/>
          <w:highlight w:val="auto"/>
        </w:rPr>
        <w:t>万元，增长/下降</w:t>
      </w:r>
      <w:r>
        <w:rPr>
          <w:rFonts w:eastAsia="仿宋_GB2312" w:cs="仿宋_GB2312" w:hint="eastAsia"/>
          <w:color w:val="auto"/>
          <w:kern w:val="2"/>
          <w:sz w:val="32"/>
          <w:szCs w:val="32"/>
          <w:lang w:val="en-US" w:eastAsia="zh-CN" w:bidi="ar-SA"/>
          <w:highlight w:val="auto"/>
        </w:rPr>
        <w:t>0</w:t>
      </w:r>
      <w:r>
        <w:rPr>
          <w:rFonts w:ascii="Times New Roman" w:eastAsia="仿宋_GB2312" w:cs="仿宋_GB2312" w:hAnsi="Times New Roman" w:hint="eastAsia"/>
          <w:color w:val="auto"/>
          <w:kern w:val="2"/>
          <w:sz w:val="32"/>
          <w:szCs w:val="32"/>
          <w:lang w:val="en-US" w:eastAsia="zh-CN" w:bidi="ar-SA"/>
          <w:highlight w:val="auto"/>
        </w:rPr>
        <w:t>%。</w:t>
      </w:r>
      <w:r>
        <w:rPr>
          <w:rFonts w:ascii="仿宋_GB2312" w:eastAsia="仿宋_GB2312" w:hint="eastAsia"/>
          <w:color w:val="auto"/>
          <w:sz w:val="32"/>
          <w:szCs w:val="32"/>
          <w:lang w:eastAsia="zh-CN"/>
          <w:highlight w:val="auto"/>
        </w:rPr>
        <w:t>根据我会的业务性质和运营模式，没有与国有资本经营相关的活动和项目，因此在2023</w:t>
      </w:r>
      <w:r>
        <w:rPr>
          <w:rFonts w:ascii="仿宋_GB2312" w:eastAsia="仿宋_GB2312" w:hint="eastAsia"/>
          <w:color w:val="auto"/>
          <w:sz w:val="32"/>
          <w:szCs w:val="32"/>
          <w:highlight w:val="auto"/>
        </w:rPr>
        <w:t>年</w:t>
      </w:r>
      <w:r>
        <w:rPr>
          <w:rFonts w:ascii="仿宋_GB2312" w:eastAsia="仿宋_GB2312" w:hint="eastAsia"/>
          <w:color w:val="auto"/>
          <w:sz w:val="32"/>
          <w:szCs w:val="32"/>
          <w:lang w:eastAsia="zh-CN"/>
          <w:highlight w:val="auto"/>
        </w:rPr>
        <w:t>度的预算安排和实际执行中，均未产生</w:t>
      </w:r>
      <w:r>
        <w:rPr>
          <w:rFonts w:ascii="仿宋_GB2312" w:eastAsia="仿宋_GB2312" w:hint="eastAsia"/>
          <w:color w:val="auto"/>
          <w:sz w:val="32"/>
          <w:szCs w:val="32"/>
          <w:highlight w:val="auto"/>
        </w:rPr>
        <w:t>国有资本经营预算支出。国有资本经营预算</w:t>
      </w:r>
      <w:r>
        <w:rPr>
          <w:rFonts w:ascii="仿宋_GB2312" w:eastAsia="仿宋_GB2312" w:hint="eastAsia"/>
          <w:color w:val="auto"/>
          <w:sz w:val="32"/>
          <w:szCs w:val="32"/>
          <w:lang w:eastAsia="zh-CN"/>
          <w:highlight w:val="auto"/>
        </w:rPr>
        <w:t>财政</w:t>
      </w:r>
      <w:r>
        <w:rPr>
          <w:rFonts w:ascii="仿宋_GB2312" w:eastAsia="仿宋_GB2312" w:hint="eastAsia"/>
          <w:color w:val="auto"/>
          <w:sz w:val="32"/>
          <w:szCs w:val="32"/>
          <w:highlight w:val="auto"/>
        </w:rPr>
        <w:t>拨款支出0万元。</w:t>
      </w:r>
    </w:p>
    <w:p>
      <w:pPr>
        <w:pStyle w:val="2"/>
        <w:spacing w:line="415" w:lineRule="auto"/>
        <w:outlineLvl w:val="1"/>
        <w:rPr>
          <w:rFonts w:hint="eastAsia"/>
        </w:rPr>
      </w:pPr>
      <w:bookmarkStart w:id="43" w:name="_Toc15396612"/>
      <w:bookmarkStart w:id="44" w:name="_Toc15377221"/>
      <w:r>
        <w:rPr>
          <w:rFonts w:hint="eastAsia"/>
        </w:rPr>
        <w:t>十、其他重要事项的情况说明</w:t>
      </w:r>
      <w:bookmarkEnd w:id="43"/>
      <w:bookmarkEnd w:id="44"/>
    </w:p>
    <w:p>
      <w:pPr>
        <w:spacing w:line="600" w:lineRule="exact"/>
        <w:ind w:firstLineChars="200" w:firstLine="640"/>
        <w:outlineLvl w:val="2"/>
        <w:rPr>
          <w:rFonts w:ascii="Times New Roman" w:eastAsia="楷体_GB2312" w:cs="楷体_GB2312" w:hAnsi="Times New Roman" w:hint="eastAsia"/>
          <w:b/>
          <w:color w:val="auto"/>
          <w:sz w:val="32"/>
          <w:szCs w:val="32"/>
          <w:highlight w:val="auto"/>
        </w:rPr>
      </w:pPr>
      <w:bookmarkStart w:id="45" w:name="_Toc15377222"/>
      <w:r>
        <w:rPr>
          <w:rFonts w:ascii="Times New Roman" w:eastAsia="楷体_GB2312" w:cs="楷体_GB2312" w:hAnsi="Times New Roman" w:hint="eastAsia"/>
          <w:b/>
          <w:color w:val="auto"/>
          <w:sz w:val="32"/>
          <w:szCs w:val="32"/>
          <w:highlight w:val="auto"/>
        </w:rPr>
        <w:t>（一）机关运行经费支出情况</w:t>
      </w:r>
      <w:bookmarkEnd w:id="45"/>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r>
        <w:rPr>
          <w:rFonts w:ascii="Times New Roman" w:eastAsia="仿宋_GB2312" w:cs="仿宋_GB2312" w:hAnsi="Times New Roman" w:hint="eastAsia"/>
          <w:color w:val="auto"/>
          <w:kern w:val="2"/>
          <w:sz w:val="32"/>
          <w:szCs w:val="32"/>
          <w:lang w:val="en-US" w:eastAsia="zh-CN" w:bidi="ar-SA"/>
          <w:highlight w:val="auto"/>
        </w:rPr>
        <w:t>202</w:t>
      </w:r>
      <w:r>
        <w:rPr>
          <w:rFonts w:ascii="Times New Roman" w:eastAsia="仿宋_GB2312" w:cs="仿宋_GB2312" w:hAnsi="Times New Roman"/>
          <w:color w:val="auto"/>
          <w:kern w:val="2"/>
          <w:sz w:val="32"/>
          <w:szCs w:val="32"/>
          <w:lang w:val="en-US" w:eastAsia="zh-CN" w:bidi="ar-SA"/>
          <w:highlight w:val="auto"/>
        </w:rPr>
        <w:t>5</w:t>
      </w:r>
      <w:r>
        <w:rPr>
          <w:rFonts w:ascii="Times New Roman" w:eastAsia="仿宋_GB2312" w:cs="仿宋_GB2312" w:hAnsi="Times New Roman" w:hint="eastAsia"/>
          <w:color w:val="auto"/>
          <w:kern w:val="2"/>
          <w:sz w:val="32"/>
          <w:szCs w:val="32"/>
          <w:lang w:val="en-US" w:eastAsia="zh-CN" w:bidi="ar-SA"/>
          <w:highlight w:val="auto"/>
        </w:rPr>
        <w:t>年度</w:t>
      </w:r>
      <w:r>
        <w:rPr>
          <w:rFonts w:ascii="仿宋_GB2312" w:eastAsia="仿宋_GB2312" w:cs="仿宋_GB2312" w:hint="eastAsia"/>
          <w:color w:val="auto"/>
          <w:kern w:val="2"/>
          <w:sz w:val="32"/>
          <w:szCs w:val="32"/>
          <w:lang w:val="en-US" w:eastAsia="zh-CN" w:bidi="ar-SA"/>
          <w:highlight w:val="auto"/>
        </w:rPr>
        <w:t>，</w:t>
      </w:r>
      <w:r>
        <w:rPr>
          <w:rFonts w:ascii="仿宋_GB2312" w:eastAsia="仿宋_GB2312" w:cs="仿宋_GB2312" w:hint="eastAsia"/>
          <w:sz w:val="32"/>
          <w:szCs w:val="32"/>
        </w:rPr>
        <w:t>阿坝州佛教协会（本级）</w:t>
      </w:r>
      <w:r>
        <w:rPr>
          <w:rFonts w:ascii="仿宋_GB2312" w:eastAsia="仿宋_GB2312" w:cs="仿宋_GB2312" w:hint="eastAsia"/>
          <w:color w:val="auto"/>
          <w:kern w:val="2"/>
          <w:sz w:val="32"/>
          <w:szCs w:val="32"/>
          <w:lang w:val="en-US" w:eastAsia="zh-CN" w:bidi="ar-SA"/>
          <w:highlight w:val="auto"/>
        </w:rPr>
        <w:t>机关运行经费支出</w:t>
      </w:r>
      <w:r>
        <w:rPr>
          <w:rFonts w:ascii="仿宋_GB2312" w:eastAsia="仿宋_GB2312" w:cs="仿宋_GB2312"/>
          <w:sz w:val="32"/>
          <w:szCs w:val="32"/>
        </w:rPr>
        <w:t>18.4</w:t>
      </w:r>
      <w:r>
        <w:rPr>
          <w:rFonts w:ascii="仿宋_GB2312" w:eastAsia="仿宋_GB2312" w:cs="仿宋_GB2312" w:hint="eastAsia"/>
          <w:color w:val="auto"/>
          <w:kern w:val="2"/>
          <w:sz w:val="32"/>
          <w:szCs w:val="32"/>
          <w:lang w:val="en-US" w:eastAsia="zh-CN" w:bidi="ar-SA"/>
          <w:highlight w:val="auto"/>
        </w:rPr>
        <w:t>万</w:t>
      </w:r>
      <w:r>
        <w:rPr>
          <w:rFonts w:ascii="Times New Roman" w:eastAsia="仿宋_GB2312" w:cs="仿宋_GB2312" w:hAnsi="Times New Roman" w:hint="eastAsia"/>
          <w:color w:val="auto"/>
          <w:kern w:val="2"/>
          <w:sz w:val="32"/>
          <w:szCs w:val="32"/>
          <w:lang w:val="en-US" w:eastAsia="zh-CN" w:bidi="ar-SA"/>
          <w:highlight w:val="auto"/>
        </w:rPr>
        <w:t>元，比202</w:t>
      </w:r>
      <w:r>
        <w:rPr>
          <w:rFonts w:ascii="Times New Roman" w:eastAsia="仿宋_GB2312" w:cs="仿宋_GB2312" w:hAnsi="Times New Roman"/>
          <w:color w:val="auto"/>
          <w:kern w:val="2"/>
          <w:sz w:val="32"/>
          <w:szCs w:val="32"/>
          <w:lang w:val="en-US" w:eastAsia="zh-CN" w:bidi="ar-SA"/>
          <w:highlight w:val="auto"/>
        </w:rPr>
        <w:t>4</w:t>
      </w:r>
      <w:r>
        <w:rPr>
          <w:rFonts w:ascii="Times New Roman" w:eastAsia="仿宋_GB2312" w:cs="仿宋_GB2312" w:hAnsi="Times New Roman" w:hint="eastAsia"/>
          <w:color w:val="auto"/>
          <w:kern w:val="2"/>
          <w:sz w:val="32"/>
          <w:szCs w:val="32"/>
          <w:lang w:val="en-US" w:eastAsia="zh-CN" w:bidi="ar-SA"/>
          <w:highlight w:val="auto"/>
        </w:rPr>
        <w:t>年度</w:t>
      </w:r>
      <w:r>
        <w:rPr>
          <w:rFonts w:ascii="Times New Roman" w:eastAsia="仿宋_GB2312" w:cs="仿宋_GB2312" w:hAnsi="Times New Roman"/>
          <w:color w:val="auto"/>
          <w:kern w:val="2"/>
          <w:sz w:val="32"/>
          <w:szCs w:val="32"/>
          <w:lang w:val="en-US" w:eastAsia="zh-CN" w:bidi="ar-SA"/>
          <w:highlight w:val="auto"/>
        </w:rPr>
        <w:t>减少</w:t>
      </w:r>
      <w:r>
        <w:rPr>
          <w:rFonts w:eastAsia="仿宋_GB2312" w:cs="仿宋_GB2312"/>
          <w:color w:val="auto"/>
          <w:kern w:val="2"/>
          <w:sz w:val="32"/>
          <w:szCs w:val="32"/>
          <w:lang w:val="en-US" w:eastAsia="zh-CN" w:bidi="ar-SA"/>
          <w:highlight w:val="auto"/>
        </w:rPr>
        <w:t>6.37</w:t>
      </w:r>
      <w:r>
        <w:rPr>
          <w:rFonts w:ascii="Times New Roman" w:eastAsia="仿宋_GB2312" w:cs="仿宋_GB2312" w:hAnsi="Times New Roman" w:hint="eastAsia"/>
          <w:color w:val="auto"/>
          <w:kern w:val="2"/>
          <w:sz w:val="32"/>
          <w:szCs w:val="32"/>
          <w:lang w:val="en-US" w:eastAsia="zh-CN" w:bidi="ar-SA"/>
          <w:highlight w:val="auto"/>
        </w:rPr>
        <w:t>万元，</w:t>
      </w:r>
      <w:r>
        <w:rPr>
          <w:rFonts w:ascii="Times New Roman" w:eastAsia="仿宋_GB2312" w:cs="仿宋_GB2312" w:hAnsi="Times New Roman"/>
          <w:color w:val="auto"/>
          <w:kern w:val="2"/>
          <w:sz w:val="32"/>
          <w:szCs w:val="32"/>
          <w:lang w:val="en-US" w:eastAsia="zh-CN" w:bidi="ar-SA"/>
          <w:highlight w:val="auto"/>
        </w:rPr>
        <w:t>增减</w:t>
      </w:r>
      <w:r>
        <w:rPr>
          <w:rFonts w:eastAsia="仿宋_GB2312" w:cs="仿宋_GB2312"/>
          <w:color w:val="auto"/>
          <w:kern w:val="2"/>
          <w:sz w:val="32"/>
          <w:szCs w:val="32"/>
          <w:lang w:val="en-US" w:eastAsia="zh-CN" w:bidi="ar-SA"/>
          <w:highlight w:val="auto"/>
        </w:rPr>
        <w:t>25.71</w:t>
      </w:r>
      <w:r>
        <w:rPr>
          <w:rFonts w:ascii="Times New Roman" w:eastAsia="仿宋_GB2312" w:cs="仿宋_GB2312" w:hAnsi="Times New Roman" w:hint="eastAsia"/>
          <w:color w:val="auto"/>
          <w:kern w:val="2"/>
          <w:sz w:val="32"/>
          <w:szCs w:val="32"/>
          <w:lang w:val="en-US" w:eastAsia="zh-CN" w:bidi="ar-SA"/>
          <w:highlight w:val="auto"/>
        </w:rPr>
        <w:t>%。主要原因</w:t>
      </w:r>
      <w:r>
        <w:rPr>
          <w:rFonts w:eastAsia="仿宋_GB2312" w:cs="仿宋_GB2312" w:hint="eastAsia"/>
          <w:color w:val="auto"/>
          <w:kern w:val="2"/>
          <w:sz w:val="32"/>
          <w:szCs w:val="32"/>
          <w:lang w:val="en-US" w:eastAsia="zh-CN" w:bidi="ar-SA"/>
          <w:highlight w:val="auto"/>
        </w:rPr>
        <w:t>：一</w:t>
      </w:r>
      <w:r>
        <w:rPr>
          <w:rFonts w:ascii="Times New Roman" w:eastAsia="仿宋_GB2312" w:cs="仿宋_GB2312" w:hAnsi="Times New Roman" w:hint="eastAsia"/>
          <w:color w:val="auto"/>
          <w:kern w:val="2"/>
          <w:sz w:val="32"/>
          <w:szCs w:val="32"/>
          <w:lang w:val="en-US" w:eastAsia="zh-CN" w:bidi="ar-SA"/>
          <w:highlight w:val="auto"/>
        </w:rPr>
        <w:t>是</w:t>
      </w:r>
      <w:r>
        <w:rPr>
          <w:rFonts w:ascii="Times New Roman" w:eastAsia="仿宋_GB2312" w:cs="仿宋_GB2312" w:hAnsi="Times New Roman"/>
          <w:color w:val="auto"/>
          <w:kern w:val="2"/>
          <w:sz w:val="32"/>
          <w:szCs w:val="32"/>
          <w:lang w:val="en-US" w:eastAsia="zh-CN" w:bidi="ar-SA"/>
          <w:highlight w:val="auto"/>
        </w:rPr>
        <w:t>严格贯彻落实厉行节俭节约“过紧日子”要求，压减日常公用经费</w:t>
      </w:r>
      <w:r>
        <w:rPr>
          <w:rFonts w:eastAsia="仿宋_GB2312" w:cs="仿宋_GB2312" w:hint="eastAsia"/>
          <w:color w:val="auto"/>
          <w:kern w:val="2"/>
          <w:sz w:val="32"/>
          <w:szCs w:val="32"/>
          <w:lang w:val="en-US" w:eastAsia="zh-CN" w:bidi="ar-SA"/>
          <w:highlight w:val="auto"/>
        </w:rPr>
        <w:t>。二是</w:t>
      </w:r>
      <w:r>
        <w:rPr>
          <w:rFonts w:eastAsia="仿宋_GB2312" w:cs="仿宋_GB2312"/>
          <w:color w:val="auto"/>
          <w:kern w:val="2"/>
          <w:sz w:val="32"/>
          <w:szCs w:val="32"/>
          <w:lang w:val="en-US" w:eastAsia="zh-CN" w:bidi="ar-SA"/>
          <w:highlight w:val="auto"/>
        </w:rPr>
        <w:t>强化经费预算执行管理，从严审核经费开支。</w:t>
      </w:r>
    </w:p>
    <w:p>
      <w:pPr>
        <w:spacing w:line="600" w:lineRule="exact"/>
        <w:ind w:firstLineChars="200" w:firstLine="640"/>
        <w:outlineLvl w:val="2"/>
        <w:rPr>
          <w:rFonts w:ascii="Times New Roman" w:eastAsia="楷体_GB2312" w:cs="楷体_GB2312" w:hAnsi="Times New Roman" w:hint="eastAsia"/>
          <w:b/>
          <w:color w:val="auto"/>
          <w:sz w:val="32"/>
          <w:szCs w:val="32"/>
          <w:highlight w:val="auto"/>
        </w:rPr>
      </w:pPr>
      <w:bookmarkStart w:id="46" w:name="_Toc15377223"/>
      <w:r>
        <w:rPr>
          <w:rFonts w:ascii="Times New Roman" w:eastAsia="楷体_GB2312" w:cs="楷体_GB2312" w:hAnsi="Times New Roman" w:hint="eastAsia"/>
          <w:b/>
          <w:color w:val="auto"/>
          <w:sz w:val="32"/>
          <w:szCs w:val="32"/>
          <w:highlight w:val="auto"/>
        </w:rPr>
        <w:t>（二）政府采购支出情况</w:t>
      </w:r>
      <w:bookmarkEnd w:id="46"/>
    </w:p>
    <w:p>
      <w:pPr>
        <w:spacing w:line="600" w:lineRule="exact"/>
        <w:ind w:firstLine="640"/>
        <w:rPr>
          <w:rFonts w:ascii="仿宋_GB2312" w:eastAsia="仿宋_GB2312" w:cs="仿宋_GB2312" w:hint="eastAsia"/>
          <w:color w:val="auto"/>
          <w:kern w:val="2"/>
          <w:sz w:val="32"/>
          <w:szCs w:val="32"/>
          <w:lang w:val="en-US" w:eastAsia="zh-CN" w:bidi="ar-SA"/>
          <w:highlight w:val="auto"/>
        </w:rPr>
      </w:pPr>
      <w:r>
        <w:rPr>
          <w:rFonts w:ascii="仿宋_GB2312" w:eastAsia="仿宋_GB2312" w:cs="仿宋_GB2312" w:hint="eastAsia"/>
          <w:color w:val="auto"/>
          <w:kern w:val="2"/>
          <w:sz w:val="32"/>
          <w:szCs w:val="32"/>
          <w:lang w:val="en-US" w:eastAsia="zh-CN" w:bidi="ar-SA"/>
          <w:highlight w:val="auto"/>
        </w:rPr>
        <w:t>202</w:t>
      </w:r>
      <w:r>
        <w:rPr>
          <w:rFonts w:ascii="仿宋_GB2312" w:eastAsia="仿宋_GB2312" w:cs="仿宋_GB2312"/>
          <w:color w:val="auto"/>
          <w:kern w:val="2"/>
          <w:sz w:val="32"/>
          <w:szCs w:val="32"/>
          <w:lang w:val="en-US" w:eastAsia="zh-CN" w:bidi="ar-SA"/>
          <w:highlight w:val="auto"/>
        </w:rPr>
        <w:t>5</w:t>
      </w:r>
      <w:r>
        <w:rPr>
          <w:rFonts w:ascii="仿宋_GB2312" w:eastAsia="仿宋_GB2312" w:cs="仿宋_GB2312" w:hint="eastAsia"/>
          <w:color w:val="auto"/>
          <w:kern w:val="2"/>
          <w:sz w:val="32"/>
          <w:szCs w:val="32"/>
          <w:lang w:val="en-US" w:eastAsia="zh-CN" w:bidi="ar-SA"/>
          <w:highlight w:val="auto"/>
        </w:rPr>
        <w:t>年度，</w:t>
      </w:r>
      <w:r>
        <w:rPr>
          <w:rFonts w:ascii="仿宋_GB2312" w:eastAsia="仿宋_GB2312" w:cs="仿宋_GB2312" w:hint="eastAsia"/>
          <w:sz w:val="32"/>
          <w:szCs w:val="32"/>
        </w:rPr>
        <w:t>阿坝州佛教协会（本级）</w:t>
      </w:r>
      <w:r>
        <w:rPr>
          <w:rFonts w:ascii="仿宋_GB2312" w:eastAsia="仿宋_GB2312" w:cs="仿宋_GB2312" w:hint="eastAsia"/>
          <w:color w:val="auto"/>
          <w:kern w:val="2"/>
          <w:sz w:val="32"/>
          <w:szCs w:val="32"/>
          <w:lang w:val="en-US" w:eastAsia="zh-CN" w:bidi="ar-SA"/>
          <w:highlight w:val="auto"/>
        </w:rPr>
        <w:t>政府采购支出总额</w:t>
      </w:r>
      <w:r>
        <w:rPr>
          <w:rFonts w:ascii="仿宋_GB2312" w:eastAsia="仿宋_GB2312" w:cs="仿宋_GB2312"/>
          <w:sz w:val="32"/>
          <w:szCs w:val="32"/>
        </w:rPr>
        <w:t>104.21</w:t>
      </w:r>
      <w:r>
        <w:rPr>
          <w:rFonts w:ascii="仿宋_GB2312" w:eastAsia="仿宋_GB2312" w:cs="仿宋_GB2312" w:hint="eastAsia"/>
          <w:color w:val="auto"/>
          <w:kern w:val="2"/>
          <w:sz w:val="32"/>
          <w:szCs w:val="32"/>
          <w:lang w:val="en-US" w:eastAsia="zh-CN" w:bidi="ar-SA"/>
          <w:highlight w:val="auto"/>
        </w:rPr>
        <w:t>万元，其中：政府采购货物支出</w:t>
      </w:r>
      <w:r>
        <w:rPr>
          <w:rFonts w:ascii="仿宋_GB2312" w:eastAsia="仿宋_GB2312" w:cs="仿宋_GB2312"/>
          <w:sz w:val="32"/>
          <w:szCs w:val="32"/>
        </w:rPr>
        <w:t>2.62</w:t>
      </w:r>
      <w:r>
        <w:rPr>
          <w:rFonts w:ascii="仿宋_GB2312" w:eastAsia="仿宋_GB2312" w:cs="仿宋_GB2312" w:hint="eastAsia"/>
          <w:color w:val="auto"/>
          <w:kern w:val="2"/>
          <w:sz w:val="32"/>
          <w:szCs w:val="32"/>
          <w:lang w:val="en-US" w:eastAsia="zh-CN" w:bidi="ar-SA"/>
          <w:highlight w:val="auto"/>
        </w:rPr>
        <w:t>万元、政府采购工程支出</w:t>
      </w:r>
      <w:r>
        <w:rPr>
          <w:rFonts w:ascii="仿宋_GB2312" w:eastAsia="仿宋_GB2312" w:cs="仿宋_GB2312" w:hint="eastAsia"/>
          <w:sz w:val="32"/>
          <w:szCs w:val="32"/>
        </w:rPr>
        <w:t>0</w:t>
      </w:r>
      <w:r>
        <w:rPr>
          <w:rFonts w:ascii="仿宋_GB2312" w:eastAsia="仿宋_GB2312" w:cs="仿宋_GB2312" w:hint="eastAsia"/>
          <w:color w:val="auto"/>
          <w:kern w:val="2"/>
          <w:sz w:val="32"/>
          <w:szCs w:val="32"/>
          <w:lang w:val="en-US" w:eastAsia="zh-CN" w:bidi="ar-SA"/>
          <w:highlight w:val="auto"/>
        </w:rPr>
        <w:t>万元、政府采购服务支出</w:t>
      </w:r>
      <w:r>
        <w:rPr>
          <w:rFonts w:ascii="仿宋_GB2312" w:eastAsia="仿宋_GB2312" w:cs="仿宋_GB2312"/>
          <w:sz w:val="32"/>
          <w:szCs w:val="32"/>
        </w:rPr>
        <w:t>101.6</w:t>
      </w:r>
      <w:r>
        <w:rPr>
          <w:rFonts w:ascii="仿宋_GB2312" w:eastAsia="仿宋_GB2312" w:cs="仿宋_GB2312" w:hint="eastAsia"/>
          <w:color w:val="auto"/>
          <w:kern w:val="2"/>
          <w:sz w:val="32"/>
          <w:szCs w:val="32"/>
          <w:lang w:val="en-US" w:eastAsia="zh-CN" w:bidi="ar-SA"/>
          <w:highlight w:val="auto"/>
        </w:rPr>
        <w:t>万元。主要用于</w:t>
      </w:r>
      <w:r>
        <w:rPr>
          <w:rFonts w:ascii="仿宋_GB2312" w:eastAsia="仿宋_GB2312" w:hint="eastAsia"/>
          <w:color w:val="auto"/>
          <w:sz w:val="32"/>
          <w:szCs w:val="32"/>
          <w:highlight w:val="auto"/>
        </w:rPr>
        <w:t>《阿坝州珍稀古籍</w:t>
      </w:r>
      <w:r>
        <w:rPr>
          <w:rFonts w:ascii="仿宋_GB2312" w:eastAsia="仿宋_GB2312" w:hint="eastAsia"/>
          <w:color w:val="auto"/>
          <w:sz w:val="32"/>
          <w:szCs w:val="32"/>
          <w:lang w:eastAsia="zh-CN"/>
          <w:highlight w:val="auto"/>
        </w:rPr>
        <w:t>文献汇编</w:t>
      </w:r>
      <w:r>
        <w:rPr>
          <w:rFonts w:ascii="仿宋_GB2312" w:eastAsia="仿宋_GB2312" w:hint="eastAsia"/>
          <w:color w:val="auto"/>
          <w:sz w:val="32"/>
          <w:szCs w:val="32"/>
          <w:highlight w:val="auto"/>
        </w:rPr>
        <w:t>》</w:t>
      </w:r>
      <w:r>
        <w:rPr>
          <w:rFonts w:ascii="仿宋_GB2312" w:eastAsia="仿宋_GB2312" w:cs="仿宋_GB2312" w:hint="eastAsia"/>
          <w:color w:val="auto"/>
          <w:kern w:val="2"/>
          <w:sz w:val="32"/>
          <w:szCs w:val="32"/>
          <w:lang w:val="en-US" w:eastAsia="zh-CN" w:bidi="ar-SA"/>
          <w:highlight w:val="auto"/>
        </w:rPr>
        <w:t>出版</w:t>
      </w:r>
      <w:r>
        <w:rPr>
          <w:rFonts w:ascii="仿宋_GB2312" w:eastAsia="仿宋_GB2312" w:cs="仿宋_GB2312"/>
          <w:color w:val="auto"/>
          <w:kern w:val="2"/>
          <w:sz w:val="32"/>
          <w:szCs w:val="32"/>
          <w:lang w:val="en-US" w:eastAsia="zh-CN" w:bidi="ar-SA"/>
          <w:highlight w:val="auto"/>
        </w:rPr>
        <w:t>和采购打印机</w:t>
      </w:r>
      <w:r>
        <w:rPr>
          <w:rFonts w:ascii="仿宋_GB2312" w:eastAsia="仿宋_GB2312" w:cs="仿宋_GB2312" w:hint="eastAsia"/>
          <w:color w:val="auto"/>
          <w:kern w:val="2"/>
          <w:sz w:val="32"/>
          <w:szCs w:val="32"/>
          <w:lang w:val="en-US" w:eastAsia="zh-CN" w:bidi="ar-SA"/>
          <w:highlight w:val="auto"/>
        </w:rPr>
        <w:t>。授予中小企业合同金额</w:t>
      </w:r>
      <w:r>
        <w:rPr>
          <w:rFonts w:ascii="仿宋_GB2312" w:eastAsia="仿宋_GB2312" w:cs="仿宋_GB2312" w:hint="eastAsia"/>
          <w:sz w:val="32"/>
          <w:szCs w:val="32"/>
        </w:rPr>
        <w:t>0</w:t>
      </w:r>
      <w:r>
        <w:rPr>
          <w:rFonts w:ascii="仿宋_GB2312" w:eastAsia="仿宋_GB2312" w:cs="仿宋_GB2312" w:hint="eastAsia"/>
          <w:color w:val="auto"/>
          <w:kern w:val="2"/>
          <w:sz w:val="32"/>
          <w:szCs w:val="32"/>
          <w:lang w:val="en-US" w:eastAsia="zh-CN" w:bidi="ar-SA"/>
          <w:highlight w:val="auto"/>
        </w:rPr>
        <w:t>万元，占政府采购支出总额的</w:t>
      </w:r>
      <w:r>
        <w:rPr>
          <w:rFonts w:ascii="仿宋_GB2312" w:eastAsia="仿宋_GB2312" w:cs="仿宋_GB2312" w:hint="eastAsia"/>
          <w:sz w:val="32"/>
          <w:szCs w:val="32"/>
        </w:rPr>
        <w:t>0</w:t>
      </w:r>
      <w:r>
        <w:rPr>
          <w:rFonts w:ascii="仿宋_GB2312" w:eastAsia="仿宋_GB2312" w:cs="仿宋_GB2312" w:hint="eastAsia"/>
          <w:color w:val="auto"/>
          <w:kern w:val="2"/>
          <w:sz w:val="32"/>
          <w:szCs w:val="32"/>
          <w:lang w:val="en-US" w:eastAsia="zh-CN" w:bidi="ar-SA"/>
          <w:highlight w:val="auto"/>
        </w:rPr>
        <w:t>%，其中：授予小微企业合同金额</w:t>
      </w:r>
      <w:r>
        <w:rPr>
          <w:rFonts w:ascii="仿宋_GB2312" w:eastAsia="仿宋_GB2312" w:cs="仿宋_GB2312" w:hint="eastAsia"/>
          <w:sz w:val="32"/>
          <w:szCs w:val="32"/>
        </w:rPr>
        <w:t>0</w:t>
      </w:r>
      <w:r>
        <w:rPr>
          <w:rFonts w:ascii="仿宋_GB2312" w:eastAsia="仿宋_GB2312" w:cs="仿宋_GB2312" w:hint="eastAsia"/>
          <w:color w:val="auto"/>
          <w:kern w:val="2"/>
          <w:sz w:val="32"/>
          <w:szCs w:val="32"/>
          <w:lang w:val="en-US" w:eastAsia="zh-CN" w:bidi="ar-SA"/>
          <w:highlight w:val="auto"/>
        </w:rPr>
        <w:t>万元，占政府采购支出总额的</w:t>
      </w:r>
      <w:r>
        <w:rPr>
          <w:rFonts w:ascii="仿宋_GB2312" w:eastAsia="仿宋_GB2312" w:cs="仿宋_GB2312" w:hint="eastAsia"/>
          <w:sz w:val="32"/>
          <w:szCs w:val="32"/>
        </w:rPr>
        <w:t>0</w:t>
      </w:r>
      <w:r>
        <w:rPr>
          <w:rFonts w:ascii="仿宋_GB2312" w:eastAsia="仿宋_GB2312" w:cs="仿宋_GB2312" w:hint="eastAsia"/>
          <w:color w:val="auto"/>
          <w:kern w:val="2"/>
          <w:sz w:val="32"/>
          <w:szCs w:val="32"/>
          <w:lang w:val="en-US" w:eastAsia="zh-CN" w:bidi="ar-SA"/>
          <w:highlight w:val="auto"/>
        </w:rPr>
        <w:t>%。</w:t>
      </w:r>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p>
    <w:p>
      <w:pPr>
        <w:spacing w:line="600" w:lineRule="exact"/>
        <w:ind w:firstLineChars="200" w:firstLine="640"/>
        <w:outlineLvl w:val="2"/>
        <w:rPr>
          <w:rFonts w:ascii="Times New Roman" w:eastAsia="楷体_GB2312" w:cs="楷体_GB2312" w:hAnsi="Times New Roman" w:hint="eastAsia"/>
          <w:b/>
          <w:color w:val="auto"/>
          <w:sz w:val="32"/>
          <w:szCs w:val="32"/>
          <w:highlight w:val="auto"/>
        </w:rPr>
      </w:pPr>
      <w:bookmarkStart w:id="47" w:name="_Toc15377224"/>
      <w:r>
        <w:rPr>
          <w:rFonts w:ascii="Times New Roman" w:eastAsia="楷体_GB2312" w:cs="楷体_GB2312" w:hAnsi="Times New Roman" w:hint="eastAsia"/>
          <w:b/>
          <w:color w:val="auto"/>
          <w:sz w:val="32"/>
          <w:szCs w:val="32"/>
          <w:highlight w:val="auto"/>
        </w:rPr>
        <w:t>（三）国有资产占有使用情况</w:t>
      </w:r>
      <w:bookmarkEnd w:id="47"/>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r>
        <w:rPr>
          <w:rFonts w:ascii="仿宋_GB2312" w:eastAsia="仿宋_GB2312" w:cs="仿宋_GB2312" w:hint="eastAsia"/>
          <w:color w:val="auto"/>
          <w:kern w:val="2"/>
          <w:sz w:val="32"/>
          <w:szCs w:val="32"/>
          <w:lang w:val="en-US" w:eastAsia="zh-CN" w:bidi="ar-SA"/>
          <w:highlight w:val="auto"/>
        </w:rPr>
        <w:t>截至202</w:t>
      </w:r>
      <w:r>
        <w:rPr>
          <w:rFonts w:ascii="仿宋_GB2312" w:eastAsia="仿宋_GB2312" w:cs="仿宋_GB2312"/>
          <w:color w:val="auto"/>
          <w:kern w:val="2"/>
          <w:sz w:val="32"/>
          <w:szCs w:val="32"/>
          <w:lang w:val="en-US" w:eastAsia="zh-CN" w:bidi="ar-SA"/>
          <w:highlight w:val="auto"/>
        </w:rPr>
        <w:t>5</w:t>
      </w:r>
      <w:r>
        <w:rPr>
          <w:rFonts w:ascii="仿宋_GB2312" w:eastAsia="仿宋_GB2312" w:cs="仿宋_GB2312" w:hint="eastAsia"/>
          <w:color w:val="auto"/>
          <w:kern w:val="2"/>
          <w:sz w:val="32"/>
          <w:szCs w:val="32"/>
          <w:lang w:val="en-US" w:eastAsia="zh-CN" w:bidi="ar-SA"/>
          <w:highlight w:val="auto"/>
        </w:rPr>
        <w:t>年12月31日，</w:t>
      </w:r>
      <w:r>
        <w:rPr>
          <w:rFonts w:ascii="仿宋_GB2312" w:eastAsia="仿宋_GB2312" w:cs="仿宋_GB2312" w:hint="eastAsia"/>
          <w:sz w:val="32"/>
          <w:szCs w:val="32"/>
        </w:rPr>
        <w:t>阿坝州佛教协会（本级）</w:t>
      </w:r>
      <w:r>
        <w:rPr>
          <w:rFonts w:ascii="仿宋_GB2312" w:eastAsia="仿宋_GB2312" w:cs="仿宋_GB2312" w:hint="eastAsia"/>
          <w:color w:val="auto"/>
          <w:kern w:val="2"/>
          <w:sz w:val="32"/>
          <w:szCs w:val="32"/>
          <w:lang w:val="en-US" w:eastAsia="zh-CN" w:bidi="ar-SA"/>
          <w:highlight w:val="auto"/>
        </w:rPr>
        <w:t>共有车辆</w:t>
      </w:r>
      <w:r>
        <w:rPr>
          <w:rFonts w:ascii="仿宋_GB2312" w:eastAsia="仿宋_GB2312" w:cs="仿宋_GB2312" w:hint="eastAsia"/>
          <w:sz w:val="32"/>
          <w:szCs w:val="32"/>
        </w:rPr>
        <w:t>2</w:t>
      </w:r>
      <w:r>
        <w:rPr>
          <w:rFonts w:ascii="仿宋_GB2312" w:eastAsia="仿宋_GB2312" w:cs="仿宋_GB2312" w:hint="eastAsia"/>
          <w:color w:val="auto"/>
          <w:kern w:val="2"/>
          <w:sz w:val="32"/>
          <w:szCs w:val="32"/>
          <w:lang w:val="en-US" w:eastAsia="zh-CN" w:bidi="ar-SA"/>
          <w:highlight w:val="auto"/>
        </w:rPr>
        <w:t>辆，其中：主要负责人用车</w:t>
      </w:r>
      <w:r>
        <w:rPr>
          <w:rFonts w:ascii="仿宋_GB2312" w:eastAsia="仿宋_GB2312" w:cs="仿宋_GB2312" w:hint="eastAsia"/>
          <w:sz w:val="32"/>
          <w:szCs w:val="32"/>
        </w:rPr>
        <w:t>0</w:t>
      </w:r>
      <w:r>
        <w:rPr>
          <w:rFonts w:ascii="仿宋_GB2312" w:eastAsia="仿宋_GB2312" w:cs="仿宋_GB2312" w:hint="eastAsia"/>
          <w:color w:val="auto"/>
          <w:kern w:val="2"/>
          <w:sz w:val="32"/>
          <w:szCs w:val="32"/>
          <w:lang w:val="en-US" w:eastAsia="zh-CN" w:bidi="ar-SA"/>
          <w:highlight w:val="auto"/>
        </w:rPr>
        <w:t>辆、机要通信用车</w:t>
      </w:r>
      <w:r>
        <w:rPr>
          <w:rFonts w:ascii="仿宋_GB2312" w:eastAsia="仿宋_GB2312" w:cs="仿宋_GB2312" w:hint="eastAsia"/>
          <w:sz w:val="32"/>
          <w:szCs w:val="32"/>
        </w:rPr>
        <w:t>0</w:t>
      </w:r>
      <w:r>
        <w:rPr>
          <w:rFonts w:ascii="仿宋_GB2312" w:eastAsia="仿宋_GB2312" w:cs="仿宋_GB2312" w:hint="eastAsia"/>
          <w:color w:val="auto"/>
          <w:kern w:val="2"/>
          <w:sz w:val="32"/>
          <w:szCs w:val="32"/>
          <w:lang w:val="en-US" w:eastAsia="zh-CN" w:bidi="ar-SA"/>
          <w:highlight w:val="auto"/>
        </w:rPr>
        <w:t>辆、应急保障用车</w:t>
      </w:r>
      <w:r>
        <w:rPr>
          <w:rFonts w:ascii="仿宋_GB2312" w:eastAsia="仿宋_GB2312" w:cs="仿宋_GB2312" w:hint="eastAsia"/>
          <w:sz w:val="32"/>
          <w:szCs w:val="32"/>
        </w:rPr>
        <w:t>2</w:t>
      </w:r>
      <w:r>
        <w:rPr>
          <w:rFonts w:ascii="仿宋_GB2312" w:eastAsia="仿宋_GB2312" w:cs="仿宋_GB2312" w:hint="eastAsia"/>
          <w:color w:val="auto"/>
          <w:kern w:val="2"/>
          <w:sz w:val="32"/>
          <w:szCs w:val="32"/>
          <w:lang w:val="en-US" w:eastAsia="zh-CN" w:bidi="ar-SA"/>
          <w:highlight w:val="auto"/>
        </w:rPr>
        <w:t>辆、其他用车</w:t>
      </w:r>
      <w:r>
        <w:rPr>
          <w:rFonts w:ascii="仿宋_GB2312" w:eastAsia="仿宋_GB2312" w:cs="仿宋_GB2312" w:hint="eastAsia"/>
          <w:sz w:val="32"/>
          <w:szCs w:val="32"/>
        </w:rPr>
        <w:t>0</w:t>
      </w:r>
      <w:r>
        <w:rPr>
          <w:rFonts w:ascii="仿宋_GB2312" w:eastAsia="仿宋_GB2312" w:cs="仿宋_GB2312" w:hint="eastAsia"/>
          <w:color w:val="auto"/>
          <w:kern w:val="2"/>
          <w:sz w:val="32"/>
          <w:szCs w:val="32"/>
          <w:lang w:val="en-US" w:eastAsia="zh-CN" w:bidi="ar-SA"/>
          <w:highlight w:val="auto"/>
        </w:rPr>
        <w:t>辆，其他用车主要是用于……。单价100万元（含）以上设备（不含车辆）</w:t>
      </w:r>
      <w:r>
        <w:rPr>
          <w:rFonts w:ascii="仿宋_GB2312" w:eastAsia="仿宋_GB2312" w:cs="仿宋_GB2312" w:hint="eastAsia"/>
          <w:sz w:val="32"/>
          <w:szCs w:val="32"/>
        </w:rPr>
        <w:t>0</w:t>
      </w:r>
      <w:r>
        <w:rPr>
          <w:rFonts w:ascii="仿宋_GB2312" w:eastAsia="仿宋_GB2312" w:cs="仿宋_GB2312" w:hint="eastAsia"/>
          <w:color w:val="auto"/>
          <w:kern w:val="2"/>
          <w:sz w:val="32"/>
          <w:szCs w:val="32"/>
          <w:lang w:val="en-US" w:eastAsia="zh-CN" w:bidi="ar-SA"/>
          <w:highlight w:val="auto"/>
        </w:rPr>
        <w:t>台（套）</w:t>
      </w:r>
      <w:r>
        <w:rPr>
          <w:rFonts w:ascii="Times New Roman" w:eastAsia="仿宋_GB2312" w:cs="仿宋_GB2312" w:hAnsi="Times New Roman" w:hint="eastAsia"/>
          <w:color w:val="auto"/>
          <w:kern w:val="2"/>
          <w:sz w:val="32"/>
          <w:szCs w:val="32"/>
          <w:lang w:val="en-US" w:eastAsia="zh-CN" w:bidi="ar-SA"/>
          <w:highlight w:val="auto"/>
        </w:rPr>
        <w:t>。</w:t>
      </w:r>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p>
    <w:p>
      <w:pPr>
        <w:spacing w:line="600" w:lineRule="exact"/>
        <w:ind w:firstLineChars="200" w:firstLine="640"/>
        <w:outlineLvl w:val="2"/>
        <w:rPr>
          <w:rFonts w:ascii="Times New Roman" w:eastAsia="楷体_GB2312" w:cs="楷体_GB2312" w:hAnsi="Times New Roman" w:hint="eastAsia"/>
          <w:b/>
          <w:color w:val="auto"/>
          <w:sz w:val="32"/>
          <w:szCs w:val="32"/>
          <w:highlight w:val="auto"/>
        </w:rPr>
      </w:pPr>
      <w:r>
        <w:rPr>
          <w:rFonts w:ascii="Times New Roman" w:eastAsia="楷体_GB2312" w:cs="楷体_GB2312" w:hAnsi="Times New Roman" w:hint="eastAsia"/>
          <w:b/>
          <w:color w:val="auto"/>
          <w:sz w:val="32"/>
          <w:szCs w:val="32"/>
          <w:highlight w:val="auto"/>
        </w:rPr>
        <w:t>（四）预算绩效管理情况</w:t>
      </w:r>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r>
        <w:rPr>
          <w:rFonts w:ascii="Times New Roman" w:eastAsia="仿宋_GB2312" w:cs="仿宋_GB2312" w:hAnsi="Times New Roman" w:hint="eastAsia"/>
          <w:color w:val="auto"/>
          <w:kern w:val="2"/>
          <w:sz w:val="32"/>
          <w:szCs w:val="32"/>
          <w:lang w:val="en-US" w:eastAsia="zh-CN" w:bidi="ar-SA"/>
          <w:highlight w:val="auto"/>
        </w:rPr>
        <w:t>根据预算绩效管理要求，</w:t>
      </w:r>
      <w:r>
        <w:rPr>
          <w:rFonts w:eastAsia="仿宋_GB2312" w:cs="仿宋_GB2312" w:hint="eastAsia"/>
          <w:color w:val="auto"/>
          <w:kern w:val="2"/>
          <w:sz w:val="32"/>
          <w:szCs w:val="32"/>
          <w:lang w:val="en-US" w:eastAsia="zh-CN" w:bidi="ar-SA"/>
          <w:highlight w:val="auto"/>
        </w:rPr>
        <w:t>本单位</w:t>
      </w:r>
      <w:r>
        <w:rPr>
          <w:rFonts w:ascii="Times New Roman" w:eastAsia="仿宋_GB2312" w:cs="仿宋_GB2312" w:hAnsi="Times New Roman" w:hint="eastAsia"/>
          <w:color w:val="auto"/>
          <w:kern w:val="2"/>
          <w:sz w:val="32"/>
          <w:szCs w:val="32"/>
          <w:lang w:val="en-US" w:eastAsia="zh-CN" w:bidi="ar-SA"/>
          <w:highlight w:val="auto"/>
        </w:rPr>
        <w:t>在202</w:t>
      </w:r>
      <w:r>
        <w:rPr>
          <w:rFonts w:ascii="Times New Roman" w:eastAsia="仿宋_GB2312" w:cs="仿宋_GB2312" w:hAnsi="Times New Roman"/>
          <w:color w:val="auto"/>
          <w:kern w:val="2"/>
          <w:sz w:val="32"/>
          <w:szCs w:val="32"/>
          <w:lang w:val="en-US" w:eastAsia="zh-CN" w:bidi="ar-SA"/>
          <w:highlight w:val="auto"/>
        </w:rPr>
        <w:t>5</w:t>
      </w:r>
      <w:r>
        <w:rPr>
          <w:rFonts w:ascii="Times New Roman" w:eastAsia="仿宋_GB2312" w:cs="仿宋_GB2312" w:hAnsi="Times New Roman" w:hint="eastAsia"/>
          <w:color w:val="auto"/>
          <w:kern w:val="2"/>
          <w:sz w:val="32"/>
          <w:szCs w:val="32"/>
          <w:lang w:val="en-US" w:eastAsia="zh-CN" w:bidi="ar-SA"/>
          <w:highlight w:val="auto"/>
        </w:rPr>
        <w:t>年度预算编制阶段，组织对</w:t>
      </w:r>
      <w:r>
        <w:rPr>
          <w:rFonts w:ascii="仿宋_GB2312" w:eastAsia="仿宋_GB2312" w:cs="仿宋_GB2312" w:hint="eastAsia"/>
          <w:sz w:val="32"/>
          <w:szCs w:val="32"/>
          <w:lang w:bidi="ar-SA"/>
        </w:rPr>
        <w:t>《阿坝州珍稀古籍文献会编》出版经费、理事培训费、《阿坝州珍稀古籍文献会编收集经费</w:t>
      </w:r>
      <w:r>
        <w:rPr>
          <w:rFonts w:ascii="仿宋_GB2312" w:eastAsia="仿宋_GB2312" w:cs="仿宋_GB2312" w:hint="eastAsia"/>
          <w:sz w:val="32"/>
          <w:szCs w:val="32"/>
          <w:lang w:eastAsia="zh-CN" w:bidi="ar-SA"/>
        </w:rPr>
        <w:t>》《</w:t>
      </w:r>
      <w:r>
        <w:rPr>
          <w:rFonts w:ascii="仿宋_GB2312" w:eastAsia="仿宋_GB2312" w:cs="仿宋_GB2312" w:hint="eastAsia"/>
          <w:sz w:val="32"/>
          <w:szCs w:val="32"/>
          <w:lang w:bidi="ar-SA"/>
        </w:rPr>
        <w:t>阿坝菩提道场》微信公众号、全州藏传佛教寺庙戒律教育及和谐寺庙创建活动经费、老会长慰问费、生活补助</w:t>
      </w:r>
      <w:r>
        <w:rPr>
          <w:rFonts w:ascii="仿宋_GB2312" w:eastAsia="仿宋_GB2312" w:cs="仿宋_GB2312"/>
          <w:sz w:val="32"/>
          <w:szCs w:val="32"/>
          <w:lang w:bidi="ar-SA"/>
        </w:rPr>
        <w:t>、采购国产办公设备、</w:t>
      </w:r>
      <w:r>
        <w:rPr>
          <w:rFonts w:ascii="Times New Roman" w:eastAsia="仿宋_GB2312" w:cs="仿宋_GB2312" w:hAnsi="Times New Roman" w:hint="eastAsia"/>
          <w:color w:val="auto"/>
          <w:kern w:val="2"/>
          <w:sz w:val="32"/>
          <w:szCs w:val="32"/>
          <w:lang w:val="en-US" w:eastAsia="zh-CN" w:bidi="ar-SA"/>
          <w:highlight w:val="auto"/>
        </w:rPr>
        <w:t>等</w:t>
      </w:r>
      <w:r>
        <w:rPr>
          <w:rFonts w:ascii="Times New Roman" w:eastAsia="仿宋_GB2312" w:cs="仿宋_GB2312" w:hAnsi="Times New Roman"/>
          <w:color w:val="auto"/>
          <w:kern w:val="2"/>
          <w:sz w:val="32"/>
          <w:szCs w:val="32"/>
          <w:lang w:val="en-US" w:eastAsia="zh-CN" w:bidi="ar-SA"/>
          <w:highlight w:val="auto"/>
        </w:rPr>
        <w:t>8</w:t>
      </w:r>
      <w:r>
        <w:rPr>
          <w:rFonts w:ascii="Times New Roman" w:eastAsia="仿宋_GB2312" w:cs="仿宋_GB2312" w:hAnsi="Times New Roman" w:hint="eastAsia"/>
          <w:color w:val="auto"/>
          <w:kern w:val="2"/>
          <w:sz w:val="32"/>
          <w:szCs w:val="32"/>
          <w:lang w:val="en-US" w:eastAsia="zh-CN" w:bidi="ar-SA"/>
          <w:highlight w:val="auto"/>
        </w:rPr>
        <w:t>个项目开展了预算事前绩效评估，对</w:t>
      </w:r>
      <w:r>
        <w:rPr>
          <w:rFonts w:ascii="Times New Roman" w:eastAsia="仿宋_GB2312" w:cs="仿宋_GB2312" w:hAnsi="Times New Roman"/>
          <w:color w:val="auto"/>
          <w:kern w:val="2"/>
          <w:sz w:val="32"/>
          <w:szCs w:val="32"/>
          <w:lang w:val="en-US" w:eastAsia="zh-CN" w:bidi="ar-SA"/>
          <w:highlight w:val="auto"/>
        </w:rPr>
        <w:t>8</w:t>
      </w:r>
      <w:r>
        <w:rPr>
          <w:rFonts w:ascii="Times New Roman" w:eastAsia="仿宋_GB2312" w:cs="仿宋_GB2312" w:hAnsi="Times New Roman" w:hint="eastAsia"/>
          <w:color w:val="auto"/>
          <w:kern w:val="2"/>
          <w:sz w:val="32"/>
          <w:szCs w:val="32"/>
          <w:lang w:val="en-US" w:eastAsia="zh-CN" w:bidi="ar-SA"/>
          <w:highlight w:val="auto"/>
        </w:rPr>
        <w:t>个项目编制了绩效目标，预算执行过程中，选取</w:t>
      </w:r>
      <w:r>
        <w:rPr>
          <w:rFonts w:eastAsia="仿宋_GB2312" w:cs="仿宋_GB2312" w:hint="eastAsia"/>
          <w:color w:val="auto"/>
          <w:kern w:val="2"/>
          <w:sz w:val="32"/>
          <w:szCs w:val="32"/>
          <w:lang w:val="en-US" w:eastAsia="zh-CN" w:bidi="ar-SA"/>
          <w:highlight w:val="auto"/>
        </w:rPr>
        <w:t>1</w:t>
      </w:r>
      <w:r>
        <w:rPr>
          <w:rFonts w:ascii="Times New Roman" w:eastAsia="仿宋_GB2312" w:cs="仿宋_GB2312" w:hAnsi="Times New Roman" w:hint="eastAsia"/>
          <w:color w:val="auto"/>
          <w:kern w:val="2"/>
          <w:sz w:val="32"/>
          <w:szCs w:val="32"/>
          <w:lang w:val="en-US" w:eastAsia="zh-CN" w:bidi="ar-SA"/>
          <w:highlight w:val="auto"/>
        </w:rPr>
        <w:t>个项目开展绩效监控。</w:t>
      </w:r>
    </w:p>
    <w:p>
      <w:pPr>
        <w:spacing w:line="600" w:lineRule="exact"/>
        <w:ind w:firstLine="640"/>
        <w:rPr>
          <w:rFonts w:ascii="Times New Roman" w:eastAsia="仿宋_GB2312" w:cs="仿宋_GB2312" w:hAnsi="Times New Roman" w:hint="eastAsia"/>
          <w:b/>
          <w:bCs/>
          <w:color w:val="auto"/>
          <w:kern w:val="2"/>
          <w:sz w:val="32"/>
          <w:szCs w:val="32"/>
          <w:lang w:val="en-US" w:eastAsia="zh-CN" w:bidi="ar-SA"/>
          <w:highlight w:val="auto"/>
        </w:rPr>
      </w:pPr>
      <w:r>
        <w:rPr>
          <w:rFonts w:ascii="Times New Roman" w:eastAsia="仿宋_GB2312" w:cs="仿宋_GB2312" w:hAnsi="Times New Roman" w:hint="eastAsia"/>
          <w:color w:val="auto"/>
          <w:kern w:val="2"/>
          <w:sz w:val="32"/>
          <w:szCs w:val="32"/>
          <w:lang w:val="en-US" w:eastAsia="zh-CN" w:bidi="ar-SA"/>
          <w:highlight w:val="auto"/>
        </w:rPr>
        <w:t>组织对202</w:t>
      </w:r>
      <w:r>
        <w:rPr>
          <w:rFonts w:ascii="Times New Roman" w:eastAsia="仿宋_GB2312" w:cs="仿宋_GB2312" w:hAnsi="Times New Roman"/>
          <w:color w:val="auto"/>
          <w:kern w:val="2"/>
          <w:sz w:val="32"/>
          <w:szCs w:val="32"/>
          <w:lang w:val="en-US" w:eastAsia="zh-CN" w:bidi="ar-SA"/>
          <w:highlight w:val="auto"/>
        </w:rPr>
        <w:t>5</w:t>
      </w:r>
      <w:r>
        <w:rPr>
          <w:rFonts w:ascii="Times New Roman" w:eastAsia="仿宋_GB2312" w:cs="仿宋_GB2312" w:hAnsi="Times New Roman" w:hint="eastAsia"/>
          <w:color w:val="auto"/>
          <w:kern w:val="2"/>
          <w:sz w:val="32"/>
          <w:szCs w:val="32"/>
          <w:lang w:val="en-US" w:eastAsia="zh-CN" w:bidi="ar-SA"/>
          <w:highlight w:val="auto"/>
        </w:rPr>
        <w:t>年度一般公共预算、政府性基金预算、国有资本经营预算、社会保险基金预算以及资本资产、债券资金等全面开展绩效自评，形成</w:t>
      </w:r>
      <w:r>
        <w:rPr>
          <w:rFonts w:eastAsia="仿宋_GB2312" w:cs="仿宋_GB2312" w:hint="eastAsia"/>
          <w:color w:val="auto"/>
          <w:kern w:val="2"/>
          <w:sz w:val="32"/>
          <w:szCs w:val="32"/>
          <w:lang w:val="en-US" w:eastAsia="zh-CN" w:bidi="ar-SA"/>
          <w:highlight w:val="auto"/>
        </w:rPr>
        <w:t>州佛协</w:t>
      </w:r>
      <w:r>
        <w:rPr>
          <w:rFonts w:ascii="Times New Roman" w:eastAsia="仿宋_GB2312" w:cs="仿宋_GB2312" w:hAnsi="Times New Roman" w:hint="eastAsia"/>
          <w:color w:val="auto"/>
          <w:kern w:val="2"/>
          <w:sz w:val="32"/>
          <w:szCs w:val="32"/>
          <w:lang w:val="en-US" w:eastAsia="zh-CN" w:bidi="ar-SA"/>
          <w:highlight w:val="auto"/>
        </w:rPr>
        <w:t>部门整体（含部门预算项目）绩效自评报告、</w:t>
      </w:r>
      <w:r>
        <w:rPr>
          <w:rFonts w:eastAsia="仿宋_GB2312" w:cs="仿宋_GB2312" w:hint="eastAsia"/>
          <w:color w:val="auto"/>
          <w:kern w:val="2"/>
          <w:sz w:val="32"/>
          <w:szCs w:val="32"/>
          <w:lang w:val="en-US" w:eastAsia="zh-CN" w:bidi="ar-SA"/>
          <w:highlight w:val="auto"/>
        </w:rPr>
        <w:t>我会无专项预算项目，无</w:t>
      </w:r>
      <w:r>
        <w:rPr>
          <w:rFonts w:ascii="Times New Roman" w:eastAsia="仿宋_GB2312" w:cs="仿宋_GB2312" w:hAnsi="Times New Roman" w:hint="eastAsia"/>
          <w:color w:val="auto"/>
          <w:kern w:val="2"/>
          <w:sz w:val="32"/>
          <w:szCs w:val="32"/>
          <w:lang w:val="en-US" w:eastAsia="zh-CN" w:bidi="ar-SA"/>
          <w:highlight w:val="auto"/>
        </w:rPr>
        <w:t>专项预算项目绩效自评报告，其中，</w:t>
      </w:r>
      <w:r>
        <w:rPr>
          <w:rFonts w:eastAsia="仿宋_GB2312" w:cs="仿宋_GB2312" w:hint="eastAsia"/>
          <w:color w:val="auto"/>
          <w:kern w:val="2"/>
          <w:sz w:val="32"/>
          <w:szCs w:val="32"/>
          <w:lang w:val="en-US" w:eastAsia="zh-CN" w:bidi="ar-SA"/>
          <w:highlight w:val="auto"/>
        </w:rPr>
        <w:t>州佛协</w:t>
      </w:r>
      <w:r>
        <w:rPr>
          <w:rFonts w:ascii="Times New Roman" w:eastAsia="仿宋_GB2312" w:cs="仿宋_GB2312" w:hAnsi="Times New Roman" w:hint="eastAsia"/>
          <w:color w:val="auto"/>
          <w:kern w:val="2"/>
          <w:sz w:val="32"/>
          <w:szCs w:val="32"/>
          <w:lang w:val="en-US" w:eastAsia="zh-CN" w:bidi="ar-SA"/>
          <w:highlight w:val="auto"/>
        </w:rPr>
        <w:t>部门整体（含部门预算项目）绩效自评得分为</w:t>
      </w:r>
      <w:r>
        <w:rPr>
          <w:rFonts w:eastAsia="仿宋_GB2312" w:cs="仿宋_GB2312"/>
          <w:color w:val="auto"/>
          <w:kern w:val="2"/>
          <w:sz w:val="32"/>
          <w:szCs w:val="32"/>
          <w:lang w:val="en-US" w:eastAsia="zh-CN" w:bidi="ar-SA"/>
          <w:highlight w:val="auto"/>
        </w:rPr>
        <w:t>95.8</w:t>
      </w:r>
      <w:r>
        <w:rPr>
          <w:rFonts w:ascii="Times New Roman" w:eastAsia="仿宋_GB2312" w:cs="仿宋_GB2312" w:hAnsi="Times New Roman" w:hint="eastAsia"/>
          <w:color w:val="auto"/>
          <w:kern w:val="2"/>
          <w:sz w:val="32"/>
          <w:szCs w:val="32"/>
          <w:lang w:val="en-US" w:eastAsia="zh-CN" w:bidi="ar-SA"/>
          <w:highlight w:val="auto"/>
        </w:rPr>
        <w:t>分，绩效自评综述</w:t>
      </w:r>
      <w:r>
        <w:rPr>
          <w:rFonts w:eastAsia="仿宋_GB2312" w:cs="仿宋_GB2312" w:hint="eastAsia"/>
          <w:color w:val="auto"/>
          <w:kern w:val="2"/>
          <w:sz w:val="32"/>
          <w:szCs w:val="32"/>
          <w:lang w:val="en-US" w:eastAsia="zh-CN" w:bidi="ar-SA"/>
          <w:highlight w:val="auto"/>
        </w:rPr>
        <w:t>预算项目执行率达标。核心目标完成，效益较好，无违规</w:t>
      </w:r>
      <w:r>
        <w:rPr>
          <w:rFonts w:ascii="Times New Roman" w:eastAsia="仿宋_GB2312" w:cs="仿宋_GB2312" w:hAnsi="Times New Roman" w:hint="eastAsia"/>
          <w:color w:val="auto"/>
          <w:kern w:val="2"/>
          <w:sz w:val="32"/>
          <w:szCs w:val="32"/>
          <w:lang w:val="en-US" w:eastAsia="zh-CN" w:bidi="ar-SA"/>
          <w:highlight w:val="auto"/>
        </w:rPr>
        <w:t>；</w:t>
      </w:r>
      <w:r>
        <w:rPr>
          <w:rFonts w:eastAsia="仿宋_GB2312" w:cs="仿宋_GB2312" w:hint="eastAsia"/>
          <w:color w:val="auto"/>
          <w:kern w:val="2"/>
          <w:sz w:val="32"/>
          <w:szCs w:val="32"/>
          <w:lang w:val="en-US" w:eastAsia="zh-CN" w:bidi="ar-SA"/>
          <w:highlight w:val="auto"/>
        </w:rPr>
        <w:t>我会无</w:t>
      </w:r>
      <w:r>
        <w:rPr>
          <w:rFonts w:ascii="Times New Roman" w:eastAsia="仿宋_GB2312" w:cs="仿宋_GB2312" w:hAnsi="Times New Roman" w:hint="eastAsia"/>
          <w:color w:val="auto"/>
          <w:kern w:val="2"/>
          <w:sz w:val="32"/>
          <w:szCs w:val="32"/>
          <w:lang w:val="en-US" w:eastAsia="zh-CN" w:bidi="ar-SA"/>
          <w:highlight w:val="auto"/>
        </w:rPr>
        <w:t>专项预算项目绩效自评得分为</w:t>
      </w:r>
      <w:r>
        <w:rPr>
          <w:rFonts w:eastAsia="仿宋_GB2312" w:cs="仿宋_GB2312" w:hint="eastAsia"/>
          <w:color w:val="auto"/>
          <w:kern w:val="2"/>
          <w:sz w:val="32"/>
          <w:szCs w:val="32"/>
          <w:lang w:val="en-US" w:eastAsia="zh-CN" w:bidi="ar-SA"/>
          <w:highlight w:val="auto"/>
        </w:rPr>
        <w:t>0</w:t>
      </w:r>
      <w:r>
        <w:rPr>
          <w:rFonts w:ascii="Times New Roman" w:eastAsia="仿宋_GB2312" w:cs="仿宋_GB2312" w:hAnsi="Times New Roman" w:hint="eastAsia"/>
          <w:color w:val="auto"/>
          <w:kern w:val="2"/>
          <w:sz w:val="32"/>
          <w:szCs w:val="32"/>
          <w:lang w:val="en-US" w:eastAsia="zh-CN" w:bidi="ar-SA"/>
          <w:highlight w:val="auto"/>
        </w:rPr>
        <w:t>分，绩效自评综述……。绩效自评报告详见附件。</w:t>
      </w:r>
      <w:r>
        <w:rPr>
          <w:rFonts w:ascii="Times New Roman" w:eastAsia="仿宋_GB2312" w:cs="仿宋_GB2312" w:hAnsi="Times New Roman" w:hint="eastAsia"/>
          <w:b/>
          <w:bCs/>
          <w:color w:val="auto"/>
          <w:kern w:val="2"/>
          <w:sz w:val="32"/>
          <w:szCs w:val="32"/>
          <w:lang w:val="en-US" w:eastAsia="zh-CN" w:bidi="ar-SA"/>
          <w:highlight w:val="auto"/>
        </w:rPr>
        <w:t>（</w:t>
      </w:r>
      <w:r>
        <w:rPr>
          <w:rFonts w:eastAsia="仿宋_GB2312" w:cs="仿宋_GB2312" w:hint="eastAsia"/>
          <w:b/>
          <w:bCs/>
          <w:color w:val="auto"/>
          <w:kern w:val="2"/>
          <w:sz w:val="32"/>
          <w:szCs w:val="32"/>
          <w:lang w:val="en-US" w:eastAsia="zh-CN" w:bidi="ar-SA"/>
          <w:highlight w:val="auto"/>
        </w:rPr>
        <w:t>注：</w:t>
      </w:r>
      <w:r>
        <w:rPr>
          <w:rFonts w:ascii="Times New Roman" w:eastAsia="仿宋_GB2312" w:cs="仿宋_GB2312" w:hAnsi="Times New Roman" w:hint="eastAsia"/>
          <w:b/>
          <w:bCs/>
          <w:color w:val="auto"/>
          <w:kern w:val="2"/>
          <w:sz w:val="32"/>
          <w:szCs w:val="32"/>
          <w:lang w:val="en-US" w:eastAsia="zh-CN" w:bidi="ar-SA"/>
          <w:highlight w:val="auto"/>
        </w:rPr>
        <w:t>如不涉及，可根据实际修改表述。）</w:t>
      </w:r>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p>
    <w:p>
      <w:pPr>
        <w:pStyle w:val="1"/>
        <w:spacing w:line="578" w:lineRule="auto"/>
        <w:jc w:val="center"/>
        <w:rPr>
          <w:rFonts w:hint="eastAsia"/>
        </w:rPr>
      </w:pPr>
    </w:p>
    <w:p>
      <w:pPr>
        <w:pStyle w:val="1"/>
        <w:spacing w:line="578" w:lineRule="auto"/>
        <w:jc w:val="center"/>
        <w:outlineLvl w:val="0"/>
        <w:rPr>
          <w:rFonts w:hint="eastAsia"/>
        </w:rPr>
      </w:pPr>
      <w:bookmarkStart w:id="48" w:name="_Toc15377225"/>
      <w:bookmarkStart w:id="49" w:name="_Toc15396613"/>
      <w:r>
        <w:rPr>
          <w:rFonts w:hint="eastAsia"/>
        </w:rPr>
        <w:t>第三部分  名词解释</w:t>
      </w:r>
      <w:bookmarkEnd w:id="48"/>
      <w:bookmarkEnd w:id="49"/>
    </w:p>
    <w:p>
      <w:pPr>
        <w:spacing w:line="600" w:lineRule="exact"/>
        <w:jc w:val="left"/>
        <w:rPr>
          <w:rFonts w:ascii="Times New Roman" w:hAnsi="Times New Roman"/>
          <w:b/>
          <w:color w:val="auto"/>
          <w:sz w:val="44"/>
          <w:szCs w:val="44"/>
          <w:highlight w:val="auto"/>
        </w:rPr>
      </w:pPr>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r>
        <w:rPr>
          <w:rFonts w:ascii="Times New Roman" w:eastAsia="仿宋_GB2312" w:cs="仿宋_GB2312" w:hAnsi="Times New Roman" w:hint="eastAsia"/>
          <w:color w:val="auto"/>
          <w:kern w:val="2"/>
          <w:sz w:val="32"/>
          <w:szCs w:val="32"/>
          <w:lang w:val="en-US" w:eastAsia="zh-CN" w:bidi="ar-SA"/>
          <w:highlight w:val="auto"/>
        </w:rPr>
        <w:t>1.财政拨款收入：指单位从同级财政部门取得的财政预算资金。</w:t>
      </w:r>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r>
        <w:rPr>
          <w:rFonts w:ascii="Times New Roman" w:eastAsia="仿宋_GB2312" w:cs="仿宋_GB2312" w:hAnsi="Times New Roman" w:hint="eastAsia"/>
          <w:color w:val="auto"/>
          <w:kern w:val="2"/>
          <w:sz w:val="32"/>
          <w:szCs w:val="32"/>
          <w:lang w:val="en-US" w:eastAsia="zh-CN" w:bidi="ar-SA"/>
          <w:highlight w:val="auto"/>
        </w:rPr>
        <w:t>2.事业收入：指事业单位开展专业业务活动及辅助活动取得的收入。</w:t>
      </w:r>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r>
        <w:rPr>
          <w:rFonts w:eastAsia="仿宋_GB2312" w:cs="仿宋_GB2312" w:hint="eastAsia"/>
          <w:color w:val="auto"/>
          <w:kern w:val="2"/>
          <w:sz w:val="32"/>
          <w:szCs w:val="32"/>
          <w:lang w:val="en-US" w:eastAsia="zh-CN" w:bidi="ar-SA"/>
          <w:highlight w:val="auto"/>
        </w:rPr>
        <w:t>3</w:t>
      </w:r>
      <w:r>
        <w:rPr>
          <w:rFonts w:ascii="Times New Roman" w:eastAsia="仿宋_GB2312" w:cs="仿宋_GB2312" w:hAnsi="Times New Roman" w:hint="eastAsia"/>
          <w:color w:val="auto"/>
          <w:kern w:val="2"/>
          <w:sz w:val="32"/>
          <w:szCs w:val="32"/>
          <w:lang w:val="en-US" w:eastAsia="zh-CN" w:bidi="ar-SA"/>
          <w:highlight w:val="auto"/>
        </w:rPr>
        <w:t xml:space="preserve">.其他收入：指单位取得的除上述收入以外的各项收入。 </w:t>
      </w:r>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r>
        <w:rPr>
          <w:rFonts w:eastAsia="仿宋_GB2312" w:cs="仿宋_GB2312" w:hint="eastAsia"/>
          <w:color w:val="auto"/>
          <w:kern w:val="2"/>
          <w:sz w:val="32"/>
          <w:szCs w:val="32"/>
          <w:lang w:val="en-US" w:eastAsia="zh-CN" w:bidi="ar-SA"/>
          <w:highlight w:val="auto"/>
        </w:rPr>
        <w:t>4</w:t>
      </w:r>
      <w:r>
        <w:rPr>
          <w:rFonts w:ascii="Times New Roman" w:eastAsia="仿宋_GB2312" w:cs="仿宋_GB2312" w:hAnsi="Times New Roman" w:hint="eastAsia"/>
          <w:color w:val="auto"/>
          <w:kern w:val="2"/>
          <w:sz w:val="32"/>
          <w:szCs w:val="32"/>
          <w:lang w:val="en-US" w:eastAsia="zh-CN" w:bidi="ar-SA"/>
          <w:highlight w:val="auto"/>
        </w:rPr>
        <w:t xml:space="preserve">.使用非财政拨款结余（含专用结余）：指事业单位使用以前年度积累的非财政拨款结余弥补当年收支差额的金额。 </w:t>
      </w:r>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r>
        <w:rPr>
          <w:rFonts w:eastAsia="仿宋_GB2312" w:cs="仿宋_GB2312" w:hint="eastAsia"/>
          <w:color w:val="auto"/>
          <w:kern w:val="2"/>
          <w:sz w:val="32"/>
          <w:szCs w:val="32"/>
          <w:lang w:val="en-US" w:eastAsia="zh-CN" w:bidi="ar-SA"/>
          <w:highlight w:val="auto"/>
        </w:rPr>
        <w:t>5</w:t>
      </w:r>
      <w:r>
        <w:rPr>
          <w:rFonts w:ascii="Times New Roman" w:eastAsia="仿宋_GB2312" w:cs="仿宋_GB2312" w:hAnsi="Times New Roman" w:hint="eastAsia"/>
          <w:color w:val="auto"/>
          <w:kern w:val="2"/>
          <w:sz w:val="32"/>
          <w:szCs w:val="32"/>
          <w:lang w:val="en-US" w:eastAsia="zh-CN" w:bidi="ar-SA"/>
          <w:highlight w:val="auto"/>
        </w:rPr>
        <w:t xml:space="preserve">.年初结转和结余：指以前年度尚未完成、结转到本年按有关规定继续使用的资金。 </w:t>
      </w:r>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r>
        <w:rPr>
          <w:rFonts w:eastAsia="仿宋_GB2312" w:cs="仿宋_GB2312" w:hint="eastAsia"/>
          <w:color w:val="auto"/>
          <w:kern w:val="2"/>
          <w:sz w:val="32"/>
          <w:szCs w:val="32"/>
          <w:lang w:val="en-US" w:eastAsia="zh-CN" w:bidi="ar-SA"/>
          <w:highlight w:val="auto"/>
        </w:rPr>
        <w:t>6</w:t>
      </w:r>
      <w:r>
        <w:rPr>
          <w:rFonts w:ascii="Times New Roman" w:eastAsia="仿宋_GB2312" w:cs="仿宋_GB2312" w:hAnsi="Times New Roman" w:hint="eastAsia"/>
          <w:color w:val="auto"/>
          <w:kern w:val="2"/>
          <w:sz w:val="32"/>
          <w:szCs w:val="32"/>
          <w:lang w:val="en-US" w:eastAsia="zh-CN" w:bidi="ar-SA"/>
          <w:highlight w:val="auto"/>
        </w:rPr>
        <w:t>.结余分配：指事业单位按照会计制度规定缴纳的所得税、提取的专用结余以及转入非财政拨款结余的金额等。</w:t>
      </w:r>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r>
        <w:rPr>
          <w:rFonts w:eastAsia="仿宋_GB2312" w:cs="仿宋_GB2312" w:hint="eastAsia"/>
          <w:color w:val="auto"/>
          <w:kern w:val="2"/>
          <w:sz w:val="32"/>
          <w:szCs w:val="32"/>
          <w:lang w:val="en-US" w:eastAsia="zh-CN" w:bidi="ar-SA"/>
          <w:highlight w:val="auto"/>
        </w:rPr>
        <w:t>7</w:t>
      </w:r>
      <w:r>
        <w:rPr>
          <w:rFonts w:ascii="Times New Roman" w:eastAsia="仿宋_GB2312" w:cs="仿宋_GB2312" w:hAnsi="Times New Roman" w:hint="eastAsia"/>
          <w:color w:val="auto"/>
          <w:kern w:val="2"/>
          <w:sz w:val="32"/>
          <w:szCs w:val="32"/>
          <w:lang w:val="en-US" w:eastAsia="zh-CN" w:bidi="ar-SA"/>
          <w:highlight w:val="auto"/>
        </w:rPr>
        <w:t>.年末结转和结余：指单位按有关规定结转到下年或以后年度继续使用的资金。</w:t>
      </w:r>
    </w:p>
    <w:p>
      <w:pPr>
        <w:spacing w:line="600" w:lineRule="exact"/>
        <w:ind w:firstLine="640"/>
        <w:rPr>
          <w:rFonts w:ascii="仿宋_GB2312" w:eastAsia="仿宋_GB2312" w:hint="eastAsia"/>
          <w:color w:val="auto"/>
          <w:sz w:val="32"/>
          <w:szCs w:val="32"/>
        </w:rPr>
      </w:pPr>
      <w:r>
        <w:rPr>
          <w:rFonts w:eastAsia="仿宋_GB2312" w:cs="仿宋_GB2312" w:hint="eastAsia"/>
          <w:color w:val="auto"/>
          <w:kern w:val="2"/>
          <w:sz w:val="32"/>
          <w:szCs w:val="32"/>
          <w:lang w:val="en-US" w:eastAsia="zh-CN" w:bidi="ar-SA"/>
          <w:highlight w:val="auto"/>
        </w:rPr>
        <w:t>8</w:t>
      </w:r>
      <w:r>
        <w:rPr>
          <w:rFonts w:ascii="Times New Roman" w:eastAsia="仿宋_GB2312" w:cs="仿宋_GB2312" w:hAnsi="Times New Roman" w:hint="eastAsia"/>
          <w:color w:val="auto"/>
          <w:kern w:val="2"/>
          <w:sz w:val="32"/>
          <w:szCs w:val="32"/>
          <w:lang w:val="en-US" w:eastAsia="zh-CN" w:bidi="ar-SA"/>
          <w:highlight w:val="auto"/>
        </w:rPr>
        <w:t>.</w:t>
      </w:r>
      <w:r>
        <w:rPr>
          <w:rFonts w:ascii="仿宋_GB2312" w:eastAsia="仿宋_GB2312" w:hint="eastAsia"/>
          <w:color w:val="auto"/>
          <w:sz w:val="32"/>
          <w:szCs w:val="32"/>
          <w:highlight w:val="auto"/>
        </w:rPr>
        <w:t>一般公共服务（类）</w:t>
      </w:r>
      <w:r>
        <w:rPr>
          <w:rFonts w:ascii="仿宋_GB2312" w:eastAsia="仿宋_GB2312" w:hint="eastAsia"/>
          <w:color w:val="auto"/>
          <w:sz w:val="32"/>
          <w:szCs w:val="32"/>
        </w:rPr>
        <w:t>群众团体事务（款）行政运行：指</w:t>
      </w:r>
      <w:r>
        <w:rPr>
          <w:rFonts w:ascii="仿宋_GB2312" w:eastAsia="仿宋_GB2312" w:hint="eastAsia"/>
          <w:color w:val="auto"/>
          <w:sz w:val="32"/>
          <w:szCs w:val="32"/>
          <w:lang w:eastAsia="zh-CN"/>
        </w:rPr>
        <w:t>反映</w:t>
      </w:r>
      <w:r>
        <w:rPr>
          <w:rFonts w:ascii="仿宋_GB2312" w:eastAsia="仿宋_GB2312" w:hint="eastAsia"/>
          <w:color w:val="auto"/>
          <w:sz w:val="32"/>
          <w:szCs w:val="32"/>
        </w:rPr>
        <w:t>行政单位的基本支出。</w:t>
      </w:r>
    </w:p>
    <w:p>
      <w:pPr>
        <w:pStyle w:val="15"/>
        <w:ind w:firstLineChars="200" w:firstLine="640"/>
      </w:pPr>
      <w:r>
        <w:rPr>
          <w:rFonts w:ascii="仿宋_GB2312" w:eastAsia="仿宋_GB2312" w:hint="eastAsia"/>
          <w:color w:val="auto"/>
          <w:sz w:val="32"/>
          <w:szCs w:val="32"/>
          <w:lang w:val="en-US" w:eastAsia="zh-CN"/>
        </w:rPr>
        <w:t>9</w:t>
      </w:r>
      <w:r>
        <w:rPr>
          <w:rFonts w:ascii="仿宋_GB2312" w:eastAsia="仿宋_GB2312" w:hint="eastAsia"/>
          <w:color w:val="auto"/>
          <w:sz w:val="32"/>
          <w:szCs w:val="32"/>
        </w:rPr>
        <w:t>.一般公共服务（类）群众团体事务（款）一般行政管理事务（项）：指</w:t>
      </w:r>
      <w:r>
        <w:rPr>
          <w:rFonts w:ascii="仿宋_GB2312" w:eastAsia="仿宋_GB2312" w:hint="eastAsia"/>
          <w:color w:val="auto"/>
          <w:sz w:val="32"/>
          <w:szCs w:val="32"/>
          <w:lang w:eastAsia="zh-CN"/>
        </w:rPr>
        <w:t>反映</w:t>
      </w:r>
      <w:r>
        <w:rPr>
          <w:rFonts w:ascii="仿宋_GB2312" w:eastAsia="仿宋_GB2312" w:hint="eastAsia"/>
          <w:color w:val="auto"/>
          <w:sz w:val="32"/>
          <w:szCs w:val="32"/>
        </w:rPr>
        <w:t>行政单位的其他项目支出。</w:t>
      </w:r>
    </w:p>
    <w:p>
      <w:pPr>
        <w:pStyle w:val="37"/>
        <w:spacing w:line="560" w:lineRule="exact"/>
        <w:ind w:firstLineChars="200" w:firstLine="640"/>
        <w:rPr>
          <w:rFonts w:ascii="仿宋_GB2312" w:eastAsia="仿宋_GB2312" w:hint="eastAsia"/>
          <w:color w:val="auto"/>
          <w:sz w:val="32"/>
          <w:szCs w:val="32"/>
        </w:rPr>
      </w:pPr>
      <w:r>
        <w:rPr>
          <w:rFonts w:ascii="仿宋_GB2312" w:eastAsia="仿宋_GB2312" w:hint="eastAsia"/>
          <w:color w:val="auto"/>
          <w:sz w:val="32"/>
          <w:szCs w:val="32"/>
          <w:lang w:val="en-US" w:eastAsia="zh-CN"/>
        </w:rPr>
        <w:t>10</w:t>
      </w:r>
      <w:r>
        <w:rPr>
          <w:rFonts w:ascii="仿宋_GB2312" w:eastAsia="仿宋_GB2312" w:hint="eastAsia"/>
          <w:color w:val="auto"/>
          <w:sz w:val="32"/>
          <w:szCs w:val="32"/>
        </w:rPr>
        <w:t>. 社会保障和就业（类）行政事业单位离退休（款）机关事业单位基本养老保险缴费支出（项）</w:t>
      </w:r>
      <w:r>
        <w:rPr>
          <w:rFonts w:ascii="仿宋_GB2312" w:eastAsia="仿宋_GB2312" w:hint="eastAsia"/>
          <w:color w:val="auto"/>
          <w:sz w:val="32"/>
          <w:szCs w:val="32"/>
          <w:lang w:eastAsia="zh-CN"/>
        </w:rPr>
        <w:t>：</w:t>
      </w:r>
      <w:r>
        <w:rPr>
          <w:rFonts w:ascii="仿宋_GB2312" w:eastAsia="仿宋_GB2312" w:hint="eastAsia"/>
          <w:color w:val="auto"/>
          <w:sz w:val="32"/>
          <w:szCs w:val="32"/>
        </w:rPr>
        <w:t xml:space="preserve"> 指反映机关事业单位实施养老保险制度由单位缴纳的基本养老保险费支出。</w:t>
      </w:r>
    </w:p>
    <w:p>
      <w:pPr>
        <w:ind w:firstLineChars="200" w:firstLine="640"/>
        <w:rPr>
          <w:rFonts w:ascii="仿宋_GB2312" w:eastAsia="仿宋_GB2312" w:hint="eastAsia"/>
          <w:sz w:val="32"/>
          <w:szCs w:val="32"/>
        </w:rPr>
      </w:pPr>
      <w:r>
        <w:rPr>
          <w:rFonts w:ascii="仿宋_GB2312" w:eastAsia="仿宋_GB2312" w:hint="eastAsia"/>
          <w:color w:val="auto"/>
          <w:sz w:val="32"/>
          <w:szCs w:val="32"/>
          <w:lang w:val="en-US" w:eastAsia="zh-CN"/>
        </w:rPr>
        <w:t>11</w:t>
      </w:r>
      <w:r>
        <w:rPr>
          <w:rFonts w:ascii="仿宋_GB2312" w:eastAsia="仿宋_GB2312" w:hint="eastAsia"/>
          <w:color w:val="auto"/>
          <w:sz w:val="32"/>
          <w:szCs w:val="32"/>
        </w:rPr>
        <w:t>.社会保障和就业（类）行政事业单位离退休（款）机关事业单位职业年金缴费支出（项）</w:t>
      </w:r>
      <w:r>
        <w:rPr>
          <w:rFonts w:ascii="仿宋_GB2312" w:eastAsia="仿宋_GB2312" w:hint="eastAsia"/>
          <w:color w:val="auto"/>
          <w:sz w:val="32"/>
          <w:szCs w:val="32"/>
          <w:lang w:eastAsia="zh-CN"/>
        </w:rPr>
        <w:t>：</w:t>
      </w:r>
      <w:r>
        <w:rPr>
          <w:rFonts w:ascii="仿宋_GB2312" w:eastAsia="仿宋_GB2312" w:hint="eastAsia"/>
          <w:color w:val="auto"/>
          <w:sz w:val="32"/>
          <w:szCs w:val="32"/>
        </w:rPr>
        <w:t>指反映机关事业单位实施养老保险制度</w:t>
      </w:r>
      <w:r>
        <w:rPr>
          <w:rFonts w:ascii="仿宋_GB2312" w:eastAsia="仿宋_GB2312" w:hint="eastAsia"/>
          <w:color w:val="auto"/>
          <w:sz w:val="32"/>
          <w:szCs w:val="32"/>
          <w:lang w:eastAsia="zh-CN"/>
        </w:rPr>
        <w:t>有关</w:t>
      </w:r>
      <w:r>
        <w:rPr>
          <w:rFonts w:ascii="仿宋_GB2312" w:eastAsia="仿宋_GB2312" w:hint="eastAsia"/>
          <w:color w:val="auto"/>
          <w:sz w:val="32"/>
          <w:szCs w:val="32"/>
        </w:rPr>
        <w:t>单位实际缴纳的职业年金支出。</w:t>
      </w:r>
    </w:p>
    <w:p>
      <w:pPr>
        <w:pStyle w:val="37"/>
        <w:spacing w:line="560" w:lineRule="exact"/>
        <w:ind w:firstLineChars="200" w:firstLine="640"/>
        <w:rPr>
          <w:rFonts w:ascii="仿宋_GB2312" w:eastAsia="仿宋_GB2312" w:hint="eastAsia"/>
          <w:color w:val="auto"/>
          <w:sz w:val="32"/>
          <w:szCs w:val="32"/>
        </w:rPr>
      </w:pPr>
      <w:r>
        <w:rPr>
          <w:rFonts w:ascii="仿宋_GB2312" w:eastAsia="仿宋_GB2312" w:hint="eastAsia"/>
          <w:color w:val="auto"/>
          <w:sz w:val="32"/>
          <w:szCs w:val="32"/>
          <w:lang w:val="en-US" w:eastAsia="zh-CN"/>
          <w:highlight w:val="auto"/>
        </w:rPr>
        <w:t>12</w:t>
      </w:r>
      <w:r>
        <w:rPr>
          <w:rFonts w:ascii="仿宋_GB2312" w:eastAsia="仿宋_GB2312" w:hint="eastAsia"/>
          <w:color w:val="auto"/>
          <w:sz w:val="32"/>
          <w:szCs w:val="32"/>
          <w:highlight w:val="auto"/>
        </w:rPr>
        <w:t>.</w:t>
      </w:r>
      <w:r>
        <w:rPr>
          <w:rFonts w:ascii="仿宋_GB2312" w:eastAsia="仿宋_GB2312" w:hint="eastAsia"/>
          <w:color w:val="auto"/>
          <w:sz w:val="32"/>
          <w:szCs w:val="32"/>
          <w:lang w:eastAsia="zh-CN"/>
          <w:highlight w:val="auto"/>
        </w:rPr>
        <w:t>卫生健康</w:t>
      </w:r>
      <w:r>
        <w:rPr>
          <w:rFonts w:ascii="仿宋_GB2312" w:eastAsia="仿宋_GB2312" w:hint="eastAsia"/>
          <w:color w:val="auto"/>
          <w:sz w:val="32"/>
          <w:szCs w:val="32"/>
          <w:highlight w:val="auto"/>
        </w:rPr>
        <w:t>（类）</w:t>
      </w:r>
      <w:r>
        <w:rPr>
          <w:rFonts w:ascii="仿宋_GB2312" w:eastAsia="仿宋_GB2312" w:hint="eastAsia"/>
          <w:color w:val="auto"/>
          <w:sz w:val="32"/>
          <w:szCs w:val="32"/>
        </w:rPr>
        <w:t>行政事业单位医疗（款）行政单位医疗（项）</w:t>
      </w:r>
      <w:r>
        <w:rPr>
          <w:rFonts w:ascii="仿宋_GB2312" w:eastAsia="仿宋_GB2312" w:hint="eastAsia"/>
          <w:color w:val="auto"/>
          <w:sz w:val="32"/>
          <w:szCs w:val="32"/>
          <w:lang w:eastAsia="zh-CN"/>
        </w:rPr>
        <w:t>：</w:t>
      </w:r>
      <w:r>
        <w:rPr>
          <w:rFonts w:ascii="仿宋_GB2312" w:eastAsia="仿宋_GB2312" w:hint="eastAsia"/>
          <w:color w:val="auto"/>
          <w:sz w:val="32"/>
          <w:szCs w:val="32"/>
        </w:rPr>
        <w:t>指反映财政部门安排的行政单位基本医疗保险缴费经费。</w:t>
      </w:r>
    </w:p>
    <w:p>
      <w:pPr>
        <w:pStyle w:val="37"/>
        <w:spacing w:line="560" w:lineRule="exact"/>
        <w:ind w:firstLineChars="200" w:firstLine="640"/>
        <w:rPr>
          <w:rFonts w:ascii="仿宋_GB2312" w:eastAsia="仿宋_GB2312" w:hint="eastAsia"/>
          <w:color w:val="auto"/>
          <w:sz w:val="32"/>
          <w:szCs w:val="32"/>
        </w:rPr>
      </w:pPr>
      <w:r>
        <w:rPr>
          <w:rFonts w:ascii="仿宋_GB2312" w:eastAsia="仿宋_GB2312" w:hint="eastAsia"/>
          <w:color w:val="auto"/>
          <w:sz w:val="32"/>
          <w:szCs w:val="32"/>
          <w:lang w:val="en-US" w:eastAsia="zh-CN"/>
        </w:rPr>
        <w:t>13</w:t>
      </w:r>
      <w:r>
        <w:rPr>
          <w:rFonts w:ascii="仿宋_GB2312" w:eastAsia="仿宋_GB2312" w:hint="eastAsia"/>
          <w:color w:val="auto"/>
          <w:sz w:val="32"/>
          <w:szCs w:val="32"/>
        </w:rPr>
        <w:t>.</w:t>
      </w:r>
      <w:r>
        <w:rPr>
          <w:rFonts w:ascii="仿宋_GB2312" w:eastAsia="仿宋_GB2312" w:hint="eastAsia"/>
          <w:color w:val="auto"/>
          <w:sz w:val="32"/>
          <w:szCs w:val="32"/>
          <w:lang w:eastAsia="zh-CN"/>
          <w:highlight w:val="auto"/>
        </w:rPr>
        <w:t>卫生健康</w:t>
      </w:r>
      <w:r>
        <w:rPr>
          <w:rFonts w:ascii="仿宋_GB2312" w:eastAsia="仿宋_GB2312" w:hint="eastAsia"/>
          <w:color w:val="auto"/>
          <w:sz w:val="32"/>
          <w:szCs w:val="32"/>
          <w:highlight w:val="auto"/>
        </w:rPr>
        <w:t>（类）</w:t>
      </w:r>
      <w:r>
        <w:rPr>
          <w:rFonts w:ascii="仿宋_GB2312" w:eastAsia="仿宋_GB2312" w:hint="eastAsia"/>
          <w:color w:val="auto"/>
          <w:sz w:val="32"/>
          <w:szCs w:val="32"/>
        </w:rPr>
        <w:t>行政事业单位医疗（款）公务员医疗补助（项）</w:t>
      </w:r>
      <w:r>
        <w:rPr>
          <w:rFonts w:ascii="仿宋_GB2312" w:eastAsia="仿宋_GB2312" w:hint="eastAsia"/>
          <w:color w:val="auto"/>
          <w:sz w:val="32"/>
          <w:szCs w:val="32"/>
          <w:lang w:eastAsia="zh-CN"/>
        </w:rPr>
        <w:t>：</w:t>
      </w:r>
      <w:r>
        <w:rPr>
          <w:rFonts w:ascii="仿宋_GB2312" w:eastAsia="仿宋_GB2312" w:hint="eastAsia"/>
          <w:color w:val="auto"/>
          <w:sz w:val="32"/>
          <w:szCs w:val="32"/>
        </w:rPr>
        <w:t>指反映财政部门安排的公务员医疗补助经费。</w:t>
      </w:r>
    </w:p>
    <w:p>
      <w:pPr>
        <w:pStyle w:val="37"/>
        <w:spacing w:line="560" w:lineRule="exact"/>
        <w:ind w:firstLineChars="200" w:firstLine="640"/>
        <w:rPr>
          <w:rFonts w:ascii="仿宋_GB2312" w:eastAsia="仿宋_GB2312" w:hint="eastAsia"/>
          <w:color w:val="auto"/>
          <w:sz w:val="32"/>
          <w:szCs w:val="32"/>
        </w:rPr>
      </w:pPr>
      <w:r>
        <w:rPr>
          <w:rFonts w:ascii="仿宋_GB2312" w:eastAsia="仿宋_GB2312" w:hint="eastAsia"/>
          <w:color w:val="auto"/>
          <w:sz w:val="32"/>
          <w:szCs w:val="32"/>
          <w:lang w:val="en-US" w:eastAsia="zh-CN"/>
        </w:rPr>
        <w:t>14</w:t>
      </w:r>
      <w:r>
        <w:rPr>
          <w:rFonts w:ascii="仿宋_GB2312" w:eastAsia="仿宋_GB2312" w:hint="eastAsia"/>
          <w:color w:val="auto"/>
          <w:sz w:val="32"/>
          <w:szCs w:val="32"/>
        </w:rPr>
        <w:t>.住房保障</w:t>
      </w:r>
      <w:r>
        <w:rPr>
          <w:rFonts w:ascii="仿宋_GB2312" w:eastAsia="仿宋_GB2312" w:hint="eastAsia"/>
          <w:color w:val="auto"/>
          <w:sz w:val="32"/>
          <w:szCs w:val="32"/>
          <w:lang w:eastAsia="zh-CN"/>
        </w:rPr>
        <w:t>（</w:t>
      </w:r>
      <w:r>
        <w:rPr>
          <w:rFonts w:ascii="仿宋_GB2312" w:eastAsia="仿宋_GB2312" w:hint="eastAsia"/>
          <w:color w:val="auto"/>
          <w:sz w:val="32"/>
          <w:szCs w:val="32"/>
        </w:rPr>
        <w:t>类</w:t>
      </w:r>
      <w:r>
        <w:rPr>
          <w:rFonts w:ascii="仿宋_GB2312" w:eastAsia="仿宋_GB2312" w:hint="eastAsia"/>
          <w:color w:val="auto"/>
          <w:sz w:val="32"/>
          <w:szCs w:val="32"/>
          <w:lang w:eastAsia="zh-CN"/>
        </w:rPr>
        <w:t>）住房</w:t>
      </w:r>
      <w:r>
        <w:rPr>
          <w:rFonts w:ascii="仿宋_GB2312" w:eastAsia="仿宋_GB2312" w:hint="eastAsia"/>
          <w:color w:val="auto"/>
          <w:sz w:val="32"/>
          <w:szCs w:val="32"/>
        </w:rPr>
        <w:t>改革支出</w:t>
      </w:r>
      <w:r>
        <w:rPr>
          <w:rFonts w:ascii="仿宋_GB2312" w:eastAsia="仿宋_GB2312" w:hint="eastAsia"/>
          <w:color w:val="auto"/>
          <w:sz w:val="32"/>
          <w:szCs w:val="32"/>
          <w:lang w:eastAsia="zh-CN"/>
        </w:rPr>
        <w:t>（</w:t>
      </w:r>
      <w:r>
        <w:rPr>
          <w:rFonts w:ascii="仿宋_GB2312" w:eastAsia="仿宋_GB2312" w:hint="eastAsia"/>
          <w:color w:val="auto"/>
          <w:sz w:val="32"/>
          <w:szCs w:val="32"/>
        </w:rPr>
        <w:t>款</w:t>
      </w:r>
      <w:r>
        <w:rPr>
          <w:rFonts w:ascii="仿宋_GB2312" w:eastAsia="仿宋_GB2312" w:hint="eastAsia"/>
          <w:color w:val="auto"/>
          <w:sz w:val="32"/>
          <w:szCs w:val="32"/>
          <w:lang w:eastAsia="zh-CN"/>
        </w:rPr>
        <w:t>）</w:t>
      </w:r>
      <w:r>
        <w:rPr>
          <w:rFonts w:ascii="仿宋_GB2312" w:eastAsia="仿宋_GB2312" w:hint="eastAsia"/>
          <w:color w:val="auto"/>
          <w:sz w:val="32"/>
          <w:szCs w:val="32"/>
        </w:rPr>
        <w:t>住房公积金</w:t>
      </w:r>
      <w:r>
        <w:rPr>
          <w:rFonts w:ascii="仿宋_GB2312" w:eastAsia="仿宋_GB2312" w:hint="eastAsia"/>
          <w:color w:val="auto"/>
          <w:sz w:val="32"/>
          <w:szCs w:val="32"/>
          <w:lang w:eastAsia="zh-CN"/>
        </w:rPr>
        <w:t>（</w:t>
      </w:r>
      <w:r>
        <w:rPr>
          <w:rFonts w:ascii="仿宋_GB2312" w:eastAsia="仿宋_GB2312" w:hint="eastAsia"/>
          <w:color w:val="auto"/>
          <w:sz w:val="32"/>
          <w:szCs w:val="32"/>
        </w:rPr>
        <w:t>项</w:t>
      </w:r>
      <w:r>
        <w:rPr>
          <w:rFonts w:ascii="仿宋_GB2312" w:eastAsia="仿宋_GB2312" w:hint="eastAsia"/>
          <w:color w:val="auto"/>
          <w:sz w:val="32"/>
          <w:szCs w:val="32"/>
          <w:lang w:eastAsia="zh-CN"/>
        </w:rPr>
        <w:t>）：</w:t>
      </w:r>
      <w:r>
        <w:rPr>
          <w:rFonts w:ascii="仿宋_GB2312" w:eastAsia="仿宋_GB2312" w:hint="eastAsia"/>
          <w:color w:val="auto"/>
          <w:sz w:val="32"/>
          <w:szCs w:val="32"/>
        </w:rPr>
        <w:t>指反映行政事业单位按人力资源和社会保障部、财政部规定的基本工资和津补贴以及规定比例为职工缴纳的住房公积金。</w:t>
      </w:r>
    </w:p>
    <w:p>
      <w:pPr>
        <w:pStyle w:val="37"/>
        <w:spacing w:line="560" w:lineRule="exact"/>
        <w:ind w:firstLineChars="200" w:firstLine="640"/>
        <w:rPr>
          <w:rFonts w:ascii="仿宋_GB2312" w:eastAsia="仿宋_GB2312" w:hint="eastAsia"/>
          <w:color w:val="auto"/>
          <w:sz w:val="32"/>
          <w:szCs w:val="32"/>
        </w:rPr>
      </w:pPr>
      <w:r>
        <w:rPr>
          <w:rFonts w:ascii="仿宋_GB2312" w:eastAsia="仿宋_GB2312" w:hint="eastAsia"/>
          <w:color w:val="auto"/>
          <w:sz w:val="32"/>
          <w:szCs w:val="32"/>
          <w:lang w:val="en-US" w:eastAsia="zh-CN"/>
        </w:rPr>
        <w:t>15</w:t>
      </w:r>
      <w:r>
        <w:rPr>
          <w:rFonts w:ascii="仿宋_GB2312" w:eastAsia="仿宋_GB2312" w:hint="eastAsia"/>
          <w:color w:val="auto"/>
          <w:sz w:val="32"/>
          <w:szCs w:val="32"/>
        </w:rPr>
        <w:t>.</w:t>
      </w:r>
      <w:r>
        <w:rPr>
          <w:rFonts w:ascii="仿宋_GB2312" w:eastAsia="仿宋_GB2312" w:hint="eastAsia"/>
          <w:color w:val="auto"/>
          <w:sz w:val="32"/>
          <w:szCs w:val="32"/>
          <w:lang w:eastAsia="zh-CN"/>
          <w:highlight w:val="auto"/>
        </w:rPr>
        <w:t>卫生健康</w:t>
      </w:r>
      <w:r>
        <w:rPr>
          <w:rFonts w:ascii="仿宋_GB2312" w:eastAsia="仿宋_GB2312" w:hint="eastAsia"/>
          <w:color w:val="auto"/>
          <w:sz w:val="32"/>
          <w:szCs w:val="32"/>
          <w:highlight w:val="auto"/>
        </w:rPr>
        <w:t>（类）</w:t>
      </w:r>
      <w:r>
        <w:rPr>
          <w:rFonts w:ascii="仿宋_GB2312" w:eastAsia="仿宋_GB2312" w:hint="eastAsia"/>
          <w:color w:val="auto"/>
          <w:sz w:val="32"/>
          <w:szCs w:val="32"/>
        </w:rPr>
        <w:t>行政事业单位医疗（款）其他行政事业单位医疗支出（项）</w:t>
      </w:r>
      <w:r>
        <w:rPr>
          <w:rFonts w:ascii="仿宋_GB2312" w:eastAsia="仿宋_GB2312" w:hint="eastAsia"/>
          <w:color w:val="auto"/>
          <w:sz w:val="32"/>
          <w:szCs w:val="32"/>
          <w:lang w:eastAsia="zh-CN"/>
        </w:rPr>
        <w:t>：</w:t>
      </w:r>
      <w:r>
        <w:rPr>
          <w:rFonts w:ascii="仿宋_GB2312" w:eastAsia="仿宋_GB2312" w:hint="eastAsia"/>
          <w:color w:val="auto"/>
          <w:sz w:val="32"/>
          <w:szCs w:val="32"/>
        </w:rPr>
        <w:t>指反映其他用于行政事业单位医疗方面的支出。</w:t>
      </w:r>
    </w:p>
    <w:p>
      <w:pPr>
        <w:spacing w:line="600" w:lineRule="exact"/>
        <w:ind w:firstLine="640"/>
        <w:rPr>
          <w:rFonts w:ascii="仿宋_GB2312" w:eastAsia="仿宋_GB2312" w:hint="eastAsia"/>
          <w:color w:val="auto"/>
          <w:sz w:val="32"/>
          <w:szCs w:val="32"/>
        </w:rPr>
      </w:pPr>
      <w:r>
        <w:rPr>
          <w:rFonts w:ascii="仿宋_GB2312" w:eastAsia="仿宋_GB2312" w:hint="eastAsia"/>
          <w:color w:val="auto"/>
          <w:sz w:val="32"/>
          <w:szCs w:val="32"/>
          <w:lang w:val="en-US" w:eastAsia="zh-CN"/>
        </w:rPr>
        <w:t>16</w:t>
      </w:r>
      <w:r>
        <w:rPr>
          <w:rFonts w:ascii="仿宋_GB2312" w:eastAsia="仿宋_GB2312" w:hint="eastAsia"/>
          <w:color w:val="auto"/>
          <w:sz w:val="32"/>
          <w:szCs w:val="32"/>
        </w:rPr>
        <w:t>.</w:t>
      </w:r>
      <w:r>
        <w:rPr>
          <w:rFonts w:ascii="仿宋_GB2312" w:eastAsia="仿宋_GB2312" w:hint="eastAsia"/>
          <w:color w:val="auto"/>
          <w:sz w:val="32"/>
          <w:szCs w:val="32"/>
          <w:lang w:eastAsia="zh-CN"/>
          <w:highlight w:val="auto"/>
        </w:rPr>
        <w:t>卫生健康</w:t>
      </w:r>
      <w:r>
        <w:rPr>
          <w:rFonts w:ascii="仿宋_GB2312" w:eastAsia="仿宋_GB2312" w:hint="eastAsia"/>
          <w:color w:val="auto"/>
          <w:sz w:val="32"/>
          <w:szCs w:val="32"/>
          <w:highlight w:val="auto"/>
        </w:rPr>
        <w:t>（类）</w:t>
      </w:r>
      <w:r>
        <w:rPr>
          <w:rFonts w:ascii="仿宋_GB2312" w:eastAsia="仿宋_GB2312" w:hint="eastAsia"/>
          <w:color w:val="auto"/>
          <w:sz w:val="32"/>
          <w:szCs w:val="32"/>
        </w:rPr>
        <w:t>行政事业单位医疗（款）事业单位医疗（项）：指反映财政部门安排的事业单位基本医疗保险缴费经费。</w:t>
      </w:r>
    </w:p>
    <w:p>
      <w:pPr>
        <w:pStyle w:val="15"/>
        <w:rPr>
          <w:rFonts w:hint="eastAsia"/>
        </w:rPr>
      </w:pPr>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r>
        <w:rPr>
          <w:rFonts w:ascii="Times New Roman" w:eastAsia="仿宋_GB2312" w:cs="仿宋_GB2312" w:hAnsi="Times New Roman" w:hint="eastAsia"/>
          <w:b/>
          <w:bCs/>
          <w:color w:val="auto"/>
          <w:kern w:val="2"/>
          <w:sz w:val="32"/>
          <w:szCs w:val="32"/>
          <w:lang w:val="en-US" w:eastAsia="zh-CN" w:bidi="ar-SA"/>
          <w:highlight w:val="auto"/>
        </w:rPr>
        <w:t>（</w:t>
      </w:r>
      <w:r>
        <w:rPr>
          <w:rFonts w:eastAsia="仿宋_GB2312" w:cs="仿宋_GB2312" w:hint="eastAsia"/>
          <w:b/>
          <w:bCs/>
          <w:color w:val="auto"/>
          <w:kern w:val="2"/>
          <w:sz w:val="32"/>
          <w:szCs w:val="32"/>
          <w:lang w:val="en-US" w:eastAsia="zh-CN" w:bidi="ar-SA"/>
          <w:highlight w:val="auto"/>
        </w:rPr>
        <w:t>注：</w:t>
      </w:r>
      <w:r>
        <w:rPr>
          <w:rFonts w:ascii="Times New Roman" w:eastAsia="仿宋_GB2312" w:cs="仿宋_GB2312" w:hAnsi="Times New Roman" w:hint="eastAsia"/>
          <w:b/>
          <w:bCs/>
          <w:color w:val="auto"/>
          <w:kern w:val="2"/>
          <w:sz w:val="32"/>
          <w:szCs w:val="32"/>
          <w:lang w:val="en-US" w:eastAsia="zh-CN" w:bidi="ar-SA"/>
          <w:highlight w:val="auto"/>
        </w:rPr>
        <w:t>解释本部门决算报表中涉及的全部功能分类科目至项级，不涉及的科目请自行删除。请参照</w:t>
      </w:r>
      <w:r>
        <w:rPr>
          <w:rFonts w:eastAsia="仿宋_GB2312" w:cs="仿宋_GB2312" w:hint="eastAsia"/>
          <w:b/>
          <w:bCs/>
          <w:color w:val="auto"/>
          <w:kern w:val="2"/>
          <w:sz w:val="32"/>
          <w:szCs w:val="32"/>
          <w:lang w:val="en-US" w:eastAsia="zh-CN" w:bidi="ar-SA"/>
          <w:highlight w:val="auto"/>
        </w:rPr>
        <w:t>《</w:t>
      </w:r>
      <w:r>
        <w:rPr>
          <w:rFonts w:ascii="Times New Roman" w:eastAsia="仿宋_GB2312" w:cs="仿宋_GB2312" w:hAnsi="Times New Roman" w:hint="eastAsia"/>
          <w:b/>
          <w:bCs/>
          <w:color w:val="auto"/>
          <w:kern w:val="2"/>
          <w:sz w:val="32"/>
          <w:szCs w:val="32"/>
          <w:lang w:val="en-US" w:eastAsia="zh-CN" w:bidi="ar-SA"/>
          <w:highlight w:val="auto"/>
        </w:rPr>
        <w:t>202</w:t>
      </w:r>
      <w:r>
        <w:rPr>
          <w:rFonts w:ascii="Times New Roman" w:eastAsia="仿宋_GB2312" w:cs="仿宋_GB2312" w:hAnsi="Times New Roman"/>
          <w:b/>
          <w:bCs/>
          <w:color w:val="auto"/>
          <w:kern w:val="2"/>
          <w:sz w:val="32"/>
          <w:szCs w:val="32"/>
          <w:lang w:val="en-US" w:eastAsia="zh-CN" w:bidi="ar-SA"/>
          <w:highlight w:val="auto"/>
        </w:rPr>
        <w:t>5</w:t>
      </w:r>
      <w:r>
        <w:rPr>
          <w:rFonts w:ascii="Times New Roman" w:eastAsia="仿宋_GB2312" w:cs="仿宋_GB2312" w:hAnsi="Times New Roman" w:hint="eastAsia"/>
          <w:b/>
          <w:bCs/>
          <w:color w:val="auto"/>
          <w:kern w:val="2"/>
          <w:sz w:val="32"/>
          <w:szCs w:val="32"/>
          <w:lang w:val="en-US" w:eastAsia="zh-CN" w:bidi="ar-SA"/>
          <w:highlight w:val="auto"/>
        </w:rPr>
        <w:t>年政府收支分类科目</w:t>
      </w:r>
      <w:r>
        <w:rPr>
          <w:rFonts w:eastAsia="仿宋_GB2312" w:cs="仿宋_GB2312" w:hint="eastAsia"/>
          <w:b/>
          <w:bCs/>
          <w:color w:val="auto"/>
          <w:kern w:val="2"/>
          <w:sz w:val="32"/>
          <w:szCs w:val="32"/>
          <w:lang w:val="en-US" w:eastAsia="zh-CN" w:bidi="ar-SA"/>
          <w:highlight w:val="auto"/>
        </w:rPr>
        <w:t>》</w:t>
      </w:r>
      <w:r>
        <w:rPr>
          <w:rFonts w:ascii="Times New Roman" w:eastAsia="仿宋_GB2312" w:cs="仿宋_GB2312" w:hAnsi="Times New Roman" w:hint="eastAsia"/>
          <w:b/>
          <w:bCs/>
          <w:color w:val="auto"/>
          <w:kern w:val="2"/>
          <w:sz w:val="32"/>
          <w:szCs w:val="32"/>
          <w:lang w:val="en-US" w:eastAsia="zh-CN" w:bidi="ar-SA"/>
          <w:highlight w:val="auto"/>
        </w:rPr>
        <w:t>增减内容）</w:t>
      </w:r>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r>
        <w:rPr>
          <w:rFonts w:eastAsia="仿宋_GB2312" w:cs="仿宋_GB2312" w:hint="eastAsia"/>
          <w:color w:val="auto"/>
          <w:kern w:val="2"/>
          <w:sz w:val="32"/>
          <w:szCs w:val="32"/>
          <w:lang w:val="en-US" w:eastAsia="zh-CN" w:bidi="ar-SA"/>
          <w:highlight w:val="auto"/>
        </w:rPr>
        <w:t>17</w:t>
      </w:r>
      <w:r>
        <w:rPr>
          <w:rFonts w:ascii="Times New Roman" w:eastAsia="仿宋_GB2312" w:cs="仿宋_GB2312" w:hAnsi="Times New Roman" w:hint="eastAsia"/>
          <w:color w:val="auto"/>
          <w:kern w:val="2"/>
          <w:sz w:val="32"/>
          <w:szCs w:val="32"/>
          <w:lang w:val="en-US" w:eastAsia="zh-CN" w:bidi="ar-SA"/>
          <w:highlight w:val="auto"/>
        </w:rPr>
        <w:t>.基本支出：指为保障机构正常运转、完成日常工作任务而发生的人员支出和公用支出。</w:t>
      </w:r>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r>
        <w:rPr>
          <w:rFonts w:eastAsia="仿宋_GB2312" w:cs="仿宋_GB2312" w:hint="eastAsia"/>
          <w:color w:val="auto"/>
          <w:kern w:val="2"/>
          <w:sz w:val="32"/>
          <w:szCs w:val="32"/>
          <w:lang w:val="en-US" w:eastAsia="zh-CN" w:bidi="ar-SA"/>
          <w:highlight w:val="auto"/>
        </w:rPr>
        <w:t>18</w:t>
      </w:r>
      <w:r>
        <w:rPr>
          <w:rFonts w:ascii="Times New Roman" w:eastAsia="仿宋_GB2312" w:cs="仿宋_GB2312" w:hAnsi="Times New Roman" w:hint="eastAsia"/>
          <w:color w:val="auto"/>
          <w:kern w:val="2"/>
          <w:sz w:val="32"/>
          <w:szCs w:val="32"/>
          <w:lang w:val="en-US" w:eastAsia="zh-CN" w:bidi="ar-SA"/>
          <w:highlight w:val="auto"/>
        </w:rPr>
        <w:t xml:space="preserve">.项目支出：指在基本支出之外为完成特定行政任务和事业发展目标所发生的支出。 </w:t>
      </w:r>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r>
        <w:rPr>
          <w:rFonts w:eastAsia="仿宋_GB2312" w:cs="仿宋_GB2312" w:hint="eastAsia"/>
          <w:color w:val="auto"/>
          <w:kern w:val="2"/>
          <w:sz w:val="32"/>
          <w:szCs w:val="32"/>
          <w:lang w:val="en-US" w:eastAsia="zh-CN" w:bidi="ar-SA"/>
          <w:highlight w:val="auto"/>
        </w:rPr>
        <w:t>19</w:t>
      </w:r>
      <w:r>
        <w:rPr>
          <w:rFonts w:ascii="Times New Roman" w:eastAsia="仿宋_GB2312" w:cs="仿宋_GB2312" w:hAnsi="Times New Roman" w:hint="eastAsia"/>
          <w:color w:val="auto"/>
          <w:kern w:val="2"/>
          <w:sz w:val="32"/>
          <w:szCs w:val="32"/>
          <w:lang w:val="en-US" w:eastAsia="zh-CN" w:bidi="ar-SA"/>
          <w:highlight w:val="auto"/>
        </w:rPr>
        <w:t>.经营支出：指事业单位在专业业务活动及其辅助活动之外开展非独立核算经营活动发生的支出。</w:t>
      </w:r>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r>
        <w:rPr>
          <w:rFonts w:eastAsia="仿宋_GB2312" w:cs="仿宋_GB2312" w:hint="eastAsia"/>
          <w:color w:val="auto"/>
          <w:kern w:val="2"/>
          <w:sz w:val="32"/>
          <w:szCs w:val="32"/>
          <w:lang w:val="en-US" w:eastAsia="zh-CN" w:bidi="ar-SA"/>
          <w:highlight w:val="auto"/>
        </w:rPr>
        <w:t>20</w:t>
      </w:r>
      <w:r>
        <w:rPr>
          <w:rFonts w:ascii="Times New Roman" w:eastAsia="仿宋_GB2312" w:cs="仿宋_GB2312" w:hAnsi="Times New Roman" w:hint="eastAsia"/>
          <w:color w:val="auto"/>
          <w:kern w:val="2"/>
          <w:sz w:val="32"/>
          <w:szCs w:val="32"/>
          <w:lang w:val="en-US" w:eastAsia="zh-CN" w:bidi="ar-SA"/>
          <w:highlight w:val="auto"/>
        </w:rPr>
        <w:t>.</w:t>
      </w:r>
      <w:r>
        <w:rPr>
          <w:rFonts w:eastAsia="仿宋_GB2312" w:cs="仿宋_GB2312" w:hint="eastAsia"/>
          <w:color w:val="auto"/>
          <w:kern w:val="2"/>
          <w:sz w:val="32"/>
          <w:szCs w:val="32"/>
          <w:lang w:val="en-US" w:eastAsia="zh-CN" w:bidi="ar-SA"/>
          <w:highlight w:val="auto"/>
        </w:rPr>
        <w:t>“</w:t>
      </w:r>
      <w:r>
        <w:rPr>
          <w:rFonts w:ascii="Times New Roman" w:eastAsia="仿宋_GB2312" w:cs="仿宋_GB2312" w:hAnsi="Times New Roman" w:hint="eastAsia"/>
          <w:color w:val="auto"/>
          <w:kern w:val="2"/>
          <w:sz w:val="32"/>
          <w:szCs w:val="32"/>
          <w:lang w:val="en-US" w:eastAsia="zh-CN" w:bidi="ar-SA"/>
          <w:highlight w:val="auto"/>
        </w:rPr>
        <w:t>三公</w:t>
      </w:r>
      <w:r>
        <w:rPr>
          <w:rFonts w:eastAsia="仿宋_GB2312" w:cs="仿宋_GB2312" w:hint="eastAsia"/>
          <w:color w:val="auto"/>
          <w:kern w:val="2"/>
          <w:sz w:val="32"/>
          <w:szCs w:val="32"/>
          <w:lang w:val="en-US" w:eastAsia="zh-CN" w:bidi="ar-SA"/>
          <w:highlight w:val="auto"/>
        </w:rPr>
        <w:t>”</w:t>
      </w:r>
      <w:r>
        <w:rPr>
          <w:rFonts w:ascii="Times New Roman" w:eastAsia="仿宋_GB2312" w:cs="仿宋_GB2312" w:hAnsi="Times New Roman" w:hint="eastAsia"/>
          <w:color w:val="auto"/>
          <w:kern w:val="2"/>
          <w:sz w:val="32"/>
          <w:szCs w:val="32"/>
          <w:lang w:val="en-US" w:eastAsia="zh-CN" w:bidi="ar-SA"/>
          <w:highlight w:val="auto"/>
        </w:rPr>
        <w:t>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r>
        <w:rPr>
          <w:rFonts w:eastAsia="仿宋_GB2312" w:cs="仿宋_GB2312" w:hint="eastAsia"/>
          <w:color w:val="auto"/>
          <w:kern w:val="2"/>
          <w:sz w:val="32"/>
          <w:szCs w:val="32"/>
          <w:lang w:val="en-US" w:eastAsia="zh-CN" w:bidi="ar-SA"/>
          <w:highlight w:val="auto"/>
        </w:rPr>
        <w:t>21</w:t>
      </w:r>
      <w:r>
        <w:rPr>
          <w:rFonts w:ascii="Times New Roman" w:eastAsia="仿宋_GB2312" w:cs="仿宋_GB2312" w:hAnsi="Times New Roman" w:hint="eastAsia"/>
          <w:color w:val="auto"/>
          <w:kern w:val="2"/>
          <w:sz w:val="32"/>
          <w:szCs w:val="32"/>
          <w:lang w:val="en-US" w:eastAsia="zh-CN" w:bidi="ar-SA"/>
          <w:highlight w:val="auto"/>
        </w:rPr>
        <w:t>.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pPr>
        <w:spacing w:line="600" w:lineRule="exact"/>
        <w:ind w:firstLine="640"/>
        <w:rPr>
          <w:rFonts w:ascii="Times New Roman" w:eastAsia="仿宋_GB2312" w:cs="仿宋_GB2312" w:hAnsi="Times New Roman" w:hint="eastAsia"/>
          <w:b/>
          <w:bCs/>
          <w:color w:val="auto"/>
          <w:kern w:val="2"/>
          <w:sz w:val="32"/>
          <w:szCs w:val="32"/>
          <w:lang w:val="en-US" w:eastAsia="zh-CN" w:bidi="ar-SA"/>
          <w:highlight w:val="auto"/>
        </w:rPr>
      </w:pPr>
      <w:r>
        <w:rPr>
          <w:rFonts w:ascii="Times New Roman" w:eastAsia="仿宋_GB2312" w:cs="仿宋_GB2312" w:hAnsi="Times New Roman" w:hint="eastAsia"/>
          <w:b/>
          <w:bCs/>
          <w:color w:val="auto"/>
          <w:kern w:val="2"/>
          <w:sz w:val="32"/>
          <w:szCs w:val="32"/>
          <w:lang w:val="en-US" w:eastAsia="zh-CN" w:bidi="ar-SA"/>
          <w:highlight w:val="auto"/>
        </w:rPr>
        <w:t>（注：名词解释部分请根据各部门实际列支情况罗列，并根据本部门职责职能增减名词解释内容）</w:t>
      </w:r>
    </w:p>
    <w:p>
      <w:pPr>
        <w:pStyle w:val="1"/>
        <w:spacing w:line="578" w:lineRule="auto"/>
        <w:jc w:val="center"/>
        <w:rPr>
          <w:rStyle w:val="1Char"/>
          <w:rFonts w:ascii="Times New Roman" w:eastAsia="黑体" w:hAnsi="Times New Roman" w:hint="eastAsia"/>
          <w:b w:val="0"/>
          <w:bCs w:val="0"/>
          <w:color w:val="auto"/>
          <w:lang w:eastAsia="zh-CN"/>
          <w:highlight w:val="auto"/>
        </w:rPr>
      </w:pPr>
      <w:bookmarkStart w:id="50" w:name="_Toc15377226"/>
      <w:r>
        <w:rPr>
          <w:rFonts w:hint="eastAsia"/>
        </w:rPr>
        <w:br w:type="page"/>
      </w:r>
      <w:bookmarkStart w:id="51" w:name="_Toc15396614"/>
      <w:r>
        <w:rPr>
          <w:rFonts w:hint="eastAsia"/>
        </w:rPr>
        <w:t>第四部分  附件</w:t>
      </w:r>
      <w:bookmarkEnd w:id="51"/>
    </w:p>
    <w:p>
      <w:pPr>
        <w:keepNext w:val="0"/>
        <w:keepLines w:val="0"/>
        <w:pageBreakBefore w:val="0"/>
        <w:widowControl w:val="0"/>
        <w:kinsoku/>
        <w:wordWrap/>
        <w:overflowPunct/>
        <w:topLinePunct w:val="0"/>
        <w:autoSpaceDE/>
        <w:autoSpaceDN/>
        <w:bidi w:val="0"/>
        <w:spacing w:line="572" w:lineRule="exact"/>
        <w:jc w:val="left"/>
        <w:textAlignment w:val="auto"/>
        <w:outlineLvl w:val="0"/>
        <w:rPr>
          <w:rFonts w:ascii="Times New Roman" w:eastAsia="黑体" w:cs="黑体" w:hAnsi="Times New Roman" w:hint="eastAsia"/>
          <w:color w:val="FF0000"/>
          <w:sz w:val="32"/>
          <w:szCs w:val="32"/>
          <w:highlight w:val="auto"/>
        </w:rPr>
      </w:pPr>
    </w:p>
    <w:p>
      <w:pPr>
        <w:keepNext w:val="0"/>
        <w:keepLines w:val="0"/>
        <w:pageBreakBefore w:val="0"/>
        <w:widowControl w:val="0"/>
        <w:kinsoku/>
        <w:wordWrap/>
        <w:overflowPunct/>
        <w:topLinePunct w:val="0"/>
        <w:autoSpaceDE/>
        <w:autoSpaceDN/>
        <w:bidi w:val="0"/>
        <w:spacing w:line="572" w:lineRule="exact"/>
        <w:jc w:val="left"/>
        <w:textAlignment w:val="auto"/>
        <w:outlineLvl w:val="0"/>
        <w:rPr>
          <w:rFonts w:ascii="Times New Roman" w:eastAsia="黑体" w:cs="方正小标宋简体" w:hAnsi="Times New Roman" w:hint="eastAsia"/>
          <w:color w:val="auto"/>
          <w:sz w:val="44"/>
          <w:szCs w:val="44"/>
          <w:lang w:val="en-US" w:eastAsia="zh-CN"/>
          <w:highlight w:val="auto"/>
        </w:rPr>
      </w:pPr>
      <w:r>
        <w:rPr>
          <w:rFonts w:ascii="Times New Roman" w:eastAsia="黑体" w:cs="黑体" w:hAnsi="Times New Roman" w:hint="eastAsia"/>
          <w:color w:val="auto"/>
          <w:sz w:val="32"/>
          <w:szCs w:val="32"/>
          <w:highlight w:val="auto"/>
        </w:rPr>
        <w:t>附件</w:t>
      </w:r>
      <w:r>
        <w:rPr>
          <w:rFonts w:ascii="Times New Roman" w:eastAsia="黑体" w:cs="黑体" w:hAnsi="Times New Roman" w:hint="eastAsia"/>
          <w:color w:val="auto"/>
          <w:sz w:val="32"/>
          <w:szCs w:val="32"/>
          <w:lang w:val="en-US" w:eastAsia="zh-CN"/>
          <w:highlight w:val="auto"/>
        </w:rPr>
        <w:t>1</w:t>
      </w:r>
    </w:p>
    <w:p>
      <w:pPr>
        <w:keepNext w:val="0"/>
        <w:keepLines w:val="0"/>
        <w:pageBreakBefore w:val="0"/>
        <w:widowControl/>
        <w:kinsoku/>
        <w:wordWrap/>
        <w:overflowPunct/>
        <w:topLinePunct w:val="0"/>
        <w:autoSpaceDE/>
        <w:autoSpaceDN/>
        <w:bidi w:val="0"/>
        <w:spacing w:line="578" w:lineRule="exact"/>
        <w:contextualSpacing/>
        <w:jc w:val="center"/>
        <w:textAlignment w:val="auto"/>
        <w:outlineLvl w:val="9"/>
        <w:rPr>
          <w:rFonts w:ascii="Times New Roman" w:eastAsia="方正小标宋简体" w:cs="Times New Roman" w:hAnsi="Times New Roman"/>
          <w:b w:val="0"/>
          <w:bCs/>
          <w:sz w:val="44"/>
          <w:szCs w:val="44"/>
          <w:shd w:val="clear" w:color="auto" w:fill="FFFFFF"/>
          <w:highlight w:val="auto"/>
        </w:rPr>
      </w:pPr>
    </w:p>
    <w:p>
      <w:pPr>
        <w:spacing w:line="580" w:lineRule="exact"/>
        <w:jc w:val="center"/>
        <w:rPr>
          <w:rFonts w:ascii="方正小标宋_GBK" w:eastAsia="方正小标宋_GBK" w:hint="eastAsia"/>
          <w:b/>
          <w:bCs/>
          <w:color w:val="000000"/>
          <w:sz w:val="44"/>
          <w:szCs w:val="44"/>
        </w:rPr>
      </w:pPr>
      <w:r>
        <w:rPr>
          <w:rFonts w:ascii="方正小标宋_GBK" w:eastAsia="方正小标宋_GBK" w:hint="eastAsia"/>
          <w:b/>
          <w:bCs/>
          <w:color w:val="000000"/>
          <w:sz w:val="44"/>
          <w:szCs w:val="44"/>
        </w:rPr>
        <w:t>阿坝州佛教协会</w:t>
      </w:r>
    </w:p>
    <w:p>
      <w:pPr>
        <w:spacing w:line="580" w:lineRule="exact"/>
        <w:jc w:val="center"/>
        <w:rPr>
          <w:rFonts w:ascii="方正小标宋_GBK" w:eastAsia="方正小标宋_GBK" w:hint="eastAsia"/>
          <w:b/>
          <w:bCs/>
          <w:color w:val="000000"/>
          <w:sz w:val="44"/>
          <w:szCs w:val="44"/>
        </w:rPr>
      </w:pPr>
      <w:r>
        <w:rPr>
          <w:rFonts w:ascii="方正小标宋_GBK" w:eastAsia="方正小标宋_GBK" w:hint="eastAsia"/>
          <w:b/>
          <w:bCs/>
          <w:color w:val="000000"/>
          <w:sz w:val="44"/>
          <w:szCs w:val="44"/>
        </w:rPr>
        <w:t>关于202</w:t>
      </w:r>
      <w:r>
        <w:rPr>
          <w:rFonts w:ascii="方正小标宋_GBK" w:eastAsia="方正小标宋_GBK"/>
          <w:b/>
          <w:bCs/>
          <w:color w:val="000000"/>
          <w:sz w:val="44"/>
          <w:szCs w:val="44"/>
        </w:rPr>
        <w:t>5</w:t>
      </w:r>
      <w:r>
        <w:rPr>
          <w:rFonts w:ascii="方正小标宋_GBK" w:eastAsia="方正小标宋_GBK" w:hint="eastAsia"/>
          <w:b/>
          <w:bCs/>
          <w:color w:val="000000"/>
          <w:sz w:val="44"/>
          <w:szCs w:val="44"/>
        </w:rPr>
        <w:t>年</w:t>
      </w:r>
      <w:r>
        <w:rPr>
          <w:rFonts w:ascii="方正小标宋_GBK" w:eastAsia="方正小标宋_GBK" w:hint="eastAsia"/>
          <w:b/>
          <w:bCs/>
          <w:color w:val="000000"/>
          <w:sz w:val="44"/>
          <w:szCs w:val="44"/>
          <w:highlight w:val="auto"/>
        </w:rPr>
        <w:t>部门</w:t>
      </w:r>
      <w:r>
        <w:rPr>
          <w:rFonts w:ascii="方正小标宋_GBK" w:eastAsia="方正小标宋_GBK" w:hint="eastAsia"/>
          <w:b/>
          <w:bCs/>
          <w:color w:val="000000"/>
          <w:sz w:val="44"/>
          <w:szCs w:val="44"/>
          <w:lang w:eastAsia="zh-CN"/>
          <w:highlight w:val="auto"/>
        </w:rPr>
        <w:t>预算</w:t>
      </w:r>
      <w:r>
        <w:rPr>
          <w:rFonts w:ascii="方正小标宋_GBK" w:eastAsia="方正小标宋_GBK" w:hint="eastAsia"/>
          <w:b/>
          <w:bCs/>
          <w:color w:val="000000"/>
          <w:sz w:val="44"/>
          <w:szCs w:val="44"/>
          <w:highlight w:val="auto"/>
        </w:rPr>
        <w:t>绩效</w:t>
      </w:r>
      <w:r>
        <w:rPr>
          <w:rFonts w:ascii="方正小标宋_GBK" w:eastAsia="方正小标宋_GBK" w:hint="eastAsia"/>
          <w:b/>
          <w:bCs/>
          <w:color w:val="000000"/>
          <w:sz w:val="44"/>
          <w:szCs w:val="44"/>
          <w:lang w:eastAsia="zh-CN"/>
          <w:highlight w:val="auto"/>
        </w:rPr>
        <w:t>自评</w:t>
      </w:r>
      <w:r>
        <w:rPr>
          <w:rFonts w:ascii="方正小标宋_GBK" w:eastAsia="方正小标宋_GBK" w:hint="eastAsia"/>
          <w:b/>
          <w:bCs/>
          <w:color w:val="000000"/>
          <w:sz w:val="44"/>
          <w:szCs w:val="44"/>
          <w:highlight w:val="auto"/>
        </w:rPr>
        <w:t>报告</w:t>
      </w:r>
    </w:p>
    <w:p>
      <w:pPr>
        <w:spacing w:line="560" w:lineRule="exact"/>
        <w:ind w:firstLineChars="200" w:firstLine="640"/>
        <w:rPr>
          <w:rFonts w:ascii="Times New Roman" w:eastAsia="黑体" w:hAnsi="Times New Roman"/>
          <w:b/>
          <w:bCs/>
          <w:color w:val="000000"/>
          <w:sz w:val="32"/>
          <w:szCs w:val="32"/>
        </w:rPr>
      </w:pPr>
    </w:p>
    <w:p>
      <w:pPr>
        <w:spacing w:line="560" w:lineRule="exact"/>
        <w:ind w:firstLineChars="200" w:firstLine="640"/>
        <w:rPr>
          <w:rFonts w:ascii="Times New Roman" w:eastAsia="黑体" w:hAnsi="Times New Roman"/>
          <w:b/>
          <w:bCs/>
          <w:color w:val="000000"/>
          <w:kern w:val="0"/>
          <w:szCs w:val="32"/>
          <w:shd w:val="clear" w:color="auto" w:fill="FFFFFF"/>
          <w:lang w:val="zh-CN" w:eastAsia="zh-CN"/>
        </w:rPr>
      </w:pPr>
      <w:r>
        <w:rPr>
          <w:rFonts w:ascii="Times New Roman" w:eastAsia="黑体" w:hAnsi="Times New Roman"/>
          <w:b/>
          <w:bCs/>
          <w:color w:val="000000"/>
          <w:sz w:val="32"/>
          <w:szCs w:val="32"/>
        </w:rPr>
        <w:t>一、部门（单位）基本情况</w:t>
      </w:r>
    </w:p>
    <w:p>
      <w:pPr>
        <w:spacing w:line="560" w:lineRule="exact"/>
        <w:ind w:firstLineChars="200" w:firstLine="640"/>
        <w:rPr>
          <w:rFonts w:ascii="方正楷体_GBK" w:eastAsia="方正楷体_GBK" w:hint="eastAsia"/>
          <w:b/>
          <w:bCs/>
          <w:color w:val="000000"/>
          <w:sz w:val="32"/>
          <w:szCs w:val="32"/>
        </w:rPr>
      </w:pPr>
      <w:r>
        <w:rPr>
          <w:rFonts w:ascii="方正楷体_GBK" w:eastAsia="方正楷体_GBK" w:hint="eastAsia"/>
          <w:b/>
          <w:bCs/>
          <w:color w:val="000000"/>
          <w:sz w:val="32"/>
          <w:szCs w:val="32"/>
        </w:rPr>
        <w:t>（一）机构组成</w:t>
      </w:r>
    </w:p>
    <w:p>
      <w:pPr>
        <w:widowControl/>
        <w:adjustRightInd w:val="0"/>
        <w:snapToGrid w:val="0"/>
        <w:spacing w:line="580" w:lineRule="exact"/>
        <w:ind w:firstLineChars="200" w:firstLine="640"/>
        <w:contextualSpacing/>
        <w:jc w:val="left"/>
        <w:rPr>
          <w:rFonts w:ascii="仿宋_GB2312" w:eastAsia="仿宋_GB2312" w:hint="eastAsia"/>
          <w:color w:val="000000"/>
          <w:kern w:val="0"/>
          <w:sz w:val="32"/>
          <w:szCs w:val="32"/>
          <w:shd w:val="clear" w:color="auto" w:fill="FFFFFF"/>
        </w:rPr>
      </w:pPr>
      <w:r>
        <w:rPr>
          <w:rFonts w:ascii="仿宋_GB2312" w:eastAsia="仿宋_GB2312" w:hint="eastAsia"/>
          <w:color w:val="000000"/>
          <w:kern w:val="0"/>
          <w:sz w:val="32"/>
          <w:szCs w:val="32"/>
          <w:shd w:val="clear" w:color="auto" w:fill="FFFFFF"/>
        </w:rPr>
        <w:t>阿坝州佛教协会是一级预算单位，属参公单位。内设机构1个，下属财政全额拨款事业一级预算单位1个（阿坝州藏传佛教文化研究中心）。</w:t>
      </w:r>
    </w:p>
    <w:p>
      <w:pPr>
        <w:spacing w:line="560" w:lineRule="exact"/>
        <w:ind w:firstLineChars="200" w:firstLine="640"/>
        <w:rPr>
          <w:rFonts w:ascii="方正楷体_GBK" w:eastAsia="方正楷体_GBK" w:hint="eastAsia"/>
          <w:b/>
          <w:bCs/>
          <w:color w:val="000000"/>
          <w:sz w:val="32"/>
          <w:szCs w:val="32"/>
        </w:rPr>
      </w:pPr>
      <w:r>
        <w:rPr>
          <w:rFonts w:ascii="方正楷体_GBK" w:eastAsia="方正楷体_GBK" w:hint="eastAsia"/>
          <w:b/>
          <w:bCs/>
          <w:color w:val="000000"/>
          <w:sz w:val="32"/>
          <w:szCs w:val="32"/>
        </w:rPr>
        <w:t>（二）机构职能</w:t>
      </w:r>
    </w:p>
    <w:p>
      <w:pPr>
        <w:widowControl/>
        <w:adjustRightInd w:val="0"/>
        <w:snapToGrid w:val="0"/>
        <w:spacing w:line="580" w:lineRule="exact"/>
        <w:ind w:firstLineChars="200" w:firstLine="640"/>
        <w:contextualSpacing/>
        <w:jc w:val="left"/>
        <w:rPr>
          <w:rFonts w:ascii="仿宋_GB2312" w:eastAsia="仿宋_GB2312" w:hint="eastAsia"/>
          <w:bCs/>
          <w:color w:val="000000"/>
          <w:kern w:val="0"/>
          <w:sz w:val="32"/>
          <w:szCs w:val="32"/>
          <w:shd w:val="clear" w:color="auto" w:fill="FFFFFF"/>
        </w:rPr>
      </w:pPr>
      <w:r>
        <w:rPr>
          <w:rFonts w:ascii="仿宋_GB2312" w:eastAsia="仿宋_GB2312" w:hint="eastAsia"/>
          <w:bCs/>
          <w:color w:val="000000"/>
          <w:kern w:val="0"/>
          <w:sz w:val="32"/>
          <w:szCs w:val="32"/>
          <w:shd w:val="clear" w:color="auto" w:fill="FFFFFF"/>
        </w:rPr>
        <w:t>按照三定方案（阿委办〔1997〕96号）文件规定，州佛协主要职责是:1.协同党和政府宣传贯彻党的宗教政策和国家有关宗教方面的法律、法规；2.组织和推动佛教徒学习国家的宗教政策和国家有关法律、法规，协助寺庙制定各项规章制度，管好宗教活动场所，开展正常的宗教活动；3.维护佛教徒信仰自由的合法权益，反映佛教界的愿望和要求；4.举办佛教教育培训，积极开展藏传佛教历史和学术研究，收集整理各教派寺庙的历史资料，保护佛教文物古迹；5.抵制境外敌对宗教势力的渗透，教育佛教徒爱国爱教；6.团结和引导全州各族佛教徒积极为国家经济建设服务，帮助和指导各教派寺庙举办以“自养”为中心的生产、服务和社会公益事业；7.承办党和政府及上级主管部门交办的其他工作。</w:t>
      </w:r>
    </w:p>
    <w:p>
      <w:pPr>
        <w:spacing w:line="560" w:lineRule="exact"/>
        <w:ind w:firstLineChars="200" w:firstLine="640"/>
        <w:rPr>
          <w:rFonts w:ascii="方正楷体_GBK" w:eastAsia="方正楷体_GBK" w:hint="eastAsia"/>
          <w:b/>
          <w:color w:val="000000"/>
          <w:sz w:val="32"/>
          <w:szCs w:val="32"/>
        </w:rPr>
      </w:pPr>
      <w:r>
        <w:rPr>
          <w:rFonts w:ascii="方正楷体_GBK" w:eastAsia="方正楷体_GBK" w:hint="eastAsia"/>
          <w:b/>
          <w:color w:val="000000"/>
          <w:sz w:val="32"/>
          <w:szCs w:val="32"/>
        </w:rPr>
        <w:t>（三）人员概况</w:t>
      </w:r>
    </w:p>
    <w:p>
      <w:pPr>
        <w:widowControl/>
        <w:adjustRightInd w:val="0"/>
        <w:snapToGrid w:val="0"/>
        <w:spacing w:line="580" w:lineRule="exact"/>
        <w:ind w:firstLineChars="200" w:firstLine="640"/>
        <w:contextualSpacing/>
        <w:jc w:val="left"/>
        <w:rPr>
          <w:rFonts w:ascii="仿宋_GB2312" w:eastAsia="仿宋_GB2312" w:hint="eastAsia"/>
          <w:bCs/>
          <w:color w:val="000000"/>
          <w:kern w:val="0"/>
          <w:sz w:val="32"/>
          <w:szCs w:val="32"/>
          <w:shd w:val="clear" w:color="auto" w:fill="FFFFFF"/>
        </w:rPr>
      </w:pPr>
      <w:r>
        <w:rPr>
          <w:rFonts w:ascii="仿宋_GB2312" w:eastAsia="仿宋_GB2312" w:hint="eastAsia"/>
          <w:bCs/>
          <w:color w:val="000000"/>
          <w:kern w:val="0"/>
          <w:sz w:val="32"/>
          <w:szCs w:val="32"/>
          <w:shd w:val="clear" w:color="auto" w:fill="FFFFFF"/>
        </w:rPr>
        <w:t>截至2025年末，我会编制数11名（其中：参公6人，事业4人，参公工勤1人）；在职人员9人（其中：参公4人，事业4人，参公工勤1人），退休人员3人。</w:t>
      </w:r>
    </w:p>
    <w:p>
      <w:pPr>
        <w:spacing w:line="560" w:lineRule="exact"/>
        <w:ind w:firstLineChars="200" w:firstLine="640"/>
        <w:rPr>
          <w:rFonts w:ascii="Times New Roman" w:eastAsia="黑体" w:hAnsi="Times New Roman"/>
          <w:b/>
          <w:color w:val="000000"/>
          <w:sz w:val="32"/>
          <w:szCs w:val="32"/>
        </w:rPr>
      </w:pPr>
      <w:r>
        <w:rPr>
          <w:rFonts w:ascii="Times New Roman" w:eastAsia="黑体" w:hAnsi="Times New Roman"/>
          <w:b/>
          <w:color w:val="000000"/>
          <w:sz w:val="32"/>
          <w:szCs w:val="32"/>
        </w:rPr>
        <w:t>二、部门资金收支情况</w:t>
      </w:r>
    </w:p>
    <w:p>
      <w:pPr>
        <w:spacing w:line="560" w:lineRule="exact"/>
        <w:ind w:firstLineChars="200" w:firstLine="640"/>
        <w:rPr>
          <w:rFonts w:ascii="方正楷体_GBK" w:eastAsia="方正楷体_GBK" w:hint="eastAsia"/>
          <w:b/>
          <w:color w:val="000000"/>
          <w:sz w:val="32"/>
          <w:szCs w:val="32"/>
        </w:rPr>
      </w:pPr>
      <w:r>
        <w:rPr>
          <w:rFonts w:ascii="方正楷体_GBK" w:eastAsia="方正楷体_GBK" w:hint="eastAsia"/>
          <w:b/>
          <w:color w:val="000000"/>
          <w:sz w:val="32"/>
          <w:szCs w:val="32"/>
        </w:rPr>
        <w:t>（一）收入情况</w:t>
      </w:r>
    </w:p>
    <w:p>
      <w:pPr>
        <w:widowControl/>
        <w:adjustRightInd w:val="0"/>
        <w:snapToGrid w:val="0"/>
        <w:spacing w:line="580" w:lineRule="exact"/>
        <w:ind w:firstLineChars="200" w:firstLine="640"/>
        <w:contextualSpacing/>
        <w:jc w:val="left"/>
        <w:rPr>
          <w:rFonts w:ascii="仿宋_GB2312" w:eastAsia="仿宋_GB2312" w:hint="eastAsia"/>
          <w:bCs/>
          <w:color w:val="000000"/>
          <w:kern w:val="0"/>
          <w:sz w:val="32"/>
          <w:szCs w:val="32"/>
          <w:shd w:val="clear" w:color="auto" w:fill="FFFFFF"/>
        </w:rPr>
      </w:pPr>
      <w:r>
        <w:rPr>
          <w:rFonts w:ascii="仿宋_GB2312" w:eastAsia="仿宋_GB2312" w:hint="eastAsia"/>
          <w:bCs/>
          <w:color w:val="000000"/>
          <w:kern w:val="0"/>
          <w:sz w:val="32"/>
          <w:szCs w:val="32"/>
          <w:shd w:val="clear" w:color="auto" w:fill="FFFFFF"/>
        </w:rPr>
        <w:t>我会2025年度年初一般公共预算财政拨款收入429.75万元，本年财政资金收入合计为429.75万元；其他收入17万元（代管资金），全年收入合计446.75万元。</w:t>
      </w:r>
    </w:p>
    <w:p>
      <w:pPr>
        <w:spacing w:line="560" w:lineRule="exact"/>
        <w:ind w:firstLineChars="200" w:firstLine="640"/>
        <w:rPr>
          <w:rFonts w:ascii="方正楷体_GBK" w:eastAsia="方正楷体_GBK" w:hint="eastAsia"/>
          <w:b/>
          <w:color w:val="000000"/>
          <w:sz w:val="32"/>
          <w:szCs w:val="32"/>
        </w:rPr>
      </w:pPr>
      <w:r>
        <w:rPr>
          <w:rFonts w:ascii="方正楷体_GBK" w:eastAsia="方正楷体_GBK" w:hint="eastAsia"/>
          <w:b/>
          <w:color w:val="000000"/>
          <w:sz w:val="32"/>
          <w:szCs w:val="32"/>
        </w:rPr>
        <w:t>（二）支出情况</w:t>
      </w:r>
    </w:p>
    <w:p>
      <w:pPr>
        <w:widowControl/>
        <w:adjustRightInd w:val="0"/>
        <w:snapToGrid w:val="0"/>
        <w:spacing w:line="580" w:lineRule="exact"/>
        <w:ind w:firstLineChars="200" w:firstLine="640"/>
        <w:contextualSpacing/>
        <w:jc w:val="left"/>
        <w:rPr>
          <w:rFonts w:ascii="仿宋_GB2312" w:eastAsia="仿宋_GB2312" w:hint="eastAsia"/>
          <w:bCs/>
          <w:color w:val="000000"/>
          <w:kern w:val="0"/>
          <w:sz w:val="32"/>
          <w:szCs w:val="32"/>
          <w:shd w:val="clear" w:color="auto" w:fill="FFFFFF"/>
        </w:rPr>
      </w:pPr>
      <w:r>
        <w:rPr>
          <w:rFonts w:ascii="仿宋_GB2312" w:eastAsia="仿宋_GB2312" w:hint="eastAsia"/>
          <w:bCs/>
          <w:color w:val="000000"/>
          <w:kern w:val="0"/>
          <w:sz w:val="32"/>
          <w:szCs w:val="32"/>
          <w:shd w:val="clear" w:color="auto" w:fill="FFFFFF"/>
        </w:rPr>
        <w:t>我会2025年度财政总支出445.08万元。其中人员经费：234.3万元；公用经费：26.51万元；项目支出：184.27万元。</w:t>
      </w:r>
    </w:p>
    <w:p>
      <w:pPr>
        <w:spacing w:line="560" w:lineRule="exact"/>
        <w:ind w:firstLineChars="200" w:firstLine="640"/>
        <w:rPr>
          <w:rFonts w:ascii="方正楷体_GBK" w:eastAsia="方正楷体_GBK" w:hint="eastAsia"/>
          <w:b/>
          <w:color w:val="000000"/>
          <w:sz w:val="32"/>
          <w:szCs w:val="32"/>
        </w:rPr>
      </w:pPr>
      <w:r>
        <w:rPr>
          <w:rFonts w:ascii="方正楷体_GBK" w:eastAsia="方正楷体_GBK" w:hint="eastAsia"/>
          <w:b/>
          <w:color w:val="000000"/>
          <w:sz w:val="32"/>
          <w:szCs w:val="32"/>
        </w:rPr>
        <w:t>（三）结余分配和结转结余情况</w:t>
      </w:r>
    </w:p>
    <w:p>
      <w:pPr>
        <w:widowControl/>
        <w:adjustRightInd w:val="0"/>
        <w:snapToGrid w:val="0"/>
        <w:spacing w:line="580" w:lineRule="exact"/>
        <w:ind w:firstLineChars="200" w:firstLine="640"/>
        <w:contextualSpacing/>
        <w:jc w:val="left"/>
        <w:rPr>
          <w:rFonts w:ascii="仿宋_GB2312" w:eastAsia="仿宋_GB2312" w:hint="eastAsia"/>
          <w:bCs/>
          <w:color w:val="000000"/>
          <w:kern w:val="0"/>
          <w:sz w:val="32"/>
          <w:szCs w:val="32"/>
          <w:shd w:val="clear" w:color="auto" w:fill="FFFFFF"/>
        </w:rPr>
      </w:pPr>
      <w:r>
        <w:rPr>
          <w:rFonts w:ascii="仿宋_GB2312" w:eastAsia="仿宋_GB2312" w:hint="eastAsia"/>
          <w:bCs/>
          <w:color w:val="000000"/>
          <w:kern w:val="0"/>
          <w:sz w:val="32"/>
          <w:szCs w:val="32"/>
          <w:shd w:val="clear" w:color="auto" w:fill="FFFFFF"/>
        </w:rPr>
        <w:t>我会2025年一般公共预算财政拨款不存在决算报表结转结余情况。非财政拨款资金（代管资金）结转结余22.3万元，由财政财政代管。</w:t>
      </w:r>
    </w:p>
    <w:p>
      <w:pPr>
        <w:spacing w:line="560" w:lineRule="exact"/>
        <w:ind w:firstLineChars="200" w:firstLine="640"/>
        <w:rPr>
          <w:rFonts w:ascii="Times New Roman" w:eastAsia="黑体" w:hAnsi="Times New Roman"/>
          <w:color w:val="000000"/>
          <w:sz w:val="32"/>
          <w:szCs w:val="32"/>
        </w:rPr>
      </w:pPr>
      <w:r>
        <w:rPr>
          <w:rFonts w:ascii="Times New Roman" w:eastAsia="黑体" w:hAnsi="Times New Roman"/>
          <w:color w:val="000000"/>
          <w:sz w:val="32"/>
          <w:szCs w:val="32"/>
        </w:rPr>
        <w:t>三、部门预算绩效分析</w:t>
      </w:r>
    </w:p>
    <w:p>
      <w:pPr>
        <w:adjustRightInd w:val="0"/>
        <w:snapToGrid w:val="0"/>
        <w:spacing w:line="578" w:lineRule="exact"/>
        <w:ind w:firstLineChars="200" w:firstLine="640"/>
        <w:contextualSpacing/>
        <w:jc w:val="left"/>
        <w:rPr>
          <w:rFonts w:ascii="方正楷体_GBK" w:eastAsia="方正楷体_GBK" w:hint="eastAsia"/>
          <w:b/>
          <w:bCs/>
          <w:color w:val="000000"/>
          <w:sz w:val="32"/>
          <w:szCs w:val="32"/>
          <w:lang w:val="zh-CN" w:eastAsia="zh-CN"/>
        </w:rPr>
      </w:pPr>
      <w:r>
        <w:rPr>
          <w:rFonts w:ascii="方正楷体_GBK" w:eastAsia="方正楷体_GBK" w:hint="eastAsia"/>
          <w:b/>
          <w:bCs/>
          <w:color w:val="000000"/>
          <w:sz w:val="32"/>
          <w:szCs w:val="32"/>
          <w:lang w:val="zh-CN" w:eastAsia="zh-CN"/>
        </w:rPr>
        <w:t>（一）部门预算总体绩效分析。</w:t>
      </w:r>
    </w:p>
    <w:p>
      <w:pPr>
        <w:widowControl/>
        <w:adjustRightInd w:val="0"/>
        <w:snapToGrid w:val="0"/>
        <w:spacing w:line="580" w:lineRule="exact"/>
        <w:ind w:firstLineChars="200" w:firstLine="640"/>
        <w:contextualSpacing/>
        <w:jc w:val="left"/>
        <w:rPr>
          <w:rFonts w:ascii="仿宋_GB2312" w:eastAsia="仿宋_GB2312" w:hint="eastAsia"/>
          <w:bCs/>
          <w:color w:val="000000"/>
          <w:kern w:val="0"/>
          <w:sz w:val="32"/>
          <w:szCs w:val="32"/>
          <w:shd w:val="clear" w:color="auto" w:fill="FFFFFF"/>
        </w:rPr>
      </w:pPr>
      <w:r>
        <w:rPr>
          <w:rFonts w:ascii="仿宋_GB2312" w:eastAsia="仿宋_GB2312" w:hint="eastAsia"/>
          <w:bCs/>
          <w:color w:val="000000"/>
          <w:kern w:val="0"/>
          <w:sz w:val="32"/>
          <w:szCs w:val="32"/>
          <w:shd w:val="clear" w:color="auto" w:fill="FFFFFF"/>
        </w:rPr>
        <w:t>根据部门预算绩效评价指标体系“总体绩效”涉及一、二、三级指标进行逐项绩效分析并评分，一级指标包括：总体绩效和项目绩效。依次包括履职效能、预算管理、财务管理、资产管理、采购管理等情况。</w:t>
      </w:r>
    </w:p>
    <w:p>
      <w:pPr>
        <w:numPr>
          <w:ilvl w:val="0"/>
          <w:numId w:val="4"/>
        </w:numPr>
        <w:spacing w:line="560" w:lineRule="exact"/>
        <w:rPr>
          <w:rFonts w:ascii="方正楷体_GBK" w:eastAsia="方正楷体_GBK" w:hint="eastAsia"/>
          <w:b/>
          <w:bCs/>
          <w:color w:val="000000"/>
          <w:sz w:val="32"/>
          <w:szCs w:val="32"/>
        </w:rPr>
      </w:pPr>
      <w:r>
        <w:rPr>
          <w:rFonts w:ascii="方正楷体_GBK" w:eastAsia="方正楷体_GBK" w:cs="楷体_GB2312" w:hint="eastAsia"/>
          <w:b/>
          <w:bCs/>
          <w:color w:val="000000"/>
          <w:sz w:val="32"/>
          <w:szCs w:val="32"/>
          <w:lang w:val="zh-CN" w:eastAsia="zh-CN" w:bidi="ar-SA"/>
        </w:rPr>
        <w:t>履职效能</w:t>
      </w:r>
      <w:r>
        <w:rPr>
          <w:rFonts w:ascii="方正楷体_GBK" w:eastAsia="方正楷体_GBK" w:hint="eastAsia"/>
          <w:b/>
          <w:bCs/>
          <w:color w:val="000000"/>
          <w:sz w:val="32"/>
          <w:szCs w:val="32"/>
        </w:rPr>
        <w:t>。</w:t>
      </w:r>
    </w:p>
    <w:p>
      <w:pPr>
        <w:widowControl/>
        <w:adjustRightInd w:val="0"/>
        <w:snapToGrid w:val="0"/>
        <w:spacing w:line="580" w:lineRule="exact"/>
        <w:ind w:firstLineChars="200" w:firstLine="640"/>
        <w:contextualSpacing/>
        <w:jc w:val="left"/>
        <w:rPr>
          <w:rFonts w:ascii="仿宋_GB2312" w:eastAsia="仿宋_GB2312" w:hint="eastAsia"/>
          <w:bCs/>
          <w:color w:val="000000"/>
          <w:kern w:val="0"/>
          <w:sz w:val="32"/>
          <w:szCs w:val="32"/>
          <w:shd w:val="clear" w:color="auto" w:fill="FFFFFF"/>
        </w:rPr>
      </w:pPr>
      <w:r>
        <w:rPr>
          <w:rFonts w:ascii="仿宋_GB2312" w:eastAsia="仿宋_GB2312" w:hint="eastAsia"/>
          <w:bCs/>
          <w:color w:val="000000"/>
          <w:kern w:val="0"/>
          <w:sz w:val="32"/>
          <w:szCs w:val="32"/>
          <w:shd w:val="clear" w:color="auto" w:fill="FFFFFF"/>
        </w:rPr>
        <w:t>《培训费》：根据历年开展培训情况和2025年工作规划，《培训费》年初预算数为25万元（包括：伙食费、住宿费、授课费、资料文印费、现场教学费等），年度培训内容分为一期，组织部分县佛协领导、州佛协理事培训，增强社会责任感，提高素质和能力。2025年年底实际支付24.52万元，剩余0.48万元收回财政，预算执行率100%。无扣分项。 培训及现场教学按照实际参训人数来核算预算支出，力争做到节约为本，杜绝浪费，实现绩效目标。</w:t>
      </w:r>
    </w:p>
    <w:p>
      <w:pPr>
        <w:widowControl/>
        <w:adjustRightInd w:val="0"/>
        <w:snapToGrid w:val="0"/>
        <w:spacing w:line="580" w:lineRule="exact"/>
        <w:ind w:firstLineChars="200" w:firstLine="640"/>
        <w:contextualSpacing/>
        <w:jc w:val="left"/>
        <w:rPr>
          <w:rFonts w:ascii="仿宋_GB2312" w:eastAsia="仿宋_GB2312" w:hint="eastAsia"/>
          <w:bCs/>
          <w:color w:val="000000"/>
          <w:kern w:val="0"/>
          <w:sz w:val="32"/>
          <w:szCs w:val="32"/>
          <w:shd w:val="clear" w:color="auto" w:fill="FFFFFF"/>
        </w:rPr>
      </w:pPr>
      <w:r>
        <w:rPr>
          <w:rFonts w:ascii="仿宋_GB2312" w:eastAsia="仿宋_GB2312" w:hint="eastAsia"/>
          <w:bCs/>
          <w:color w:val="000000"/>
          <w:kern w:val="0"/>
          <w:sz w:val="32"/>
          <w:szCs w:val="32"/>
          <w:shd w:val="clear" w:color="auto" w:fill="FFFFFF"/>
        </w:rPr>
        <w:t>生活补助：年初预算数为1.68万元，年度目标为进一步加强州、县佛协组织建设，调动广大佛教界人士自觉接受政府依法管理和强化佛协组织自主管理积极性。实际支付1.68万元，预算执行率100%。无扣分项</w:t>
      </w:r>
    </w:p>
    <w:p>
      <w:pPr>
        <w:widowControl/>
        <w:adjustRightInd w:val="0"/>
        <w:snapToGrid w:val="0"/>
        <w:spacing w:line="580" w:lineRule="exact"/>
        <w:ind w:firstLineChars="200" w:firstLine="640"/>
        <w:contextualSpacing/>
        <w:jc w:val="left"/>
        <w:rPr>
          <w:rFonts w:ascii="仿宋_GB2312" w:eastAsia="仿宋_GB2312" w:hint="eastAsia"/>
          <w:bCs/>
          <w:color w:val="000000"/>
          <w:kern w:val="0"/>
          <w:sz w:val="32"/>
          <w:szCs w:val="32"/>
          <w:shd w:val="clear" w:color="auto" w:fill="FFFFFF"/>
        </w:rPr>
      </w:pPr>
      <w:r>
        <w:rPr>
          <w:rFonts w:ascii="仿宋_GB2312" w:eastAsia="仿宋_GB2312" w:hint="eastAsia"/>
          <w:bCs/>
          <w:color w:val="000000"/>
          <w:kern w:val="0"/>
          <w:sz w:val="32"/>
          <w:szCs w:val="32"/>
          <w:shd w:val="clear" w:color="auto" w:fill="FFFFFF"/>
        </w:rPr>
        <w:t>《阿坝州珍稀古籍文献汇编》收集：为继承弘扬优秀民族文化，打造特色文化品牌，州佛协与州藏文编译局每年对各教派的珍稀古籍进行收集、整理，2025年我会对格鲁、萨迦、觉囊教文集13卷完成了文集收集、录入、排版、校对等工作，为出版奠定了坚实基础。2025年支出29.94，剩余0.06万元收回财政，预算执行率100%。</w:t>
      </w:r>
    </w:p>
    <w:p>
      <w:pPr>
        <w:widowControl/>
        <w:adjustRightInd w:val="0"/>
        <w:snapToGrid w:val="0"/>
        <w:spacing w:line="580" w:lineRule="exact"/>
        <w:ind w:firstLineChars="200" w:firstLine="640"/>
        <w:contextualSpacing/>
        <w:jc w:val="left"/>
        <w:rPr>
          <w:rFonts w:ascii="仿宋_GB2312" w:eastAsia="仿宋_GB2312" w:hint="eastAsia"/>
          <w:bCs/>
          <w:color w:val="000000"/>
          <w:kern w:val="0"/>
          <w:sz w:val="32"/>
          <w:szCs w:val="32"/>
          <w:shd w:val="clear" w:color="auto" w:fill="FFFFFF"/>
        </w:rPr>
      </w:pPr>
      <w:r>
        <w:rPr>
          <w:rFonts w:ascii="仿宋_GB2312" w:eastAsia="仿宋_GB2312" w:hint="eastAsia"/>
          <w:bCs/>
          <w:color w:val="000000"/>
          <w:kern w:val="0"/>
          <w:sz w:val="32"/>
          <w:szCs w:val="32"/>
          <w:shd w:val="clear" w:color="auto" w:fill="FFFFFF"/>
        </w:rPr>
        <w:t>《阿坝州珍稀古籍文献汇编》出版经费：2025年对格鲁、萨迦、觉囊教13卷文集进行了排版，因文集涉及藏文、梵文排版和编辑等特殊需求，故通过单一来源采购方式，由具备藏文、梵文编审排版出版资质的四川民族出版社出版。具体支出内容为：一是出版费（刊号费、管理费等）；二是文集的排版费、校对费等；三是印刷费（精装版，封面用黄色天然丝绸特种材料印制，封面工艺采用烫红金或黄金，前后环衬用金黄色特种纸张，插页用纸全彩印刷，用128克进品铜版纸，内文用纸单色印刷，正文用纸70克轻型纸，装订方式要求锁线圆背精装+红色双根丝带，每卷印制1000册，共计13000册）。2025年支出首付款50万元，2024年尾款44万元，因此项目为期2年，达到了本年度执行目标。</w:t>
      </w:r>
    </w:p>
    <w:p>
      <w:pPr>
        <w:widowControl/>
        <w:adjustRightInd w:val="0"/>
        <w:snapToGrid w:val="0"/>
        <w:spacing w:line="580" w:lineRule="exact"/>
        <w:ind w:firstLineChars="200" w:firstLine="640"/>
        <w:contextualSpacing/>
        <w:jc w:val="left"/>
        <w:rPr>
          <w:rFonts w:ascii="仿宋_GB2312" w:eastAsia="仿宋_GB2312" w:hint="eastAsia"/>
          <w:bCs/>
          <w:color w:val="000000"/>
          <w:kern w:val="0"/>
          <w:sz w:val="32"/>
          <w:szCs w:val="32"/>
          <w:shd w:val="clear" w:color="auto" w:fill="FFFFFF"/>
        </w:rPr>
      </w:pPr>
      <w:r>
        <w:rPr>
          <w:rFonts w:ascii="仿宋_GB2312" w:eastAsia="仿宋_GB2312" w:hint="eastAsia"/>
          <w:bCs/>
          <w:iCs/>
          <w:color w:val="000000"/>
          <w:kern w:val="0"/>
          <w:sz w:val="32"/>
          <w:szCs w:val="32"/>
          <w:shd w:val="clear" w:color="auto" w:fill="FFFFFF"/>
        </w:rPr>
        <w:t>《开展“爱党爱国爱社会主义”僧尼教育活动经费》</w:t>
      </w:r>
      <w:r>
        <w:rPr>
          <w:rFonts w:ascii="仿宋_GB2312" w:eastAsia="仿宋_GB2312" w:hint="eastAsia"/>
          <w:bCs/>
          <w:color w:val="000000"/>
          <w:kern w:val="0"/>
          <w:sz w:val="32"/>
          <w:szCs w:val="32"/>
          <w:shd w:val="clear" w:color="auto" w:fill="FFFFFF"/>
        </w:rPr>
        <w:t>：此项目为我会代管资金，年度目标:开展政策法规癣将、藏传佛教教风建设、民族团结进步教育、服务社会活动和教规教义新阐释。支持宗教界对宗教教义教规作出符合社会进步要求的阐释，挖掘和弘扬总教教义、宗教道德、宗教文化中有利于社会和谐、时代进步、健康文明的内容，与中华优秀传统文化向融合，与社会主义先进文化相适应，丰富中国特色社会主义文化内涵。此项目资金为省佛协下拨经费，为连续性项目。2025年度开展主题活动的总场数2次,对僧尼建议的处理反馈时效5个工作日完成,组织僧尼义务植树成活率≥80%，完成了年度目标任务。履职效能最后得分15分。</w:t>
      </w:r>
    </w:p>
    <w:p>
      <w:pPr>
        <w:spacing w:line="560" w:lineRule="exact"/>
        <w:ind w:firstLineChars="200" w:firstLine="640"/>
        <w:rPr>
          <w:rFonts w:ascii="方正楷体_GBK" w:eastAsia="方正楷体_GBK" w:cs="楷体_GB2312" w:hint="eastAsia"/>
          <w:b/>
          <w:bCs/>
          <w:color w:val="000000"/>
          <w:sz w:val="32"/>
          <w:szCs w:val="32"/>
          <w:lang w:val="zh-CN" w:eastAsia="zh-CN" w:bidi="ar-SA"/>
        </w:rPr>
      </w:pPr>
      <w:r>
        <w:rPr>
          <w:rFonts w:ascii="方正楷体_GBK" w:eastAsia="方正楷体_GBK" w:cs="楷体_GB2312" w:hint="eastAsia"/>
          <w:b/>
          <w:bCs/>
          <w:color w:val="000000"/>
          <w:sz w:val="32"/>
          <w:szCs w:val="32"/>
          <w:lang w:val="zh-CN" w:eastAsia="zh-CN" w:bidi="ar-SA"/>
        </w:rPr>
        <w:t>2.预算管理。</w:t>
      </w:r>
    </w:p>
    <w:p>
      <w:pPr>
        <w:widowControl/>
        <w:adjustRightInd w:val="0"/>
        <w:snapToGrid w:val="0"/>
        <w:spacing w:line="580" w:lineRule="exact"/>
        <w:ind w:firstLineChars="200" w:firstLine="640"/>
        <w:contextualSpacing/>
        <w:jc w:val="left"/>
        <w:rPr>
          <w:rFonts w:ascii="仿宋_GB2312" w:eastAsia="仿宋_GB2312" w:hint="eastAsia"/>
          <w:bCs/>
          <w:color w:val="000000"/>
          <w:kern w:val="0"/>
          <w:sz w:val="32"/>
          <w:szCs w:val="32"/>
          <w:shd w:val="clear" w:color="auto" w:fill="FFFFFF"/>
        </w:rPr>
      </w:pPr>
      <w:r>
        <w:rPr>
          <w:rFonts w:ascii="仿宋_GB2312" w:eastAsia="仿宋_GB2312" w:hint="eastAsia"/>
          <w:bCs/>
          <w:color w:val="000000"/>
          <w:kern w:val="0"/>
          <w:sz w:val="32"/>
          <w:szCs w:val="32"/>
          <w:shd w:val="clear" w:color="auto" w:fill="FFFFFF"/>
        </w:rPr>
        <w:t>严格执行预算管理相关规定，坚持一个部门一本预算，加强全口径预算管理。结合工作开展实际，坚持“依法依规、突出重点、讲求绩效”的基本原则，严格预算编制。</w:t>
      </w:r>
      <w:r>
        <w:rPr>
          <w:rFonts w:ascii="仿宋_GB2312" w:eastAsia="仿宋_GB2312" w:hint="eastAsia"/>
          <w:b/>
          <w:bCs/>
          <w:color w:val="000000"/>
          <w:kern w:val="0"/>
          <w:sz w:val="32"/>
          <w:szCs w:val="32"/>
          <w:shd w:val="clear" w:color="auto" w:fill="FFFFFF"/>
        </w:rPr>
        <w:t>1</w:t>
      </w:r>
      <w:r>
        <w:rPr>
          <w:rFonts w:ascii="仿宋_GB2312" w:eastAsia="仿宋_GB2312" w:hint="eastAsia"/>
          <w:bCs/>
          <w:color w:val="000000"/>
          <w:kern w:val="0"/>
          <w:sz w:val="32"/>
          <w:szCs w:val="32"/>
          <w:shd w:val="clear" w:color="auto" w:fill="FFFFFF"/>
        </w:rPr>
        <w:t>.我会全年预算数429.75万元，全年决算数429.75万元，无偏离度，无资产配置预算偏离度，政府采购无偏离度得8分；</w:t>
      </w:r>
      <w:r>
        <w:rPr>
          <w:rFonts w:ascii="仿宋_GB2312" w:eastAsia="仿宋_GB2312" w:hint="eastAsia"/>
          <w:b/>
          <w:bCs/>
          <w:color w:val="000000"/>
          <w:kern w:val="0"/>
          <w:sz w:val="32"/>
          <w:szCs w:val="32"/>
          <w:shd w:val="clear" w:color="auto" w:fill="FFFFFF"/>
        </w:rPr>
        <w:t>2.</w:t>
      </w:r>
      <w:r>
        <w:rPr>
          <w:rFonts w:ascii="仿宋_GB2312" w:eastAsia="仿宋_GB2312" w:hint="eastAsia"/>
          <w:bCs/>
          <w:color w:val="000000"/>
          <w:kern w:val="0"/>
          <w:sz w:val="32"/>
          <w:szCs w:val="32"/>
          <w:shd w:val="clear" w:color="auto" w:fill="FFFFFF"/>
        </w:rPr>
        <w:t>我会统筹自有收入为利息收入，已上缴财政，得4分；</w:t>
      </w:r>
      <w:r>
        <w:rPr>
          <w:rFonts w:ascii="仿宋_GB2312" w:eastAsia="仿宋_GB2312" w:hint="eastAsia"/>
          <w:b/>
          <w:bCs/>
          <w:color w:val="000000"/>
          <w:kern w:val="0"/>
          <w:sz w:val="32"/>
          <w:szCs w:val="32"/>
          <w:shd w:val="clear" w:color="auto" w:fill="FFFFFF"/>
        </w:rPr>
        <w:t>3.</w:t>
      </w:r>
      <w:r>
        <w:rPr>
          <w:rFonts w:ascii="仿宋_GB2312" w:eastAsia="仿宋_GB2312" w:hint="eastAsia"/>
          <w:bCs/>
          <w:color w:val="000000"/>
          <w:kern w:val="0"/>
          <w:sz w:val="32"/>
          <w:szCs w:val="32"/>
          <w:shd w:val="clear" w:color="auto" w:fill="FFFFFF"/>
        </w:rPr>
        <w:t>支出执行进度：我会1-6月预算执行数158.4万元，1-10月预算执行数268.97，无支出预警和违规金额，该项指标得分=（158.4÷（429.75×50%）×2）+（1-0×0.8-0×0.2）+（268.97÷（429.75×83.33%）×2）+（1-0×0.8-10×0.2）=5；</w:t>
      </w:r>
      <w:r>
        <w:rPr>
          <w:rFonts w:ascii="仿宋_GB2312" w:eastAsia="仿宋_GB2312" w:hint="eastAsia"/>
          <w:b/>
          <w:bCs/>
          <w:color w:val="000000"/>
          <w:kern w:val="0"/>
          <w:sz w:val="32"/>
          <w:szCs w:val="32"/>
          <w:shd w:val="clear" w:color="auto" w:fill="FFFFFF"/>
        </w:rPr>
        <w:t>4.</w:t>
      </w:r>
      <w:r>
        <w:rPr>
          <w:rFonts w:ascii="仿宋_GB2312" w:eastAsia="仿宋_GB2312" w:hint="eastAsia"/>
          <w:bCs/>
          <w:color w:val="000000"/>
          <w:kern w:val="0"/>
          <w:sz w:val="32"/>
          <w:szCs w:val="32"/>
          <w:shd w:val="clear" w:color="auto" w:fill="FFFFFF"/>
        </w:rPr>
        <w:t>部门整体年终预算结余情况：我会2025年度年终部门预算注销金额（财政回收）为37.55万元，部门整体预算结余率为=财政收回数37.55万元÷预算数429.75万元=8%，该项指标得分=（1-8%）×100%×2=1.8，得分1.8分；</w:t>
      </w:r>
      <w:r>
        <w:rPr>
          <w:rFonts w:ascii="仿宋_GB2312" w:eastAsia="仿宋_GB2312" w:hint="eastAsia"/>
          <w:b/>
          <w:bCs/>
          <w:color w:val="000000"/>
          <w:kern w:val="0"/>
          <w:sz w:val="32"/>
          <w:szCs w:val="32"/>
          <w:shd w:val="clear" w:color="auto" w:fill="FFFFFF"/>
        </w:rPr>
        <w:t>5.</w:t>
      </w:r>
      <w:r>
        <w:rPr>
          <w:rFonts w:ascii="仿宋_GB2312" w:eastAsia="仿宋_GB2312" w:hint="eastAsia"/>
          <w:bCs/>
          <w:color w:val="000000"/>
          <w:kern w:val="0"/>
          <w:sz w:val="32"/>
          <w:szCs w:val="32"/>
          <w:shd w:val="clear" w:color="auto" w:fill="FFFFFF"/>
        </w:rPr>
        <w:t>严控一般性支出，我会2024年预算数为463.72万元，2025年预算数为429.75万元，较上年压减8%。2024年预算执行数为463.72万元，2025年预算执行数为429.75万元， 较上年实现压减8%，共计得分5分，预算管理最后得分23.8分。</w:t>
      </w:r>
    </w:p>
    <w:p>
      <w:pPr>
        <w:widowControl/>
        <w:adjustRightInd w:val="0"/>
        <w:snapToGrid w:val="0"/>
        <w:spacing w:line="580" w:lineRule="exact"/>
        <w:ind w:firstLineChars="200" w:firstLine="640"/>
        <w:contextualSpacing/>
        <w:jc w:val="left"/>
        <w:rPr>
          <w:rFonts w:ascii="仿宋_GB2312" w:eastAsia="仿宋_GB2312" w:hint="eastAsia"/>
          <w:bCs/>
          <w:color w:val="000000"/>
          <w:kern w:val="0"/>
          <w:sz w:val="32"/>
          <w:szCs w:val="32"/>
          <w:shd w:val="clear" w:color="auto" w:fill="FFFFFF"/>
        </w:rPr>
      </w:pPr>
      <w:r>
        <w:rPr>
          <w:rFonts w:ascii="仿宋_GB2312" w:eastAsia="仿宋_GB2312" w:hint="eastAsia"/>
          <w:bCs/>
          <w:color w:val="000000"/>
          <w:kern w:val="0"/>
          <w:sz w:val="32"/>
          <w:szCs w:val="32"/>
          <w:shd w:val="clear" w:color="auto" w:fill="FFFFFF"/>
        </w:rPr>
        <w:t>下一步，我会将严格按照预算规定的支出用途使用资金，严格执行各项经费开支标准，合理安排支出进度，规范预算执行。会计年度结束后，加强预算绩效管理，推进预算信息公开，不断提高预算管理的规范化、科学化、标准化水平，增强财政资源统筹能力，硬化预算刚性约束，提高资金使用绩效。</w:t>
      </w:r>
    </w:p>
    <w:p>
      <w:pPr>
        <w:spacing w:line="560" w:lineRule="exact"/>
        <w:ind w:firstLineChars="200" w:firstLine="640"/>
        <w:rPr>
          <w:rFonts w:ascii="方正楷体_GBK" w:eastAsia="方正楷体_GBK" w:cs="楷体_GB2312" w:hint="eastAsia"/>
          <w:b/>
          <w:bCs/>
          <w:color w:val="000000"/>
          <w:sz w:val="32"/>
          <w:szCs w:val="32"/>
          <w:lang w:val="zh-CN" w:eastAsia="zh-CN" w:bidi="ar-SA"/>
        </w:rPr>
      </w:pPr>
      <w:r>
        <w:rPr>
          <w:rFonts w:ascii="方正楷体_GBK" w:eastAsia="方正楷体_GBK" w:cs="楷体_GB2312" w:hint="eastAsia"/>
          <w:b/>
          <w:bCs/>
          <w:color w:val="000000"/>
          <w:sz w:val="32"/>
          <w:szCs w:val="32"/>
          <w:lang w:val="zh-CN" w:eastAsia="zh-CN" w:bidi="ar-SA"/>
        </w:rPr>
        <w:t>3.财务管理。</w:t>
      </w:r>
    </w:p>
    <w:p>
      <w:pPr>
        <w:widowControl/>
        <w:adjustRightInd w:val="0"/>
        <w:snapToGrid w:val="0"/>
        <w:spacing w:line="580" w:lineRule="exact"/>
        <w:ind w:firstLineChars="200" w:firstLine="640"/>
        <w:contextualSpacing/>
        <w:jc w:val="left"/>
        <w:rPr>
          <w:rFonts w:ascii="仿宋_GB2312" w:eastAsia="仿宋_GB2312" w:hint="eastAsia"/>
          <w:bCs/>
          <w:color w:val="000000"/>
          <w:kern w:val="0"/>
          <w:sz w:val="32"/>
          <w:szCs w:val="32"/>
          <w:shd w:val="clear" w:color="auto" w:fill="FFFFFF"/>
        </w:rPr>
      </w:pPr>
      <w:r>
        <w:rPr>
          <w:rFonts w:ascii="仿宋_GB2312" w:eastAsia="仿宋_GB2312" w:hint="eastAsia"/>
          <w:bCs/>
          <w:color w:val="000000"/>
          <w:kern w:val="0"/>
          <w:sz w:val="32"/>
          <w:szCs w:val="32"/>
          <w:shd w:val="clear" w:color="auto" w:fill="FFFFFF"/>
        </w:rPr>
        <w:t>严格遵循《中华人民共和国会计法》《中华人民共和国预算法》《政府会计准则-基本准则》《政府会计制度-行政事业单位会计科目和报表》等法律、行政法规和规章。制定了《州佛协财务管理制度》，建立健全内控相关制度，合理设置了财务工作岗位，明确了职责权限，并严格实行不相容岗位分离。加强资金使用监管，实时对我会的用款计划进行审核，每一笔资金的拨付过程都处于财政部门和银行相互制约、相互监督的监控之下，提高财政资金运行透明度。得10分。</w:t>
      </w:r>
    </w:p>
    <w:p>
      <w:pPr>
        <w:spacing w:line="560" w:lineRule="exact"/>
        <w:ind w:firstLineChars="200" w:firstLine="640"/>
        <w:rPr>
          <w:rFonts w:ascii="方正楷体_GBK" w:eastAsia="方正楷体_GBK" w:cs="楷体_GB2312" w:hint="eastAsia"/>
          <w:b/>
          <w:bCs/>
          <w:color w:val="000000"/>
          <w:sz w:val="32"/>
          <w:szCs w:val="32"/>
          <w:lang w:val="zh-CN" w:eastAsia="zh-CN" w:bidi="ar-SA"/>
        </w:rPr>
      </w:pPr>
      <w:r>
        <w:rPr>
          <w:rFonts w:ascii="方正楷体_GBK" w:eastAsia="方正楷体_GBK" w:cs="楷体_GB2312" w:hint="eastAsia"/>
          <w:b/>
          <w:bCs/>
          <w:color w:val="000000"/>
          <w:sz w:val="32"/>
          <w:szCs w:val="32"/>
          <w:lang w:val="zh-CN" w:eastAsia="zh-CN" w:bidi="ar-SA"/>
        </w:rPr>
        <w:t>4.资产管理。</w:t>
      </w:r>
    </w:p>
    <w:p>
      <w:pPr>
        <w:widowControl/>
        <w:adjustRightInd w:val="0"/>
        <w:snapToGrid w:val="0"/>
        <w:spacing w:line="580" w:lineRule="exact"/>
        <w:ind w:firstLineChars="200" w:firstLine="640"/>
        <w:contextualSpacing/>
        <w:jc w:val="left"/>
        <w:rPr>
          <w:rFonts w:ascii="仿宋_GB2312" w:eastAsia="仿宋_GB2312" w:hint="eastAsia"/>
          <w:color w:val="000000"/>
          <w:kern w:val="0"/>
          <w:sz w:val="32"/>
          <w:szCs w:val="32"/>
          <w:shd w:val="clear" w:color="auto" w:fill="FFFFFF"/>
        </w:rPr>
      </w:pPr>
      <w:r>
        <w:rPr>
          <w:rFonts w:ascii="仿宋_GB2312" w:eastAsia="仿宋_GB2312" w:hint="eastAsia"/>
          <w:color w:val="000000"/>
          <w:kern w:val="0"/>
          <w:sz w:val="32"/>
          <w:szCs w:val="32"/>
          <w:shd w:val="clear" w:color="auto" w:fill="FFFFFF"/>
        </w:rPr>
        <w:t>制定了资产管理制度，明确资产配置、使用、处置等程序和审核审批权限；编制部门预算同步编制新增资产配置预算；国有资产交付使用后及时准确入账；明确资产使用和保管责任人、落实资产使用人在资产管理中的责任；国有资产折旧的计提符合相关会计规范；行政事业性国有资产纳入四川省行政事业单位资产管理信息系统动态管理；行政事业单位资产处置按规定报批，处置收益及时足额上缴财政；我会资产无出租、对外投资情况。</w:t>
      </w:r>
    </w:p>
    <w:p>
      <w:pPr>
        <w:widowControl/>
        <w:adjustRightInd w:val="0"/>
        <w:snapToGrid w:val="0"/>
        <w:spacing w:line="580" w:lineRule="exact"/>
        <w:ind w:firstLineChars="200" w:firstLine="640"/>
        <w:contextualSpacing/>
        <w:jc w:val="left"/>
        <w:rPr>
          <w:rFonts w:ascii="仿宋_GB2312" w:eastAsia="仿宋_GB2312" w:hint="eastAsia"/>
          <w:bCs/>
          <w:color w:val="000000"/>
          <w:kern w:val="0"/>
          <w:sz w:val="32"/>
          <w:szCs w:val="32"/>
          <w:shd w:val="clear" w:color="auto" w:fill="FFFFFF"/>
        </w:rPr>
      </w:pPr>
      <w:r>
        <w:rPr>
          <w:rFonts w:ascii="仿宋_GB2312" w:eastAsia="仿宋_GB2312" w:hint="eastAsia"/>
          <w:bCs/>
          <w:color w:val="000000"/>
          <w:kern w:val="0"/>
          <w:sz w:val="32"/>
          <w:szCs w:val="32"/>
          <w:shd w:val="clear" w:color="auto" w:fill="FFFFFF"/>
        </w:rPr>
        <w:t>围绕人均资产变化率、资产利用率、资产盘活率进行绩效分析：</w:t>
      </w:r>
      <w:r>
        <w:rPr>
          <w:rFonts w:ascii="仿宋_GB2312" w:eastAsia="仿宋_GB2312" w:hint="eastAsia"/>
          <w:b/>
          <w:bCs/>
          <w:color w:val="000000"/>
          <w:kern w:val="0"/>
          <w:sz w:val="32"/>
          <w:szCs w:val="32"/>
          <w:shd w:val="clear" w:color="auto" w:fill="FFFFFF"/>
        </w:rPr>
        <w:t>1.</w:t>
      </w:r>
      <w:r>
        <w:rPr>
          <w:rFonts w:ascii="仿宋_GB2312" w:eastAsia="仿宋_GB2312" w:hint="eastAsia"/>
          <w:bCs/>
          <w:color w:val="000000"/>
          <w:kern w:val="0"/>
          <w:sz w:val="32"/>
          <w:szCs w:val="32"/>
          <w:shd w:val="clear" w:color="auto" w:fill="FFFFFF"/>
        </w:rPr>
        <w:t>部门人均资产变化率为:2024年年末在职7人，固定资产原值为222.67+无形资产2.48=225.15万元，225.15÷7=21.16万元，2025年年末在职9人，固定资产原值为225.59+无形资产2.48=228.07万元，225.15÷9=25.34万元，部门人均资产变化率为X= (25.34-21.16) ÷21.16×100=19.75%，部门人均资产增长率为X=-3.49%，X&gt;N，得0分。同期省级财政收入增长率为17.1%,X&gt;N得0分，17.1%＜19.75%≤34.2%,得0.6分。共计0.6分。</w:t>
      </w:r>
      <w:r>
        <w:rPr>
          <w:rFonts w:ascii="仿宋_GB2312" w:eastAsia="仿宋_GB2312" w:hint="eastAsia"/>
          <w:b/>
          <w:bCs/>
          <w:color w:val="000000"/>
          <w:kern w:val="0"/>
          <w:sz w:val="32"/>
          <w:szCs w:val="32"/>
          <w:shd w:val="clear" w:color="auto" w:fill="FFFFFF"/>
        </w:rPr>
        <w:t>2.</w:t>
      </w:r>
      <w:r>
        <w:rPr>
          <w:rFonts w:ascii="仿宋_GB2312" w:eastAsia="仿宋_GB2312" w:hint="eastAsia"/>
          <w:bCs/>
          <w:color w:val="000000"/>
          <w:kern w:val="0"/>
          <w:sz w:val="32"/>
          <w:szCs w:val="32"/>
          <w:shd w:val="clear" w:color="auto" w:fill="FFFFFF"/>
        </w:rPr>
        <w:t>资产利用率，我会办公家具超最低使用年限资产利用率X=14160÷124760×100%=11.35%，省直行政事业单位平均值办公家具N为12.93%，X≤N，得0分。0.8N＜11.35%≤12.93%,得0.9分。部门办公设备超最低使用年限资产利用率X=1658714÷1814264×100%=91.43%，省直行政事业单位平均值N为53.14%，X＞N，得1.5分，共计2.4分。</w:t>
      </w:r>
      <w:r>
        <w:rPr>
          <w:rFonts w:ascii="仿宋_GB2312" w:eastAsia="仿宋_GB2312" w:hint="eastAsia"/>
          <w:b/>
          <w:bCs/>
          <w:color w:val="000000"/>
          <w:kern w:val="0"/>
          <w:sz w:val="32"/>
          <w:szCs w:val="32"/>
          <w:shd w:val="clear" w:color="auto" w:fill="FFFFFF"/>
        </w:rPr>
        <w:t>3.</w:t>
      </w:r>
      <w:r>
        <w:rPr>
          <w:rFonts w:ascii="仿宋_GB2312" w:eastAsia="仿宋_GB2312" w:hint="eastAsia"/>
          <w:bCs/>
          <w:color w:val="000000"/>
          <w:kern w:val="0"/>
          <w:sz w:val="32"/>
          <w:szCs w:val="32"/>
          <w:shd w:val="clear" w:color="auto" w:fill="FFFFFF"/>
        </w:rPr>
        <w:t>资产盘活率</w:t>
      </w:r>
      <w:r>
        <w:rPr>
          <w:rFonts w:ascii="仿宋_GB2312" w:eastAsia="仿宋_GB2312" w:hint="eastAsia"/>
          <w:b/>
          <w:bCs/>
          <w:color w:val="000000"/>
          <w:kern w:val="0"/>
          <w:sz w:val="32"/>
          <w:szCs w:val="32"/>
          <w:shd w:val="clear" w:color="auto" w:fill="FFFFFF"/>
        </w:rPr>
        <w:t>，</w:t>
      </w:r>
      <w:r>
        <w:rPr>
          <w:rFonts w:ascii="仿宋_GB2312" w:eastAsia="仿宋_GB2312" w:hint="eastAsia"/>
          <w:color w:val="000000"/>
          <w:kern w:val="0"/>
          <w:sz w:val="32"/>
          <w:szCs w:val="32"/>
          <w:shd w:val="clear" w:color="auto" w:fill="FFFFFF"/>
        </w:rPr>
        <w:t>我会2024年及2025年无闲置资产，得3分</w:t>
      </w:r>
      <w:r>
        <w:rPr>
          <w:rFonts w:ascii="仿宋_GB2312" w:eastAsia="仿宋_GB2312" w:hint="eastAsia"/>
          <w:b/>
          <w:bCs/>
          <w:color w:val="000000"/>
          <w:kern w:val="0"/>
          <w:sz w:val="32"/>
          <w:szCs w:val="32"/>
          <w:shd w:val="clear" w:color="auto" w:fill="FFFFFF"/>
        </w:rPr>
        <w:t>。</w:t>
      </w:r>
      <w:r>
        <w:rPr>
          <w:rFonts w:ascii="仿宋_GB2312" w:eastAsia="仿宋_GB2312" w:hint="eastAsia"/>
          <w:bCs/>
          <w:color w:val="000000"/>
          <w:kern w:val="0"/>
          <w:sz w:val="32"/>
          <w:szCs w:val="32"/>
          <w:shd w:val="clear" w:color="auto" w:fill="FFFFFF"/>
        </w:rPr>
        <w:t>资产管理得分6分。</w:t>
      </w:r>
    </w:p>
    <w:p>
      <w:pPr>
        <w:spacing w:line="560" w:lineRule="exact"/>
        <w:ind w:firstLineChars="200" w:firstLine="640"/>
        <w:rPr>
          <w:rFonts w:ascii="方正楷体_GBK" w:eastAsia="方正楷体_GBK" w:cs="楷体_GB2312" w:hint="eastAsia"/>
          <w:b/>
          <w:bCs/>
          <w:color w:val="000000"/>
          <w:sz w:val="32"/>
          <w:szCs w:val="32"/>
          <w:lang w:val="zh-CN" w:eastAsia="zh-CN" w:bidi="ar-SA"/>
        </w:rPr>
      </w:pPr>
      <w:r>
        <w:rPr>
          <w:rFonts w:ascii="方正楷体_GBK" w:eastAsia="方正楷体_GBK" w:cs="楷体_GB2312" w:hint="eastAsia"/>
          <w:b/>
          <w:bCs/>
          <w:color w:val="000000"/>
          <w:sz w:val="32"/>
          <w:szCs w:val="32"/>
          <w:lang w:val="zh-CN" w:eastAsia="zh-CN" w:bidi="ar-SA"/>
        </w:rPr>
        <w:t>5.采购管理。</w:t>
      </w:r>
    </w:p>
    <w:p>
      <w:pPr>
        <w:widowControl/>
        <w:adjustRightInd w:val="0"/>
        <w:snapToGrid w:val="0"/>
        <w:spacing w:line="580" w:lineRule="exact"/>
        <w:ind w:firstLineChars="200" w:firstLine="640"/>
        <w:contextualSpacing/>
        <w:jc w:val="left"/>
        <w:rPr>
          <w:rFonts w:ascii="仿宋_GB2312" w:eastAsia="仿宋_GB2312" w:hint="eastAsia"/>
          <w:bCs/>
          <w:color w:val="000000"/>
          <w:kern w:val="0"/>
          <w:sz w:val="32"/>
          <w:szCs w:val="32"/>
          <w:shd w:val="clear" w:color="auto" w:fill="FFFFFF"/>
        </w:rPr>
      </w:pPr>
      <w:r>
        <w:rPr>
          <w:rFonts w:ascii="仿宋_GB2312" w:eastAsia="仿宋_GB2312" w:hint="eastAsia"/>
          <w:bCs/>
          <w:color w:val="000000"/>
          <w:kern w:val="0"/>
          <w:sz w:val="32"/>
          <w:szCs w:val="32"/>
          <w:shd w:val="clear" w:color="auto" w:fill="FFFFFF"/>
        </w:rPr>
        <w:t>政府采购编制应编尽编；不存在无预算采购、超预算采购情况；按规定进行政府采购计划备案；按照合同约定及时支付资金。按法定采购方式和程序实施采购；不存在拆分项目预算规避政府采购或公开招标情况；按采购文件确定事项签订政府采购合同，按规定公告、备案政府采购合同；政府采购系统中的政府采购信息真实、准确、合法、合规。政府采购行为中不存在限制政府采购供应商及对内外资企业实行差别待遇或歧视等问题。</w:t>
      </w:r>
    </w:p>
    <w:p>
      <w:pPr>
        <w:spacing w:line="560" w:lineRule="exact"/>
        <w:ind w:firstLineChars="200" w:firstLine="640"/>
        <w:rPr>
          <w:rFonts w:ascii="方正楷体_GBK" w:eastAsia="方正楷体_GBK" w:hint="eastAsia"/>
          <w:b/>
          <w:bCs/>
          <w:color w:val="000000"/>
          <w:sz w:val="32"/>
          <w:szCs w:val="32"/>
          <w:lang w:val="zh-CN" w:eastAsia="zh-CN"/>
        </w:rPr>
      </w:pPr>
      <w:r>
        <w:rPr>
          <w:rFonts w:ascii="方正楷体_GBK" w:eastAsia="方正楷体_GBK" w:hint="eastAsia"/>
          <w:b/>
          <w:bCs/>
          <w:color w:val="000000"/>
          <w:sz w:val="32"/>
          <w:szCs w:val="32"/>
          <w:lang w:val="zh-CN" w:eastAsia="zh-CN"/>
        </w:rPr>
        <w:t>（二）部门预算项目绩效分析。</w:t>
      </w:r>
    </w:p>
    <w:p>
      <w:pPr>
        <w:widowControl/>
        <w:adjustRightInd w:val="0"/>
        <w:snapToGrid w:val="0"/>
        <w:spacing w:line="580" w:lineRule="exact"/>
        <w:ind w:firstLineChars="200" w:firstLine="640"/>
        <w:contextualSpacing/>
        <w:jc w:val="left"/>
        <w:rPr>
          <w:rFonts w:ascii="仿宋_GB2312" w:eastAsia="仿宋_GB2312" w:hint="eastAsia"/>
          <w:bCs/>
          <w:color w:val="000000"/>
          <w:kern w:val="0"/>
          <w:sz w:val="32"/>
          <w:szCs w:val="32"/>
          <w:shd w:val="clear" w:color="auto" w:fill="FFFFFF"/>
        </w:rPr>
      </w:pPr>
      <w:r>
        <w:rPr>
          <w:rFonts w:ascii="仿宋_GB2312" w:eastAsia="仿宋_GB2312" w:hint="eastAsia"/>
          <w:bCs/>
          <w:color w:val="000000"/>
          <w:kern w:val="0"/>
          <w:sz w:val="32"/>
          <w:szCs w:val="32"/>
          <w:shd w:val="clear" w:color="auto" w:fill="FFFFFF"/>
        </w:rPr>
        <w:t>根据部门预算绩效评价指标体系“项目绩效”涉及二、三级指标进行逐项绩效分析并评分，依次包括项目决策、项目执行、目标实现等情况。</w:t>
      </w:r>
    </w:p>
    <w:p>
      <w:pPr>
        <w:widowControl/>
        <w:adjustRightInd w:val="0"/>
        <w:snapToGrid w:val="0"/>
        <w:spacing w:line="580" w:lineRule="exact"/>
        <w:ind w:firstLineChars="200" w:firstLine="640"/>
        <w:contextualSpacing/>
        <w:jc w:val="left"/>
        <w:rPr>
          <w:rFonts w:ascii="仿宋_GB2312" w:eastAsia="仿宋_GB2312" w:hint="eastAsia"/>
          <w:bCs/>
          <w:color w:val="000000"/>
          <w:kern w:val="0"/>
          <w:sz w:val="32"/>
          <w:szCs w:val="32"/>
          <w:shd w:val="clear" w:color="auto" w:fill="FFFFFF"/>
        </w:rPr>
      </w:pPr>
      <w:r>
        <w:rPr>
          <w:rFonts w:ascii="仿宋_GB2312" w:eastAsia="仿宋_GB2312" w:hint="eastAsia"/>
          <w:bCs/>
          <w:color w:val="000000"/>
          <w:kern w:val="0"/>
          <w:sz w:val="32"/>
          <w:szCs w:val="32"/>
          <w:shd w:val="clear" w:color="auto" w:fill="FFFFFF"/>
        </w:rPr>
        <w:t>常规项目绩效分析。该类项目总数10个，涉及预算总金额206.57万元，1—12月预算执行总体进度为71.82%，其中：预算结余率大于10%的项目共计1个（阿坝珍稀古籍文献汇编出版费，此项目为期2年，达到了本年度目标任务和支付进度）。</w:t>
      </w:r>
    </w:p>
    <w:p>
      <w:pPr>
        <w:widowControl/>
        <w:adjustRightInd w:val="0"/>
        <w:snapToGrid w:val="0"/>
        <w:spacing w:line="580" w:lineRule="exact"/>
        <w:ind w:firstLineChars="200" w:firstLine="640"/>
        <w:contextualSpacing/>
        <w:jc w:val="left"/>
        <w:rPr>
          <w:rFonts w:ascii="仿宋_GB2312" w:eastAsia="仿宋_GB2312" w:hint="eastAsia"/>
          <w:bCs/>
          <w:color w:val="000000"/>
          <w:kern w:val="0"/>
          <w:sz w:val="32"/>
          <w:szCs w:val="32"/>
          <w:shd w:val="clear" w:color="auto" w:fill="FFFFFF"/>
        </w:rPr>
      </w:pPr>
      <w:r>
        <w:rPr>
          <w:rFonts w:ascii="仿宋_GB2312" w:eastAsia="仿宋_GB2312" w:hint="eastAsia"/>
          <w:bCs/>
          <w:color w:val="000000"/>
          <w:kern w:val="0"/>
          <w:sz w:val="32"/>
          <w:szCs w:val="32"/>
          <w:shd w:val="clear" w:color="auto" w:fill="FFFFFF"/>
        </w:rPr>
        <w:t>阶段（一次性）项目绩效分析。该类项目总数0个，涉及预算总金额0万元，1—12月预算执行总体进度为0%，其中：预算结余率大于10%的项目共计0个。</w:t>
      </w:r>
    </w:p>
    <w:p>
      <w:pPr>
        <w:spacing w:line="560" w:lineRule="exact"/>
        <w:ind w:firstLineChars="200" w:firstLine="640"/>
        <w:rPr>
          <w:rFonts w:ascii="方正楷体_GBK" w:eastAsia="方正楷体_GBK" w:cs="楷体_GB2312" w:hint="eastAsia"/>
          <w:b/>
          <w:bCs/>
          <w:color w:val="000000"/>
          <w:sz w:val="32"/>
          <w:szCs w:val="32"/>
          <w:lang w:val="zh-CN" w:eastAsia="zh-CN" w:bidi="ar-SA"/>
        </w:rPr>
      </w:pPr>
      <w:r>
        <w:rPr>
          <w:rFonts w:ascii="方正楷体_GBK" w:eastAsia="方正楷体_GBK" w:cs="楷体_GB2312" w:hint="eastAsia"/>
          <w:b/>
          <w:bCs/>
          <w:color w:val="000000"/>
          <w:sz w:val="32"/>
          <w:szCs w:val="32"/>
          <w:lang w:val="zh-CN" w:eastAsia="zh-CN" w:bidi="ar-SA"/>
        </w:rPr>
        <w:t>1.项目决策。</w:t>
      </w:r>
    </w:p>
    <w:p>
      <w:pPr>
        <w:widowControl/>
        <w:adjustRightInd w:val="0"/>
        <w:snapToGrid w:val="0"/>
        <w:spacing w:line="580" w:lineRule="exact"/>
        <w:ind w:firstLineChars="200" w:firstLine="640"/>
        <w:contextualSpacing/>
        <w:jc w:val="left"/>
        <w:rPr>
          <w:rFonts w:ascii="仿宋_GB2312" w:eastAsia="仿宋_GB2312" w:hint="eastAsia"/>
          <w:bCs/>
          <w:color w:val="000000"/>
          <w:kern w:val="0"/>
          <w:sz w:val="32"/>
          <w:szCs w:val="32"/>
          <w:shd w:val="clear" w:color="auto" w:fill="FFFFFF"/>
        </w:rPr>
      </w:pPr>
      <w:r>
        <w:rPr>
          <w:rFonts w:ascii="仿宋_GB2312" w:eastAsia="仿宋_GB2312" w:hint="eastAsia"/>
          <w:bCs/>
          <w:color w:val="000000"/>
          <w:kern w:val="0"/>
          <w:sz w:val="32"/>
          <w:szCs w:val="32"/>
          <w:shd w:val="clear" w:color="auto" w:fill="FFFFFF"/>
        </w:rPr>
        <w:t>我会2025年度通过会长办公会决策的项目有10个，其中：（一）每个项目决策流程进行了详细的梳理和记录，确保每个决策环节都有明确的依据和审批流程；（二）每个项目的目标清晰明确，能够准确反映项目的预期成果和关键指标，目标分解到了具体的工作任务和责任人，便于跟踪和考核；（三）对于入库项目的技术方案、实施方案和风险评估进行了详细审查，提高了项目的成功率。</w:t>
      </w:r>
    </w:p>
    <w:p>
      <w:pPr>
        <w:spacing w:line="560" w:lineRule="exact"/>
        <w:ind w:firstLineChars="200" w:firstLine="640"/>
        <w:rPr>
          <w:rFonts w:ascii="方正楷体_GBK" w:eastAsia="方正楷体_GBK" w:cs="楷体_GB2312" w:hint="eastAsia"/>
          <w:b/>
          <w:bCs/>
          <w:color w:val="000000"/>
          <w:sz w:val="32"/>
          <w:szCs w:val="32"/>
          <w:lang w:val="zh-CN" w:eastAsia="zh-CN" w:bidi="ar-SA"/>
        </w:rPr>
      </w:pPr>
      <w:r>
        <w:rPr>
          <w:rFonts w:ascii="方正楷体_GBK" w:eastAsia="方正楷体_GBK" w:cs="楷体_GB2312" w:hint="eastAsia"/>
          <w:b/>
          <w:bCs/>
          <w:color w:val="000000"/>
          <w:sz w:val="32"/>
          <w:szCs w:val="32"/>
          <w:lang w:val="zh-CN" w:eastAsia="zh-CN" w:bidi="ar-SA"/>
        </w:rPr>
        <w:t>2.项目执行。</w:t>
      </w:r>
    </w:p>
    <w:p>
      <w:pPr>
        <w:widowControl/>
        <w:adjustRightInd w:val="0"/>
        <w:snapToGrid w:val="0"/>
        <w:spacing w:line="580" w:lineRule="exact"/>
        <w:ind w:firstLineChars="200" w:firstLine="640"/>
        <w:contextualSpacing/>
        <w:jc w:val="left"/>
        <w:rPr>
          <w:rFonts w:ascii="仿宋_GB2312" w:eastAsia="仿宋_GB2312" w:hint="eastAsia"/>
          <w:bCs/>
          <w:color w:val="000000"/>
          <w:kern w:val="0"/>
          <w:sz w:val="32"/>
          <w:szCs w:val="32"/>
          <w:shd w:val="clear" w:color="auto" w:fill="FFFFFF"/>
        </w:rPr>
      </w:pPr>
      <w:r>
        <w:rPr>
          <w:rFonts w:ascii="仿宋_GB2312" w:eastAsia="仿宋_GB2312" w:hint="eastAsia"/>
          <w:bCs/>
          <w:color w:val="000000"/>
          <w:kern w:val="0"/>
          <w:sz w:val="32"/>
          <w:szCs w:val="32"/>
          <w:shd w:val="clear" w:color="auto" w:fill="FFFFFF"/>
        </w:rPr>
        <w:t>我会2025年度财政拨款项目收入206.57万元，项目支出184.27万元。代管资金结转结余22.3万元，资金使用符合预算计划和项目需求，不存在浪费和挪用的情况，剩余资金都由财政收回。无项目调整情况。项目执行结果都是按规定执行，达到了预期的目标，同时，建立了相关的绩效评估机制，以保证项目的顺利实施。</w:t>
      </w:r>
    </w:p>
    <w:p>
      <w:pPr>
        <w:widowControl/>
        <w:adjustRightInd w:val="0"/>
        <w:snapToGrid w:val="0"/>
        <w:spacing w:line="580" w:lineRule="exact"/>
        <w:ind w:firstLineChars="200" w:firstLine="640"/>
        <w:contextualSpacing/>
        <w:jc w:val="left"/>
        <w:rPr>
          <w:rFonts w:ascii="Times New Roman" w:eastAsia="方正仿宋_GBK" w:hAnsi="Times New Roman" w:hint="eastAsia"/>
          <w:b/>
          <w:bCs/>
          <w:color w:val="000000"/>
          <w:kern w:val="0"/>
          <w:sz w:val="32"/>
          <w:szCs w:val="32"/>
          <w:shd w:val="clear" w:color="auto" w:fill="FFFFFF"/>
        </w:rPr>
      </w:pPr>
      <w:r>
        <w:rPr>
          <w:rFonts w:ascii="方正楷体_GBK" w:eastAsia="方正楷体_GBK" w:cs="楷体_GB2312" w:hint="eastAsia"/>
          <w:b/>
          <w:bCs/>
          <w:color w:val="000000"/>
          <w:sz w:val="32"/>
          <w:szCs w:val="32"/>
          <w:lang w:val="zh-CN" w:eastAsia="zh-CN" w:bidi="ar-SA"/>
        </w:rPr>
        <w:t xml:space="preserve">3.目标实现   </w:t>
      </w:r>
      <w:r>
        <w:rPr>
          <w:rFonts w:ascii="Times New Roman" w:eastAsia="方正仿宋_GBK" w:hAnsi="Times New Roman"/>
          <w:b/>
          <w:bCs/>
          <w:color w:val="000000"/>
          <w:kern w:val="0"/>
          <w:sz w:val="32"/>
          <w:szCs w:val="32"/>
          <w:shd w:val="clear" w:color="auto" w:fill="FFFFFF"/>
        </w:rPr>
        <w:t xml:space="preserve">                                    </w:t>
      </w:r>
    </w:p>
    <w:p>
      <w:pPr>
        <w:widowControl/>
        <w:adjustRightInd w:val="0"/>
        <w:snapToGrid w:val="0"/>
        <w:spacing w:line="580" w:lineRule="exact"/>
        <w:ind w:firstLineChars="200" w:firstLine="640"/>
        <w:contextualSpacing/>
        <w:jc w:val="left"/>
        <w:rPr>
          <w:rFonts w:ascii="Times New Roman" w:eastAsia="方正仿宋_GBK" w:hAnsi="Times New Roman" w:hint="eastAsia"/>
          <w:b/>
          <w:bCs/>
          <w:color w:val="000000"/>
          <w:kern w:val="0"/>
          <w:sz w:val="32"/>
          <w:szCs w:val="32"/>
          <w:shd w:val="clear" w:color="auto" w:fill="FFFFFF"/>
        </w:rPr>
      </w:pPr>
      <w:r>
        <w:rPr>
          <w:rFonts w:ascii="仿宋_GB2312" w:eastAsia="仿宋_GB2312" w:hint="eastAsia"/>
          <w:bCs/>
          <w:color w:val="000000"/>
          <w:kern w:val="0"/>
          <w:sz w:val="32"/>
          <w:szCs w:val="32"/>
          <w:shd w:val="clear" w:color="auto" w:fill="FFFFFF"/>
        </w:rPr>
        <w:t>我会2025年度完成的目标任务：1.《阿坝州珍稀古籍文献汇编》排版13000本；2.组织和推动佛教徒学习国家的宗教政策和国家有关法律、法规，协助寺庙制定各项规章制度，管好宗教活动场所，开展正常的宗教活动；3.举办佛教教育培训，积极开展藏传佛教历史和学术研究，收集整理各教派寺庙的历史资料，保护佛教文物古迹；4.组织其参加各种培训和现场教学，增强国家意识、法律意识、（三个意识）；5.解决了州、县佛协组织会长、副会长、秘书长、副秘书长中未领取国家工资的人员实行了生活补助。为全州经济社会发展发挥了积极作用，预算资金的支出进度和工作计划相匹配，预算执行率100%，不存在资金闲置和违规使用资金。</w:t>
      </w:r>
    </w:p>
    <w:p>
      <w:pPr>
        <w:widowControl/>
        <w:adjustRightInd w:val="0"/>
        <w:snapToGrid w:val="0"/>
        <w:spacing w:line="578" w:lineRule="exact"/>
        <w:ind w:left="0" w:firstLineChars="150" w:firstLine="480"/>
        <w:contextualSpacing/>
        <w:jc w:val="left"/>
        <w:rPr>
          <w:rFonts w:ascii="方正楷体_GBK" w:eastAsia="方正楷体_GBK" w:hint="eastAsia"/>
          <w:b/>
          <w:bCs/>
          <w:color w:val="000000"/>
          <w:sz w:val="32"/>
          <w:szCs w:val="32"/>
          <w:lang w:val="zh-CN" w:eastAsia="zh-CN"/>
        </w:rPr>
      </w:pPr>
      <w:r>
        <w:rPr>
          <w:rFonts w:ascii="方正楷体_GBK" w:eastAsia="方正楷体_GBK" w:hint="eastAsia"/>
          <w:b/>
          <w:bCs/>
          <w:color w:val="000000"/>
          <w:sz w:val="32"/>
          <w:szCs w:val="32"/>
          <w:lang w:val="zh-CN" w:eastAsia="zh-CN"/>
        </w:rPr>
        <w:t>（三）重点领域绩效分析。</w:t>
      </w:r>
    </w:p>
    <w:p>
      <w:pPr>
        <w:widowControl/>
        <w:adjustRightInd w:val="0"/>
        <w:snapToGrid w:val="0"/>
        <w:spacing w:line="580" w:lineRule="exact"/>
        <w:ind w:firstLineChars="200" w:firstLine="640"/>
        <w:contextualSpacing/>
        <w:jc w:val="left"/>
        <w:rPr>
          <w:rFonts w:ascii="仿宋_GB2312" w:eastAsia="仿宋_GB2312" w:hint="eastAsia"/>
          <w:bCs/>
          <w:color w:val="000000"/>
          <w:kern w:val="0"/>
          <w:sz w:val="32"/>
          <w:szCs w:val="32"/>
          <w:shd w:val="clear" w:color="auto" w:fill="FFFFFF"/>
        </w:rPr>
      </w:pPr>
      <w:r>
        <w:rPr>
          <w:rFonts w:ascii="仿宋_GB2312" w:eastAsia="仿宋_GB2312" w:hint="eastAsia"/>
          <w:bCs/>
          <w:color w:val="000000"/>
          <w:kern w:val="0"/>
          <w:sz w:val="32"/>
          <w:szCs w:val="32"/>
          <w:shd w:val="clear" w:color="auto" w:fill="FFFFFF"/>
        </w:rPr>
        <w:t>我会2025年度政府采购《阿坝州珍稀古籍文献汇编》出版经费预算数100万元，支付首付款50万元，2024年度尾款44万元，预算执行率100%，自评分为100分，因《阿坝州珍稀古籍文献汇编》从收集整理到完成出版印刷周期较长，合同周期一般为2年，签至2026年，通过项目实施，2025年已全面完成文集的排版工作，完成了既定目标。</w:t>
      </w:r>
    </w:p>
    <w:p>
      <w:pPr>
        <w:snapToGrid w:val="0"/>
        <w:spacing w:line="600" w:lineRule="exact"/>
        <w:ind w:left="0" w:firstLineChars="150" w:firstLine="480"/>
        <w:rPr>
          <w:rFonts w:ascii="方正楷体_GBK" w:eastAsia="方正楷体_GBK" w:hint="eastAsia"/>
          <w:b/>
          <w:bCs/>
          <w:color w:val="000000"/>
          <w:sz w:val="32"/>
          <w:szCs w:val="32"/>
          <w:lang w:val="zh-CN" w:eastAsia="zh-CN"/>
        </w:rPr>
      </w:pPr>
      <w:r>
        <w:rPr>
          <w:rFonts w:ascii="方正楷体_GBK" w:eastAsia="方正楷体_GBK" w:hint="eastAsia"/>
          <w:b/>
          <w:bCs/>
          <w:color w:val="000000"/>
          <w:sz w:val="32"/>
          <w:szCs w:val="32"/>
          <w:lang w:val="zh-CN" w:eastAsia="zh-CN"/>
        </w:rPr>
        <w:t>（四）绩效结果应用情况。</w:t>
      </w:r>
    </w:p>
    <w:p>
      <w:pPr>
        <w:widowControl/>
        <w:adjustRightInd w:val="0"/>
        <w:snapToGrid w:val="0"/>
        <w:spacing w:line="580" w:lineRule="exact"/>
        <w:ind w:firstLineChars="200" w:firstLine="640"/>
        <w:contextualSpacing/>
        <w:jc w:val="left"/>
        <w:rPr>
          <w:rFonts w:ascii="仿宋_GB2312" w:eastAsia="仿宋_GB2312" w:hint="eastAsia"/>
          <w:bCs/>
          <w:color w:val="000000"/>
          <w:kern w:val="0"/>
          <w:sz w:val="32"/>
          <w:szCs w:val="32"/>
          <w:shd w:val="clear" w:color="auto" w:fill="FFFFFF"/>
        </w:rPr>
      </w:pPr>
      <w:r>
        <w:rPr>
          <w:rFonts w:ascii="仿宋_GB2312" w:eastAsia="仿宋_GB2312" w:hint="eastAsia"/>
          <w:bCs/>
          <w:color w:val="000000"/>
          <w:kern w:val="0"/>
          <w:sz w:val="32"/>
          <w:szCs w:val="32"/>
          <w:shd w:val="clear" w:color="auto" w:fill="FFFFFF"/>
        </w:rPr>
        <w:t>我会根据绩效评估结果，为财政政策制定和调整提供依据，确保政策的科学性和有效性；将绩效结果作为内部监督和问责的重要依据，对造成财政资源浪费或绩效低下的责任人员进行相应的处理；综合考虑各项目的绩效情况，实现单位内部财政资源的优化配置，提高资金使用效率；对绩效不达标的财政项目进行深入分析，找出问题所在，优化项目管理流程和方法，提高项目实施效果；为单位的重大决策提供数据支持，例如是否继续开展某项业务、是否加大对特定领域的投入等，同时按照相关规定，向州财政局及时报告财政绩效结果，增加透明度和公信力，为我会圆满完成各项目标任务，发挥职能作用奠定了良好的基础。</w:t>
      </w:r>
    </w:p>
    <w:p>
      <w:pPr>
        <w:spacing w:line="560" w:lineRule="exact"/>
        <w:ind w:firstLineChars="200" w:firstLine="640"/>
        <w:rPr>
          <w:rFonts w:ascii="Times New Roman" w:eastAsia="黑体" w:hAnsi="Times New Roman"/>
          <w:bCs/>
          <w:color w:val="000000"/>
          <w:sz w:val="32"/>
          <w:szCs w:val="32"/>
        </w:rPr>
      </w:pPr>
      <w:r>
        <w:rPr>
          <w:rFonts w:ascii="Times New Roman" w:eastAsia="黑体" w:hAnsi="Times New Roman"/>
          <w:bCs/>
          <w:color w:val="000000"/>
          <w:sz w:val="32"/>
          <w:szCs w:val="32"/>
        </w:rPr>
        <w:t>四、评价结论及建议</w:t>
      </w:r>
    </w:p>
    <w:p>
      <w:pPr>
        <w:spacing w:line="560" w:lineRule="exact"/>
        <w:ind w:firstLineChars="200" w:firstLine="640"/>
        <w:rPr>
          <w:rFonts w:ascii="方正楷体_GBK" w:eastAsia="方正楷体_GBK" w:hint="eastAsia"/>
          <w:b/>
          <w:color w:val="000000"/>
          <w:sz w:val="32"/>
          <w:szCs w:val="32"/>
        </w:rPr>
      </w:pPr>
      <w:r>
        <w:rPr>
          <w:rFonts w:ascii="方正楷体_GBK" w:eastAsia="方正楷体_GBK" w:hint="eastAsia"/>
          <w:b/>
          <w:color w:val="000000"/>
          <w:sz w:val="32"/>
          <w:szCs w:val="32"/>
        </w:rPr>
        <w:t>（一）评价结论</w:t>
      </w:r>
    </w:p>
    <w:p>
      <w:pPr>
        <w:widowControl/>
        <w:adjustRightInd w:val="0"/>
        <w:snapToGrid w:val="0"/>
        <w:spacing w:line="580" w:lineRule="exact"/>
        <w:ind w:firstLineChars="200" w:firstLine="640"/>
        <w:contextualSpacing/>
        <w:jc w:val="left"/>
        <w:rPr>
          <w:rFonts w:ascii="仿宋_GB2312" w:eastAsia="仿宋_GB2312" w:hint="eastAsia"/>
          <w:bCs/>
          <w:color w:val="000000"/>
          <w:kern w:val="0"/>
          <w:sz w:val="32"/>
          <w:szCs w:val="32"/>
          <w:shd w:val="clear" w:color="auto" w:fill="FFFFFF"/>
        </w:rPr>
      </w:pPr>
      <w:r>
        <w:rPr>
          <w:rFonts w:ascii="仿宋_GB2312" w:eastAsia="仿宋_GB2312" w:hint="eastAsia"/>
          <w:bCs/>
          <w:color w:val="000000"/>
          <w:kern w:val="0"/>
          <w:sz w:val="32"/>
          <w:szCs w:val="32"/>
          <w:shd w:val="clear" w:color="auto" w:fill="FFFFFF"/>
        </w:rPr>
        <w:t>我会总体收入和支出都较小，项目经费把控严格，总体收支较平衡，严格按照预算管理办法进行财务收支，三公经费管控合理，无小金库，无违规发放钱物等情况。通过自评我会整体绩效评价为95.8分。</w:t>
      </w:r>
    </w:p>
    <w:p>
      <w:pPr>
        <w:spacing w:line="560" w:lineRule="exact"/>
        <w:ind w:firstLineChars="200" w:firstLine="640"/>
        <w:rPr>
          <w:rFonts w:ascii="方正楷体_GBK" w:eastAsia="方正楷体_GBK" w:hint="eastAsia"/>
          <w:b/>
          <w:color w:val="000000"/>
          <w:sz w:val="32"/>
          <w:szCs w:val="32"/>
        </w:rPr>
      </w:pPr>
      <w:r>
        <w:rPr>
          <w:rFonts w:ascii="方正楷体_GBK" w:eastAsia="方正楷体_GBK" w:hint="eastAsia"/>
          <w:b/>
          <w:color w:val="000000"/>
          <w:sz w:val="32"/>
          <w:szCs w:val="32"/>
        </w:rPr>
        <w:t>（二）存在问题</w:t>
      </w:r>
    </w:p>
    <w:p>
      <w:pPr>
        <w:widowControl/>
        <w:adjustRightInd w:val="0"/>
        <w:snapToGrid w:val="0"/>
        <w:spacing w:line="580" w:lineRule="exact"/>
        <w:ind w:firstLineChars="200" w:firstLine="640"/>
        <w:contextualSpacing/>
        <w:jc w:val="left"/>
        <w:rPr>
          <w:rFonts w:ascii="仿宋_GB2312" w:eastAsia="仿宋_GB2312" w:hint="eastAsia"/>
          <w:bCs/>
          <w:color w:val="000000"/>
          <w:kern w:val="0"/>
          <w:sz w:val="32"/>
          <w:szCs w:val="32"/>
          <w:shd w:val="clear" w:color="auto" w:fill="FFFFFF"/>
        </w:rPr>
      </w:pPr>
      <w:r>
        <w:rPr>
          <w:rFonts w:ascii="仿宋_GB2312" w:eastAsia="仿宋_GB2312" w:hint="eastAsia"/>
          <w:bCs/>
          <w:color w:val="000000"/>
          <w:kern w:val="0"/>
          <w:sz w:val="32"/>
          <w:szCs w:val="32"/>
          <w:shd w:val="clear" w:color="auto" w:fill="FFFFFF"/>
        </w:rPr>
        <w:t>一是因我会工作人员少，工作量大，为顺利推进各项工作，下基层开展工作多数时候是将几项专项工作一次性开展，再加上多数专项贯穿全年，故造成部分项目经费支出进度较慢及执行不够的情况；二是因我州藏传佛教教派多、高僧大德多，分布地区广，有些文集需跨省收集，且内容较多、体量较大，故造成《阿坝州珍稀古籍文献汇编》收集整理时间较长，致使影响出版进度；三是由于教规戒律教育涉及全州253座寺庙，工作点多、面广、量大，加之州县（市）佛协工作人员少、经费少等因素，影响工作推进力度。</w:t>
      </w:r>
    </w:p>
    <w:p>
      <w:pPr>
        <w:spacing w:line="560" w:lineRule="exact"/>
        <w:ind w:firstLineChars="200" w:firstLine="640"/>
        <w:rPr>
          <w:rFonts w:ascii="方正楷体_GBK" w:eastAsia="方正楷体_GBK" w:hint="eastAsia"/>
          <w:b/>
          <w:color w:val="000000"/>
          <w:sz w:val="32"/>
          <w:szCs w:val="32"/>
        </w:rPr>
      </w:pPr>
      <w:r>
        <w:rPr>
          <w:rFonts w:ascii="方正楷体_GBK" w:eastAsia="方正楷体_GBK" w:hint="eastAsia"/>
          <w:b/>
          <w:color w:val="000000"/>
          <w:sz w:val="32"/>
          <w:szCs w:val="32"/>
        </w:rPr>
        <w:t>（三）改进建议</w:t>
      </w:r>
    </w:p>
    <w:p>
      <w:pPr>
        <w:pStyle w:val="17"/>
        <w:keepNext w:val="0"/>
        <w:keepLines w:val="0"/>
        <w:pageBreakBefore w:val="0"/>
        <w:widowControl w:val="0"/>
        <w:kinsoku/>
        <w:wordWrap/>
        <w:overflowPunct/>
        <w:topLinePunct w:val="0"/>
        <w:autoSpaceDE/>
        <w:autoSpaceDN/>
        <w:bidi w:val="0"/>
        <w:spacing w:line="560" w:lineRule="exact"/>
        <w:textAlignment w:val="auto"/>
        <w:rPr>
          <w:rFonts w:ascii="Times New Roman" w:cs="Times New Roman" w:hAnsi="Times New Roman" w:hint="eastAsia"/>
          <w:sz w:val="32"/>
          <w:szCs w:val="32"/>
          <w:lang w:val="zh-CN" w:eastAsia="zh-CN"/>
          <w:highlight w:val="yellow"/>
        </w:rPr>
      </w:pPr>
      <w:r>
        <w:rPr>
          <w:rFonts w:ascii="仿宋_GB2312" w:eastAsia="仿宋_GB2312" w:hint="eastAsia"/>
          <w:bCs/>
          <w:color w:val="000000"/>
          <w:kern w:val="0"/>
          <w:sz w:val="32"/>
          <w:szCs w:val="32"/>
          <w:shd w:val="clear" w:color="auto" w:fill="FFFFFF"/>
        </w:rPr>
        <w:t>一是加强预算支出平衡力度，合理安排各项工作开展时间；二是进一步增收节支，提高服务水平及管理能力；三是加强自身建设，提高工作人员综合素质，在有限的人员和经费前提下，及时推进各项工作，圆满完成各项目标任务。</w:t>
      </w:r>
    </w:p>
    <w:p>
      <w:pPr>
        <w:pStyle w:val="19"/>
        <w:rPr>
          <w:rFonts w:ascii="Times New Roman" w:cs="宋体" w:hAnsi="Times New Roman" w:hint="eastAsia"/>
          <w:color w:val="FF0000"/>
          <w:kern w:val="0"/>
          <w:sz w:val="32"/>
          <w:szCs w:val="32"/>
          <w:shd w:val="clear" w:color="auto" w:fill="FFFFFF"/>
          <w:lang w:val="zh-CN"/>
          <w:highlight w:val="yellow"/>
        </w:rPr>
      </w:pPr>
    </w:p>
    <w:p>
      <w:pPr>
        <w:rPr>
          <w:rFonts w:ascii="Times New Roman" w:eastAsia="黑体" w:cs="黑体" w:hAnsi="Times New Roman" w:hint="eastAsia"/>
          <w:color w:val="auto"/>
          <w:kern w:val="0"/>
          <w:sz w:val="32"/>
          <w:szCs w:val="32"/>
          <w:shd w:val="clear" w:color="auto" w:fill="FFFFFF"/>
          <w:lang w:val="zh-CN"/>
          <w:highlight w:val="auto"/>
        </w:rPr>
      </w:pPr>
      <w:r>
        <w:rPr>
          <w:rFonts w:ascii="Times New Roman" w:eastAsia="黑体" w:cs="黑体" w:hAnsi="Times New Roman" w:hint="eastAsia"/>
          <w:color w:val="auto"/>
          <w:kern w:val="0"/>
          <w:sz w:val="32"/>
          <w:szCs w:val="32"/>
          <w:shd w:val="clear" w:color="auto" w:fill="FFFFFF"/>
          <w:lang w:val="zh-CN"/>
          <w:highlight w:val="auto"/>
        </w:rPr>
        <w:br w:type="page"/>
      </w:r>
    </w:p>
    <w:tbl>
      <w:tblPr>
        <w:jc w:val="center"/>
        <w:tblW w:w="8455" w:type="dxa"/>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487"/>
        <w:gridCol w:w="715"/>
        <w:gridCol w:w="830"/>
        <w:gridCol w:w="852"/>
        <w:gridCol w:w="830"/>
        <w:gridCol w:w="830"/>
        <w:gridCol w:w="830"/>
        <w:gridCol w:w="663"/>
        <w:gridCol w:w="731"/>
        <w:gridCol w:w="731"/>
        <w:gridCol w:w="731"/>
        <w:gridCol w:w="225"/>
      </w:tblGrid>
      <w:tr>
        <w:trPr>
          <w:trHeight w:val="899"/>
        </w:trPr>
        <w:tc>
          <w:tcPr>
            <w:tcW w:w="8230" w:type="dxa"/>
            <w:gridSpan w:val="11"/>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Lucida Sans"/>
                <w:b/>
                <w:i w:val="0"/>
                <w:color w:val="000000"/>
                <w:sz w:val="30"/>
              </w:rPr>
            </w:pPr>
            <w:r>
              <w:rPr>
                <w:rFonts w:ascii="黑体" w:eastAsia="黑体" w:cs="Lucida Sans"/>
                <w:b/>
                <w:i w:val="0"/>
                <w:color w:val="000000"/>
                <w:sz w:val="30"/>
              </w:rPr>
              <w:t>部门预算项目支出绩效自评表（2025年度）</w:t>
            </w:r>
          </w:p>
        </w:tc>
        <w:tc>
          <w:tcPr>
            <w:tcW w:w="2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Lucida Sans"/>
                <w:b/>
                <w:i w:val="0"/>
                <w:color w:val="000000"/>
                <w:sz w:val="30"/>
              </w:rPr>
            </w:pPr>
          </w:p>
        </w:tc>
      </w:tr>
      <w:tr>
        <w:trPr>
          <w:trHeight w:val="284"/>
        </w:trPr>
        <w:tc>
          <w:tcPr>
            <w:tcW w:w="1202"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项目名称</w:t>
            </w:r>
          </w:p>
        </w:tc>
        <w:tc>
          <w:tcPr>
            <w:tcW w:w="7028" w:type="dxa"/>
            <w:gridSpan w:val="9"/>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51320021T000000090038</w:t>
            </w:r>
            <w:r>
              <w:rPr>
                <w:rFonts w:ascii="宋体" w:cs="Lucida Sans" w:hint="eastAsia"/>
                <w:color w:val="000000"/>
                <w:sz w:val="18"/>
                <w:lang w:eastAsia="zh-CN"/>
              </w:rPr>
              <w:t>－</w:t>
            </w:r>
            <w:r>
              <w:rPr>
                <w:rFonts w:ascii="宋体" w:eastAsia="宋体" w:cs="Lucida Sans"/>
                <w:color w:val="000000"/>
                <w:sz w:val="18"/>
              </w:rPr>
              <w:t>培训费</w:t>
            </w:r>
          </w:p>
        </w:tc>
        <w:tc>
          <w:tcPr>
            <w:tcW w:w="2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p>
        </w:tc>
      </w:tr>
      <w:tr>
        <w:trPr>
          <w:trHeight w:val="509"/>
        </w:trPr>
        <w:tc>
          <w:tcPr>
            <w:tcW w:w="1202"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主管部门</w:t>
            </w:r>
          </w:p>
        </w:tc>
        <w:tc>
          <w:tcPr>
            <w:tcW w:w="4172" w:type="dxa"/>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州佛协部门</w:t>
            </w:r>
          </w:p>
        </w:tc>
        <w:tc>
          <w:tcPr>
            <w:tcW w:w="663" w:type="dxa"/>
            <w:tcBorders>
              <w:top w:val="nil"/>
              <w:left w:val="nil"/>
              <w:bottom w:val="nil"/>
              <w:right w:val="nil"/>
              <w:tl2br w:val="nil"/>
              <w:tr2bl w:val="nil"/>
            </w:tcBorders>
            <w:noWrap/>
            <w:vAlign w:val="center"/>
          </w:tcPr>
          <w:p>
            <w:pPr>
              <w:jc w:val="center"/>
              <w:rPr>
                <w:rFonts w:ascii="黑体" w:eastAsia="黑体" w:cs="Lucida Sans"/>
                <w:color w:val="000000"/>
                <w:sz w:val="18"/>
              </w:rPr>
            </w:pPr>
            <w:r>
              <w:rPr>
                <w:rFonts w:ascii="黑体" w:eastAsia="黑体" w:cs="Lucida Sans"/>
                <w:color w:val="000000"/>
                <w:sz w:val="18"/>
              </w:rPr>
              <w:t>实施单位 （盖章）</w:t>
            </w:r>
          </w:p>
        </w:tc>
        <w:tc>
          <w:tcPr>
            <w:tcW w:w="2193"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州佛协</w:t>
            </w:r>
          </w:p>
        </w:tc>
        <w:tc>
          <w:tcPr>
            <w:tcW w:w="2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p>
        </w:tc>
      </w:tr>
      <w:tr>
        <w:trPr>
          <w:trHeight w:val="284"/>
        </w:trPr>
        <w:tc>
          <w:tcPr>
            <w:tcW w:w="487"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项目基本情况</w:t>
            </w:r>
          </w:p>
        </w:tc>
        <w:tc>
          <w:tcPr>
            <w:tcW w:w="71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1.项目年度目标完成情况</w:t>
            </w:r>
          </w:p>
        </w:tc>
        <w:tc>
          <w:tcPr>
            <w:tcW w:w="4172" w:type="dxa"/>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项目年度目标</w:t>
            </w:r>
          </w:p>
        </w:tc>
        <w:tc>
          <w:tcPr>
            <w:tcW w:w="2856" w:type="dxa"/>
            <w:gridSpan w:val="4"/>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Lucida Sans"/>
                <w:color w:val="000000"/>
                <w:sz w:val="18"/>
              </w:rPr>
            </w:pPr>
            <w:r>
              <w:rPr>
                <w:rFonts w:ascii="黑体" w:eastAsia="黑体" w:cs="Lucida Sans"/>
                <w:color w:val="000000"/>
                <w:sz w:val="18"/>
              </w:rPr>
              <w:t>年度目标完成情况</w:t>
            </w:r>
          </w:p>
        </w:tc>
        <w:tc>
          <w:tcPr>
            <w:tcW w:w="2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Lucida Sans"/>
                <w:color w:val="000000"/>
                <w:sz w:val="18"/>
              </w:rPr>
            </w:pPr>
          </w:p>
        </w:tc>
      </w:tr>
      <w:tr>
        <w:trPr>
          <w:trHeight w:val="704"/>
        </w:trPr>
        <w:tc>
          <w:tcPr>
            <w:tcW w:w="53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71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4172" w:type="dxa"/>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加强州、县（市）佛协班子成员、寺管会班子成员和经师等对国情的了解，坚定爱国立场，增强社会责任感，提高素质和能力，引导他们对藏传佛教教规教义作出符合时代发展和社会进步要求的阐释。</w:t>
            </w:r>
          </w:p>
        </w:tc>
        <w:tc>
          <w:tcPr>
            <w:tcW w:w="2856" w:type="dxa"/>
            <w:gridSpan w:val="4"/>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Lucida Sans"/>
                <w:color w:val="000000"/>
                <w:sz w:val="18"/>
              </w:rPr>
            </w:pPr>
            <w:r>
              <w:rPr>
                <w:rFonts w:ascii="宋体" w:cs="Lucida Sans"/>
                <w:color w:val="000000"/>
                <w:sz w:val="18"/>
              </w:rPr>
              <w:t>有效推进宗教教义阐释2025年完成培训次数1次,课程内容适配度≥95%,培训对象满意度≥97%.切实做到坚定爱国立场，增强社会责任感，宗教人士综合素质提升程度。圆满完成年度培训工作任务。</w:t>
            </w:r>
          </w:p>
        </w:tc>
        <w:tc>
          <w:tcPr>
            <w:tcW w:w="2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Lucida Sans"/>
                <w:color w:val="000000"/>
                <w:sz w:val="18"/>
              </w:rPr>
            </w:pPr>
          </w:p>
        </w:tc>
      </w:tr>
      <w:tr>
        <w:trPr>
          <w:trHeight w:val="689"/>
        </w:trPr>
        <w:tc>
          <w:tcPr>
            <w:tcW w:w="53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71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2.项目实施内容及过程概述</w:t>
            </w:r>
          </w:p>
        </w:tc>
        <w:tc>
          <w:tcPr>
            <w:tcW w:w="7028" w:type="dxa"/>
            <w:gridSpan w:val="9"/>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本项目为佛协班子成员、寺管会班子成员和经师等佛教界人士教育培训经费支出项目，主要用于开展政策法规学习、意识形态教育等专题培训，项目严格按照财政预算管理、培训费管理办法等相关规定组织实施，坚持先审批、后培训、先预算、后支出原则，实现培训组织、经费使用、过程管理全程闭环。在项目实施过程中，首先根据年度培训计划和工作实际，科学制定培训方案，明确培训主题、参训对象、培训时间、授课方式、课程内容及经费预算，按程序履行报批手续。培训采取集中学习、专题讲座、线上课程、交流研讨等多种形式开展，内容紧扣政策要求与业务需求，注重实用性和针对性，确保培训取得实效。</w:t>
            </w:r>
          </w:p>
        </w:tc>
        <w:tc>
          <w:tcPr>
            <w:tcW w:w="2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p>
        </w:tc>
      </w:tr>
      <w:tr>
        <w:trPr>
          <w:trHeight w:val="359"/>
        </w:trPr>
        <w:tc>
          <w:tcPr>
            <w:tcW w:w="487"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预算执行情况（10分）</w:t>
            </w:r>
          </w:p>
        </w:tc>
        <w:tc>
          <w:tcPr>
            <w:tcW w:w="71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年度预算数（万元）</w:t>
            </w:r>
          </w:p>
        </w:tc>
        <w:tc>
          <w:tcPr>
            <w:tcW w:w="8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年初预算</w:t>
            </w:r>
          </w:p>
        </w:tc>
        <w:tc>
          <w:tcPr>
            <w:tcW w:w="85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调整后预算数</w:t>
            </w:r>
          </w:p>
        </w:tc>
        <w:tc>
          <w:tcPr>
            <w:tcW w:w="2490"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预算执行数</w:t>
            </w:r>
          </w:p>
        </w:tc>
        <w:tc>
          <w:tcPr>
            <w:tcW w:w="66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预算执行率</w:t>
            </w:r>
          </w:p>
        </w:tc>
        <w:tc>
          <w:tcPr>
            <w:tcW w:w="73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权重</w:t>
            </w:r>
          </w:p>
        </w:tc>
        <w:tc>
          <w:tcPr>
            <w:tcW w:w="73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得分</w:t>
            </w:r>
          </w:p>
        </w:tc>
        <w:tc>
          <w:tcPr>
            <w:tcW w:w="73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原因</w:t>
            </w:r>
          </w:p>
        </w:tc>
        <w:tc>
          <w:tcPr>
            <w:tcW w:w="2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p>
        </w:tc>
      </w:tr>
      <w:tr>
        <w:trPr>
          <w:trHeight w:val="344"/>
        </w:trPr>
        <w:tc>
          <w:tcPr>
            <w:tcW w:w="53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71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总额</w:t>
            </w:r>
          </w:p>
        </w:tc>
        <w:tc>
          <w:tcPr>
            <w:tcW w:w="8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25.00</w:t>
            </w:r>
          </w:p>
        </w:tc>
        <w:tc>
          <w:tcPr>
            <w:tcW w:w="85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24.52</w:t>
            </w:r>
          </w:p>
        </w:tc>
        <w:tc>
          <w:tcPr>
            <w:tcW w:w="2490"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24.52</w:t>
            </w:r>
          </w:p>
        </w:tc>
        <w:tc>
          <w:tcPr>
            <w:tcW w:w="66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100.00%</w:t>
            </w:r>
          </w:p>
        </w:tc>
        <w:tc>
          <w:tcPr>
            <w:tcW w:w="73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73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olor w:val="000000"/>
                <w:sz w:val="18"/>
              </w:rPr>
            </w:pPr>
          </w:p>
        </w:tc>
        <w:tc>
          <w:tcPr>
            <w:tcW w:w="731"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b w:val="0"/>
                <w:i/>
                <w:color w:val="000000"/>
                <w:sz w:val="18"/>
              </w:rPr>
            </w:pPr>
          </w:p>
        </w:tc>
        <w:tc>
          <w:tcPr>
            <w:tcW w:w="2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b w:val="0"/>
                <w:i/>
                <w:color w:val="000000"/>
                <w:sz w:val="18"/>
              </w:rPr>
            </w:pPr>
          </w:p>
        </w:tc>
      </w:tr>
      <w:tr>
        <w:trPr>
          <w:trHeight w:val="389"/>
        </w:trPr>
        <w:tc>
          <w:tcPr>
            <w:tcW w:w="53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71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其中：财政资金</w:t>
            </w:r>
          </w:p>
        </w:tc>
        <w:tc>
          <w:tcPr>
            <w:tcW w:w="8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25.00</w:t>
            </w:r>
          </w:p>
        </w:tc>
        <w:tc>
          <w:tcPr>
            <w:tcW w:w="85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24.52</w:t>
            </w:r>
          </w:p>
        </w:tc>
        <w:tc>
          <w:tcPr>
            <w:tcW w:w="2490"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24.52</w:t>
            </w:r>
          </w:p>
        </w:tc>
        <w:tc>
          <w:tcPr>
            <w:tcW w:w="66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100.00%</w:t>
            </w:r>
          </w:p>
        </w:tc>
        <w:tc>
          <w:tcPr>
            <w:tcW w:w="73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73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731"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25" w:type="dxa"/>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404"/>
        </w:trPr>
        <w:tc>
          <w:tcPr>
            <w:tcW w:w="53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71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财政专户管理资金</w:t>
            </w:r>
          </w:p>
        </w:tc>
        <w:tc>
          <w:tcPr>
            <w:tcW w:w="8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85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2490"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66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73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73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731"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25" w:type="dxa"/>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359"/>
        </w:trPr>
        <w:tc>
          <w:tcPr>
            <w:tcW w:w="53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71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单位资金</w:t>
            </w:r>
          </w:p>
        </w:tc>
        <w:tc>
          <w:tcPr>
            <w:tcW w:w="8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85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2490"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66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73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73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731"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25" w:type="dxa"/>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344"/>
        </w:trPr>
        <w:tc>
          <w:tcPr>
            <w:tcW w:w="53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71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其他资金</w:t>
            </w:r>
          </w:p>
        </w:tc>
        <w:tc>
          <w:tcPr>
            <w:tcW w:w="8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85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2490"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p>
        </w:tc>
        <w:tc>
          <w:tcPr>
            <w:tcW w:w="66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73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73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731"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25" w:type="dxa"/>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449"/>
        </w:trPr>
        <w:tc>
          <w:tcPr>
            <w:tcW w:w="487"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绩效指标（90分）</w:t>
            </w:r>
          </w:p>
        </w:tc>
        <w:tc>
          <w:tcPr>
            <w:tcW w:w="71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一级指标</w:t>
            </w:r>
          </w:p>
        </w:tc>
        <w:tc>
          <w:tcPr>
            <w:tcW w:w="8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二级指标</w:t>
            </w:r>
          </w:p>
        </w:tc>
        <w:tc>
          <w:tcPr>
            <w:tcW w:w="85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三级指标</w:t>
            </w:r>
          </w:p>
        </w:tc>
        <w:tc>
          <w:tcPr>
            <w:tcW w:w="8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指标性质</w:t>
            </w:r>
          </w:p>
        </w:tc>
        <w:tc>
          <w:tcPr>
            <w:tcW w:w="8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指标值</w:t>
            </w:r>
          </w:p>
        </w:tc>
        <w:tc>
          <w:tcPr>
            <w:tcW w:w="8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度量单位</w:t>
            </w:r>
          </w:p>
        </w:tc>
        <w:tc>
          <w:tcPr>
            <w:tcW w:w="66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完成值</w:t>
            </w:r>
          </w:p>
        </w:tc>
        <w:tc>
          <w:tcPr>
            <w:tcW w:w="73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权重</w:t>
            </w:r>
          </w:p>
        </w:tc>
        <w:tc>
          <w:tcPr>
            <w:tcW w:w="73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得分</w:t>
            </w:r>
          </w:p>
        </w:tc>
        <w:tc>
          <w:tcPr>
            <w:tcW w:w="73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未完成原因分析</w:t>
            </w:r>
          </w:p>
        </w:tc>
        <w:tc>
          <w:tcPr>
            <w:tcW w:w="2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p>
        </w:tc>
      </w:tr>
      <w:tr>
        <w:trPr>
          <w:trHeight w:val="344"/>
        </w:trPr>
        <w:tc>
          <w:tcPr>
            <w:tcW w:w="53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71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产出指标</w:t>
            </w:r>
          </w:p>
        </w:tc>
        <w:tc>
          <w:tcPr>
            <w:tcW w:w="8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数量指标</w:t>
            </w:r>
          </w:p>
        </w:tc>
        <w:tc>
          <w:tcPr>
            <w:tcW w:w="85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培训次数</w:t>
            </w:r>
          </w:p>
        </w:tc>
        <w:tc>
          <w:tcPr>
            <w:tcW w:w="8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8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w:t>
            </w:r>
          </w:p>
        </w:tc>
        <w:tc>
          <w:tcPr>
            <w:tcW w:w="8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次</w:t>
            </w:r>
          </w:p>
        </w:tc>
        <w:tc>
          <w:tcPr>
            <w:tcW w:w="66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73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73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olor w:val="000000"/>
                <w:sz w:val="18"/>
              </w:rPr>
            </w:pPr>
          </w:p>
        </w:tc>
        <w:tc>
          <w:tcPr>
            <w:tcW w:w="73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2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344"/>
        </w:trPr>
        <w:tc>
          <w:tcPr>
            <w:tcW w:w="53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71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8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质量指标</w:t>
            </w:r>
          </w:p>
        </w:tc>
        <w:tc>
          <w:tcPr>
            <w:tcW w:w="85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培训合格率</w:t>
            </w:r>
          </w:p>
        </w:tc>
        <w:tc>
          <w:tcPr>
            <w:tcW w:w="8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8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95</w:t>
            </w:r>
          </w:p>
        </w:tc>
        <w:tc>
          <w:tcPr>
            <w:tcW w:w="8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66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73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20</w:t>
            </w:r>
          </w:p>
        </w:tc>
        <w:tc>
          <w:tcPr>
            <w:tcW w:w="73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olor w:val="000000"/>
                <w:sz w:val="18"/>
              </w:rPr>
            </w:pPr>
          </w:p>
        </w:tc>
        <w:tc>
          <w:tcPr>
            <w:tcW w:w="73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2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344"/>
        </w:trPr>
        <w:tc>
          <w:tcPr>
            <w:tcW w:w="53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71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8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时效指标</w:t>
            </w:r>
          </w:p>
        </w:tc>
        <w:tc>
          <w:tcPr>
            <w:tcW w:w="85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培训时限</w:t>
            </w:r>
          </w:p>
        </w:tc>
        <w:tc>
          <w:tcPr>
            <w:tcW w:w="8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8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w:t>
            </w:r>
          </w:p>
        </w:tc>
        <w:tc>
          <w:tcPr>
            <w:tcW w:w="8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年</w:t>
            </w:r>
          </w:p>
        </w:tc>
        <w:tc>
          <w:tcPr>
            <w:tcW w:w="66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73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73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olor w:val="000000"/>
                <w:sz w:val="18"/>
              </w:rPr>
            </w:pPr>
          </w:p>
        </w:tc>
        <w:tc>
          <w:tcPr>
            <w:tcW w:w="73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2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344"/>
        </w:trPr>
        <w:tc>
          <w:tcPr>
            <w:tcW w:w="53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71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效益指标</w:t>
            </w:r>
          </w:p>
        </w:tc>
        <w:tc>
          <w:tcPr>
            <w:tcW w:w="8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社会效益指标</w:t>
            </w:r>
          </w:p>
        </w:tc>
        <w:tc>
          <w:tcPr>
            <w:tcW w:w="85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增强社会责任感</w:t>
            </w:r>
          </w:p>
        </w:tc>
        <w:tc>
          <w:tcPr>
            <w:tcW w:w="8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定性</w:t>
            </w:r>
          </w:p>
        </w:tc>
        <w:tc>
          <w:tcPr>
            <w:tcW w:w="8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社会责任感显著提升</w:t>
            </w:r>
          </w:p>
        </w:tc>
        <w:tc>
          <w:tcPr>
            <w:tcW w:w="8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olor w:val="000000"/>
                <w:sz w:val="18"/>
              </w:rPr>
            </w:pPr>
          </w:p>
        </w:tc>
        <w:tc>
          <w:tcPr>
            <w:tcW w:w="66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73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73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olor w:val="000000"/>
                <w:sz w:val="18"/>
              </w:rPr>
            </w:pPr>
          </w:p>
        </w:tc>
        <w:tc>
          <w:tcPr>
            <w:tcW w:w="73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2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449"/>
        </w:trPr>
        <w:tc>
          <w:tcPr>
            <w:tcW w:w="53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71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8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可持续影响指标</w:t>
            </w:r>
          </w:p>
        </w:tc>
        <w:tc>
          <w:tcPr>
            <w:tcW w:w="85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宗教教义阐释现代化推进程度</w:t>
            </w:r>
          </w:p>
        </w:tc>
        <w:tc>
          <w:tcPr>
            <w:tcW w:w="8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定性</w:t>
            </w:r>
          </w:p>
        </w:tc>
        <w:tc>
          <w:tcPr>
            <w:tcW w:w="8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有效推进宗教教义阐释</w:t>
            </w:r>
          </w:p>
        </w:tc>
        <w:tc>
          <w:tcPr>
            <w:tcW w:w="8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olor w:val="000000"/>
                <w:sz w:val="18"/>
              </w:rPr>
            </w:pPr>
          </w:p>
        </w:tc>
        <w:tc>
          <w:tcPr>
            <w:tcW w:w="66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73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73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olor w:val="000000"/>
                <w:sz w:val="18"/>
              </w:rPr>
            </w:pPr>
          </w:p>
        </w:tc>
        <w:tc>
          <w:tcPr>
            <w:tcW w:w="73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2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449"/>
        </w:trPr>
        <w:tc>
          <w:tcPr>
            <w:tcW w:w="53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71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满意度指标</w:t>
            </w:r>
          </w:p>
        </w:tc>
        <w:tc>
          <w:tcPr>
            <w:tcW w:w="8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服务对象满意度指标</w:t>
            </w:r>
          </w:p>
        </w:tc>
        <w:tc>
          <w:tcPr>
            <w:tcW w:w="85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培训对象满意度</w:t>
            </w:r>
          </w:p>
        </w:tc>
        <w:tc>
          <w:tcPr>
            <w:tcW w:w="8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8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97</w:t>
            </w:r>
          </w:p>
        </w:tc>
        <w:tc>
          <w:tcPr>
            <w:tcW w:w="8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66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73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73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olor w:val="000000"/>
                <w:sz w:val="18"/>
              </w:rPr>
            </w:pPr>
          </w:p>
        </w:tc>
        <w:tc>
          <w:tcPr>
            <w:tcW w:w="73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2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899"/>
        </w:trPr>
        <w:tc>
          <w:tcPr>
            <w:tcW w:w="536"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71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成本指标</w:t>
            </w:r>
          </w:p>
        </w:tc>
        <w:tc>
          <w:tcPr>
            <w:tcW w:w="8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经济成本指标</w:t>
            </w:r>
          </w:p>
        </w:tc>
        <w:tc>
          <w:tcPr>
            <w:tcW w:w="85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培训经费</w:t>
            </w:r>
          </w:p>
        </w:tc>
        <w:tc>
          <w:tcPr>
            <w:tcW w:w="8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8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25</w:t>
            </w:r>
          </w:p>
        </w:tc>
        <w:tc>
          <w:tcPr>
            <w:tcW w:w="8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万元/每项目</w:t>
            </w:r>
          </w:p>
        </w:tc>
        <w:tc>
          <w:tcPr>
            <w:tcW w:w="66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73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20</w:t>
            </w:r>
          </w:p>
        </w:tc>
        <w:tc>
          <w:tcPr>
            <w:tcW w:w="73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olor w:val="000000"/>
                <w:sz w:val="18"/>
              </w:rPr>
            </w:pPr>
          </w:p>
        </w:tc>
        <w:tc>
          <w:tcPr>
            <w:tcW w:w="73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2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284"/>
        </w:trPr>
        <w:tc>
          <w:tcPr>
            <w:tcW w:w="6037" w:type="dxa"/>
            <w:gridSpan w:val="8"/>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合计</w:t>
            </w:r>
          </w:p>
        </w:tc>
        <w:tc>
          <w:tcPr>
            <w:tcW w:w="73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100</w:t>
            </w:r>
          </w:p>
        </w:tc>
        <w:tc>
          <w:tcPr>
            <w:tcW w:w="73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olor w:val="000000"/>
                <w:sz w:val="18"/>
              </w:rPr>
            </w:pPr>
          </w:p>
        </w:tc>
        <w:tc>
          <w:tcPr>
            <w:tcW w:w="73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olor w:val="000000"/>
                <w:sz w:val="18"/>
              </w:rPr>
            </w:pPr>
          </w:p>
        </w:tc>
        <w:tc>
          <w:tcPr>
            <w:tcW w:w="2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olor w:val="000000"/>
                <w:sz w:val="18"/>
              </w:rPr>
            </w:pPr>
          </w:p>
        </w:tc>
      </w:tr>
      <w:tr>
        <w:trPr>
          <w:trHeight w:val="599"/>
        </w:trPr>
        <w:tc>
          <w:tcPr>
            <w:tcW w:w="487"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评价结论</w:t>
            </w:r>
          </w:p>
        </w:tc>
        <w:tc>
          <w:tcPr>
            <w:tcW w:w="7743" w:type="dxa"/>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自评分为100分。成效：加强州、县（市）佛协班子成员、寺管会班子成员和经师等对国情的了解，坚定爱国立场，增强社会责任感，提高素质和能力，引导他们对藏传佛教教规教义作出符合时代发展和社会进步要求的阐释。确保寺庙领导权牢牢掌握在爱国爱教人士手中，落实“加强对民管会班子成员的经常性教育和培训”和“落实</w:t>
            </w:r>
            <w:r>
              <w:rPr>
                <w:rFonts w:ascii="微软雅黑" w:eastAsia="微软雅黑" w:cs="Lucida Sans" w:hint="eastAsia"/>
                <w:b w:val="0"/>
                <w:i/>
                <w:color w:val="000000"/>
                <w:sz w:val="16"/>
                <w:lang w:eastAsia="zh-CN"/>
              </w:rPr>
              <w:t>警事</w:t>
            </w:r>
            <w:r>
              <w:rPr>
                <w:rFonts w:ascii="微软雅黑" w:eastAsia="微软雅黑" w:cs="Lucida Sans"/>
                <w:b w:val="0"/>
                <w:i/>
                <w:color w:val="000000"/>
                <w:sz w:val="16"/>
              </w:rPr>
              <w:t>联系制度，组织其参加各种培训和参观考察，增强国家意识、法律意识、公民意识”。</w:t>
            </w:r>
          </w:p>
        </w:tc>
        <w:tc>
          <w:tcPr>
            <w:tcW w:w="2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p>
        </w:tc>
      </w:tr>
      <w:tr>
        <w:trPr>
          <w:trHeight w:val="569"/>
        </w:trPr>
        <w:tc>
          <w:tcPr>
            <w:tcW w:w="487"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存在问题</w:t>
            </w:r>
          </w:p>
        </w:tc>
        <w:tc>
          <w:tcPr>
            <w:tcW w:w="7743" w:type="dxa"/>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无</w:t>
            </w:r>
          </w:p>
        </w:tc>
        <w:tc>
          <w:tcPr>
            <w:tcW w:w="2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p>
        </w:tc>
      </w:tr>
      <w:tr>
        <w:trPr>
          <w:trHeight w:val="629"/>
        </w:trPr>
        <w:tc>
          <w:tcPr>
            <w:tcW w:w="487"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改进措施</w:t>
            </w:r>
          </w:p>
        </w:tc>
        <w:tc>
          <w:tcPr>
            <w:tcW w:w="7743" w:type="dxa"/>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无</w:t>
            </w:r>
          </w:p>
        </w:tc>
        <w:tc>
          <w:tcPr>
            <w:tcW w:w="2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p>
        </w:tc>
      </w:tr>
      <w:tr>
        <w:trPr>
          <w:trHeight w:val="284"/>
        </w:trPr>
        <w:tc>
          <w:tcPr>
            <w:tcW w:w="3714" w:type="dxa"/>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Lucida Sans"/>
                <w:color w:val="000000"/>
                <w:sz w:val="18"/>
              </w:rPr>
            </w:pPr>
            <w:r>
              <w:rPr>
                <w:rFonts w:ascii="黑体" w:eastAsia="黑体" w:cs="Lucida Sans"/>
                <w:color w:val="000000"/>
                <w:sz w:val="18"/>
              </w:rPr>
              <w:t>项目负责人：</w:t>
            </w:r>
          </w:p>
        </w:tc>
        <w:tc>
          <w:tcPr>
            <w:tcW w:w="4516" w:type="dxa"/>
            <w:gridSpan w:val="6"/>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Lucida Sans"/>
                <w:color w:val="000000"/>
                <w:sz w:val="18"/>
              </w:rPr>
            </w:pPr>
            <w:r>
              <w:rPr>
                <w:rFonts w:ascii="黑体" w:eastAsia="黑体" w:cs="Lucida Sans"/>
                <w:color w:val="000000"/>
                <w:sz w:val="18"/>
              </w:rPr>
              <w:t>财务负责人：</w:t>
            </w:r>
          </w:p>
        </w:tc>
        <w:tc>
          <w:tcPr>
            <w:tcW w:w="2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Lucida Sans"/>
                <w:color w:val="000000"/>
                <w:sz w:val="18"/>
              </w:rPr>
            </w:pPr>
          </w:p>
        </w:tc>
      </w:tr>
    </w:tbl>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ascii="Times New Roman" w:eastAsia="仿宋_GB2312" w:cs="仿宋_GB2312" w:hAnsi="Times New Roman" w:hint="eastAsia"/>
          <w:b w:val="0"/>
          <w:bCs w:val="0"/>
          <w:kern w:val="0"/>
          <w:position w:val="0"/>
          <w:sz w:val="32"/>
          <w:szCs w:val="32"/>
          <w:lang w:val="en-US" w:eastAsia="zh-CN" w:bidi="ar-SA"/>
          <w:highlight w:val="auto"/>
        </w:rPr>
      </w:pP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ascii="Times New Roman" w:eastAsia="仿宋_GB2312" w:cs="仿宋_GB2312" w:hAnsi="Times New Roman" w:hint="eastAsia"/>
          <w:b w:val="0"/>
          <w:bCs w:val="0"/>
          <w:kern w:val="0"/>
          <w:position w:val="0"/>
          <w:sz w:val="32"/>
          <w:szCs w:val="32"/>
          <w:lang w:val="en-US" w:eastAsia="zh-CN" w:bidi="ar-SA"/>
          <w:highlight w:val="auto"/>
        </w:rPr>
      </w:pP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ascii="Times New Roman" w:eastAsia="仿宋_GB2312" w:cs="仿宋_GB2312" w:hAnsi="Times New Roman" w:hint="eastAsia"/>
          <w:b w:val="0"/>
          <w:bCs w:val="0"/>
          <w:kern w:val="0"/>
          <w:position w:val="0"/>
          <w:sz w:val="32"/>
          <w:szCs w:val="32"/>
          <w:lang w:val="en-US" w:eastAsia="zh-CN" w:bidi="ar-SA"/>
          <w:highlight w:val="auto"/>
        </w:rPr>
      </w:pPr>
      <w:bookmarkStart w:id="52" w:name="_Toc15396618"/>
      <w:r>
        <w:rPr>
          <w:rFonts w:ascii="Times New Roman" w:eastAsia="仿宋_GB2312" w:cs="仿宋_GB2312" w:hAnsi="Times New Roman" w:hint="eastAsia"/>
          <w:b w:val="0"/>
          <w:bCs w:val="0"/>
          <w:kern w:val="0"/>
          <w:position w:val="0"/>
          <w:sz w:val="32"/>
          <w:szCs w:val="32"/>
          <w:lang w:val="en-US" w:eastAsia="zh-CN" w:bidi="ar-SA"/>
          <w:highlight w:val="auto"/>
        </w:rPr>
        <w:br w:type="page"/>
      </w:r>
    </w:p>
    <w:tbl>
      <w:tblPr>
        <w:jc w:val="left"/>
        <w:tblInd w:w="0" w:type="dxa"/>
        <w:tblBorders>
          <w:top w:val="none" w:sz="0" w:space="0" w:color="auto"/>
          <w:left w:val="none" w:sz="0" w:space="0" w:color="auto"/>
          <w:bottom w:val="none" w:sz="0" w:space="0" w:color="auto"/>
          <w:right w:val="none" w:sz="0" w:space="0" w:color="auto"/>
        </w:tblBorders>
        <w:tblLayout w:type="fixed"/>
        <w:tblCellMar>
          <w:top w:w="0" w:type="dxa"/>
          <w:left w:w="108" w:type="dxa"/>
          <w:bottom w:w="0" w:type="dxa"/>
          <w:right w:w="108" w:type="dxa"/>
        </w:tblCellMar>
      </w:tblPr>
      <w:tblGrid>
        <w:gridCol w:w="569"/>
        <w:gridCol w:w="528"/>
        <w:gridCol w:w="823"/>
        <w:gridCol w:w="621"/>
        <w:gridCol w:w="803"/>
        <w:gridCol w:w="1120"/>
        <w:gridCol w:w="898"/>
        <w:gridCol w:w="776"/>
        <w:gridCol w:w="755"/>
        <w:gridCol w:w="755"/>
        <w:gridCol w:w="702"/>
      </w:tblGrid>
      <w:tr>
        <w:trPr>
          <w:trHeight w:val="899"/>
        </w:trPr>
        <w:tc>
          <w:tcPr>
            <w:tcW w:w="8350" w:type="dxa"/>
            <w:gridSpan w:val="11"/>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Lucida Sans"/>
                <w:b/>
                <w:i w:val="0"/>
                <w:color w:val="000000"/>
                <w:sz w:val="30"/>
              </w:rPr>
            </w:pPr>
            <w:r>
              <w:rPr>
                <w:rFonts w:ascii="黑体" w:eastAsia="黑体" w:cs="Lucida Sans"/>
                <w:b/>
                <w:i w:val="0"/>
                <w:color w:val="000000"/>
                <w:sz w:val="30"/>
              </w:rPr>
              <w:t>部门预算项目支出绩效自评表（2025年度）</w:t>
            </w:r>
          </w:p>
        </w:tc>
      </w:tr>
      <w:tr>
        <w:trPr>
          <w:trHeight w:val="284"/>
        </w:trPr>
        <w:tc>
          <w:tcPr>
            <w:tcW w:w="1097"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项目名称</w:t>
            </w:r>
          </w:p>
        </w:tc>
        <w:tc>
          <w:tcPr>
            <w:tcW w:w="7253" w:type="dxa"/>
            <w:gridSpan w:val="9"/>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51320021T000000090247</w:t>
            </w:r>
            <w:r>
              <w:rPr>
                <w:rFonts w:ascii="宋体" w:cs="Lucida Sans" w:hint="eastAsia"/>
                <w:color w:val="000000"/>
                <w:sz w:val="18"/>
                <w:lang w:eastAsia="zh-CN"/>
              </w:rPr>
              <w:t>－</w:t>
            </w:r>
            <w:r>
              <w:rPr>
                <w:rFonts w:ascii="宋体" w:eastAsia="宋体" w:cs="Lucida Sans"/>
                <w:color w:val="000000"/>
                <w:sz w:val="18"/>
              </w:rPr>
              <w:t>老会长慰问费</w:t>
            </w:r>
          </w:p>
        </w:tc>
      </w:tr>
      <w:tr>
        <w:trPr>
          <w:trHeight w:val="509"/>
        </w:trPr>
        <w:tc>
          <w:tcPr>
            <w:tcW w:w="1097"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主管部门</w:t>
            </w:r>
          </w:p>
        </w:tc>
        <w:tc>
          <w:tcPr>
            <w:tcW w:w="4265" w:type="dxa"/>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州佛协部门</w:t>
            </w:r>
          </w:p>
        </w:tc>
        <w:tc>
          <w:tcPr>
            <w:tcW w:w="776" w:type="dxa"/>
            <w:tcBorders>
              <w:top w:val="nil"/>
              <w:left w:val="nil"/>
              <w:bottom w:val="nil"/>
              <w:right w:val="nil"/>
              <w:tl2br w:val="nil"/>
              <w:tr2bl w:val="nil"/>
            </w:tcBorders>
            <w:noWrap/>
            <w:vAlign w:val="center"/>
          </w:tcPr>
          <w:p>
            <w:pPr>
              <w:jc w:val="center"/>
              <w:rPr>
                <w:rFonts w:ascii="黑体" w:eastAsia="黑体" w:cs="Lucida Sans"/>
                <w:color w:val="000000"/>
                <w:sz w:val="18"/>
              </w:rPr>
            </w:pPr>
            <w:r>
              <w:rPr>
                <w:rFonts w:ascii="黑体" w:eastAsia="黑体" w:cs="Lucida Sans"/>
                <w:color w:val="000000"/>
                <w:sz w:val="18"/>
              </w:rPr>
              <w:t>实施单位 （盖章）</w:t>
            </w:r>
          </w:p>
        </w:tc>
        <w:tc>
          <w:tcPr>
            <w:tcW w:w="2212"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州佛协</w:t>
            </w:r>
          </w:p>
        </w:tc>
      </w:tr>
      <w:tr>
        <w:trPr>
          <w:trHeight w:val="284"/>
        </w:trPr>
        <w:tc>
          <w:tcPr>
            <w:tcW w:w="569"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项目基本情况</w:t>
            </w:r>
          </w:p>
        </w:tc>
        <w:tc>
          <w:tcPr>
            <w:tcW w:w="528"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1.项目年度目标完成情况</w:t>
            </w:r>
          </w:p>
        </w:tc>
        <w:tc>
          <w:tcPr>
            <w:tcW w:w="4265" w:type="dxa"/>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项目年度目标</w:t>
            </w:r>
          </w:p>
        </w:tc>
        <w:tc>
          <w:tcPr>
            <w:tcW w:w="2987" w:type="dxa"/>
            <w:gridSpan w:val="4"/>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Lucida Sans"/>
                <w:color w:val="000000"/>
                <w:sz w:val="18"/>
              </w:rPr>
            </w:pPr>
            <w:r>
              <w:rPr>
                <w:rFonts w:ascii="黑体" w:eastAsia="黑体" w:cs="Lucida Sans"/>
                <w:color w:val="000000"/>
                <w:sz w:val="18"/>
              </w:rPr>
              <w:t>年度目标完成情况</w:t>
            </w:r>
          </w:p>
        </w:tc>
      </w:tr>
      <w:tr>
        <w:trPr>
          <w:trHeight w:val="704"/>
        </w:trPr>
        <w:tc>
          <w:tcPr>
            <w:tcW w:w="289"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333"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4265" w:type="dxa"/>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根据我会工作实际，按照州委主要领导的指示，要求我会在春节前开展老会长、老活佛的慰问工作，传达党和政府的问候和关心，为切实做好此项工作。通过慰问老会长、老活佛，传达党和政府的关心关爱，促进宗教和谐，鼓励老同志继续为我州宗教工作建言献策</w:t>
            </w:r>
          </w:p>
        </w:tc>
        <w:tc>
          <w:tcPr>
            <w:tcW w:w="2987" w:type="dxa"/>
            <w:gridSpan w:val="4"/>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Lucida Sans"/>
                <w:color w:val="000000"/>
                <w:sz w:val="18"/>
              </w:rPr>
            </w:pPr>
            <w:r>
              <w:rPr>
                <w:rFonts w:ascii="黑体" w:eastAsia="黑体" w:cs="Lucida Sans"/>
                <w:color w:val="000000"/>
                <w:sz w:val="18"/>
              </w:rPr>
              <w:t>2025年对已离任的老会长、老活佛等宗教界代表人士进行慰问8人,发放对象及数额准确率100%,有效传达党和政府的关心、关爱.本次慰问项目组织严谨、安排周密、执行顺畅、措施暖心，切实做到了关心到位、沟通到位、了解到位，有效增强了宗教界代表人士的归属感与认同感，维护了宗教领域的和谐稳定，圆满完成年度慰问工作任务。</w:t>
            </w:r>
          </w:p>
        </w:tc>
      </w:tr>
      <w:tr>
        <w:trPr>
          <w:trHeight w:val="689"/>
        </w:trPr>
        <w:tc>
          <w:tcPr>
            <w:tcW w:w="289"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528"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2.项目实施内容及过程概述</w:t>
            </w:r>
          </w:p>
        </w:tc>
        <w:tc>
          <w:tcPr>
            <w:tcW w:w="7253" w:type="dxa"/>
            <w:gridSpan w:val="9"/>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本项目旨在进一步贯彻落实党和政府对宗教界代表人士的关心关怀政策，扎实做好离退休及已离任代表人士的联络服务工作，通过组织开展走访慰问活动，传递组织关怀、了解生活状况、沟通思想动态，促进宗教界和谐稳定。项目严格按照相关经费管理规定、慰问工作制度及年度预算组织实施，坚持政策暖心、程序合规、开支规范、实事求实的工作原则。慰问实施过程中，严格按照既定方案，组织工作人员采取上门走访、座谈慰问等多种方式，与慰问对象亲切交流。工作人员认真了解他们的生活情况、身体健康状况和实际困难，耐心听取意见建议，及时做好沟通记录和情况反馈。慰问物资与慰问金严格按照预算标准发放，做到对象明确、金额准确、依据充分、手续齐全，全过程实行公开透明、即时登记、财务合规管理。</w:t>
            </w:r>
          </w:p>
        </w:tc>
      </w:tr>
      <w:tr>
        <w:trPr>
          <w:trHeight w:val="359"/>
        </w:trPr>
        <w:tc>
          <w:tcPr>
            <w:tcW w:w="569"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预算执行情况（10分）</w:t>
            </w:r>
          </w:p>
        </w:tc>
        <w:tc>
          <w:tcPr>
            <w:tcW w:w="528"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年度预算数（万元）</w:t>
            </w:r>
          </w:p>
        </w:tc>
        <w:tc>
          <w:tcPr>
            <w:tcW w:w="82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年初预算</w:t>
            </w:r>
          </w:p>
        </w:tc>
        <w:tc>
          <w:tcPr>
            <w:tcW w:w="62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调整后预算数</w:t>
            </w:r>
          </w:p>
        </w:tc>
        <w:tc>
          <w:tcPr>
            <w:tcW w:w="2821"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预算执行数</w:t>
            </w:r>
          </w:p>
        </w:tc>
        <w:tc>
          <w:tcPr>
            <w:tcW w:w="776"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预算执行率</w:t>
            </w:r>
          </w:p>
        </w:tc>
        <w:tc>
          <w:tcPr>
            <w:tcW w:w="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权重</w:t>
            </w:r>
          </w:p>
        </w:tc>
        <w:tc>
          <w:tcPr>
            <w:tcW w:w="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得分</w:t>
            </w:r>
          </w:p>
        </w:tc>
        <w:tc>
          <w:tcPr>
            <w:tcW w:w="7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原因</w:t>
            </w:r>
          </w:p>
        </w:tc>
      </w:tr>
      <w:tr>
        <w:trPr>
          <w:trHeight w:val="344"/>
        </w:trPr>
        <w:tc>
          <w:tcPr>
            <w:tcW w:w="289"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528"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总额</w:t>
            </w:r>
          </w:p>
        </w:tc>
        <w:tc>
          <w:tcPr>
            <w:tcW w:w="82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0.90</w:t>
            </w:r>
          </w:p>
        </w:tc>
        <w:tc>
          <w:tcPr>
            <w:tcW w:w="62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0.80</w:t>
            </w:r>
          </w:p>
        </w:tc>
        <w:tc>
          <w:tcPr>
            <w:tcW w:w="2821"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pPr>
            <w:r>
              <w:rPr>
                <w:rFonts w:ascii="宋体" w:eastAsia="宋体" w:cs="Lucida Sans"/>
                <w:color w:val="000000"/>
                <w:sz w:val="18"/>
              </w:rPr>
              <w:t>0.90</w:t>
            </w:r>
          </w:p>
        </w:tc>
        <w:tc>
          <w:tcPr>
            <w:tcW w:w="776"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100.00%</w:t>
            </w:r>
          </w:p>
        </w:tc>
        <w:tc>
          <w:tcPr>
            <w:tcW w:w="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olor w:val="000000"/>
                <w:sz w:val="18"/>
              </w:rPr>
            </w:pPr>
          </w:p>
        </w:tc>
        <w:tc>
          <w:tcPr>
            <w:tcW w:w="701"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eastAsia="宋体" w:cs="Lucida Sans"/>
                <w:b w:val="0"/>
                <w:i/>
                <w:color w:val="000000"/>
                <w:sz w:val="18"/>
              </w:rPr>
            </w:pPr>
          </w:p>
        </w:tc>
      </w:tr>
      <w:tr>
        <w:trPr>
          <w:trHeight w:val="389"/>
        </w:trPr>
        <w:tc>
          <w:tcPr>
            <w:tcW w:w="289"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528"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其中：财政资金</w:t>
            </w:r>
          </w:p>
        </w:tc>
        <w:tc>
          <w:tcPr>
            <w:tcW w:w="82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0.90</w:t>
            </w:r>
          </w:p>
        </w:tc>
        <w:tc>
          <w:tcPr>
            <w:tcW w:w="62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0.80</w:t>
            </w:r>
          </w:p>
        </w:tc>
        <w:tc>
          <w:tcPr>
            <w:tcW w:w="2821"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0.90</w:t>
            </w:r>
          </w:p>
        </w:tc>
        <w:tc>
          <w:tcPr>
            <w:tcW w:w="776"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100.00%</w:t>
            </w:r>
          </w:p>
        </w:tc>
        <w:tc>
          <w:tcPr>
            <w:tcW w:w="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824"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404"/>
        </w:trPr>
        <w:tc>
          <w:tcPr>
            <w:tcW w:w="289"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528"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财政专户管理资金</w:t>
            </w:r>
          </w:p>
        </w:tc>
        <w:tc>
          <w:tcPr>
            <w:tcW w:w="82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62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2821"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776"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824"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359"/>
        </w:trPr>
        <w:tc>
          <w:tcPr>
            <w:tcW w:w="289"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528"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单位资金</w:t>
            </w:r>
          </w:p>
        </w:tc>
        <w:tc>
          <w:tcPr>
            <w:tcW w:w="82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62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2821"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776"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824"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344"/>
        </w:trPr>
        <w:tc>
          <w:tcPr>
            <w:tcW w:w="289"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528"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其他资金</w:t>
            </w:r>
          </w:p>
        </w:tc>
        <w:tc>
          <w:tcPr>
            <w:tcW w:w="82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62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2821"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p>
        </w:tc>
        <w:tc>
          <w:tcPr>
            <w:tcW w:w="776"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824"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449"/>
        </w:trPr>
        <w:tc>
          <w:tcPr>
            <w:tcW w:w="569"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绩效指标（90分）</w:t>
            </w:r>
          </w:p>
        </w:tc>
        <w:tc>
          <w:tcPr>
            <w:tcW w:w="528"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一级指标</w:t>
            </w:r>
          </w:p>
        </w:tc>
        <w:tc>
          <w:tcPr>
            <w:tcW w:w="82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二级指标</w:t>
            </w:r>
          </w:p>
        </w:tc>
        <w:tc>
          <w:tcPr>
            <w:tcW w:w="62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三级指标</w:t>
            </w:r>
          </w:p>
        </w:tc>
        <w:tc>
          <w:tcPr>
            <w:tcW w:w="80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指标性质</w:t>
            </w:r>
          </w:p>
        </w:tc>
        <w:tc>
          <w:tcPr>
            <w:tcW w:w="112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指标值</w:t>
            </w:r>
          </w:p>
        </w:tc>
        <w:tc>
          <w:tcPr>
            <w:tcW w:w="898"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度量单位</w:t>
            </w:r>
          </w:p>
        </w:tc>
        <w:tc>
          <w:tcPr>
            <w:tcW w:w="776"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完成值</w:t>
            </w:r>
          </w:p>
        </w:tc>
        <w:tc>
          <w:tcPr>
            <w:tcW w:w="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权重</w:t>
            </w:r>
          </w:p>
        </w:tc>
        <w:tc>
          <w:tcPr>
            <w:tcW w:w="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得分</w:t>
            </w:r>
          </w:p>
        </w:tc>
        <w:tc>
          <w:tcPr>
            <w:tcW w:w="7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未完成原因分析</w:t>
            </w:r>
          </w:p>
        </w:tc>
      </w:tr>
      <w:tr>
        <w:trPr>
          <w:trHeight w:val="344"/>
        </w:trPr>
        <w:tc>
          <w:tcPr>
            <w:tcW w:w="289"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528"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产出指标</w:t>
            </w:r>
          </w:p>
        </w:tc>
        <w:tc>
          <w:tcPr>
            <w:tcW w:w="82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数量指标</w:t>
            </w:r>
          </w:p>
        </w:tc>
        <w:tc>
          <w:tcPr>
            <w:tcW w:w="62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发放 人员</w:t>
            </w:r>
          </w:p>
        </w:tc>
        <w:tc>
          <w:tcPr>
            <w:tcW w:w="80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12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8</w:t>
            </w:r>
          </w:p>
        </w:tc>
        <w:tc>
          <w:tcPr>
            <w:tcW w:w="898"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人</w:t>
            </w:r>
          </w:p>
        </w:tc>
        <w:tc>
          <w:tcPr>
            <w:tcW w:w="776"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olor w:val="000000"/>
                <w:sz w:val="18"/>
              </w:rPr>
            </w:pPr>
          </w:p>
        </w:tc>
        <w:tc>
          <w:tcPr>
            <w:tcW w:w="7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344"/>
        </w:trPr>
        <w:tc>
          <w:tcPr>
            <w:tcW w:w="289"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333"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82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质量指标</w:t>
            </w:r>
          </w:p>
        </w:tc>
        <w:tc>
          <w:tcPr>
            <w:tcW w:w="62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发放对象及数额准确率</w:t>
            </w:r>
          </w:p>
        </w:tc>
        <w:tc>
          <w:tcPr>
            <w:tcW w:w="80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12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100</w:t>
            </w:r>
          </w:p>
        </w:tc>
        <w:tc>
          <w:tcPr>
            <w:tcW w:w="898"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776"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olor w:val="000000"/>
                <w:sz w:val="18"/>
              </w:rPr>
            </w:pPr>
          </w:p>
        </w:tc>
        <w:tc>
          <w:tcPr>
            <w:tcW w:w="7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344"/>
        </w:trPr>
        <w:tc>
          <w:tcPr>
            <w:tcW w:w="289"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333"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82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时效指标</w:t>
            </w:r>
          </w:p>
        </w:tc>
        <w:tc>
          <w:tcPr>
            <w:tcW w:w="62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发放时间</w:t>
            </w:r>
          </w:p>
        </w:tc>
        <w:tc>
          <w:tcPr>
            <w:tcW w:w="80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定性</w:t>
            </w:r>
          </w:p>
        </w:tc>
        <w:tc>
          <w:tcPr>
            <w:tcW w:w="112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春节前完成发放</w:t>
            </w:r>
          </w:p>
        </w:tc>
        <w:tc>
          <w:tcPr>
            <w:tcW w:w="898"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月</w:t>
            </w:r>
          </w:p>
        </w:tc>
        <w:tc>
          <w:tcPr>
            <w:tcW w:w="776"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20</w:t>
            </w:r>
          </w:p>
        </w:tc>
        <w:tc>
          <w:tcPr>
            <w:tcW w:w="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olor w:val="000000"/>
                <w:sz w:val="18"/>
              </w:rPr>
            </w:pPr>
          </w:p>
        </w:tc>
        <w:tc>
          <w:tcPr>
            <w:tcW w:w="7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449"/>
        </w:trPr>
        <w:tc>
          <w:tcPr>
            <w:tcW w:w="289"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528"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效益指标</w:t>
            </w:r>
          </w:p>
        </w:tc>
        <w:tc>
          <w:tcPr>
            <w:tcW w:w="82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社会效益指标</w:t>
            </w:r>
          </w:p>
        </w:tc>
        <w:tc>
          <w:tcPr>
            <w:tcW w:w="62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传达党和政府的 关心关爱</w:t>
            </w:r>
          </w:p>
        </w:tc>
        <w:tc>
          <w:tcPr>
            <w:tcW w:w="80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定性</w:t>
            </w:r>
          </w:p>
        </w:tc>
        <w:tc>
          <w:tcPr>
            <w:tcW w:w="112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有效传达</w:t>
            </w:r>
          </w:p>
        </w:tc>
        <w:tc>
          <w:tcPr>
            <w:tcW w:w="898"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olor w:val="000000"/>
                <w:sz w:val="18"/>
              </w:rPr>
            </w:pPr>
          </w:p>
        </w:tc>
        <w:tc>
          <w:tcPr>
            <w:tcW w:w="776"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olor w:val="000000"/>
                <w:sz w:val="18"/>
              </w:rPr>
            </w:pPr>
          </w:p>
        </w:tc>
        <w:tc>
          <w:tcPr>
            <w:tcW w:w="7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449"/>
        </w:trPr>
        <w:tc>
          <w:tcPr>
            <w:tcW w:w="289"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333"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82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可持续影响指标</w:t>
            </w:r>
          </w:p>
        </w:tc>
        <w:tc>
          <w:tcPr>
            <w:tcW w:w="62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增强老同志的归属感和荣誉感</w:t>
            </w:r>
          </w:p>
        </w:tc>
        <w:tc>
          <w:tcPr>
            <w:tcW w:w="80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定性</w:t>
            </w:r>
          </w:p>
        </w:tc>
        <w:tc>
          <w:tcPr>
            <w:tcW w:w="112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归属感显著增强</w:t>
            </w:r>
          </w:p>
        </w:tc>
        <w:tc>
          <w:tcPr>
            <w:tcW w:w="898"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olor w:val="000000"/>
                <w:sz w:val="18"/>
              </w:rPr>
            </w:pPr>
          </w:p>
        </w:tc>
        <w:tc>
          <w:tcPr>
            <w:tcW w:w="776"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olor w:val="000000"/>
                <w:sz w:val="18"/>
              </w:rPr>
            </w:pPr>
          </w:p>
        </w:tc>
        <w:tc>
          <w:tcPr>
            <w:tcW w:w="7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449"/>
        </w:trPr>
        <w:tc>
          <w:tcPr>
            <w:tcW w:w="289"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528"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满意度指标</w:t>
            </w:r>
          </w:p>
        </w:tc>
        <w:tc>
          <w:tcPr>
            <w:tcW w:w="82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服务对象满意度指标</w:t>
            </w:r>
          </w:p>
        </w:tc>
        <w:tc>
          <w:tcPr>
            <w:tcW w:w="62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慰问人员满意度</w:t>
            </w:r>
          </w:p>
        </w:tc>
        <w:tc>
          <w:tcPr>
            <w:tcW w:w="80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12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100</w:t>
            </w:r>
          </w:p>
        </w:tc>
        <w:tc>
          <w:tcPr>
            <w:tcW w:w="898"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776"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olor w:val="000000"/>
                <w:sz w:val="18"/>
              </w:rPr>
            </w:pPr>
          </w:p>
        </w:tc>
        <w:tc>
          <w:tcPr>
            <w:tcW w:w="7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344"/>
        </w:trPr>
        <w:tc>
          <w:tcPr>
            <w:tcW w:w="289"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528"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成本指标</w:t>
            </w:r>
          </w:p>
        </w:tc>
        <w:tc>
          <w:tcPr>
            <w:tcW w:w="82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经济成本指标</w:t>
            </w:r>
          </w:p>
        </w:tc>
        <w:tc>
          <w:tcPr>
            <w:tcW w:w="62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发放金额</w:t>
            </w:r>
          </w:p>
        </w:tc>
        <w:tc>
          <w:tcPr>
            <w:tcW w:w="80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12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9000</w:t>
            </w:r>
          </w:p>
        </w:tc>
        <w:tc>
          <w:tcPr>
            <w:tcW w:w="898"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元</w:t>
            </w:r>
          </w:p>
        </w:tc>
        <w:tc>
          <w:tcPr>
            <w:tcW w:w="776"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20</w:t>
            </w:r>
          </w:p>
        </w:tc>
        <w:tc>
          <w:tcPr>
            <w:tcW w:w="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olor w:val="000000"/>
                <w:sz w:val="18"/>
              </w:rPr>
            </w:pPr>
          </w:p>
        </w:tc>
        <w:tc>
          <w:tcPr>
            <w:tcW w:w="7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284"/>
        </w:trPr>
        <w:tc>
          <w:tcPr>
            <w:tcW w:w="6138" w:type="dxa"/>
            <w:gridSpan w:val="8"/>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合计</w:t>
            </w:r>
          </w:p>
        </w:tc>
        <w:tc>
          <w:tcPr>
            <w:tcW w:w="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100</w:t>
            </w:r>
          </w:p>
        </w:tc>
        <w:tc>
          <w:tcPr>
            <w:tcW w:w="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eastAsia="宋体"/>
                <w:color w:val="000000"/>
                <w:sz w:val="18"/>
              </w:rPr>
            </w:pPr>
          </w:p>
        </w:tc>
        <w:tc>
          <w:tcPr>
            <w:tcW w:w="7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eastAsia="宋体"/>
                <w:color w:val="000000"/>
                <w:sz w:val="18"/>
              </w:rPr>
            </w:pPr>
          </w:p>
        </w:tc>
      </w:tr>
      <w:tr>
        <w:trPr>
          <w:trHeight w:val="599"/>
        </w:trPr>
        <w:tc>
          <w:tcPr>
            <w:tcW w:w="569"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评价结论</w:t>
            </w:r>
          </w:p>
        </w:tc>
        <w:tc>
          <w:tcPr>
            <w:tcW w:w="7781" w:type="dxa"/>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自评分为100分，通过对已离任的老会长、老活佛等宗教界代表人士进行慰问，体现</w:t>
            </w:r>
            <w:r>
              <w:rPr>
                <w:rFonts w:ascii="微软雅黑" w:eastAsia="微软雅黑" w:cs="Lucida Sans" w:hint="eastAsia"/>
                <w:b w:val="0"/>
                <w:i/>
                <w:color w:val="000000"/>
                <w:sz w:val="16"/>
                <w:lang w:eastAsia="zh-CN"/>
              </w:rPr>
              <w:t>党委、政府</w:t>
            </w:r>
            <w:r>
              <w:rPr>
                <w:rFonts w:ascii="微软雅黑" w:eastAsia="微软雅黑" w:cs="Lucida Sans"/>
                <w:b w:val="0"/>
                <w:i/>
                <w:color w:val="000000"/>
                <w:sz w:val="16"/>
              </w:rPr>
              <w:t>对宗教界的关心、关爱，进一步发挥老会长、老活佛等宗教界代表人士在我州宗教工作中的积极作用，为全州宗教工作建言献策、发挥余热，为我州民族团结、宗教和睦做出积极贡献。</w:t>
            </w:r>
          </w:p>
        </w:tc>
      </w:tr>
      <w:tr>
        <w:trPr>
          <w:trHeight w:val="569"/>
        </w:trPr>
        <w:tc>
          <w:tcPr>
            <w:tcW w:w="569"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存在问题</w:t>
            </w:r>
          </w:p>
        </w:tc>
        <w:tc>
          <w:tcPr>
            <w:tcW w:w="7781" w:type="dxa"/>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无</w:t>
            </w:r>
          </w:p>
        </w:tc>
      </w:tr>
      <w:tr>
        <w:trPr>
          <w:trHeight w:val="629"/>
        </w:trPr>
        <w:tc>
          <w:tcPr>
            <w:tcW w:w="569"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改进措施</w:t>
            </w:r>
          </w:p>
        </w:tc>
        <w:tc>
          <w:tcPr>
            <w:tcW w:w="7781" w:type="dxa"/>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无</w:t>
            </w:r>
          </w:p>
        </w:tc>
      </w:tr>
      <w:tr>
        <w:trPr>
          <w:trHeight w:val="284"/>
        </w:trPr>
        <w:tc>
          <w:tcPr>
            <w:tcW w:w="3344" w:type="dxa"/>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Lucida Sans"/>
                <w:color w:val="000000"/>
                <w:sz w:val="18"/>
              </w:rPr>
            </w:pPr>
            <w:r>
              <w:rPr>
                <w:rFonts w:ascii="黑体" w:eastAsia="黑体" w:cs="Lucida Sans"/>
                <w:color w:val="000000"/>
                <w:sz w:val="18"/>
              </w:rPr>
              <w:t>项目负责人：</w:t>
            </w:r>
          </w:p>
        </w:tc>
        <w:tc>
          <w:tcPr>
            <w:tcW w:w="5006" w:type="dxa"/>
            <w:gridSpan w:val="6"/>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Lucida Sans"/>
                <w:color w:val="000000"/>
                <w:sz w:val="18"/>
              </w:rPr>
            </w:pPr>
            <w:r>
              <w:rPr>
                <w:rFonts w:ascii="黑体" w:eastAsia="黑体" w:cs="Lucida Sans"/>
                <w:color w:val="000000"/>
                <w:sz w:val="18"/>
              </w:rPr>
              <w:t>财务负责人：</w:t>
            </w:r>
          </w:p>
        </w:tc>
      </w:tr>
      <w:tr>
        <w:trPr>
          <w:trHeight w:val="284"/>
        </w:trPr>
        <w:tc>
          <w:tcPr>
            <w:tcW w:w="569" w:type="dxa"/>
            <w:tcBorders>
              <w:top w:val="nil"/>
              <w:left w:val="nil"/>
              <w:bottom w:val="nil"/>
              <w:right w:val="nil"/>
              <w:tl2br w:val="nil"/>
              <w:tr2bl w:val="nil"/>
            </w:tcBorders>
            <w:noWrap/>
            <w:vAlign w:val="center"/>
          </w:tcPr>
          <w:p>
            <w:pPr>
              <w:rPr>
                <w:rFonts w:ascii="宋体" w:eastAsia="宋体"/>
                <w:color w:val="000000"/>
                <w:sz w:val="18"/>
              </w:rPr>
            </w:pPr>
          </w:p>
        </w:tc>
        <w:tc>
          <w:tcPr>
            <w:tcW w:w="528" w:type="dxa"/>
            <w:tcBorders>
              <w:top w:val="nil"/>
              <w:left w:val="nil"/>
              <w:bottom w:val="nil"/>
              <w:right w:val="nil"/>
              <w:tl2br w:val="nil"/>
              <w:tr2bl w:val="nil"/>
            </w:tcBorders>
            <w:noWrap/>
            <w:vAlign w:val="center"/>
          </w:tcPr>
          <w:p>
            <w:pPr>
              <w:rPr>
                <w:rFonts w:ascii="宋体" w:eastAsia="宋体"/>
                <w:color w:val="000000"/>
                <w:sz w:val="18"/>
              </w:rPr>
            </w:pPr>
          </w:p>
        </w:tc>
        <w:tc>
          <w:tcPr>
            <w:tcW w:w="823" w:type="dxa"/>
            <w:tcBorders>
              <w:top w:val="nil"/>
              <w:left w:val="nil"/>
              <w:bottom w:val="nil"/>
              <w:right w:val="nil"/>
              <w:tl2br w:val="nil"/>
              <w:tr2bl w:val="nil"/>
            </w:tcBorders>
            <w:noWrap/>
            <w:vAlign w:val="center"/>
          </w:tcPr>
          <w:p>
            <w:pPr>
              <w:rPr>
                <w:rFonts w:ascii="宋体" w:eastAsia="宋体"/>
                <w:color w:val="000000"/>
                <w:sz w:val="18"/>
              </w:rPr>
            </w:pPr>
          </w:p>
        </w:tc>
        <w:tc>
          <w:tcPr>
            <w:tcW w:w="621" w:type="dxa"/>
            <w:tcBorders>
              <w:top w:val="nil"/>
              <w:left w:val="nil"/>
              <w:bottom w:val="nil"/>
              <w:right w:val="nil"/>
              <w:tl2br w:val="nil"/>
              <w:tr2bl w:val="nil"/>
            </w:tcBorders>
            <w:noWrap/>
            <w:vAlign w:val="center"/>
          </w:tcPr>
          <w:p>
            <w:pPr>
              <w:rPr>
                <w:rFonts w:ascii="宋体" w:eastAsia="宋体"/>
                <w:color w:val="000000"/>
                <w:sz w:val="18"/>
              </w:rPr>
            </w:pPr>
          </w:p>
        </w:tc>
        <w:tc>
          <w:tcPr>
            <w:tcW w:w="803" w:type="dxa"/>
            <w:tcBorders>
              <w:top w:val="nil"/>
              <w:left w:val="nil"/>
              <w:bottom w:val="nil"/>
              <w:right w:val="nil"/>
              <w:tl2br w:val="nil"/>
              <w:tr2bl w:val="nil"/>
            </w:tcBorders>
            <w:noWrap/>
            <w:vAlign w:val="center"/>
          </w:tcPr>
          <w:p>
            <w:pPr>
              <w:rPr>
                <w:rFonts w:ascii="宋体" w:eastAsia="宋体"/>
                <w:color w:val="000000"/>
                <w:sz w:val="18"/>
              </w:rPr>
            </w:pPr>
          </w:p>
        </w:tc>
        <w:tc>
          <w:tcPr>
            <w:tcW w:w="1120" w:type="dxa"/>
            <w:tcBorders>
              <w:top w:val="nil"/>
              <w:left w:val="nil"/>
              <w:bottom w:val="nil"/>
              <w:right w:val="nil"/>
              <w:tl2br w:val="nil"/>
              <w:tr2bl w:val="nil"/>
            </w:tcBorders>
            <w:noWrap/>
            <w:vAlign w:val="center"/>
          </w:tcPr>
          <w:p>
            <w:pPr>
              <w:rPr>
                <w:rFonts w:ascii="宋体" w:eastAsia="宋体"/>
                <w:color w:val="000000"/>
                <w:sz w:val="18"/>
              </w:rPr>
            </w:pPr>
          </w:p>
        </w:tc>
        <w:tc>
          <w:tcPr>
            <w:tcW w:w="898" w:type="dxa"/>
            <w:tcBorders>
              <w:top w:val="nil"/>
              <w:left w:val="nil"/>
              <w:bottom w:val="nil"/>
              <w:right w:val="nil"/>
              <w:tl2br w:val="nil"/>
              <w:tr2bl w:val="nil"/>
            </w:tcBorders>
            <w:noWrap/>
            <w:vAlign w:val="center"/>
          </w:tcPr>
          <w:p>
            <w:pPr>
              <w:rPr>
                <w:rFonts w:ascii="宋体" w:eastAsia="宋体"/>
                <w:color w:val="000000"/>
                <w:sz w:val="18"/>
              </w:rPr>
            </w:pPr>
          </w:p>
        </w:tc>
        <w:tc>
          <w:tcPr>
            <w:tcW w:w="776" w:type="dxa"/>
            <w:tcBorders>
              <w:top w:val="nil"/>
              <w:left w:val="nil"/>
              <w:bottom w:val="nil"/>
              <w:right w:val="nil"/>
              <w:tl2br w:val="nil"/>
              <w:tr2bl w:val="nil"/>
            </w:tcBorders>
            <w:noWrap/>
            <w:vAlign w:val="center"/>
          </w:tcPr>
          <w:p>
            <w:pPr>
              <w:rPr>
                <w:rFonts w:ascii="宋体" w:eastAsia="宋体"/>
                <w:color w:val="000000"/>
                <w:sz w:val="18"/>
              </w:rPr>
            </w:pPr>
          </w:p>
        </w:tc>
        <w:tc>
          <w:tcPr>
            <w:tcW w:w="755" w:type="dxa"/>
            <w:tcBorders>
              <w:top w:val="nil"/>
              <w:left w:val="nil"/>
              <w:bottom w:val="nil"/>
              <w:right w:val="nil"/>
              <w:tl2br w:val="nil"/>
              <w:tr2bl w:val="nil"/>
            </w:tcBorders>
            <w:noWrap/>
            <w:vAlign w:val="center"/>
          </w:tcPr>
          <w:p>
            <w:pPr>
              <w:rPr>
                <w:rFonts w:ascii="宋体" w:eastAsia="宋体"/>
                <w:color w:val="000000"/>
                <w:sz w:val="18"/>
              </w:rPr>
            </w:pPr>
          </w:p>
        </w:tc>
        <w:tc>
          <w:tcPr>
            <w:tcW w:w="755" w:type="dxa"/>
            <w:tcBorders>
              <w:top w:val="nil"/>
              <w:left w:val="nil"/>
              <w:bottom w:val="nil"/>
              <w:right w:val="nil"/>
              <w:tl2br w:val="nil"/>
              <w:tr2bl w:val="nil"/>
            </w:tcBorders>
            <w:noWrap/>
            <w:vAlign w:val="center"/>
          </w:tcPr>
          <w:p>
            <w:pPr>
              <w:rPr>
                <w:rFonts w:ascii="宋体" w:eastAsia="宋体"/>
                <w:color w:val="000000"/>
                <w:sz w:val="18"/>
              </w:rPr>
            </w:pPr>
          </w:p>
        </w:tc>
        <w:tc>
          <w:tcPr>
            <w:tcW w:w="701" w:type="dxa"/>
            <w:tcBorders>
              <w:top w:val="nil"/>
              <w:left w:val="nil"/>
              <w:bottom w:val="nil"/>
              <w:right w:val="nil"/>
              <w:tl2br w:val="nil"/>
              <w:tr2bl w:val="nil"/>
            </w:tcBorders>
            <w:noWrap/>
            <w:vAlign w:val="center"/>
          </w:tcPr>
          <w:p>
            <w:pPr>
              <w:rPr>
                <w:rFonts w:ascii="宋体" w:eastAsia="宋体"/>
                <w:color w:val="000000"/>
                <w:sz w:val="18"/>
              </w:rPr>
            </w:pPr>
          </w:p>
        </w:tc>
      </w:tr>
      <w:tr>
        <w:trPr>
          <w:trHeight w:val="899"/>
        </w:trPr>
        <w:tc>
          <w:tcPr>
            <w:tcW w:w="8350" w:type="dxa"/>
            <w:gridSpan w:val="11"/>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Lucida Sans"/>
                <w:b/>
                <w:i w:val="0"/>
                <w:color w:val="000000"/>
                <w:sz w:val="30"/>
              </w:rPr>
            </w:pPr>
            <w:r>
              <w:rPr>
                <w:rFonts w:ascii="黑体" w:eastAsia="黑体" w:cs="Lucida Sans"/>
                <w:b/>
                <w:i w:val="0"/>
                <w:color w:val="000000"/>
                <w:sz w:val="30"/>
              </w:rPr>
              <w:t>部门预算项目支出绩效自评表（2025年度）</w:t>
            </w:r>
          </w:p>
        </w:tc>
      </w:tr>
      <w:tr>
        <w:trPr>
          <w:trHeight w:val="284"/>
        </w:trPr>
        <w:tc>
          <w:tcPr>
            <w:tcW w:w="1097"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项目名称</w:t>
            </w:r>
          </w:p>
        </w:tc>
        <w:tc>
          <w:tcPr>
            <w:tcW w:w="7253" w:type="dxa"/>
            <w:gridSpan w:val="9"/>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51320021T000000090891</w:t>
            </w:r>
            <w:r>
              <w:rPr>
                <w:rFonts w:ascii="宋体" w:cs="Lucida Sans" w:hint="eastAsia"/>
                <w:color w:val="000000"/>
                <w:sz w:val="18"/>
                <w:lang w:eastAsia="zh-CN"/>
              </w:rPr>
              <w:t>－</w:t>
            </w:r>
            <w:r>
              <w:rPr>
                <w:rFonts w:ascii="宋体" w:eastAsia="宋体" w:cs="Lucida Sans"/>
                <w:color w:val="000000"/>
                <w:sz w:val="18"/>
              </w:rPr>
              <w:t>全州藏传佛教寺庙戒律教育及和谐寺庙创建经费</w:t>
            </w:r>
          </w:p>
        </w:tc>
      </w:tr>
      <w:tr>
        <w:trPr>
          <w:trHeight w:val="509"/>
        </w:trPr>
        <w:tc>
          <w:tcPr>
            <w:tcW w:w="1097"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主管部门</w:t>
            </w:r>
          </w:p>
        </w:tc>
        <w:tc>
          <w:tcPr>
            <w:tcW w:w="4265" w:type="dxa"/>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州佛协部门</w:t>
            </w:r>
          </w:p>
        </w:tc>
        <w:tc>
          <w:tcPr>
            <w:tcW w:w="776" w:type="dxa"/>
            <w:tcBorders>
              <w:top w:val="nil"/>
              <w:left w:val="nil"/>
              <w:bottom w:val="nil"/>
              <w:right w:val="nil"/>
              <w:tl2br w:val="nil"/>
              <w:tr2bl w:val="nil"/>
            </w:tcBorders>
            <w:noWrap/>
            <w:vAlign w:val="center"/>
          </w:tcPr>
          <w:p>
            <w:pPr>
              <w:jc w:val="center"/>
              <w:rPr>
                <w:rFonts w:ascii="黑体" w:eastAsia="黑体" w:cs="Lucida Sans"/>
                <w:color w:val="000000"/>
                <w:sz w:val="18"/>
              </w:rPr>
            </w:pPr>
            <w:r>
              <w:rPr>
                <w:rFonts w:ascii="黑体" w:eastAsia="黑体" w:cs="Lucida Sans"/>
                <w:color w:val="000000"/>
                <w:sz w:val="18"/>
              </w:rPr>
              <w:t>实施单位 （盖章）</w:t>
            </w:r>
          </w:p>
        </w:tc>
        <w:tc>
          <w:tcPr>
            <w:tcW w:w="2212"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州佛协</w:t>
            </w:r>
          </w:p>
        </w:tc>
      </w:tr>
      <w:tr>
        <w:trPr>
          <w:trHeight w:val="284"/>
        </w:trPr>
        <w:tc>
          <w:tcPr>
            <w:tcW w:w="569"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项目基本情况</w:t>
            </w:r>
          </w:p>
        </w:tc>
        <w:tc>
          <w:tcPr>
            <w:tcW w:w="528"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1.项目年度目标完成情况</w:t>
            </w:r>
          </w:p>
        </w:tc>
        <w:tc>
          <w:tcPr>
            <w:tcW w:w="4265" w:type="dxa"/>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项目年度目标</w:t>
            </w:r>
          </w:p>
        </w:tc>
        <w:tc>
          <w:tcPr>
            <w:tcW w:w="2987" w:type="dxa"/>
            <w:gridSpan w:val="4"/>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Lucida Sans"/>
                <w:color w:val="000000"/>
                <w:sz w:val="18"/>
              </w:rPr>
            </w:pPr>
            <w:r>
              <w:rPr>
                <w:rFonts w:ascii="黑体" w:eastAsia="黑体" w:cs="Lucida Sans"/>
                <w:color w:val="000000"/>
                <w:sz w:val="18"/>
              </w:rPr>
              <w:t>年度目标完成情况</w:t>
            </w:r>
          </w:p>
        </w:tc>
      </w:tr>
      <w:tr>
        <w:trPr>
          <w:trHeight w:val="899"/>
        </w:trPr>
        <w:tc>
          <w:tcPr>
            <w:tcW w:w="289"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333"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4265" w:type="dxa"/>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对500名僧尼进行戒律教育，推动我州藏传佛教寺庙管理长效机制建设，使服务群众满意度达到95%以上，维护藏传佛教的正常秩序，树立寺庙和僧尼的良好形象，有效发挥藏传佛教在构建和谐社会中的积极作用。</w:t>
            </w:r>
          </w:p>
        </w:tc>
        <w:tc>
          <w:tcPr>
            <w:tcW w:w="2987" w:type="dxa"/>
            <w:gridSpan w:val="4"/>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Lucida Sans"/>
                <w:color w:val="000000"/>
                <w:sz w:val="18"/>
              </w:rPr>
            </w:pPr>
            <w:r>
              <w:rPr>
                <w:rFonts w:ascii="黑体" w:eastAsia="黑体" w:cs="Lucida Sans"/>
                <w:color w:val="000000"/>
                <w:sz w:val="18"/>
              </w:rPr>
              <w:t xml:space="preserve">2025年完成僧尼持戒守法工作人数500人,宗教秩序违规事件发生率≤2%,预算执行率100%  ，项目全程遵循“合规统筹、精准施策、注重实效、专款专用”原则，实现实施过程闭环管理、经费使用规范透明，圆满完成既定工作目标。 </w:t>
            </w:r>
          </w:p>
        </w:tc>
      </w:tr>
      <w:tr>
        <w:trPr>
          <w:trHeight w:val="1169"/>
        </w:trPr>
        <w:tc>
          <w:tcPr>
            <w:tcW w:w="289"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528"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2.项目实施内容及过程概述</w:t>
            </w:r>
          </w:p>
        </w:tc>
        <w:tc>
          <w:tcPr>
            <w:tcW w:w="7253" w:type="dxa"/>
            <w:gridSpan w:val="9"/>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本项目紧扣藏传佛教中国化方向，严格落实宗教工作方针政策及年度预算管理要求，强化僧人戒律意识，筑牢寺庙和谐稳定根基，推动藏传佛教与社会主义社会相适应。推进寺庙管理制度完善、基础设施优化、文明风尚培育等工作，协助寺庙规范日常管理、消防安全、环境卫生等工作，开展“平安寺庙”“文明寺庙”创建评比，搭建寺庙与信众、社会的和谐沟通桥梁。</w:t>
            </w:r>
          </w:p>
        </w:tc>
      </w:tr>
      <w:tr>
        <w:trPr>
          <w:trHeight w:val="359"/>
        </w:trPr>
        <w:tc>
          <w:tcPr>
            <w:tcW w:w="569"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预算执行情况（10分）</w:t>
            </w:r>
          </w:p>
        </w:tc>
        <w:tc>
          <w:tcPr>
            <w:tcW w:w="528"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年度预算数（万元）</w:t>
            </w:r>
          </w:p>
        </w:tc>
        <w:tc>
          <w:tcPr>
            <w:tcW w:w="82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年初预算</w:t>
            </w:r>
          </w:p>
        </w:tc>
        <w:tc>
          <w:tcPr>
            <w:tcW w:w="62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调整后预算数</w:t>
            </w:r>
          </w:p>
        </w:tc>
        <w:tc>
          <w:tcPr>
            <w:tcW w:w="2821"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预算执行数</w:t>
            </w:r>
          </w:p>
        </w:tc>
        <w:tc>
          <w:tcPr>
            <w:tcW w:w="776"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预算执行率</w:t>
            </w:r>
          </w:p>
        </w:tc>
        <w:tc>
          <w:tcPr>
            <w:tcW w:w="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权重</w:t>
            </w:r>
          </w:p>
        </w:tc>
        <w:tc>
          <w:tcPr>
            <w:tcW w:w="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得分</w:t>
            </w:r>
          </w:p>
        </w:tc>
        <w:tc>
          <w:tcPr>
            <w:tcW w:w="7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原因</w:t>
            </w:r>
          </w:p>
        </w:tc>
      </w:tr>
      <w:tr>
        <w:trPr>
          <w:trHeight w:val="344"/>
        </w:trPr>
        <w:tc>
          <w:tcPr>
            <w:tcW w:w="289"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528"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总额</w:t>
            </w:r>
          </w:p>
        </w:tc>
        <w:tc>
          <w:tcPr>
            <w:tcW w:w="82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20</w:t>
            </w:r>
          </w:p>
        </w:tc>
        <w:tc>
          <w:tcPr>
            <w:tcW w:w="62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14.23</w:t>
            </w:r>
          </w:p>
        </w:tc>
        <w:tc>
          <w:tcPr>
            <w:tcW w:w="2821"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14.23</w:t>
            </w:r>
          </w:p>
        </w:tc>
        <w:tc>
          <w:tcPr>
            <w:tcW w:w="776"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100.00%</w:t>
            </w:r>
          </w:p>
        </w:tc>
        <w:tc>
          <w:tcPr>
            <w:tcW w:w="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olor w:val="000000"/>
                <w:sz w:val="18"/>
              </w:rPr>
            </w:pPr>
          </w:p>
        </w:tc>
        <w:tc>
          <w:tcPr>
            <w:tcW w:w="701"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eastAsia="宋体" w:cs="Lucida Sans"/>
                <w:b w:val="0"/>
                <w:i/>
                <w:color w:val="000000"/>
                <w:sz w:val="18"/>
              </w:rPr>
            </w:pPr>
          </w:p>
        </w:tc>
      </w:tr>
      <w:tr>
        <w:trPr>
          <w:trHeight w:val="389"/>
        </w:trPr>
        <w:tc>
          <w:tcPr>
            <w:tcW w:w="289"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528"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其中：财政资金</w:t>
            </w:r>
          </w:p>
        </w:tc>
        <w:tc>
          <w:tcPr>
            <w:tcW w:w="82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20</w:t>
            </w:r>
          </w:p>
        </w:tc>
        <w:tc>
          <w:tcPr>
            <w:tcW w:w="62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14.23</w:t>
            </w:r>
          </w:p>
        </w:tc>
        <w:tc>
          <w:tcPr>
            <w:tcW w:w="2821"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14.23</w:t>
            </w:r>
          </w:p>
        </w:tc>
        <w:tc>
          <w:tcPr>
            <w:tcW w:w="776"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100.00%</w:t>
            </w:r>
          </w:p>
        </w:tc>
        <w:tc>
          <w:tcPr>
            <w:tcW w:w="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824"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404"/>
        </w:trPr>
        <w:tc>
          <w:tcPr>
            <w:tcW w:w="289"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528"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财政专户管理资金</w:t>
            </w:r>
          </w:p>
        </w:tc>
        <w:tc>
          <w:tcPr>
            <w:tcW w:w="82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62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2821"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776"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824"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359"/>
        </w:trPr>
        <w:tc>
          <w:tcPr>
            <w:tcW w:w="289"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528"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单位资金</w:t>
            </w:r>
          </w:p>
        </w:tc>
        <w:tc>
          <w:tcPr>
            <w:tcW w:w="82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62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2821"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776"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824"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344"/>
        </w:trPr>
        <w:tc>
          <w:tcPr>
            <w:tcW w:w="289"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528"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其他资金</w:t>
            </w:r>
          </w:p>
        </w:tc>
        <w:tc>
          <w:tcPr>
            <w:tcW w:w="82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62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2821"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p>
        </w:tc>
        <w:tc>
          <w:tcPr>
            <w:tcW w:w="776"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824"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449"/>
        </w:trPr>
        <w:tc>
          <w:tcPr>
            <w:tcW w:w="569"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绩效指标（90分）</w:t>
            </w:r>
          </w:p>
        </w:tc>
        <w:tc>
          <w:tcPr>
            <w:tcW w:w="528"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一级指标</w:t>
            </w:r>
          </w:p>
        </w:tc>
        <w:tc>
          <w:tcPr>
            <w:tcW w:w="82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二级指标</w:t>
            </w:r>
          </w:p>
        </w:tc>
        <w:tc>
          <w:tcPr>
            <w:tcW w:w="62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三级指标</w:t>
            </w:r>
          </w:p>
        </w:tc>
        <w:tc>
          <w:tcPr>
            <w:tcW w:w="80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指标性质</w:t>
            </w:r>
          </w:p>
        </w:tc>
        <w:tc>
          <w:tcPr>
            <w:tcW w:w="112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指标值</w:t>
            </w:r>
          </w:p>
        </w:tc>
        <w:tc>
          <w:tcPr>
            <w:tcW w:w="898"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度量单位</w:t>
            </w:r>
          </w:p>
        </w:tc>
        <w:tc>
          <w:tcPr>
            <w:tcW w:w="776"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完成值</w:t>
            </w:r>
          </w:p>
        </w:tc>
        <w:tc>
          <w:tcPr>
            <w:tcW w:w="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权重</w:t>
            </w:r>
          </w:p>
        </w:tc>
        <w:tc>
          <w:tcPr>
            <w:tcW w:w="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得分</w:t>
            </w:r>
          </w:p>
        </w:tc>
        <w:tc>
          <w:tcPr>
            <w:tcW w:w="7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未完成原因分析</w:t>
            </w:r>
          </w:p>
        </w:tc>
      </w:tr>
      <w:tr>
        <w:trPr>
          <w:trHeight w:val="344"/>
        </w:trPr>
        <w:tc>
          <w:tcPr>
            <w:tcW w:w="289"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528"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产出指标</w:t>
            </w:r>
          </w:p>
        </w:tc>
        <w:tc>
          <w:tcPr>
            <w:tcW w:w="82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数量指标</w:t>
            </w:r>
          </w:p>
        </w:tc>
        <w:tc>
          <w:tcPr>
            <w:tcW w:w="62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完成僧尼持戒守法工作</w:t>
            </w:r>
          </w:p>
        </w:tc>
        <w:tc>
          <w:tcPr>
            <w:tcW w:w="80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12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500</w:t>
            </w:r>
          </w:p>
        </w:tc>
        <w:tc>
          <w:tcPr>
            <w:tcW w:w="898"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人数</w:t>
            </w:r>
          </w:p>
        </w:tc>
        <w:tc>
          <w:tcPr>
            <w:tcW w:w="776"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20</w:t>
            </w:r>
          </w:p>
        </w:tc>
        <w:tc>
          <w:tcPr>
            <w:tcW w:w="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olor w:val="000000"/>
                <w:sz w:val="18"/>
              </w:rPr>
            </w:pPr>
          </w:p>
        </w:tc>
        <w:tc>
          <w:tcPr>
            <w:tcW w:w="7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449"/>
        </w:trPr>
        <w:tc>
          <w:tcPr>
            <w:tcW w:w="289"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333"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82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质量指标</w:t>
            </w:r>
          </w:p>
        </w:tc>
        <w:tc>
          <w:tcPr>
            <w:tcW w:w="62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戒律教育考核合格率</w:t>
            </w:r>
          </w:p>
        </w:tc>
        <w:tc>
          <w:tcPr>
            <w:tcW w:w="80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120" w:type="dxa"/>
            <w:tcBorders>
              <w:top w:val="single" w:sz="6" w:space="0" w:color="000000"/>
              <w:left w:val="single" w:sz="6" w:space="0" w:color="000000"/>
              <w:bottom w:val="single" w:sz="6" w:space="0" w:color="000000"/>
              <w:right w:val="single" w:sz="6" w:space="0" w:color="000000"/>
              <w:tl2br w:val="nil"/>
              <w:tr2bl w:val="nil"/>
            </w:tcBorders>
            <w:noWrap/>
            <w:vAlign w:val="center"/>
          </w:tcPr>
          <w:p>
            <w:r>
              <w:t>95</w:t>
            </w:r>
          </w:p>
        </w:tc>
        <w:tc>
          <w:tcPr>
            <w:tcW w:w="898"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olor w:val="000000"/>
                <w:sz w:val="18"/>
              </w:rPr>
            </w:pPr>
            <w:r>
              <w:rPr>
                <w:rFonts w:ascii="宋体" w:eastAsia="宋体" w:cs="Lucida Sans"/>
                <w:color w:val="000000"/>
                <w:sz w:val="18"/>
              </w:rPr>
              <w:t>%</w:t>
            </w:r>
          </w:p>
        </w:tc>
        <w:tc>
          <w:tcPr>
            <w:tcW w:w="776"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olor w:val="000000"/>
                <w:sz w:val="18"/>
              </w:rPr>
            </w:pPr>
          </w:p>
        </w:tc>
        <w:tc>
          <w:tcPr>
            <w:tcW w:w="7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344"/>
        </w:trPr>
        <w:tc>
          <w:tcPr>
            <w:tcW w:w="289"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333"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82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时效指标</w:t>
            </w:r>
          </w:p>
        </w:tc>
        <w:tc>
          <w:tcPr>
            <w:tcW w:w="62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项目年限</w:t>
            </w:r>
          </w:p>
        </w:tc>
        <w:tc>
          <w:tcPr>
            <w:tcW w:w="80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12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w:t>
            </w:r>
          </w:p>
        </w:tc>
        <w:tc>
          <w:tcPr>
            <w:tcW w:w="898"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年</w:t>
            </w:r>
          </w:p>
        </w:tc>
        <w:tc>
          <w:tcPr>
            <w:tcW w:w="776"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olor w:val="000000"/>
                <w:sz w:val="18"/>
              </w:rPr>
            </w:pPr>
          </w:p>
        </w:tc>
        <w:tc>
          <w:tcPr>
            <w:tcW w:w="7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449"/>
        </w:trPr>
        <w:tc>
          <w:tcPr>
            <w:tcW w:w="289"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528"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效益指标</w:t>
            </w:r>
          </w:p>
        </w:tc>
        <w:tc>
          <w:tcPr>
            <w:tcW w:w="82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社会效益指标</w:t>
            </w:r>
          </w:p>
        </w:tc>
        <w:tc>
          <w:tcPr>
            <w:tcW w:w="62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树立寺庙和僧尼的良好形象</w:t>
            </w:r>
          </w:p>
        </w:tc>
        <w:tc>
          <w:tcPr>
            <w:tcW w:w="80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定性</w:t>
            </w:r>
          </w:p>
        </w:tc>
        <w:tc>
          <w:tcPr>
            <w:tcW w:w="112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有效树立</w:t>
            </w:r>
          </w:p>
        </w:tc>
        <w:tc>
          <w:tcPr>
            <w:tcW w:w="898"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olor w:val="000000"/>
                <w:sz w:val="18"/>
              </w:rPr>
            </w:pPr>
          </w:p>
        </w:tc>
        <w:tc>
          <w:tcPr>
            <w:tcW w:w="776"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olor w:val="000000"/>
                <w:sz w:val="18"/>
              </w:rPr>
            </w:pPr>
          </w:p>
        </w:tc>
        <w:tc>
          <w:tcPr>
            <w:tcW w:w="7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344"/>
        </w:trPr>
        <w:tc>
          <w:tcPr>
            <w:tcW w:w="289"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333"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82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可持续影响指标</w:t>
            </w:r>
          </w:p>
        </w:tc>
        <w:tc>
          <w:tcPr>
            <w:tcW w:w="62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维护藏传佛教的正常秩序</w:t>
            </w:r>
          </w:p>
        </w:tc>
        <w:tc>
          <w:tcPr>
            <w:tcW w:w="80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定性</w:t>
            </w:r>
          </w:p>
        </w:tc>
        <w:tc>
          <w:tcPr>
            <w:tcW w:w="112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有效维护</w:t>
            </w:r>
          </w:p>
        </w:tc>
        <w:tc>
          <w:tcPr>
            <w:tcW w:w="898"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olor w:val="000000"/>
                <w:sz w:val="18"/>
              </w:rPr>
            </w:pPr>
          </w:p>
        </w:tc>
        <w:tc>
          <w:tcPr>
            <w:tcW w:w="776"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olor w:val="000000"/>
                <w:sz w:val="18"/>
              </w:rPr>
            </w:pPr>
          </w:p>
        </w:tc>
        <w:tc>
          <w:tcPr>
            <w:tcW w:w="7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449"/>
        </w:trPr>
        <w:tc>
          <w:tcPr>
            <w:tcW w:w="289"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528"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满意度指标</w:t>
            </w:r>
          </w:p>
        </w:tc>
        <w:tc>
          <w:tcPr>
            <w:tcW w:w="82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服务对象满意度指标</w:t>
            </w:r>
          </w:p>
        </w:tc>
        <w:tc>
          <w:tcPr>
            <w:tcW w:w="62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服务群众满意度</w:t>
            </w:r>
          </w:p>
        </w:tc>
        <w:tc>
          <w:tcPr>
            <w:tcW w:w="80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12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95</w:t>
            </w:r>
          </w:p>
        </w:tc>
        <w:tc>
          <w:tcPr>
            <w:tcW w:w="898"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776"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olor w:val="000000"/>
                <w:sz w:val="18"/>
              </w:rPr>
            </w:pPr>
          </w:p>
        </w:tc>
        <w:tc>
          <w:tcPr>
            <w:tcW w:w="7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899"/>
        </w:trPr>
        <w:tc>
          <w:tcPr>
            <w:tcW w:w="289"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528"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成本指标</w:t>
            </w:r>
          </w:p>
        </w:tc>
        <w:tc>
          <w:tcPr>
            <w:tcW w:w="82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经济成本指标</w:t>
            </w:r>
          </w:p>
        </w:tc>
        <w:tc>
          <w:tcPr>
            <w:tcW w:w="62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经费支出</w:t>
            </w:r>
          </w:p>
        </w:tc>
        <w:tc>
          <w:tcPr>
            <w:tcW w:w="80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12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20</w:t>
            </w:r>
          </w:p>
        </w:tc>
        <w:tc>
          <w:tcPr>
            <w:tcW w:w="898"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万元/每项目</w:t>
            </w:r>
          </w:p>
        </w:tc>
        <w:tc>
          <w:tcPr>
            <w:tcW w:w="776"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20</w:t>
            </w:r>
          </w:p>
        </w:tc>
        <w:tc>
          <w:tcPr>
            <w:tcW w:w="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olor w:val="000000"/>
                <w:sz w:val="18"/>
              </w:rPr>
            </w:pPr>
          </w:p>
        </w:tc>
        <w:tc>
          <w:tcPr>
            <w:tcW w:w="7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284"/>
        </w:trPr>
        <w:tc>
          <w:tcPr>
            <w:tcW w:w="6138" w:type="dxa"/>
            <w:gridSpan w:val="8"/>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合计</w:t>
            </w:r>
          </w:p>
        </w:tc>
        <w:tc>
          <w:tcPr>
            <w:tcW w:w="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100</w:t>
            </w:r>
          </w:p>
        </w:tc>
        <w:tc>
          <w:tcPr>
            <w:tcW w:w="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eastAsia="宋体"/>
                <w:color w:val="000000"/>
                <w:sz w:val="18"/>
              </w:rPr>
            </w:pPr>
          </w:p>
        </w:tc>
        <w:tc>
          <w:tcPr>
            <w:tcW w:w="7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eastAsia="宋体"/>
                <w:color w:val="000000"/>
                <w:sz w:val="18"/>
              </w:rPr>
            </w:pPr>
          </w:p>
        </w:tc>
      </w:tr>
      <w:tr>
        <w:trPr>
          <w:trHeight w:val="599"/>
        </w:trPr>
        <w:tc>
          <w:tcPr>
            <w:tcW w:w="569"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评价结论</w:t>
            </w:r>
          </w:p>
        </w:tc>
        <w:tc>
          <w:tcPr>
            <w:tcW w:w="7781" w:type="dxa"/>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自评分为100分，提出了“依法治寺管僧，僧尼持戒守法”的工作要求，引导各寺庙弘扬藏传佛教爱国爱教光荣传统，发挥藏传佛教在构建和谐社会中的积极作用，进一步推动我州藏传佛教寺庙管理长效机制建设，维护藏传佛教的正常秩序，树立寺庙和僧尼的良好形象。</w:t>
            </w:r>
          </w:p>
        </w:tc>
      </w:tr>
      <w:tr>
        <w:trPr>
          <w:trHeight w:val="569"/>
        </w:trPr>
        <w:tc>
          <w:tcPr>
            <w:tcW w:w="569"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存在问题</w:t>
            </w:r>
          </w:p>
        </w:tc>
        <w:tc>
          <w:tcPr>
            <w:tcW w:w="7781" w:type="dxa"/>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无</w:t>
            </w:r>
          </w:p>
        </w:tc>
      </w:tr>
      <w:tr>
        <w:trPr>
          <w:trHeight w:val="629"/>
        </w:trPr>
        <w:tc>
          <w:tcPr>
            <w:tcW w:w="569"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改进措施</w:t>
            </w:r>
          </w:p>
        </w:tc>
        <w:tc>
          <w:tcPr>
            <w:tcW w:w="7781" w:type="dxa"/>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无</w:t>
            </w:r>
          </w:p>
        </w:tc>
      </w:tr>
      <w:tr>
        <w:trPr>
          <w:trHeight w:val="284"/>
        </w:trPr>
        <w:tc>
          <w:tcPr>
            <w:tcW w:w="3344" w:type="dxa"/>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Lucida Sans"/>
                <w:color w:val="000000"/>
                <w:sz w:val="18"/>
              </w:rPr>
            </w:pPr>
            <w:r>
              <w:rPr>
                <w:rFonts w:ascii="黑体" w:eastAsia="黑体" w:cs="Lucida Sans"/>
                <w:color w:val="000000"/>
                <w:sz w:val="18"/>
              </w:rPr>
              <w:t>项目负责人：</w:t>
            </w:r>
          </w:p>
        </w:tc>
        <w:tc>
          <w:tcPr>
            <w:tcW w:w="5006" w:type="dxa"/>
            <w:gridSpan w:val="6"/>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Lucida Sans"/>
                <w:color w:val="000000"/>
                <w:sz w:val="18"/>
              </w:rPr>
            </w:pPr>
            <w:r>
              <w:rPr>
                <w:rFonts w:ascii="黑体" w:eastAsia="黑体" w:cs="Lucida Sans"/>
                <w:color w:val="000000"/>
                <w:sz w:val="18"/>
              </w:rPr>
              <w:t>财务负责人：</w:t>
            </w:r>
          </w:p>
        </w:tc>
      </w:tr>
      <w:tr>
        <w:trPr>
          <w:trHeight w:val="284"/>
        </w:trPr>
        <w:tc>
          <w:tcPr>
            <w:tcW w:w="569" w:type="dxa"/>
            <w:tcBorders>
              <w:top w:val="nil"/>
              <w:left w:val="nil"/>
              <w:bottom w:val="nil"/>
              <w:right w:val="nil"/>
              <w:tl2br w:val="nil"/>
              <w:tr2bl w:val="nil"/>
            </w:tcBorders>
            <w:noWrap/>
            <w:vAlign w:val="center"/>
          </w:tcPr>
          <w:p>
            <w:pPr>
              <w:rPr>
                <w:rFonts w:ascii="宋体" w:eastAsia="宋体"/>
                <w:color w:val="000000"/>
                <w:sz w:val="18"/>
              </w:rPr>
            </w:pPr>
          </w:p>
        </w:tc>
        <w:tc>
          <w:tcPr>
            <w:tcW w:w="528" w:type="dxa"/>
            <w:tcBorders>
              <w:top w:val="nil"/>
              <w:left w:val="nil"/>
              <w:bottom w:val="nil"/>
              <w:right w:val="nil"/>
              <w:tl2br w:val="nil"/>
              <w:tr2bl w:val="nil"/>
            </w:tcBorders>
            <w:noWrap/>
            <w:vAlign w:val="center"/>
          </w:tcPr>
          <w:p>
            <w:pPr>
              <w:rPr>
                <w:rFonts w:ascii="宋体" w:eastAsia="宋体"/>
                <w:color w:val="000000"/>
                <w:sz w:val="18"/>
              </w:rPr>
            </w:pPr>
          </w:p>
        </w:tc>
        <w:tc>
          <w:tcPr>
            <w:tcW w:w="823" w:type="dxa"/>
            <w:tcBorders>
              <w:top w:val="nil"/>
              <w:left w:val="nil"/>
              <w:bottom w:val="nil"/>
              <w:right w:val="nil"/>
              <w:tl2br w:val="nil"/>
              <w:tr2bl w:val="nil"/>
            </w:tcBorders>
            <w:noWrap/>
            <w:vAlign w:val="center"/>
          </w:tcPr>
          <w:p>
            <w:pPr>
              <w:rPr>
                <w:rFonts w:ascii="宋体" w:eastAsia="宋体"/>
                <w:color w:val="000000"/>
                <w:sz w:val="18"/>
              </w:rPr>
            </w:pPr>
          </w:p>
        </w:tc>
        <w:tc>
          <w:tcPr>
            <w:tcW w:w="621" w:type="dxa"/>
            <w:tcBorders>
              <w:top w:val="nil"/>
              <w:left w:val="nil"/>
              <w:bottom w:val="nil"/>
              <w:right w:val="nil"/>
              <w:tl2br w:val="nil"/>
              <w:tr2bl w:val="nil"/>
            </w:tcBorders>
            <w:noWrap/>
            <w:vAlign w:val="center"/>
          </w:tcPr>
          <w:p>
            <w:pPr>
              <w:rPr>
                <w:rFonts w:ascii="宋体" w:eastAsia="宋体"/>
                <w:color w:val="000000"/>
                <w:sz w:val="18"/>
              </w:rPr>
            </w:pPr>
          </w:p>
        </w:tc>
        <w:tc>
          <w:tcPr>
            <w:tcW w:w="803" w:type="dxa"/>
            <w:tcBorders>
              <w:top w:val="nil"/>
              <w:left w:val="nil"/>
              <w:bottom w:val="nil"/>
              <w:right w:val="nil"/>
              <w:tl2br w:val="nil"/>
              <w:tr2bl w:val="nil"/>
            </w:tcBorders>
            <w:noWrap/>
            <w:vAlign w:val="center"/>
          </w:tcPr>
          <w:p>
            <w:pPr>
              <w:rPr>
                <w:rFonts w:ascii="宋体" w:eastAsia="宋体"/>
                <w:color w:val="000000"/>
                <w:sz w:val="18"/>
              </w:rPr>
            </w:pPr>
          </w:p>
        </w:tc>
        <w:tc>
          <w:tcPr>
            <w:tcW w:w="1120" w:type="dxa"/>
            <w:tcBorders>
              <w:top w:val="nil"/>
              <w:left w:val="nil"/>
              <w:bottom w:val="nil"/>
              <w:right w:val="nil"/>
              <w:tl2br w:val="nil"/>
              <w:tr2bl w:val="nil"/>
            </w:tcBorders>
            <w:noWrap/>
            <w:vAlign w:val="center"/>
          </w:tcPr>
          <w:p>
            <w:pPr>
              <w:rPr>
                <w:rFonts w:ascii="宋体" w:eastAsia="宋体"/>
                <w:color w:val="000000"/>
                <w:sz w:val="18"/>
              </w:rPr>
            </w:pPr>
          </w:p>
        </w:tc>
        <w:tc>
          <w:tcPr>
            <w:tcW w:w="898" w:type="dxa"/>
            <w:tcBorders>
              <w:top w:val="nil"/>
              <w:left w:val="nil"/>
              <w:bottom w:val="nil"/>
              <w:right w:val="nil"/>
              <w:tl2br w:val="nil"/>
              <w:tr2bl w:val="nil"/>
            </w:tcBorders>
            <w:noWrap/>
            <w:vAlign w:val="center"/>
          </w:tcPr>
          <w:p>
            <w:pPr>
              <w:rPr>
                <w:rFonts w:ascii="宋体" w:eastAsia="宋体"/>
                <w:color w:val="000000"/>
                <w:sz w:val="18"/>
              </w:rPr>
            </w:pPr>
          </w:p>
        </w:tc>
        <w:tc>
          <w:tcPr>
            <w:tcW w:w="776" w:type="dxa"/>
            <w:tcBorders>
              <w:top w:val="nil"/>
              <w:left w:val="nil"/>
              <w:bottom w:val="nil"/>
              <w:right w:val="nil"/>
              <w:tl2br w:val="nil"/>
              <w:tr2bl w:val="nil"/>
            </w:tcBorders>
            <w:noWrap/>
            <w:vAlign w:val="center"/>
          </w:tcPr>
          <w:p>
            <w:pPr>
              <w:rPr>
                <w:rFonts w:ascii="宋体" w:eastAsia="宋体"/>
                <w:color w:val="000000"/>
                <w:sz w:val="18"/>
              </w:rPr>
            </w:pPr>
          </w:p>
        </w:tc>
        <w:tc>
          <w:tcPr>
            <w:tcW w:w="755" w:type="dxa"/>
            <w:tcBorders>
              <w:top w:val="nil"/>
              <w:left w:val="nil"/>
              <w:bottom w:val="nil"/>
              <w:right w:val="nil"/>
              <w:tl2br w:val="nil"/>
              <w:tr2bl w:val="nil"/>
            </w:tcBorders>
            <w:noWrap/>
            <w:vAlign w:val="center"/>
          </w:tcPr>
          <w:p>
            <w:pPr>
              <w:rPr>
                <w:rFonts w:ascii="宋体" w:eastAsia="宋体"/>
                <w:color w:val="000000"/>
                <w:sz w:val="18"/>
              </w:rPr>
            </w:pPr>
          </w:p>
        </w:tc>
        <w:tc>
          <w:tcPr>
            <w:tcW w:w="755" w:type="dxa"/>
            <w:tcBorders>
              <w:top w:val="nil"/>
              <w:left w:val="nil"/>
              <w:bottom w:val="nil"/>
              <w:right w:val="nil"/>
              <w:tl2br w:val="nil"/>
              <w:tr2bl w:val="nil"/>
            </w:tcBorders>
            <w:noWrap/>
            <w:vAlign w:val="center"/>
          </w:tcPr>
          <w:p>
            <w:pPr>
              <w:rPr>
                <w:rFonts w:ascii="宋体" w:eastAsia="宋体"/>
                <w:color w:val="000000"/>
                <w:sz w:val="18"/>
              </w:rPr>
            </w:pPr>
          </w:p>
        </w:tc>
        <w:tc>
          <w:tcPr>
            <w:tcW w:w="701" w:type="dxa"/>
            <w:tcBorders>
              <w:top w:val="nil"/>
              <w:left w:val="nil"/>
              <w:bottom w:val="nil"/>
              <w:right w:val="nil"/>
              <w:tl2br w:val="nil"/>
              <w:tr2bl w:val="nil"/>
            </w:tcBorders>
            <w:noWrap/>
            <w:vAlign w:val="center"/>
          </w:tcPr>
          <w:p>
            <w:pPr>
              <w:rPr>
                <w:rFonts w:ascii="宋体" w:eastAsia="宋体"/>
                <w:color w:val="000000"/>
                <w:sz w:val="18"/>
              </w:rPr>
            </w:pPr>
          </w:p>
        </w:tc>
      </w:tr>
      <w:tr>
        <w:trPr>
          <w:trHeight w:val="899"/>
        </w:trPr>
        <w:tc>
          <w:tcPr>
            <w:tcW w:w="8350" w:type="dxa"/>
            <w:gridSpan w:val="11"/>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Lucida Sans"/>
                <w:b/>
                <w:i w:val="0"/>
                <w:color w:val="000000"/>
                <w:sz w:val="30"/>
              </w:rPr>
            </w:pPr>
            <w:r>
              <w:rPr>
                <w:rFonts w:ascii="黑体" w:eastAsia="黑体" w:cs="Lucida Sans"/>
                <w:b/>
                <w:i w:val="0"/>
                <w:color w:val="000000"/>
                <w:sz w:val="30"/>
              </w:rPr>
              <w:t>部门预算项目支出绩效自评表（2025年度）</w:t>
            </w:r>
          </w:p>
        </w:tc>
      </w:tr>
      <w:tr>
        <w:trPr>
          <w:trHeight w:val="284"/>
        </w:trPr>
        <w:tc>
          <w:tcPr>
            <w:tcW w:w="1097"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项目名称</w:t>
            </w:r>
          </w:p>
        </w:tc>
        <w:tc>
          <w:tcPr>
            <w:tcW w:w="7253" w:type="dxa"/>
            <w:gridSpan w:val="9"/>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51320021T000000160243</w:t>
            </w:r>
            <w:r>
              <w:rPr>
                <w:rFonts w:ascii="宋体" w:cs="Lucida Sans" w:hint="eastAsia"/>
                <w:color w:val="000000"/>
                <w:sz w:val="18"/>
                <w:lang w:eastAsia="zh-CN"/>
              </w:rPr>
              <w:t>－</w:t>
            </w:r>
            <w:r>
              <w:rPr>
                <w:rFonts w:ascii="宋体" w:eastAsia="宋体" w:cs="Lucida Sans"/>
                <w:color w:val="000000"/>
                <w:sz w:val="18"/>
              </w:rPr>
              <w:t>阿坝菩提道场（微信公众平台）</w:t>
            </w:r>
          </w:p>
        </w:tc>
      </w:tr>
      <w:tr>
        <w:trPr>
          <w:trHeight w:val="509"/>
        </w:trPr>
        <w:tc>
          <w:tcPr>
            <w:tcW w:w="1097"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主管部门</w:t>
            </w:r>
          </w:p>
        </w:tc>
        <w:tc>
          <w:tcPr>
            <w:tcW w:w="4265" w:type="dxa"/>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州佛协部门</w:t>
            </w:r>
          </w:p>
        </w:tc>
        <w:tc>
          <w:tcPr>
            <w:tcW w:w="776" w:type="dxa"/>
            <w:tcBorders>
              <w:top w:val="nil"/>
              <w:left w:val="nil"/>
              <w:bottom w:val="nil"/>
              <w:right w:val="nil"/>
              <w:tl2br w:val="nil"/>
              <w:tr2bl w:val="nil"/>
            </w:tcBorders>
            <w:noWrap/>
            <w:vAlign w:val="center"/>
          </w:tcPr>
          <w:p>
            <w:pPr>
              <w:jc w:val="center"/>
              <w:rPr>
                <w:rFonts w:ascii="黑体" w:eastAsia="黑体" w:cs="Lucida Sans"/>
                <w:color w:val="000000"/>
                <w:sz w:val="18"/>
              </w:rPr>
            </w:pPr>
            <w:r>
              <w:rPr>
                <w:rFonts w:ascii="黑体" w:eastAsia="黑体" w:cs="Lucida Sans"/>
                <w:color w:val="000000"/>
                <w:sz w:val="18"/>
              </w:rPr>
              <w:t>实施单位 （盖章）</w:t>
            </w:r>
          </w:p>
        </w:tc>
        <w:tc>
          <w:tcPr>
            <w:tcW w:w="2212"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州佛协</w:t>
            </w:r>
          </w:p>
        </w:tc>
      </w:tr>
      <w:tr>
        <w:trPr>
          <w:trHeight w:val="284"/>
        </w:trPr>
        <w:tc>
          <w:tcPr>
            <w:tcW w:w="569"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项目基本情况</w:t>
            </w:r>
          </w:p>
        </w:tc>
        <w:tc>
          <w:tcPr>
            <w:tcW w:w="528"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1.项目年度目标完成情况</w:t>
            </w:r>
          </w:p>
        </w:tc>
        <w:tc>
          <w:tcPr>
            <w:tcW w:w="4265" w:type="dxa"/>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项目年度目标</w:t>
            </w:r>
          </w:p>
        </w:tc>
        <w:tc>
          <w:tcPr>
            <w:tcW w:w="2987" w:type="dxa"/>
            <w:gridSpan w:val="4"/>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Lucida Sans"/>
                <w:color w:val="000000"/>
                <w:sz w:val="18"/>
              </w:rPr>
            </w:pPr>
            <w:r>
              <w:rPr>
                <w:rFonts w:ascii="黑体" w:eastAsia="黑体" w:cs="Lucida Sans"/>
                <w:color w:val="000000"/>
                <w:sz w:val="18"/>
              </w:rPr>
              <w:t>年度目标完成情况</w:t>
            </w:r>
          </w:p>
        </w:tc>
      </w:tr>
      <w:tr>
        <w:trPr>
          <w:trHeight w:val="1349"/>
        </w:trPr>
        <w:tc>
          <w:tcPr>
            <w:tcW w:w="289"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333"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4265" w:type="dxa"/>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　为弘扬藏传佛教优秀文化，传播宗教正能量，及时将中央、省、州党委政府关于宗教工作的方针政策、法律法规以及高僧大德教言、寺庙管理动态等发布到僧尼和信众中，有力促进历史挖掘传承和现实融合创新的有机结合，起到宣传藏传佛教正能量的良好社会效应。自2015年来，按照州委工作部署，我会在阿坝日报社开设藏文手机报“阿坝菩提道场”栏目和开办《阿坝菩提道场》微信公众平台。</w:t>
            </w:r>
          </w:p>
        </w:tc>
        <w:tc>
          <w:tcPr>
            <w:tcW w:w="2987" w:type="dxa"/>
            <w:gridSpan w:val="4"/>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Lucida Sans"/>
                <w:color w:val="000000"/>
                <w:sz w:val="18"/>
              </w:rPr>
            </w:pPr>
            <w:r>
              <w:rPr>
                <w:rFonts w:ascii="黑体" w:eastAsia="黑体" w:cs="Lucida Sans"/>
                <w:color w:val="000000"/>
                <w:sz w:val="18"/>
              </w:rPr>
              <w:t>2025年完成刊播数量48期,信教群众对宗教政策的知晓率≥80%，通过微信公众平台有效弘扬了藏传佛教优秀文化，传播了宗教正能量，展示了宗教界良好社会形象，为促进宗教和谐、民族团结、社会稳定发挥了积极作用，圆满完成年度项目目标任务。</w:t>
            </w:r>
          </w:p>
        </w:tc>
      </w:tr>
      <w:tr>
        <w:trPr>
          <w:trHeight w:val="689"/>
        </w:trPr>
        <w:tc>
          <w:tcPr>
            <w:tcW w:w="289"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528"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2.项目实施内容及过程概述</w:t>
            </w:r>
          </w:p>
        </w:tc>
        <w:tc>
          <w:tcPr>
            <w:tcW w:w="7253" w:type="dxa"/>
            <w:gridSpan w:val="9"/>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本项目以弘扬藏传佛教优秀传统文化、传播宗教正能量、展示宗教界良好形象为目标，依托微信公众平台开展正面宣传、文化传播、政策解读、和谐稳定引导等内容运营，进一步提升藏传佛教中国化水平，营造积极健康、向上向善的网络舆论氛围。项目严格按照预算管理、宣传思想工作要求及网络平台管理规定组织实施，坚持正确导向、内容合规、运营规范、实现全流程闭环管理。落实微信公众号内容审核、信息发布、留言管理、安全防护等制度，确保发布内容导向正确、信息真实、用语规范，坚决杜绝不良信息，维护平台清朗健康。</w:t>
            </w:r>
          </w:p>
        </w:tc>
      </w:tr>
      <w:tr>
        <w:trPr>
          <w:trHeight w:val="359"/>
        </w:trPr>
        <w:tc>
          <w:tcPr>
            <w:tcW w:w="569"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预算执行情况（10分）</w:t>
            </w:r>
          </w:p>
        </w:tc>
        <w:tc>
          <w:tcPr>
            <w:tcW w:w="528"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年度预算数（万元）</w:t>
            </w:r>
          </w:p>
        </w:tc>
        <w:tc>
          <w:tcPr>
            <w:tcW w:w="82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年初预算</w:t>
            </w:r>
          </w:p>
        </w:tc>
        <w:tc>
          <w:tcPr>
            <w:tcW w:w="62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调整后预算数</w:t>
            </w:r>
          </w:p>
        </w:tc>
        <w:tc>
          <w:tcPr>
            <w:tcW w:w="2821"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预算执行数</w:t>
            </w:r>
          </w:p>
        </w:tc>
        <w:tc>
          <w:tcPr>
            <w:tcW w:w="776"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预算执行率</w:t>
            </w:r>
          </w:p>
        </w:tc>
        <w:tc>
          <w:tcPr>
            <w:tcW w:w="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权重</w:t>
            </w:r>
          </w:p>
        </w:tc>
        <w:tc>
          <w:tcPr>
            <w:tcW w:w="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得分</w:t>
            </w:r>
          </w:p>
        </w:tc>
        <w:tc>
          <w:tcPr>
            <w:tcW w:w="7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原因</w:t>
            </w:r>
          </w:p>
        </w:tc>
      </w:tr>
      <w:tr>
        <w:trPr>
          <w:trHeight w:val="344"/>
        </w:trPr>
        <w:tc>
          <w:tcPr>
            <w:tcW w:w="289"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528"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总额</w:t>
            </w:r>
          </w:p>
        </w:tc>
        <w:tc>
          <w:tcPr>
            <w:tcW w:w="82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5.00</w:t>
            </w:r>
          </w:p>
        </w:tc>
        <w:tc>
          <w:tcPr>
            <w:tcW w:w="62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1.07</w:t>
            </w:r>
          </w:p>
        </w:tc>
        <w:tc>
          <w:tcPr>
            <w:tcW w:w="2821"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1.07</w:t>
            </w:r>
          </w:p>
        </w:tc>
        <w:tc>
          <w:tcPr>
            <w:tcW w:w="776"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100.00%</w:t>
            </w:r>
          </w:p>
        </w:tc>
        <w:tc>
          <w:tcPr>
            <w:tcW w:w="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olor w:val="000000"/>
                <w:sz w:val="18"/>
              </w:rPr>
            </w:pPr>
          </w:p>
        </w:tc>
        <w:tc>
          <w:tcPr>
            <w:tcW w:w="701"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eastAsia="宋体" w:cs="Lucida Sans"/>
                <w:b w:val="0"/>
                <w:i/>
                <w:color w:val="000000"/>
                <w:sz w:val="18"/>
              </w:rPr>
            </w:pPr>
          </w:p>
        </w:tc>
      </w:tr>
      <w:tr>
        <w:trPr>
          <w:trHeight w:val="389"/>
        </w:trPr>
        <w:tc>
          <w:tcPr>
            <w:tcW w:w="289"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528"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其中：财政资金</w:t>
            </w:r>
          </w:p>
        </w:tc>
        <w:tc>
          <w:tcPr>
            <w:tcW w:w="82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5.00</w:t>
            </w:r>
          </w:p>
        </w:tc>
        <w:tc>
          <w:tcPr>
            <w:tcW w:w="62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1.07</w:t>
            </w:r>
          </w:p>
        </w:tc>
        <w:tc>
          <w:tcPr>
            <w:tcW w:w="2821"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1.07</w:t>
            </w:r>
          </w:p>
        </w:tc>
        <w:tc>
          <w:tcPr>
            <w:tcW w:w="776"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100.00%</w:t>
            </w:r>
          </w:p>
        </w:tc>
        <w:tc>
          <w:tcPr>
            <w:tcW w:w="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824"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404"/>
        </w:trPr>
        <w:tc>
          <w:tcPr>
            <w:tcW w:w="289"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528"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财政专户管理资金</w:t>
            </w:r>
          </w:p>
        </w:tc>
        <w:tc>
          <w:tcPr>
            <w:tcW w:w="82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62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2821"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776"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824"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359"/>
        </w:trPr>
        <w:tc>
          <w:tcPr>
            <w:tcW w:w="289"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528"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单位资金</w:t>
            </w:r>
          </w:p>
        </w:tc>
        <w:tc>
          <w:tcPr>
            <w:tcW w:w="82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62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2821"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776"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824"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344"/>
        </w:trPr>
        <w:tc>
          <w:tcPr>
            <w:tcW w:w="289"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528"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其他资金</w:t>
            </w:r>
          </w:p>
        </w:tc>
        <w:tc>
          <w:tcPr>
            <w:tcW w:w="82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62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2821"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p>
        </w:tc>
        <w:tc>
          <w:tcPr>
            <w:tcW w:w="776"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824"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449"/>
        </w:trPr>
        <w:tc>
          <w:tcPr>
            <w:tcW w:w="569"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绩效指标（90分）</w:t>
            </w:r>
          </w:p>
        </w:tc>
        <w:tc>
          <w:tcPr>
            <w:tcW w:w="528"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一级指标</w:t>
            </w:r>
          </w:p>
        </w:tc>
        <w:tc>
          <w:tcPr>
            <w:tcW w:w="82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二级指标</w:t>
            </w:r>
          </w:p>
        </w:tc>
        <w:tc>
          <w:tcPr>
            <w:tcW w:w="62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三级指标</w:t>
            </w:r>
          </w:p>
        </w:tc>
        <w:tc>
          <w:tcPr>
            <w:tcW w:w="80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指标性质</w:t>
            </w:r>
          </w:p>
        </w:tc>
        <w:tc>
          <w:tcPr>
            <w:tcW w:w="112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指标值</w:t>
            </w:r>
          </w:p>
        </w:tc>
        <w:tc>
          <w:tcPr>
            <w:tcW w:w="898"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度量单位</w:t>
            </w:r>
          </w:p>
        </w:tc>
        <w:tc>
          <w:tcPr>
            <w:tcW w:w="776"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完成值</w:t>
            </w:r>
          </w:p>
        </w:tc>
        <w:tc>
          <w:tcPr>
            <w:tcW w:w="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权重</w:t>
            </w:r>
          </w:p>
        </w:tc>
        <w:tc>
          <w:tcPr>
            <w:tcW w:w="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得分</w:t>
            </w:r>
          </w:p>
        </w:tc>
        <w:tc>
          <w:tcPr>
            <w:tcW w:w="7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未完成原因分析</w:t>
            </w:r>
          </w:p>
        </w:tc>
      </w:tr>
      <w:tr>
        <w:trPr>
          <w:trHeight w:val="344"/>
        </w:trPr>
        <w:tc>
          <w:tcPr>
            <w:tcW w:w="289"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528"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产出指标</w:t>
            </w:r>
          </w:p>
        </w:tc>
        <w:tc>
          <w:tcPr>
            <w:tcW w:w="82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数量指标</w:t>
            </w:r>
          </w:p>
        </w:tc>
        <w:tc>
          <w:tcPr>
            <w:tcW w:w="62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刊播数量</w:t>
            </w:r>
          </w:p>
        </w:tc>
        <w:tc>
          <w:tcPr>
            <w:tcW w:w="80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12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48</w:t>
            </w:r>
          </w:p>
        </w:tc>
        <w:tc>
          <w:tcPr>
            <w:tcW w:w="898"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期</w:t>
            </w:r>
          </w:p>
        </w:tc>
        <w:tc>
          <w:tcPr>
            <w:tcW w:w="776"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olor w:val="000000"/>
                <w:sz w:val="18"/>
              </w:rPr>
            </w:pPr>
          </w:p>
        </w:tc>
        <w:tc>
          <w:tcPr>
            <w:tcW w:w="7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449"/>
        </w:trPr>
        <w:tc>
          <w:tcPr>
            <w:tcW w:w="289"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333"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82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质量指标</w:t>
            </w:r>
          </w:p>
        </w:tc>
        <w:tc>
          <w:tcPr>
            <w:tcW w:w="62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有力促进历史挖掘传承和现实融合创新的有机结合</w:t>
            </w:r>
          </w:p>
        </w:tc>
        <w:tc>
          <w:tcPr>
            <w:tcW w:w="80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定性</w:t>
            </w:r>
          </w:p>
        </w:tc>
        <w:tc>
          <w:tcPr>
            <w:tcW w:w="112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有力促进</w:t>
            </w:r>
          </w:p>
        </w:tc>
        <w:tc>
          <w:tcPr>
            <w:tcW w:w="898"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olor w:val="000000"/>
                <w:sz w:val="18"/>
              </w:rPr>
            </w:pPr>
          </w:p>
        </w:tc>
        <w:tc>
          <w:tcPr>
            <w:tcW w:w="776"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20</w:t>
            </w:r>
          </w:p>
        </w:tc>
        <w:tc>
          <w:tcPr>
            <w:tcW w:w="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olor w:val="000000"/>
                <w:sz w:val="18"/>
              </w:rPr>
            </w:pPr>
          </w:p>
        </w:tc>
        <w:tc>
          <w:tcPr>
            <w:tcW w:w="7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344"/>
        </w:trPr>
        <w:tc>
          <w:tcPr>
            <w:tcW w:w="289"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333"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82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时效指标</w:t>
            </w:r>
          </w:p>
        </w:tc>
        <w:tc>
          <w:tcPr>
            <w:tcW w:w="62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刊播时限</w:t>
            </w:r>
          </w:p>
        </w:tc>
        <w:tc>
          <w:tcPr>
            <w:tcW w:w="80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12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w:t>
            </w:r>
          </w:p>
        </w:tc>
        <w:tc>
          <w:tcPr>
            <w:tcW w:w="898"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年</w:t>
            </w:r>
          </w:p>
        </w:tc>
        <w:tc>
          <w:tcPr>
            <w:tcW w:w="776"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olor w:val="000000"/>
                <w:sz w:val="18"/>
              </w:rPr>
            </w:pPr>
          </w:p>
        </w:tc>
        <w:tc>
          <w:tcPr>
            <w:tcW w:w="7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449"/>
        </w:trPr>
        <w:tc>
          <w:tcPr>
            <w:tcW w:w="289"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528"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效益指标</w:t>
            </w:r>
          </w:p>
        </w:tc>
        <w:tc>
          <w:tcPr>
            <w:tcW w:w="82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社会效益指标</w:t>
            </w:r>
          </w:p>
        </w:tc>
        <w:tc>
          <w:tcPr>
            <w:tcW w:w="62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宣传藏传佛教正能量的良好社会效应</w:t>
            </w:r>
          </w:p>
        </w:tc>
        <w:tc>
          <w:tcPr>
            <w:tcW w:w="80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定性</w:t>
            </w:r>
          </w:p>
        </w:tc>
        <w:tc>
          <w:tcPr>
            <w:tcW w:w="112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广泛宣传</w:t>
            </w:r>
          </w:p>
        </w:tc>
        <w:tc>
          <w:tcPr>
            <w:tcW w:w="898"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olor w:val="000000"/>
                <w:sz w:val="18"/>
              </w:rPr>
            </w:pPr>
          </w:p>
        </w:tc>
        <w:tc>
          <w:tcPr>
            <w:tcW w:w="776"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olor w:val="000000"/>
                <w:sz w:val="18"/>
              </w:rPr>
            </w:pPr>
          </w:p>
        </w:tc>
        <w:tc>
          <w:tcPr>
            <w:tcW w:w="7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344"/>
        </w:trPr>
        <w:tc>
          <w:tcPr>
            <w:tcW w:w="289"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333"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82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可持续影响指标</w:t>
            </w:r>
          </w:p>
        </w:tc>
        <w:tc>
          <w:tcPr>
            <w:tcW w:w="62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传播宗教正能量</w:t>
            </w:r>
          </w:p>
        </w:tc>
        <w:tc>
          <w:tcPr>
            <w:tcW w:w="80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定性</w:t>
            </w:r>
          </w:p>
        </w:tc>
        <w:tc>
          <w:tcPr>
            <w:tcW w:w="112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有效传播</w:t>
            </w:r>
          </w:p>
        </w:tc>
        <w:tc>
          <w:tcPr>
            <w:tcW w:w="898"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olor w:val="000000"/>
                <w:sz w:val="18"/>
              </w:rPr>
            </w:pPr>
          </w:p>
        </w:tc>
        <w:tc>
          <w:tcPr>
            <w:tcW w:w="776"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olor w:val="000000"/>
                <w:sz w:val="18"/>
              </w:rPr>
            </w:pPr>
          </w:p>
        </w:tc>
        <w:tc>
          <w:tcPr>
            <w:tcW w:w="7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449"/>
        </w:trPr>
        <w:tc>
          <w:tcPr>
            <w:tcW w:w="289"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528"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满意度指标</w:t>
            </w:r>
          </w:p>
        </w:tc>
        <w:tc>
          <w:tcPr>
            <w:tcW w:w="82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服务对象满意度指标</w:t>
            </w:r>
          </w:p>
        </w:tc>
        <w:tc>
          <w:tcPr>
            <w:tcW w:w="62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公众满意度</w:t>
            </w:r>
          </w:p>
        </w:tc>
        <w:tc>
          <w:tcPr>
            <w:tcW w:w="80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12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100</w:t>
            </w:r>
          </w:p>
        </w:tc>
        <w:tc>
          <w:tcPr>
            <w:tcW w:w="898"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776"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olor w:val="000000"/>
                <w:sz w:val="18"/>
              </w:rPr>
            </w:pPr>
          </w:p>
        </w:tc>
        <w:tc>
          <w:tcPr>
            <w:tcW w:w="7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899"/>
        </w:trPr>
        <w:tc>
          <w:tcPr>
            <w:tcW w:w="289"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528"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成本指标</w:t>
            </w:r>
          </w:p>
        </w:tc>
        <w:tc>
          <w:tcPr>
            <w:tcW w:w="82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经济成本指标</w:t>
            </w:r>
          </w:p>
        </w:tc>
        <w:tc>
          <w:tcPr>
            <w:tcW w:w="62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经费支出</w:t>
            </w:r>
          </w:p>
        </w:tc>
        <w:tc>
          <w:tcPr>
            <w:tcW w:w="80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12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5</w:t>
            </w:r>
          </w:p>
        </w:tc>
        <w:tc>
          <w:tcPr>
            <w:tcW w:w="898"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万元/每项目</w:t>
            </w:r>
          </w:p>
        </w:tc>
        <w:tc>
          <w:tcPr>
            <w:tcW w:w="776"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20</w:t>
            </w:r>
          </w:p>
        </w:tc>
        <w:tc>
          <w:tcPr>
            <w:tcW w:w="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olor w:val="000000"/>
                <w:sz w:val="18"/>
              </w:rPr>
            </w:pPr>
          </w:p>
        </w:tc>
        <w:tc>
          <w:tcPr>
            <w:tcW w:w="7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284"/>
        </w:trPr>
        <w:tc>
          <w:tcPr>
            <w:tcW w:w="6138" w:type="dxa"/>
            <w:gridSpan w:val="8"/>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合计</w:t>
            </w:r>
          </w:p>
        </w:tc>
        <w:tc>
          <w:tcPr>
            <w:tcW w:w="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100</w:t>
            </w:r>
          </w:p>
        </w:tc>
        <w:tc>
          <w:tcPr>
            <w:tcW w:w="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eastAsia="宋体"/>
                <w:color w:val="000000"/>
                <w:sz w:val="18"/>
              </w:rPr>
            </w:pPr>
          </w:p>
        </w:tc>
        <w:tc>
          <w:tcPr>
            <w:tcW w:w="7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eastAsia="宋体"/>
                <w:color w:val="000000"/>
                <w:sz w:val="18"/>
              </w:rPr>
            </w:pPr>
          </w:p>
        </w:tc>
      </w:tr>
      <w:tr>
        <w:trPr>
          <w:trHeight w:val="599"/>
        </w:trPr>
        <w:tc>
          <w:tcPr>
            <w:tcW w:w="569"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评价结论</w:t>
            </w:r>
          </w:p>
        </w:tc>
        <w:tc>
          <w:tcPr>
            <w:tcW w:w="7781" w:type="dxa"/>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自评分为100分，通过刊播“阿坝菩提道场”微信公众号和“菩提道场”藏文语音手机报，及时将中央、省、州</w:t>
            </w:r>
            <w:r>
              <w:rPr>
                <w:rFonts w:ascii="微软雅黑" w:eastAsia="微软雅黑" w:cs="Lucida Sans" w:hint="eastAsia"/>
                <w:b w:val="0"/>
                <w:i/>
                <w:color w:val="000000"/>
                <w:sz w:val="16"/>
                <w:lang w:eastAsia="zh-CN"/>
              </w:rPr>
              <w:t>党委、政府</w:t>
            </w:r>
            <w:r>
              <w:rPr>
                <w:rFonts w:ascii="微软雅黑" w:eastAsia="微软雅黑" w:cs="Lucida Sans"/>
                <w:b w:val="0"/>
                <w:i/>
                <w:color w:val="000000"/>
                <w:sz w:val="16"/>
              </w:rPr>
              <w:t>关于宗教工作的方针政策、法律法规以及高僧大德教言、寺庙管理动态等发布到僧尼和信众中，促进历史挖掘传承和现实融合创新的有机结合，起到宣传藏传佛教正能量的良好社会效应。</w:t>
            </w:r>
          </w:p>
        </w:tc>
      </w:tr>
      <w:tr>
        <w:trPr>
          <w:trHeight w:val="569"/>
        </w:trPr>
        <w:tc>
          <w:tcPr>
            <w:tcW w:w="569"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存在问题</w:t>
            </w:r>
          </w:p>
        </w:tc>
        <w:tc>
          <w:tcPr>
            <w:tcW w:w="7781" w:type="dxa"/>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根据工作安排，2024年原创作品刊数减少，转载内容较多，造成经费支出减少</w:t>
            </w:r>
          </w:p>
        </w:tc>
      </w:tr>
      <w:tr>
        <w:trPr>
          <w:trHeight w:val="629"/>
        </w:trPr>
        <w:tc>
          <w:tcPr>
            <w:tcW w:w="569"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改进措施</w:t>
            </w:r>
          </w:p>
        </w:tc>
        <w:tc>
          <w:tcPr>
            <w:tcW w:w="7781" w:type="dxa"/>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加大原创刊播力度，提高刊播质量。</w:t>
            </w:r>
          </w:p>
        </w:tc>
      </w:tr>
      <w:tr>
        <w:trPr>
          <w:trHeight w:val="284"/>
        </w:trPr>
        <w:tc>
          <w:tcPr>
            <w:tcW w:w="3344" w:type="dxa"/>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Lucida Sans"/>
                <w:color w:val="000000"/>
                <w:sz w:val="18"/>
              </w:rPr>
            </w:pPr>
            <w:r>
              <w:rPr>
                <w:rFonts w:ascii="黑体" w:eastAsia="黑体" w:cs="Lucida Sans"/>
                <w:color w:val="000000"/>
                <w:sz w:val="18"/>
              </w:rPr>
              <w:t>项目负责人：</w:t>
            </w:r>
          </w:p>
        </w:tc>
        <w:tc>
          <w:tcPr>
            <w:tcW w:w="5006" w:type="dxa"/>
            <w:gridSpan w:val="6"/>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Lucida Sans"/>
                <w:color w:val="000000"/>
                <w:sz w:val="18"/>
              </w:rPr>
            </w:pPr>
            <w:r>
              <w:rPr>
                <w:rFonts w:ascii="黑体" w:eastAsia="黑体" w:cs="Lucida Sans"/>
                <w:color w:val="000000"/>
                <w:sz w:val="18"/>
              </w:rPr>
              <w:t>财务负责人：</w:t>
            </w:r>
          </w:p>
        </w:tc>
      </w:tr>
      <w:tr>
        <w:trPr>
          <w:trHeight w:val="284"/>
        </w:trPr>
        <w:tc>
          <w:tcPr>
            <w:tcW w:w="569" w:type="dxa"/>
            <w:tcBorders>
              <w:top w:val="nil"/>
              <w:left w:val="nil"/>
              <w:bottom w:val="nil"/>
              <w:right w:val="nil"/>
              <w:tl2br w:val="nil"/>
              <w:tr2bl w:val="nil"/>
            </w:tcBorders>
            <w:noWrap/>
            <w:vAlign w:val="center"/>
          </w:tcPr>
          <w:p>
            <w:pPr>
              <w:rPr>
                <w:rFonts w:ascii="宋体" w:eastAsia="宋体"/>
                <w:color w:val="000000"/>
                <w:sz w:val="18"/>
              </w:rPr>
            </w:pPr>
          </w:p>
        </w:tc>
        <w:tc>
          <w:tcPr>
            <w:tcW w:w="528" w:type="dxa"/>
            <w:tcBorders>
              <w:top w:val="nil"/>
              <w:left w:val="nil"/>
              <w:bottom w:val="nil"/>
              <w:right w:val="nil"/>
              <w:tl2br w:val="nil"/>
              <w:tr2bl w:val="nil"/>
            </w:tcBorders>
            <w:noWrap/>
            <w:vAlign w:val="center"/>
          </w:tcPr>
          <w:p>
            <w:pPr>
              <w:rPr>
                <w:rFonts w:ascii="宋体" w:eastAsia="宋体"/>
                <w:color w:val="000000"/>
                <w:sz w:val="18"/>
              </w:rPr>
            </w:pPr>
          </w:p>
        </w:tc>
        <w:tc>
          <w:tcPr>
            <w:tcW w:w="823" w:type="dxa"/>
            <w:tcBorders>
              <w:top w:val="nil"/>
              <w:left w:val="nil"/>
              <w:bottom w:val="nil"/>
              <w:right w:val="nil"/>
              <w:tl2br w:val="nil"/>
              <w:tr2bl w:val="nil"/>
            </w:tcBorders>
            <w:noWrap/>
            <w:vAlign w:val="center"/>
          </w:tcPr>
          <w:p>
            <w:pPr>
              <w:rPr>
                <w:rFonts w:ascii="宋体" w:eastAsia="宋体"/>
                <w:color w:val="000000"/>
                <w:sz w:val="18"/>
              </w:rPr>
            </w:pPr>
          </w:p>
        </w:tc>
        <w:tc>
          <w:tcPr>
            <w:tcW w:w="621" w:type="dxa"/>
            <w:tcBorders>
              <w:top w:val="nil"/>
              <w:left w:val="nil"/>
              <w:bottom w:val="nil"/>
              <w:right w:val="nil"/>
              <w:tl2br w:val="nil"/>
              <w:tr2bl w:val="nil"/>
            </w:tcBorders>
            <w:noWrap/>
            <w:vAlign w:val="center"/>
          </w:tcPr>
          <w:p>
            <w:pPr>
              <w:rPr>
                <w:rFonts w:ascii="宋体" w:eastAsia="宋体"/>
                <w:color w:val="000000"/>
                <w:sz w:val="18"/>
              </w:rPr>
            </w:pPr>
          </w:p>
        </w:tc>
        <w:tc>
          <w:tcPr>
            <w:tcW w:w="803" w:type="dxa"/>
            <w:tcBorders>
              <w:top w:val="nil"/>
              <w:left w:val="nil"/>
              <w:bottom w:val="nil"/>
              <w:right w:val="nil"/>
              <w:tl2br w:val="nil"/>
              <w:tr2bl w:val="nil"/>
            </w:tcBorders>
            <w:noWrap/>
            <w:vAlign w:val="center"/>
          </w:tcPr>
          <w:p>
            <w:pPr>
              <w:rPr>
                <w:rFonts w:ascii="宋体" w:eastAsia="宋体"/>
                <w:color w:val="000000"/>
                <w:sz w:val="18"/>
              </w:rPr>
            </w:pPr>
          </w:p>
        </w:tc>
        <w:tc>
          <w:tcPr>
            <w:tcW w:w="1120" w:type="dxa"/>
            <w:tcBorders>
              <w:top w:val="nil"/>
              <w:left w:val="nil"/>
              <w:bottom w:val="nil"/>
              <w:right w:val="nil"/>
              <w:tl2br w:val="nil"/>
              <w:tr2bl w:val="nil"/>
            </w:tcBorders>
            <w:noWrap/>
            <w:vAlign w:val="center"/>
          </w:tcPr>
          <w:p>
            <w:pPr>
              <w:rPr>
                <w:rFonts w:ascii="宋体" w:eastAsia="宋体"/>
                <w:color w:val="000000"/>
                <w:sz w:val="18"/>
              </w:rPr>
            </w:pPr>
          </w:p>
        </w:tc>
        <w:tc>
          <w:tcPr>
            <w:tcW w:w="898" w:type="dxa"/>
            <w:tcBorders>
              <w:top w:val="nil"/>
              <w:left w:val="nil"/>
              <w:bottom w:val="nil"/>
              <w:right w:val="nil"/>
              <w:tl2br w:val="nil"/>
              <w:tr2bl w:val="nil"/>
            </w:tcBorders>
            <w:noWrap/>
            <w:vAlign w:val="center"/>
          </w:tcPr>
          <w:p>
            <w:pPr>
              <w:rPr>
                <w:rFonts w:ascii="宋体" w:eastAsia="宋体"/>
                <w:color w:val="000000"/>
                <w:sz w:val="18"/>
              </w:rPr>
            </w:pPr>
          </w:p>
        </w:tc>
        <w:tc>
          <w:tcPr>
            <w:tcW w:w="776" w:type="dxa"/>
            <w:tcBorders>
              <w:top w:val="nil"/>
              <w:left w:val="nil"/>
              <w:bottom w:val="nil"/>
              <w:right w:val="nil"/>
              <w:tl2br w:val="nil"/>
              <w:tr2bl w:val="nil"/>
            </w:tcBorders>
            <w:noWrap/>
            <w:vAlign w:val="center"/>
          </w:tcPr>
          <w:p>
            <w:pPr>
              <w:rPr>
                <w:rFonts w:ascii="宋体" w:eastAsia="宋体"/>
                <w:color w:val="000000"/>
                <w:sz w:val="18"/>
              </w:rPr>
            </w:pPr>
          </w:p>
        </w:tc>
        <w:tc>
          <w:tcPr>
            <w:tcW w:w="755" w:type="dxa"/>
            <w:tcBorders>
              <w:top w:val="nil"/>
              <w:left w:val="nil"/>
              <w:bottom w:val="nil"/>
              <w:right w:val="nil"/>
              <w:tl2br w:val="nil"/>
              <w:tr2bl w:val="nil"/>
            </w:tcBorders>
            <w:noWrap/>
            <w:vAlign w:val="center"/>
          </w:tcPr>
          <w:p>
            <w:pPr>
              <w:rPr>
                <w:rFonts w:ascii="宋体" w:eastAsia="宋体"/>
                <w:color w:val="000000"/>
                <w:sz w:val="18"/>
              </w:rPr>
            </w:pPr>
          </w:p>
        </w:tc>
        <w:tc>
          <w:tcPr>
            <w:tcW w:w="755" w:type="dxa"/>
            <w:tcBorders>
              <w:top w:val="nil"/>
              <w:left w:val="nil"/>
              <w:bottom w:val="nil"/>
              <w:right w:val="nil"/>
              <w:tl2br w:val="nil"/>
              <w:tr2bl w:val="nil"/>
            </w:tcBorders>
            <w:noWrap/>
            <w:vAlign w:val="center"/>
          </w:tcPr>
          <w:p>
            <w:pPr>
              <w:rPr>
                <w:rFonts w:ascii="宋体" w:eastAsia="宋体"/>
                <w:color w:val="000000"/>
                <w:sz w:val="18"/>
              </w:rPr>
            </w:pPr>
          </w:p>
        </w:tc>
        <w:tc>
          <w:tcPr>
            <w:tcW w:w="701" w:type="dxa"/>
            <w:tcBorders>
              <w:top w:val="nil"/>
              <w:left w:val="nil"/>
              <w:bottom w:val="nil"/>
              <w:right w:val="nil"/>
              <w:tl2br w:val="nil"/>
              <w:tr2bl w:val="nil"/>
            </w:tcBorders>
            <w:noWrap/>
            <w:vAlign w:val="center"/>
          </w:tcPr>
          <w:p>
            <w:pPr>
              <w:rPr>
                <w:rFonts w:ascii="宋体" w:eastAsia="宋体"/>
                <w:color w:val="000000"/>
                <w:sz w:val="18"/>
              </w:rPr>
            </w:pPr>
          </w:p>
        </w:tc>
      </w:tr>
      <w:tr>
        <w:trPr>
          <w:trHeight w:val="899"/>
        </w:trPr>
        <w:tc>
          <w:tcPr>
            <w:tcW w:w="8350" w:type="dxa"/>
            <w:gridSpan w:val="11"/>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Lucida Sans"/>
                <w:b/>
                <w:i w:val="0"/>
                <w:color w:val="000000"/>
                <w:sz w:val="30"/>
              </w:rPr>
            </w:pPr>
            <w:r>
              <w:rPr>
                <w:rFonts w:ascii="黑体" w:eastAsia="黑体" w:cs="Lucida Sans"/>
                <w:b/>
                <w:i w:val="0"/>
                <w:color w:val="000000"/>
                <w:sz w:val="30"/>
              </w:rPr>
              <w:t>部门预算项目支出绩效自评表（2025年度）</w:t>
            </w:r>
          </w:p>
        </w:tc>
      </w:tr>
      <w:tr>
        <w:trPr>
          <w:trHeight w:val="284"/>
        </w:trPr>
        <w:tc>
          <w:tcPr>
            <w:tcW w:w="1097"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项目名称</w:t>
            </w:r>
          </w:p>
        </w:tc>
        <w:tc>
          <w:tcPr>
            <w:tcW w:w="7253" w:type="dxa"/>
            <w:gridSpan w:val="9"/>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51320021T000000160290-生活补助</w:t>
            </w:r>
          </w:p>
        </w:tc>
      </w:tr>
      <w:tr>
        <w:trPr>
          <w:trHeight w:val="509"/>
        </w:trPr>
        <w:tc>
          <w:tcPr>
            <w:tcW w:w="1097"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主管部门</w:t>
            </w:r>
          </w:p>
        </w:tc>
        <w:tc>
          <w:tcPr>
            <w:tcW w:w="4265" w:type="dxa"/>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州佛协部门</w:t>
            </w:r>
          </w:p>
        </w:tc>
        <w:tc>
          <w:tcPr>
            <w:tcW w:w="776" w:type="dxa"/>
            <w:tcBorders>
              <w:top w:val="nil"/>
              <w:left w:val="nil"/>
              <w:bottom w:val="nil"/>
              <w:right w:val="nil"/>
              <w:tl2br w:val="nil"/>
              <w:tr2bl w:val="nil"/>
            </w:tcBorders>
            <w:noWrap/>
            <w:vAlign w:val="center"/>
          </w:tcPr>
          <w:p>
            <w:pPr>
              <w:jc w:val="center"/>
              <w:rPr>
                <w:rFonts w:ascii="黑体" w:eastAsia="黑体" w:cs="Lucida Sans"/>
                <w:color w:val="000000"/>
                <w:sz w:val="18"/>
              </w:rPr>
            </w:pPr>
            <w:r>
              <w:rPr>
                <w:rFonts w:ascii="黑体" w:eastAsia="黑体" w:cs="Lucida Sans"/>
                <w:color w:val="000000"/>
                <w:sz w:val="18"/>
              </w:rPr>
              <w:t>实施单位 （盖章）</w:t>
            </w:r>
          </w:p>
        </w:tc>
        <w:tc>
          <w:tcPr>
            <w:tcW w:w="2212"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州佛协</w:t>
            </w:r>
          </w:p>
        </w:tc>
      </w:tr>
      <w:tr>
        <w:trPr>
          <w:trHeight w:val="284"/>
        </w:trPr>
        <w:tc>
          <w:tcPr>
            <w:tcW w:w="569"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项目基本情况</w:t>
            </w:r>
          </w:p>
        </w:tc>
        <w:tc>
          <w:tcPr>
            <w:tcW w:w="528"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1.项目年度目标完成情况</w:t>
            </w:r>
          </w:p>
        </w:tc>
        <w:tc>
          <w:tcPr>
            <w:tcW w:w="4265" w:type="dxa"/>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项目年度目标</w:t>
            </w:r>
          </w:p>
        </w:tc>
        <w:tc>
          <w:tcPr>
            <w:tcW w:w="2987" w:type="dxa"/>
            <w:gridSpan w:val="4"/>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Lucida Sans"/>
                <w:color w:val="000000"/>
                <w:sz w:val="18"/>
              </w:rPr>
            </w:pPr>
            <w:r>
              <w:rPr>
                <w:rFonts w:ascii="黑体" w:eastAsia="黑体" w:cs="Lucida Sans"/>
                <w:color w:val="000000"/>
                <w:sz w:val="18"/>
              </w:rPr>
              <w:t>年度目标完成情况</w:t>
            </w:r>
          </w:p>
        </w:tc>
      </w:tr>
      <w:tr>
        <w:trPr>
          <w:trHeight w:val="704"/>
        </w:trPr>
        <w:tc>
          <w:tcPr>
            <w:tcW w:w="289"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333"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4265" w:type="dxa"/>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　为进一步加强州、县佛协组织建设，调动广大佛教界人士自觉接受政府依法管理和强化佛协组织自主管理的积极性。</w:t>
            </w:r>
          </w:p>
        </w:tc>
        <w:tc>
          <w:tcPr>
            <w:tcW w:w="2987" w:type="dxa"/>
            <w:gridSpan w:val="4"/>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Lucida Sans"/>
                <w:color w:val="000000"/>
                <w:sz w:val="18"/>
              </w:rPr>
            </w:pPr>
            <w:r>
              <w:rPr>
                <w:rFonts w:ascii="黑体" w:eastAsia="黑体" w:cs="Lucida Sans"/>
                <w:color w:val="000000"/>
                <w:sz w:val="18"/>
              </w:rPr>
              <w:t>2025年度完成支付</w:t>
            </w:r>
          </w:p>
        </w:tc>
      </w:tr>
      <w:tr>
        <w:trPr>
          <w:trHeight w:val="689"/>
        </w:trPr>
        <w:tc>
          <w:tcPr>
            <w:tcW w:w="289"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528"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2.项目实施内容及过程概述</w:t>
            </w:r>
          </w:p>
        </w:tc>
        <w:tc>
          <w:tcPr>
            <w:tcW w:w="7253" w:type="dxa"/>
            <w:gridSpan w:val="9"/>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 xml:space="preserve"> 发放标准为副会长每人每月700元，副秘书长每人每月600元，按每季度发放一次。未领取国家工资的副会长为2名（2</w:t>
            </w:r>
            <w:r>
              <w:rPr>
                <w:rFonts w:ascii="宋体" w:cs="Lucida Sans" w:hint="eastAsia"/>
                <w:color w:val="000000"/>
                <w:sz w:val="18"/>
                <w:lang w:eastAsia="zh-CN"/>
              </w:rPr>
              <w:t>x</w:t>
            </w:r>
            <w:r>
              <w:rPr>
                <w:rFonts w:ascii="宋体" w:eastAsia="宋体" w:cs="Lucida Sans"/>
                <w:color w:val="000000"/>
                <w:sz w:val="18"/>
              </w:rPr>
              <w:t>700﹦1400</w:t>
            </w:r>
            <w:r>
              <w:rPr>
                <w:rFonts w:ascii="宋体" w:cs="Lucida Sans" w:hint="eastAsia"/>
                <w:color w:val="000000"/>
                <w:sz w:val="18"/>
                <w:lang w:eastAsia="zh-CN"/>
              </w:rPr>
              <w:t>x</w:t>
            </w:r>
            <w:r>
              <w:rPr>
                <w:rFonts w:ascii="宋体" w:eastAsia="宋体" w:cs="Lucida Sans"/>
                <w:color w:val="000000"/>
                <w:sz w:val="18"/>
              </w:rPr>
              <w:t>12﹦16800元。</w:t>
            </w:r>
          </w:p>
        </w:tc>
      </w:tr>
      <w:tr>
        <w:trPr>
          <w:trHeight w:val="359"/>
        </w:trPr>
        <w:tc>
          <w:tcPr>
            <w:tcW w:w="569"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预算执行情况（10分）</w:t>
            </w:r>
          </w:p>
        </w:tc>
        <w:tc>
          <w:tcPr>
            <w:tcW w:w="528"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年度预算数（万元）</w:t>
            </w:r>
          </w:p>
        </w:tc>
        <w:tc>
          <w:tcPr>
            <w:tcW w:w="82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年初预算</w:t>
            </w:r>
          </w:p>
        </w:tc>
        <w:tc>
          <w:tcPr>
            <w:tcW w:w="62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调整后预算数</w:t>
            </w:r>
          </w:p>
        </w:tc>
        <w:tc>
          <w:tcPr>
            <w:tcW w:w="2821"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预算执行数</w:t>
            </w:r>
          </w:p>
        </w:tc>
        <w:tc>
          <w:tcPr>
            <w:tcW w:w="776"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预算执行率</w:t>
            </w:r>
          </w:p>
        </w:tc>
        <w:tc>
          <w:tcPr>
            <w:tcW w:w="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权重</w:t>
            </w:r>
          </w:p>
        </w:tc>
        <w:tc>
          <w:tcPr>
            <w:tcW w:w="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得分</w:t>
            </w:r>
          </w:p>
        </w:tc>
        <w:tc>
          <w:tcPr>
            <w:tcW w:w="7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原因</w:t>
            </w:r>
          </w:p>
        </w:tc>
      </w:tr>
      <w:tr>
        <w:trPr>
          <w:trHeight w:val="344"/>
        </w:trPr>
        <w:tc>
          <w:tcPr>
            <w:tcW w:w="289"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528"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总额</w:t>
            </w:r>
          </w:p>
        </w:tc>
        <w:tc>
          <w:tcPr>
            <w:tcW w:w="82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1.68</w:t>
            </w:r>
          </w:p>
        </w:tc>
        <w:tc>
          <w:tcPr>
            <w:tcW w:w="62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1.68</w:t>
            </w:r>
          </w:p>
        </w:tc>
        <w:tc>
          <w:tcPr>
            <w:tcW w:w="2821"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1.68</w:t>
            </w:r>
          </w:p>
        </w:tc>
        <w:tc>
          <w:tcPr>
            <w:tcW w:w="776"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100.00%</w:t>
            </w:r>
          </w:p>
        </w:tc>
        <w:tc>
          <w:tcPr>
            <w:tcW w:w="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olor w:val="000000"/>
                <w:sz w:val="18"/>
              </w:rPr>
            </w:pPr>
          </w:p>
        </w:tc>
        <w:tc>
          <w:tcPr>
            <w:tcW w:w="701"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eastAsia="宋体" w:cs="Lucida Sans"/>
                <w:b w:val="0"/>
                <w:i/>
                <w:color w:val="000000"/>
                <w:sz w:val="18"/>
              </w:rPr>
            </w:pPr>
          </w:p>
        </w:tc>
      </w:tr>
      <w:tr>
        <w:trPr>
          <w:trHeight w:val="389"/>
        </w:trPr>
        <w:tc>
          <w:tcPr>
            <w:tcW w:w="289"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528"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其中：财政资金</w:t>
            </w:r>
          </w:p>
        </w:tc>
        <w:tc>
          <w:tcPr>
            <w:tcW w:w="82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1.68</w:t>
            </w:r>
          </w:p>
        </w:tc>
        <w:tc>
          <w:tcPr>
            <w:tcW w:w="62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1.68</w:t>
            </w:r>
          </w:p>
        </w:tc>
        <w:tc>
          <w:tcPr>
            <w:tcW w:w="2821"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1.68</w:t>
            </w:r>
          </w:p>
        </w:tc>
        <w:tc>
          <w:tcPr>
            <w:tcW w:w="776"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100.00%</w:t>
            </w:r>
          </w:p>
        </w:tc>
        <w:tc>
          <w:tcPr>
            <w:tcW w:w="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824"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404"/>
        </w:trPr>
        <w:tc>
          <w:tcPr>
            <w:tcW w:w="289"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528"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财政专户管理资金</w:t>
            </w:r>
          </w:p>
        </w:tc>
        <w:tc>
          <w:tcPr>
            <w:tcW w:w="82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62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2821"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776"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824"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359"/>
        </w:trPr>
        <w:tc>
          <w:tcPr>
            <w:tcW w:w="289"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528"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单位资金</w:t>
            </w:r>
          </w:p>
        </w:tc>
        <w:tc>
          <w:tcPr>
            <w:tcW w:w="82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62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2821"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776"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824"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344"/>
        </w:trPr>
        <w:tc>
          <w:tcPr>
            <w:tcW w:w="289"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528"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其他资金</w:t>
            </w:r>
          </w:p>
        </w:tc>
        <w:tc>
          <w:tcPr>
            <w:tcW w:w="82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62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2821"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p>
        </w:tc>
        <w:tc>
          <w:tcPr>
            <w:tcW w:w="776"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824"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449"/>
        </w:trPr>
        <w:tc>
          <w:tcPr>
            <w:tcW w:w="569"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绩效指标（90分）</w:t>
            </w:r>
          </w:p>
        </w:tc>
        <w:tc>
          <w:tcPr>
            <w:tcW w:w="528"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一级指标</w:t>
            </w:r>
          </w:p>
        </w:tc>
        <w:tc>
          <w:tcPr>
            <w:tcW w:w="82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二级指标</w:t>
            </w:r>
          </w:p>
        </w:tc>
        <w:tc>
          <w:tcPr>
            <w:tcW w:w="62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三级指标</w:t>
            </w:r>
          </w:p>
        </w:tc>
        <w:tc>
          <w:tcPr>
            <w:tcW w:w="80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指标性质</w:t>
            </w:r>
          </w:p>
        </w:tc>
        <w:tc>
          <w:tcPr>
            <w:tcW w:w="112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指标值</w:t>
            </w:r>
          </w:p>
        </w:tc>
        <w:tc>
          <w:tcPr>
            <w:tcW w:w="898"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度量单位</w:t>
            </w:r>
          </w:p>
        </w:tc>
        <w:tc>
          <w:tcPr>
            <w:tcW w:w="776"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完成值</w:t>
            </w:r>
          </w:p>
        </w:tc>
        <w:tc>
          <w:tcPr>
            <w:tcW w:w="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权重</w:t>
            </w:r>
          </w:p>
        </w:tc>
        <w:tc>
          <w:tcPr>
            <w:tcW w:w="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得分</w:t>
            </w:r>
          </w:p>
        </w:tc>
        <w:tc>
          <w:tcPr>
            <w:tcW w:w="7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未完成原因分析</w:t>
            </w:r>
          </w:p>
        </w:tc>
      </w:tr>
      <w:tr>
        <w:trPr>
          <w:trHeight w:val="344"/>
        </w:trPr>
        <w:tc>
          <w:tcPr>
            <w:tcW w:w="289"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528"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产出指标</w:t>
            </w:r>
          </w:p>
        </w:tc>
        <w:tc>
          <w:tcPr>
            <w:tcW w:w="82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数量指标</w:t>
            </w:r>
          </w:p>
        </w:tc>
        <w:tc>
          <w:tcPr>
            <w:tcW w:w="62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发放人数</w:t>
            </w:r>
          </w:p>
        </w:tc>
        <w:tc>
          <w:tcPr>
            <w:tcW w:w="80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12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2</w:t>
            </w:r>
          </w:p>
        </w:tc>
        <w:tc>
          <w:tcPr>
            <w:tcW w:w="898"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人</w:t>
            </w:r>
          </w:p>
        </w:tc>
        <w:tc>
          <w:tcPr>
            <w:tcW w:w="776"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olor w:val="000000"/>
                <w:sz w:val="18"/>
              </w:rPr>
            </w:pPr>
          </w:p>
        </w:tc>
        <w:tc>
          <w:tcPr>
            <w:tcW w:w="7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344"/>
        </w:trPr>
        <w:tc>
          <w:tcPr>
            <w:tcW w:w="289"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333"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82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质量指标</w:t>
            </w:r>
          </w:p>
        </w:tc>
        <w:tc>
          <w:tcPr>
            <w:tcW w:w="62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补助对象及数额准确率</w:t>
            </w:r>
          </w:p>
        </w:tc>
        <w:tc>
          <w:tcPr>
            <w:tcW w:w="80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12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100</w:t>
            </w:r>
          </w:p>
        </w:tc>
        <w:tc>
          <w:tcPr>
            <w:tcW w:w="898"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776"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20</w:t>
            </w:r>
          </w:p>
        </w:tc>
        <w:tc>
          <w:tcPr>
            <w:tcW w:w="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olor w:val="000000"/>
                <w:sz w:val="18"/>
              </w:rPr>
            </w:pPr>
          </w:p>
        </w:tc>
        <w:tc>
          <w:tcPr>
            <w:tcW w:w="7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344"/>
        </w:trPr>
        <w:tc>
          <w:tcPr>
            <w:tcW w:w="289"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333"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82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时效指标</w:t>
            </w:r>
          </w:p>
        </w:tc>
        <w:tc>
          <w:tcPr>
            <w:tcW w:w="62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发放时限</w:t>
            </w:r>
          </w:p>
        </w:tc>
        <w:tc>
          <w:tcPr>
            <w:tcW w:w="80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12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12</w:t>
            </w:r>
          </w:p>
        </w:tc>
        <w:tc>
          <w:tcPr>
            <w:tcW w:w="898"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月</w:t>
            </w:r>
          </w:p>
        </w:tc>
        <w:tc>
          <w:tcPr>
            <w:tcW w:w="776"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olor w:val="000000"/>
                <w:sz w:val="18"/>
              </w:rPr>
            </w:pPr>
          </w:p>
        </w:tc>
        <w:tc>
          <w:tcPr>
            <w:tcW w:w="7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344"/>
        </w:trPr>
        <w:tc>
          <w:tcPr>
            <w:tcW w:w="289"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528"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效益指标</w:t>
            </w:r>
          </w:p>
        </w:tc>
        <w:tc>
          <w:tcPr>
            <w:tcW w:w="82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社会效益指标</w:t>
            </w:r>
          </w:p>
        </w:tc>
        <w:tc>
          <w:tcPr>
            <w:tcW w:w="62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落实文集收集工作</w:t>
            </w:r>
          </w:p>
        </w:tc>
        <w:tc>
          <w:tcPr>
            <w:tcW w:w="80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定性</w:t>
            </w:r>
          </w:p>
        </w:tc>
        <w:tc>
          <w:tcPr>
            <w:tcW w:w="112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有效落实</w:t>
            </w:r>
          </w:p>
        </w:tc>
        <w:tc>
          <w:tcPr>
            <w:tcW w:w="898"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olor w:val="000000"/>
                <w:sz w:val="18"/>
              </w:rPr>
            </w:pPr>
          </w:p>
        </w:tc>
        <w:tc>
          <w:tcPr>
            <w:tcW w:w="776"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olor w:val="000000"/>
                <w:sz w:val="18"/>
              </w:rPr>
            </w:pPr>
          </w:p>
        </w:tc>
        <w:tc>
          <w:tcPr>
            <w:tcW w:w="7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449"/>
        </w:trPr>
        <w:tc>
          <w:tcPr>
            <w:tcW w:w="289"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333"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82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可持续影响指标</w:t>
            </w:r>
          </w:p>
        </w:tc>
        <w:tc>
          <w:tcPr>
            <w:tcW w:w="62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强化佛协组织管理的积极性</w:t>
            </w:r>
          </w:p>
        </w:tc>
        <w:tc>
          <w:tcPr>
            <w:tcW w:w="80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定性</w:t>
            </w:r>
          </w:p>
        </w:tc>
        <w:tc>
          <w:tcPr>
            <w:tcW w:w="112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有效组织管理</w:t>
            </w:r>
          </w:p>
        </w:tc>
        <w:tc>
          <w:tcPr>
            <w:tcW w:w="898"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olor w:val="000000"/>
                <w:sz w:val="18"/>
              </w:rPr>
            </w:pPr>
          </w:p>
        </w:tc>
        <w:tc>
          <w:tcPr>
            <w:tcW w:w="776"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olor w:val="000000"/>
                <w:sz w:val="18"/>
              </w:rPr>
            </w:pPr>
          </w:p>
        </w:tc>
        <w:tc>
          <w:tcPr>
            <w:tcW w:w="7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449"/>
        </w:trPr>
        <w:tc>
          <w:tcPr>
            <w:tcW w:w="289"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528"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满意度指标</w:t>
            </w:r>
          </w:p>
        </w:tc>
        <w:tc>
          <w:tcPr>
            <w:tcW w:w="82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服务对象满意度指标</w:t>
            </w:r>
          </w:p>
        </w:tc>
        <w:tc>
          <w:tcPr>
            <w:tcW w:w="62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补助人员满意度</w:t>
            </w:r>
          </w:p>
        </w:tc>
        <w:tc>
          <w:tcPr>
            <w:tcW w:w="80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12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100</w:t>
            </w:r>
          </w:p>
        </w:tc>
        <w:tc>
          <w:tcPr>
            <w:tcW w:w="898"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776"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olor w:val="000000"/>
                <w:sz w:val="18"/>
              </w:rPr>
            </w:pPr>
          </w:p>
        </w:tc>
        <w:tc>
          <w:tcPr>
            <w:tcW w:w="7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344"/>
        </w:trPr>
        <w:tc>
          <w:tcPr>
            <w:tcW w:w="289"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528"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成本指标</w:t>
            </w:r>
          </w:p>
        </w:tc>
        <w:tc>
          <w:tcPr>
            <w:tcW w:w="82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经济成本指标</w:t>
            </w:r>
          </w:p>
        </w:tc>
        <w:tc>
          <w:tcPr>
            <w:tcW w:w="62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发放额</w:t>
            </w:r>
          </w:p>
        </w:tc>
        <w:tc>
          <w:tcPr>
            <w:tcW w:w="80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12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1.68</w:t>
            </w:r>
          </w:p>
        </w:tc>
        <w:tc>
          <w:tcPr>
            <w:tcW w:w="898"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万元</w:t>
            </w:r>
          </w:p>
        </w:tc>
        <w:tc>
          <w:tcPr>
            <w:tcW w:w="776"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20</w:t>
            </w:r>
          </w:p>
        </w:tc>
        <w:tc>
          <w:tcPr>
            <w:tcW w:w="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olor w:val="000000"/>
                <w:sz w:val="18"/>
              </w:rPr>
            </w:pPr>
          </w:p>
        </w:tc>
        <w:tc>
          <w:tcPr>
            <w:tcW w:w="7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284"/>
        </w:trPr>
        <w:tc>
          <w:tcPr>
            <w:tcW w:w="6138" w:type="dxa"/>
            <w:gridSpan w:val="8"/>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合计</w:t>
            </w:r>
          </w:p>
        </w:tc>
        <w:tc>
          <w:tcPr>
            <w:tcW w:w="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100</w:t>
            </w:r>
          </w:p>
        </w:tc>
        <w:tc>
          <w:tcPr>
            <w:tcW w:w="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eastAsia="宋体"/>
                <w:color w:val="000000"/>
                <w:sz w:val="18"/>
              </w:rPr>
            </w:pPr>
          </w:p>
        </w:tc>
        <w:tc>
          <w:tcPr>
            <w:tcW w:w="7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eastAsia="宋体"/>
                <w:color w:val="000000"/>
                <w:sz w:val="18"/>
              </w:rPr>
            </w:pPr>
          </w:p>
        </w:tc>
      </w:tr>
      <w:tr>
        <w:trPr>
          <w:trHeight w:val="599"/>
        </w:trPr>
        <w:tc>
          <w:tcPr>
            <w:tcW w:w="569"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评价结论</w:t>
            </w:r>
          </w:p>
        </w:tc>
        <w:tc>
          <w:tcPr>
            <w:tcW w:w="7781" w:type="dxa"/>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自评分为100分，通过对州佛协副会长、副秘书长中未领取国家工资的人员实行生活补贴，进一步加强州、县佛协组织建设，调动广大佛教界人士自觉接受政府依法管理和强化佛协组织管理的积极性。</w:t>
            </w:r>
          </w:p>
        </w:tc>
      </w:tr>
      <w:tr>
        <w:trPr>
          <w:trHeight w:val="569"/>
        </w:trPr>
        <w:tc>
          <w:tcPr>
            <w:tcW w:w="569"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存在问题</w:t>
            </w:r>
          </w:p>
        </w:tc>
        <w:tc>
          <w:tcPr>
            <w:tcW w:w="7781" w:type="dxa"/>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无</w:t>
            </w:r>
          </w:p>
        </w:tc>
      </w:tr>
      <w:tr>
        <w:trPr>
          <w:trHeight w:val="629"/>
        </w:trPr>
        <w:tc>
          <w:tcPr>
            <w:tcW w:w="569"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改进措施</w:t>
            </w:r>
          </w:p>
        </w:tc>
        <w:tc>
          <w:tcPr>
            <w:tcW w:w="7781" w:type="dxa"/>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无</w:t>
            </w:r>
          </w:p>
        </w:tc>
      </w:tr>
      <w:tr>
        <w:trPr>
          <w:trHeight w:val="284"/>
        </w:trPr>
        <w:tc>
          <w:tcPr>
            <w:tcW w:w="3344" w:type="dxa"/>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Lucida Sans"/>
                <w:color w:val="000000"/>
                <w:sz w:val="18"/>
              </w:rPr>
            </w:pPr>
            <w:r>
              <w:rPr>
                <w:rFonts w:ascii="黑体" w:eastAsia="黑体" w:cs="Lucida Sans"/>
                <w:color w:val="000000"/>
                <w:sz w:val="18"/>
              </w:rPr>
              <w:t>项目负责人：</w:t>
            </w:r>
          </w:p>
        </w:tc>
        <w:tc>
          <w:tcPr>
            <w:tcW w:w="5006" w:type="dxa"/>
            <w:gridSpan w:val="6"/>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Lucida Sans"/>
                <w:color w:val="000000"/>
                <w:sz w:val="18"/>
              </w:rPr>
            </w:pPr>
            <w:r>
              <w:rPr>
                <w:rFonts w:ascii="黑体" w:eastAsia="黑体" w:cs="Lucida Sans"/>
                <w:color w:val="000000"/>
                <w:sz w:val="18"/>
              </w:rPr>
              <w:t>财务负责人：</w:t>
            </w:r>
          </w:p>
        </w:tc>
      </w:tr>
      <w:tr>
        <w:trPr>
          <w:trHeight w:val="284"/>
        </w:trPr>
        <w:tc>
          <w:tcPr>
            <w:tcW w:w="569" w:type="dxa"/>
            <w:tcBorders>
              <w:top w:val="nil"/>
              <w:left w:val="nil"/>
              <w:bottom w:val="nil"/>
              <w:right w:val="nil"/>
              <w:tl2br w:val="nil"/>
              <w:tr2bl w:val="nil"/>
            </w:tcBorders>
            <w:noWrap/>
            <w:vAlign w:val="center"/>
          </w:tcPr>
          <w:p>
            <w:pPr>
              <w:rPr>
                <w:rFonts w:ascii="宋体" w:eastAsia="宋体"/>
                <w:color w:val="000000"/>
                <w:sz w:val="18"/>
              </w:rPr>
            </w:pPr>
          </w:p>
        </w:tc>
        <w:tc>
          <w:tcPr>
            <w:tcW w:w="528" w:type="dxa"/>
            <w:tcBorders>
              <w:top w:val="nil"/>
              <w:left w:val="nil"/>
              <w:bottom w:val="nil"/>
              <w:right w:val="nil"/>
              <w:tl2br w:val="nil"/>
              <w:tr2bl w:val="nil"/>
            </w:tcBorders>
            <w:noWrap/>
            <w:vAlign w:val="center"/>
          </w:tcPr>
          <w:p>
            <w:pPr>
              <w:rPr>
                <w:rFonts w:ascii="宋体" w:eastAsia="宋体"/>
                <w:color w:val="000000"/>
                <w:sz w:val="18"/>
              </w:rPr>
            </w:pPr>
          </w:p>
        </w:tc>
        <w:tc>
          <w:tcPr>
            <w:tcW w:w="823" w:type="dxa"/>
            <w:tcBorders>
              <w:top w:val="nil"/>
              <w:left w:val="nil"/>
              <w:bottom w:val="nil"/>
              <w:right w:val="nil"/>
              <w:tl2br w:val="nil"/>
              <w:tr2bl w:val="nil"/>
            </w:tcBorders>
            <w:noWrap/>
            <w:vAlign w:val="center"/>
          </w:tcPr>
          <w:p>
            <w:pPr>
              <w:rPr>
                <w:rFonts w:ascii="宋体" w:eastAsia="宋体"/>
                <w:color w:val="000000"/>
                <w:sz w:val="18"/>
              </w:rPr>
            </w:pPr>
          </w:p>
        </w:tc>
        <w:tc>
          <w:tcPr>
            <w:tcW w:w="621" w:type="dxa"/>
            <w:tcBorders>
              <w:top w:val="nil"/>
              <w:left w:val="nil"/>
              <w:bottom w:val="nil"/>
              <w:right w:val="nil"/>
              <w:tl2br w:val="nil"/>
              <w:tr2bl w:val="nil"/>
            </w:tcBorders>
            <w:noWrap/>
            <w:vAlign w:val="center"/>
          </w:tcPr>
          <w:p>
            <w:pPr>
              <w:rPr>
                <w:rFonts w:ascii="宋体" w:eastAsia="宋体"/>
                <w:color w:val="000000"/>
                <w:sz w:val="18"/>
              </w:rPr>
            </w:pPr>
          </w:p>
        </w:tc>
        <w:tc>
          <w:tcPr>
            <w:tcW w:w="803" w:type="dxa"/>
            <w:tcBorders>
              <w:top w:val="nil"/>
              <w:left w:val="nil"/>
              <w:bottom w:val="nil"/>
              <w:right w:val="nil"/>
              <w:tl2br w:val="nil"/>
              <w:tr2bl w:val="nil"/>
            </w:tcBorders>
            <w:noWrap/>
            <w:vAlign w:val="center"/>
          </w:tcPr>
          <w:p>
            <w:pPr>
              <w:rPr>
                <w:rFonts w:ascii="宋体" w:eastAsia="宋体"/>
                <w:color w:val="000000"/>
                <w:sz w:val="18"/>
              </w:rPr>
            </w:pPr>
          </w:p>
        </w:tc>
        <w:tc>
          <w:tcPr>
            <w:tcW w:w="1120" w:type="dxa"/>
            <w:tcBorders>
              <w:top w:val="nil"/>
              <w:left w:val="nil"/>
              <w:bottom w:val="nil"/>
              <w:right w:val="nil"/>
              <w:tl2br w:val="nil"/>
              <w:tr2bl w:val="nil"/>
            </w:tcBorders>
            <w:noWrap/>
            <w:vAlign w:val="center"/>
          </w:tcPr>
          <w:p>
            <w:pPr>
              <w:rPr>
                <w:rFonts w:ascii="宋体" w:eastAsia="宋体"/>
                <w:color w:val="000000"/>
                <w:sz w:val="18"/>
              </w:rPr>
            </w:pPr>
          </w:p>
        </w:tc>
        <w:tc>
          <w:tcPr>
            <w:tcW w:w="898" w:type="dxa"/>
            <w:tcBorders>
              <w:top w:val="nil"/>
              <w:left w:val="nil"/>
              <w:bottom w:val="nil"/>
              <w:right w:val="nil"/>
              <w:tl2br w:val="nil"/>
              <w:tr2bl w:val="nil"/>
            </w:tcBorders>
            <w:noWrap/>
            <w:vAlign w:val="center"/>
          </w:tcPr>
          <w:p>
            <w:pPr>
              <w:rPr>
                <w:rFonts w:ascii="宋体" w:eastAsia="宋体"/>
                <w:color w:val="000000"/>
                <w:sz w:val="18"/>
              </w:rPr>
            </w:pPr>
          </w:p>
        </w:tc>
        <w:tc>
          <w:tcPr>
            <w:tcW w:w="776" w:type="dxa"/>
            <w:tcBorders>
              <w:top w:val="nil"/>
              <w:left w:val="nil"/>
              <w:bottom w:val="nil"/>
              <w:right w:val="nil"/>
              <w:tl2br w:val="nil"/>
              <w:tr2bl w:val="nil"/>
            </w:tcBorders>
            <w:noWrap/>
            <w:vAlign w:val="center"/>
          </w:tcPr>
          <w:p>
            <w:pPr>
              <w:rPr>
                <w:rFonts w:ascii="宋体" w:eastAsia="宋体"/>
                <w:color w:val="000000"/>
                <w:sz w:val="18"/>
              </w:rPr>
            </w:pPr>
          </w:p>
        </w:tc>
        <w:tc>
          <w:tcPr>
            <w:tcW w:w="755" w:type="dxa"/>
            <w:tcBorders>
              <w:top w:val="nil"/>
              <w:left w:val="nil"/>
              <w:bottom w:val="nil"/>
              <w:right w:val="nil"/>
              <w:tl2br w:val="nil"/>
              <w:tr2bl w:val="nil"/>
            </w:tcBorders>
            <w:noWrap/>
            <w:vAlign w:val="center"/>
          </w:tcPr>
          <w:p>
            <w:pPr>
              <w:rPr>
                <w:rFonts w:ascii="宋体" w:eastAsia="宋体"/>
                <w:color w:val="000000"/>
                <w:sz w:val="18"/>
              </w:rPr>
            </w:pPr>
          </w:p>
        </w:tc>
        <w:tc>
          <w:tcPr>
            <w:tcW w:w="755" w:type="dxa"/>
            <w:tcBorders>
              <w:top w:val="nil"/>
              <w:left w:val="nil"/>
              <w:bottom w:val="nil"/>
              <w:right w:val="nil"/>
              <w:tl2br w:val="nil"/>
              <w:tr2bl w:val="nil"/>
            </w:tcBorders>
            <w:noWrap/>
            <w:vAlign w:val="center"/>
          </w:tcPr>
          <w:p>
            <w:pPr>
              <w:rPr>
                <w:rFonts w:ascii="宋体" w:eastAsia="宋体"/>
                <w:color w:val="000000"/>
                <w:sz w:val="18"/>
              </w:rPr>
            </w:pPr>
          </w:p>
        </w:tc>
        <w:tc>
          <w:tcPr>
            <w:tcW w:w="701" w:type="dxa"/>
            <w:tcBorders>
              <w:top w:val="nil"/>
              <w:left w:val="nil"/>
              <w:bottom w:val="nil"/>
              <w:right w:val="nil"/>
              <w:tl2br w:val="nil"/>
              <w:tr2bl w:val="nil"/>
            </w:tcBorders>
            <w:noWrap/>
            <w:vAlign w:val="center"/>
          </w:tcPr>
          <w:p>
            <w:pPr>
              <w:rPr>
                <w:rFonts w:ascii="宋体" w:eastAsia="宋体"/>
                <w:color w:val="000000"/>
                <w:sz w:val="18"/>
              </w:rPr>
            </w:pPr>
          </w:p>
        </w:tc>
      </w:tr>
      <w:tr>
        <w:trPr>
          <w:trHeight w:val="899"/>
        </w:trPr>
        <w:tc>
          <w:tcPr>
            <w:tcW w:w="8350" w:type="dxa"/>
            <w:gridSpan w:val="11"/>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Lucida Sans"/>
                <w:b/>
                <w:i w:val="0"/>
                <w:color w:val="000000"/>
                <w:sz w:val="30"/>
              </w:rPr>
            </w:pPr>
            <w:r>
              <w:rPr>
                <w:rFonts w:ascii="黑体" w:eastAsia="黑体" w:cs="Lucida Sans"/>
                <w:b/>
                <w:i w:val="0"/>
                <w:color w:val="000000"/>
                <w:sz w:val="30"/>
              </w:rPr>
              <w:t>部门预算项目支出绩效自评表（2025年度）</w:t>
            </w:r>
          </w:p>
        </w:tc>
      </w:tr>
      <w:tr>
        <w:trPr>
          <w:trHeight w:val="284"/>
        </w:trPr>
        <w:tc>
          <w:tcPr>
            <w:tcW w:w="1097"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项目名称</w:t>
            </w:r>
          </w:p>
        </w:tc>
        <w:tc>
          <w:tcPr>
            <w:tcW w:w="7253" w:type="dxa"/>
            <w:gridSpan w:val="9"/>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51320023T000009714877-《阿坝州珍稀古籍文献汇编》出版经费</w:t>
            </w:r>
          </w:p>
        </w:tc>
      </w:tr>
      <w:tr>
        <w:trPr>
          <w:trHeight w:val="509"/>
        </w:trPr>
        <w:tc>
          <w:tcPr>
            <w:tcW w:w="1097"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主管部门</w:t>
            </w:r>
          </w:p>
        </w:tc>
        <w:tc>
          <w:tcPr>
            <w:tcW w:w="4265" w:type="dxa"/>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州佛协部门</w:t>
            </w:r>
          </w:p>
        </w:tc>
        <w:tc>
          <w:tcPr>
            <w:tcW w:w="776" w:type="dxa"/>
            <w:tcBorders>
              <w:top w:val="nil"/>
              <w:left w:val="nil"/>
              <w:bottom w:val="nil"/>
              <w:right w:val="nil"/>
              <w:tl2br w:val="nil"/>
              <w:tr2bl w:val="nil"/>
            </w:tcBorders>
            <w:noWrap/>
            <w:vAlign w:val="center"/>
          </w:tcPr>
          <w:p>
            <w:pPr>
              <w:jc w:val="center"/>
              <w:rPr>
                <w:rFonts w:ascii="黑体" w:eastAsia="黑体" w:cs="Lucida Sans"/>
                <w:color w:val="000000"/>
                <w:sz w:val="18"/>
              </w:rPr>
            </w:pPr>
            <w:r>
              <w:rPr>
                <w:rFonts w:ascii="黑体" w:eastAsia="黑体" w:cs="Lucida Sans"/>
                <w:color w:val="000000"/>
                <w:sz w:val="18"/>
              </w:rPr>
              <w:t>实施单位 （盖章）</w:t>
            </w:r>
          </w:p>
        </w:tc>
        <w:tc>
          <w:tcPr>
            <w:tcW w:w="2212"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州佛协</w:t>
            </w:r>
          </w:p>
        </w:tc>
      </w:tr>
      <w:tr>
        <w:trPr>
          <w:trHeight w:val="284"/>
        </w:trPr>
        <w:tc>
          <w:tcPr>
            <w:tcW w:w="569"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项目基本情况</w:t>
            </w:r>
          </w:p>
        </w:tc>
        <w:tc>
          <w:tcPr>
            <w:tcW w:w="528"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1.项目年度目标完成情况</w:t>
            </w:r>
          </w:p>
        </w:tc>
        <w:tc>
          <w:tcPr>
            <w:tcW w:w="4265" w:type="dxa"/>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项目年度目标</w:t>
            </w:r>
          </w:p>
        </w:tc>
        <w:tc>
          <w:tcPr>
            <w:tcW w:w="2987" w:type="dxa"/>
            <w:gridSpan w:val="4"/>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Lucida Sans"/>
                <w:color w:val="000000"/>
                <w:sz w:val="18"/>
              </w:rPr>
            </w:pPr>
            <w:r>
              <w:rPr>
                <w:rFonts w:ascii="黑体" w:eastAsia="黑体" w:cs="Lucida Sans"/>
                <w:color w:val="000000"/>
                <w:sz w:val="18"/>
              </w:rPr>
              <w:t>年度目标完成情况</w:t>
            </w:r>
          </w:p>
        </w:tc>
      </w:tr>
      <w:tr>
        <w:trPr>
          <w:trHeight w:val="899"/>
        </w:trPr>
        <w:tc>
          <w:tcPr>
            <w:tcW w:w="289"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333"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4265" w:type="dxa"/>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及时收集、整理、出版我州发展进程中有声望、有影响的活佛、喇嘛、堪布、格西等</w:t>
            </w:r>
            <w:r>
              <w:rPr>
                <w:rFonts w:ascii="宋体" w:cs="Lucida Sans" w:hint="eastAsia"/>
                <w:color w:val="000000"/>
                <w:sz w:val="18"/>
                <w:lang w:eastAsia="zh-CN"/>
              </w:rPr>
              <w:t>珍稀</w:t>
            </w:r>
            <w:r>
              <w:rPr>
                <w:rFonts w:ascii="宋体" w:eastAsia="宋体" w:cs="Lucida Sans"/>
                <w:color w:val="000000"/>
                <w:sz w:val="18"/>
              </w:rPr>
              <w:t>古籍著作，继承弘扬优秀民族文化，打造特色文化品牌，提升地域传统文化和旅游文化品位，促进阿坝州“文化兴州”进程，具有现实需求性和必要性。</w:t>
            </w:r>
          </w:p>
        </w:tc>
        <w:tc>
          <w:tcPr>
            <w:tcW w:w="2987" w:type="dxa"/>
            <w:gridSpan w:val="4"/>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Lucida Sans"/>
                <w:color w:val="000000"/>
                <w:sz w:val="18"/>
              </w:rPr>
            </w:pPr>
            <w:r>
              <w:rPr>
                <w:rFonts w:ascii="黑体" w:eastAsia="黑体" w:cs="Lucida Sans"/>
                <w:color w:val="000000"/>
                <w:sz w:val="18"/>
              </w:rPr>
              <w:t>2025年完成2024年出版并支付尾款44万元，并支付了2025年首付款49.5万元.完成了项目规定的50%，有效提升了地域传统文化和旅游文化品位。</w:t>
            </w:r>
          </w:p>
        </w:tc>
      </w:tr>
      <w:tr>
        <w:trPr>
          <w:trHeight w:val="689"/>
        </w:trPr>
        <w:tc>
          <w:tcPr>
            <w:tcW w:w="289"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528"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2.项目实施内容及过程概述</w:t>
            </w:r>
          </w:p>
        </w:tc>
        <w:tc>
          <w:tcPr>
            <w:tcW w:w="7253" w:type="dxa"/>
            <w:gridSpan w:val="9"/>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实施内容：召集我州藏传佛教方面专家学者对文集选题进行研讨，筛选符合出版的文集；请专业人员对筛选出的文集进行整理、录入、存档等工作；具有藏文排版资质的公司对文集进行排版编辑。具体支出内容为：一是办公费，用于收集整理工作中办公费的支出；二是差旅费，用于到各地各寺庙开展文集收集支出；三是劳务费，用于校对、排版等人员的工资支出；四是其他费用，交通费、文集存放库房租金和其他一些没有预计到的支出，共计支出133.94万元。</w:t>
            </w:r>
          </w:p>
        </w:tc>
      </w:tr>
      <w:tr>
        <w:trPr>
          <w:trHeight w:val="359"/>
        </w:trPr>
        <w:tc>
          <w:tcPr>
            <w:tcW w:w="569"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预算执行情况（10分）</w:t>
            </w:r>
          </w:p>
        </w:tc>
        <w:tc>
          <w:tcPr>
            <w:tcW w:w="528"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年度预算数（万元）</w:t>
            </w:r>
          </w:p>
        </w:tc>
        <w:tc>
          <w:tcPr>
            <w:tcW w:w="82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年初预算</w:t>
            </w:r>
          </w:p>
        </w:tc>
        <w:tc>
          <w:tcPr>
            <w:tcW w:w="62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调整后预算数</w:t>
            </w:r>
          </w:p>
        </w:tc>
        <w:tc>
          <w:tcPr>
            <w:tcW w:w="2821"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预算执行数</w:t>
            </w:r>
          </w:p>
        </w:tc>
        <w:tc>
          <w:tcPr>
            <w:tcW w:w="776"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预算执行率</w:t>
            </w:r>
          </w:p>
        </w:tc>
        <w:tc>
          <w:tcPr>
            <w:tcW w:w="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权重</w:t>
            </w:r>
          </w:p>
        </w:tc>
        <w:tc>
          <w:tcPr>
            <w:tcW w:w="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得分</w:t>
            </w:r>
          </w:p>
        </w:tc>
        <w:tc>
          <w:tcPr>
            <w:tcW w:w="7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原因</w:t>
            </w:r>
          </w:p>
        </w:tc>
      </w:tr>
      <w:tr>
        <w:trPr>
          <w:trHeight w:val="344"/>
        </w:trPr>
        <w:tc>
          <w:tcPr>
            <w:tcW w:w="289"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528"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总额</w:t>
            </w:r>
          </w:p>
        </w:tc>
        <w:tc>
          <w:tcPr>
            <w:tcW w:w="82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100.00</w:t>
            </w:r>
          </w:p>
        </w:tc>
        <w:tc>
          <w:tcPr>
            <w:tcW w:w="62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144</w:t>
            </w:r>
          </w:p>
        </w:tc>
        <w:tc>
          <w:tcPr>
            <w:tcW w:w="2821"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94</w:t>
            </w:r>
          </w:p>
        </w:tc>
        <w:tc>
          <w:tcPr>
            <w:tcW w:w="776"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100.00%</w:t>
            </w:r>
          </w:p>
        </w:tc>
        <w:tc>
          <w:tcPr>
            <w:tcW w:w="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olor w:val="000000"/>
                <w:sz w:val="18"/>
              </w:rPr>
            </w:pPr>
          </w:p>
        </w:tc>
        <w:tc>
          <w:tcPr>
            <w:tcW w:w="701"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eastAsia="宋体" w:cs="Lucida Sans"/>
                <w:b w:val="0"/>
                <w:i/>
                <w:color w:val="000000"/>
                <w:sz w:val="18"/>
              </w:rPr>
            </w:pPr>
          </w:p>
        </w:tc>
      </w:tr>
      <w:tr>
        <w:trPr>
          <w:trHeight w:val="389"/>
        </w:trPr>
        <w:tc>
          <w:tcPr>
            <w:tcW w:w="289"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528"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其中：财政资金</w:t>
            </w:r>
          </w:p>
        </w:tc>
        <w:tc>
          <w:tcPr>
            <w:tcW w:w="82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100.00</w:t>
            </w:r>
          </w:p>
        </w:tc>
        <w:tc>
          <w:tcPr>
            <w:tcW w:w="62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144</w:t>
            </w:r>
          </w:p>
        </w:tc>
        <w:tc>
          <w:tcPr>
            <w:tcW w:w="2821"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94</w:t>
            </w:r>
          </w:p>
        </w:tc>
        <w:tc>
          <w:tcPr>
            <w:tcW w:w="776"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100.00%</w:t>
            </w:r>
          </w:p>
        </w:tc>
        <w:tc>
          <w:tcPr>
            <w:tcW w:w="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824"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404"/>
        </w:trPr>
        <w:tc>
          <w:tcPr>
            <w:tcW w:w="289"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528"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财政专户管理资金</w:t>
            </w:r>
          </w:p>
        </w:tc>
        <w:tc>
          <w:tcPr>
            <w:tcW w:w="82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62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2821"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776"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824"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359"/>
        </w:trPr>
        <w:tc>
          <w:tcPr>
            <w:tcW w:w="289"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528"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单位资金</w:t>
            </w:r>
          </w:p>
        </w:tc>
        <w:tc>
          <w:tcPr>
            <w:tcW w:w="82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62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2821"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776"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824"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344"/>
        </w:trPr>
        <w:tc>
          <w:tcPr>
            <w:tcW w:w="289"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528"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其他资金</w:t>
            </w:r>
          </w:p>
        </w:tc>
        <w:tc>
          <w:tcPr>
            <w:tcW w:w="82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62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2821"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p>
        </w:tc>
        <w:tc>
          <w:tcPr>
            <w:tcW w:w="776"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824"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449"/>
        </w:trPr>
        <w:tc>
          <w:tcPr>
            <w:tcW w:w="569"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绩效指标（90分）</w:t>
            </w:r>
          </w:p>
        </w:tc>
        <w:tc>
          <w:tcPr>
            <w:tcW w:w="528"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一级指标</w:t>
            </w:r>
          </w:p>
        </w:tc>
        <w:tc>
          <w:tcPr>
            <w:tcW w:w="82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二级指标</w:t>
            </w:r>
          </w:p>
        </w:tc>
        <w:tc>
          <w:tcPr>
            <w:tcW w:w="62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三级指标</w:t>
            </w:r>
          </w:p>
        </w:tc>
        <w:tc>
          <w:tcPr>
            <w:tcW w:w="80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指标性质</w:t>
            </w:r>
          </w:p>
        </w:tc>
        <w:tc>
          <w:tcPr>
            <w:tcW w:w="112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指标值</w:t>
            </w:r>
          </w:p>
        </w:tc>
        <w:tc>
          <w:tcPr>
            <w:tcW w:w="898"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度量单位</w:t>
            </w:r>
          </w:p>
        </w:tc>
        <w:tc>
          <w:tcPr>
            <w:tcW w:w="776"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完成值</w:t>
            </w:r>
          </w:p>
        </w:tc>
        <w:tc>
          <w:tcPr>
            <w:tcW w:w="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权重</w:t>
            </w:r>
          </w:p>
        </w:tc>
        <w:tc>
          <w:tcPr>
            <w:tcW w:w="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得分</w:t>
            </w:r>
          </w:p>
        </w:tc>
        <w:tc>
          <w:tcPr>
            <w:tcW w:w="7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未完成原因分析</w:t>
            </w:r>
          </w:p>
        </w:tc>
      </w:tr>
      <w:tr>
        <w:trPr>
          <w:trHeight w:val="344"/>
        </w:trPr>
        <w:tc>
          <w:tcPr>
            <w:tcW w:w="289"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528"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产出指标</w:t>
            </w:r>
          </w:p>
        </w:tc>
        <w:tc>
          <w:tcPr>
            <w:tcW w:w="82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数量指标</w:t>
            </w:r>
          </w:p>
        </w:tc>
        <w:tc>
          <w:tcPr>
            <w:tcW w:w="62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出版数量</w:t>
            </w:r>
          </w:p>
        </w:tc>
        <w:tc>
          <w:tcPr>
            <w:tcW w:w="80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12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13</w:t>
            </w:r>
          </w:p>
        </w:tc>
        <w:tc>
          <w:tcPr>
            <w:tcW w:w="898"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册卷</w:t>
            </w:r>
          </w:p>
        </w:tc>
        <w:tc>
          <w:tcPr>
            <w:tcW w:w="776"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olor w:val="000000"/>
                <w:sz w:val="18"/>
              </w:rPr>
            </w:pPr>
          </w:p>
        </w:tc>
        <w:tc>
          <w:tcPr>
            <w:tcW w:w="7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449"/>
        </w:trPr>
        <w:tc>
          <w:tcPr>
            <w:tcW w:w="289"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333"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82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质量指标</w:t>
            </w:r>
          </w:p>
        </w:tc>
        <w:tc>
          <w:tcPr>
            <w:tcW w:w="62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提升地域传统文化和旅游文化品位</w:t>
            </w:r>
          </w:p>
        </w:tc>
        <w:tc>
          <w:tcPr>
            <w:tcW w:w="80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定性</w:t>
            </w:r>
          </w:p>
        </w:tc>
        <w:tc>
          <w:tcPr>
            <w:tcW w:w="112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有效提升</w:t>
            </w:r>
          </w:p>
        </w:tc>
        <w:tc>
          <w:tcPr>
            <w:tcW w:w="898"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olor w:val="000000"/>
                <w:sz w:val="18"/>
              </w:rPr>
            </w:pPr>
          </w:p>
        </w:tc>
        <w:tc>
          <w:tcPr>
            <w:tcW w:w="776"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20</w:t>
            </w:r>
          </w:p>
        </w:tc>
        <w:tc>
          <w:tcPr>
            <w:tcW w:w="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olor w:val="000000"/>
                <w:sz w:val="18"/>
              </w:rPr>
            </w:pPr>
          </w:p>
        </w:tc>
        <w:tc>
          <w:tcPr>
            <w:tcW w:w="7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344"/>
        </w:trPr>
        <w:tc>
          <w:tcPr>
            <w:tcW w:w="289"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333"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82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时效指标</w:t>
            </w:r>
          </w:p>
        </w:tc>
        <w:tc>
          <w:tcPr>
            <w:tcW w:w="62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出版时限</w:t>
            </w:r>
          </w:p>
        </w:tc>
        <w:tc>
          <w:tcPr>
            <w:tcW w:w="80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12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2</w:t>
            </w:r>
          </w:p>
        </w:tc>
        <w:tc>
          <w:tcPr>
            <w:tcW w:w="898"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年</w:t>
            </w:r>
          </w:p>
        </w:tc>
        <w:tc>
          <w:tcPr>
            <w:tcW w:w="776"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olor w:val="000000"/>
                <w:sz w:val="18"/>
              </w:rPr>
            </w:pPr>
          </w:p>
        </w:tc>
        <w:tc>
          <w:tcPr>
            <w:tcW w:w="7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449"/>
        </w:trPr>
        <w:tc>
          <w:tcPr>
            <w:tcW w:w="289"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528"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效益指标</w:t>
            </w:r>
          </w:p>
        </w:tc>
        <w:tc>
          <w:tcPr>
            <w:tcW w:w="82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社会效益指标</w:t>
            </w:r>
          </w:p>
        </w:tc>
        <w:tc>
          <w:tcPr>
            <w:tcW w:w="62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扬优秀民族文化，打造特色文化品牌</w:t>
            </w:r>
          </w:p>
        </w:tc>
        <w:tc>
          <w:tcPr>
            <w:tcW w:w="80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定性</w:t>
            </w:r>
          </w:p>
        </w:tc>
        <w:tc>
          <w:tcPr>
            <w:tcW w:w="112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有效打造</w:t>
            </w:r>
          </w:p>
        </w:tc>
        <w:tc>
          <w:tcPr>
            <w:tcW w:w="898"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olor w:val="000000"/>
                <w:sz w:val="18"/>
              </w:rPr>
            </w:pPr>
          </w:p>
        </w:tc>
        <w:tc>
          <w:tcPr>
            <w:tcW w:w="776"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olor w:val="000000"/>
                <w:sz w:val="18"/>
              </w:rPr>
            </w:pPr>
          </w:p>
        </w:tc>
        <w:tc>
          <w:tcPr>
            <w:tcW w:w="7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449"/>
        </w:trPr>
        <w:tc>
          <w:tcPr>
            <w:tcW w:w="289"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333"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82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可持续影响指标</w:t>
            </w:r>
          </w:p>
        </w:tc>
        <w:tc>
          <w:tcPr>
            <w:tcW w:w="62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促进阿坝州“文化兴州”进程</w:t>
            </w:r>
          </w:p>
        </w:tc>
        <w:tc>
          <w:tcPr>
            <w:tcW w:w="80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定性</w:t>
            </w:r>
          </w:p>
        </w:tc>
        <w:tc>
          <w:tcPr>
            <w:tcW w:w="112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有效促进</w:t>
            </w:r>
          </w:p>
        </w:tc>
        <w:tc>
          <w:tcPr>
            <w:tcW w:w="898"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olor w:val="000000"/>
                <w:sz w:val="18"/>
              </w:rPr>
            </w:pPr>
          </w:p>
        </w:tc>
        <w:tc>
          <w:tcPr>
            <w:tcW w:w="776"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olor w:val="000000"/>
                <w:sz w:val="18"/>
              </w:rPr>
            </w:pPr>
          </w:p>
        </w:tc>
        <w:tc>
          <w:tcPr>
            <w:tcW w:w="7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449"/>
        </w:trPr>
        <w:tc>
          <w:tcPr>
            <w:tcW w:w="289"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528"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满意度指标</w:t>
            </w:r>
          </w:p>
        </w:tc>
        <w:tc>
          <w:tcPr>
            <w:tcW w:w="82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服务对象满意度指标</w:t>
            </w:r>
          </w:p>
        </w:tc>
        <w:tc>
          <w:tcPr>
            <w:tcW w:w="62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公众满意度</w:t>
            </w:r>
          </w:p>
        </w:tc>
        <w:tc>
          <w:tcPr>
            <w:tcW w:w="80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12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95</w:t>
            </w:r>
          </w:p>
        </w:tc>
        <w:tc>
          <w:tcPr>
            <w:tcW w:w="898"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776"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olor w:val="000000"/>
                <w:sz w:val="18"/>
              </w:rPr>
            </w:pPr>
          </w:p>
        </w:tc>
        <w:tc>
          <w:tcPr>
            <w:tcW w:w="7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344"/>
        </w:trPr>
        <w:tc>
          <w:tcPr>
            <w:tcW w:w="289"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528"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成本指标</w:t>
            </w:r>
          </w:p>
        </w:tc>
        <w:tc>
          <w:tcPr>
            <w:tcW w:w="82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经济成本指标</w:t>
            </w:r>
          </w:p>
        </w:tc>
        <w:tc>
          <w:tcPr>
            <w:tcW w:w="62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出版经费</w:t>
            </w:r>
          </w:p>
        </w:tc>
        <w:tc>
          <w:tcPr>
            <w:tcW w:w="80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12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100</w:t>
            </w:r>
          </w:p>
        </w:tc>
        <w:tc>
          <w:tcPr>
            <w:tcW w:w="898"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万元</w:t>
            </w:r>
          </w:p>
        </w:tc>
        <w:tc>
          <w:tcPr>
            <w:tcW w:w="776"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20</w:t>
            </w:r>
          </w:p>
        </w:tc>
        <w:tc>
          <w:tcPr>
            <w:tcW w:w="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olor w:val="000000"/>
                <w:sz w:val="18"/>
              </w:rPr>
            </w:pPr>
          </w:p>
        </w:tc>
        <w:tc>
          <w:tcPr>
            <w:tcW w:w="7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284"/>
        </w:trPr>
        <w:tc>
          <w:tcPr>
            <w:tcW w:w="6138" w:type="dxa"/>
            <w:gridSpan w:val="8"/>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合计</w:t>
            </w:r>
          </w:p>
        </w:tc>
        <w:tc>
          <w:tcPr>
            <w:tcW w:w="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100</w:t>
            </w:r>
          </w:p>
        </w:tc>
        <w:tc>
          <w:tcPr>
            <w:tcW w:w="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eastAsia="宋体"/>
                <w:color w:val="000000"/>
                <w:sz w:val="18"/>
              </w:rPr>
            </w:pPr>
          </w:p>
        </w:tc>
        <w:tc>
          <w:tcPr>
            <w:tcW w:w="7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eastAsia="宋体"/>
                <w:color w:val="000000"/>
                <w:sz w:val="18"/>
              </w:rPr>
            </w:pPr>
          </w:p>
        </w:tc>
      </w:tr>
      <w:tr>
        <w:trPr>
          <w:trHeight w:val="599"/>
        </w:trPr>
        <w:tc>
          <w:tcPr>
            <w:tcW w:w="569"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评价结论</w:t>
            </w:r>
          </w:p>
        </w:tc>
        <w:tc>
          <w:tcPr>
            <w:tcW w:w="7781" w:type="dxa"/>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自评分为100分，因此项目为期2年，2025年对出版的格鲁、萨迦、觉囊等教派散集文集约13卷已完成100%，完成了2025年度目标计划2026年校对、验收合格后进行出版再支付尾款。</w:t>
            </w:r>
          </w:p>
        </w:tc>
      </w:tr>
      <w:tr>
        <w:trPr>
          <w:trHeight w:val="569"/>
        </w:trPr>
        <w:tc>
          <w:tcPr>
            <w:tcW w:w="569"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存在问题</w:t>
            </w:r>
          </w:p>
        </w:tc>
        <w:tc>
          <w:tcPr>
            <w:tcW w:w="7781" w:type="dxa"/>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无</w:t>
            </w:r>
          </w:p>
        </w:tc>
      </w:tr>
      <w:tr>
        <w:trPr>
          <w:trHeight w:val="629"/>
        </w:trPr>
        <w:tc>
          <w:tcPr>
            <w:tcW w:w="569"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改进措施</w:t>
            </w:r>
          </w:p>
        </w:tc>
        <w:tc>
          <w:tcPr>
            <w:tcW w:w="7781" w:type="dxa"/>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无</w:t>
            </w:r>
          </w:p>
        </w:tc>
      </w:tr>
      <w:tr>
        <w:trPr>
          <w:trHeight w:val="284"/>
        </w:trPr>
        <w:tc>
          <w:tcPr>
            <w:tcW w:w="3344" w:type="dxa"/>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Lucida Sans"/>
                <w:color w:val="000000"/>
                <w:sz w:val="18"/>
              </w:rPr>
            </w:pPr>
            <w:r>
              <w:rPr>
                <w:rFonts w:ascii="黑体" w:eastAsia="黑体" w:cs="Lucida Sans"/>
                <w:color w:val="000000"/>
                <w:sz w:val="18"/>
              </w:rPr>
              <w:t>项目负责人：</w:t>
            </w:r>
          </w:p>
        </w:tc>
        <w:tc>
          <w:tcPr>
            <w:tcW w:w="5006" w:type="dxa"/>
            <w:gridSpan w:val="6"/>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Lucida Sans"/>
                <w:color w:val="000000"/>
                <w:sz w:val="18"/>
              </w:rPr>
            </w:pPr>
            <w:r>
              <w:rPr>
                <w:rFonts w:ascii="黑体" w:eastAsia="黑体" w:cs="Lucida Sans"/>
                <w:color w:val="000000"/>
                <w:sz w:val="18"/>
              </w:rPr>
              <w:t>财务负责人：</w:t>
            </w:r>
          </w:p>
        </w:tc>
      </w:tr>
      <w:tr>
        <w:trPr>
          <w:trHeight w:val="284"/>
        </w:trPr>
        <w:tc>
          <w:tcPr>
            <w:tcW w:w="569" w:type="dxa"/>
            <w:tcBorders>
              <w:top w:val="nil"/>
              <w:left w:val="nil"/>
              <w:bottom w:val="nil"/>
              <w:right w:val="nil"/>
              <w:tl2br w:val="nil"/>
              <w:tr2bl w:val="nil"/>
            </w:tcBorders>
            <w:noWrap/>
            <w:vAlign w:val="center"/>
          </w:tcPr>
          <w:p>
            <w:pPr>
              <w:rPr>
                <w:rFonts w:ascii="宋体" w:eastAsia="宋体"/>
                <w:color w:val="000000"/>
                <w:sz w:val="18"/>
              </w:rPr>
            </w:pPr>
          </w:p>
        </w:tc>
        <w:tc>
          <w:tcPr>
            <w:tcW w:w="528" w:type="dxa"/>
            <w:tcBorders>
              <w:top w:val="nil"/>
              <w:left w:val="nil"/>
              <w:bottom w:val="nil"/>
              <w:right w:val="nil"/>
              <w:tl2br w:val="nil"/>
              <w:tr2bl w:val="nil"/>
            </w:tcBorders>
            <w:noWrap/>
            <w:vAlign w:val="center"/>
          </w:tcPr>
          <w:p>
            <w:pPr>
              <w:rPr>
                <w:rFonts w:ascii="宋体" w:eastAsia="宋体"/>
                <w:color w:val="000000"/>
                <w:sz w:val="18"/>
              </w:rPr>
            </w:pPr>
          </w:p>
        </w:tc>
        <w:tc>
          <w:tcPr>
            <w:tcW w:w="823" w:type="dxa"/>
            <w:tcBorders>
              <w:top w:val="nil"/>
              <w:left w:val="nil"/>
              <w:bottom w:val="nil"/>
              <w:right w:val="nil"/>
              <w:tl2br w:val="nil"/>
              <w:tr2bl w:val="nil"/>
            </w:tcBorders>
            <w:noWrap/>
            <w:vAlign w:val="center"/>
          </w:tcPr>
          <w:p>
            <w:pPr>
              <w:rPr>
                <w:rFonts w:ascii="宋体" w:eastAsia="宋体"/>
                <w:color w:val="000000"/>
                <w:sz w:val="18"/>
              </w:rPr>
            </w:pPr>
          </w:p>
        </w:tc>
        <w:tc>
          <w:tcPr>
            <w:tcW w:w="621" w:type="dxa"/>
            <w:tcBorders>
              <w:top w:val="nil"/>
              <w:left w:val="nil"/>
              <w:bottom w:val="nil"/>
              <w:right w:val="nil"/>
              <w:tl2br w:val="nil"/>
              <w:tr2bl w:val="nil"/>
            </w:tcBorders>
            <w:noWrap/>
            <w:vAlign w:val="center"/>
          </w:tcPr>
          <w:p>
            <w:pPr>
              <w:rPr>
                <w:rFonts w:ascii="宋体" w:eastAsia="宋体"/>
                <w:color w:val="000000"/>
                <w:sz w:val="18"/>
              </w:rPr>
            </w:pPr>
          </w:p>
        </w:tc>
        <w:tc>
          <w:tcPr>
            <w:tcW w:w="803" w:type="dxa"/>
            <w:tcBorders>
              <w:top w:val="nil"/>
              <w:left w:val="nil"/>
              <w:bottom w:val="nil"/>
              <w:right w:val="nil"/>
              <w:tl2br w:val="nil"/>
              <w:tr2bl w:val="nil"/>
            </w:tcBorders>
            <w:noWrap/>
            <w:vAlign w:val="center"/>
          </w:tcPr>
          <w:p>
            <w:pPr>
              <w:rPr>
                <w:rFonts w:ascii="宋体" w:eastAsia="宋体"/>
                <w:color w:val="000000"/>
                <w:sz w:val="18"/>
              </w:rPr>
            </w:pPr>
          </w:p>
        </w:tc>
        <w:tc>
          <w:tcPr>
            <w:tcW w:w="1120" w:type="dxa"/>
            <w:tcBorders>
              <w:top w:val="nil"/>
              <w:left w:val="nil"/>
              <w:bottom w:val="nil"/>
              <w:right w:val="nil"/>
              <w:tl2br w:val="nil"/>
              <w:tr2bl w:val="nil"/>
            </w:tcBorders>
            <w:noWrap/>
            <w:vAlign w:val="center"/>
          </w:tcPr>
          <w:p>
            <w:pPr>
              <w:rPr>
                <w:rFonts w:ascii="宋体" w:eastAsia="宋体"/>
                <w:color w:val="000000"/>
                <w:sz w:val="18"/>
              </w:rPr>
            </w:pPr>
          </w:p>
        </w:tc>
        <w:tc>
          <w:tcPr>
            <w:tcW w:w="898" w:type="dxa"/>
            <w:tcBorders>
              <w:top w:val="nil"/>
              <w:left w:val="nil"/>
              <w:bottom w:val="nil"/>
              <w:right w:val="nil"/>
              <w:tl2br w:val="nil"/>
              <w:tr2bl w:val="nil"/>
            </w:tcBorders>
            <w:noWrap/>
            <w:vAlign w:val="center"/>
          </w:tcPr>
          <w:p>
            <w:pPr>
              <w:rPr>
                <w:rFonts w:ascii="宋体" w:eastAsia="宋体"/>
                <w:color w:val="000000"/>
                <w:sz w:val="18"/>
              </w:rPr>
            </w:pPr>
          </w:p>
        </w:tc>
        <w:tc>
          <w:tcPr>
            <w:tcW w:w="776" w:type="dxa"/>
            <w:tcBorders>
              <w:top w:val="nil"/>
              <w:left w:val="nil"/>
              <w:bottom w:val="nil"/>
              <w:right w:val="nil"/>
              <w:tl2br w:val="nil"/>
              <w:tr2bl w:val="nil"/>
            </w:tcBorders>
            <w:noWrap/>
            <w:vAlign w:val="center"/>
          </w:tcPr>
          <w:p>
            <w:pPr>
              <w:rPr>
                <w:rFonts w:ascii="宋体" w:eastAsia="宋体"/>
                <w:color w:val="000000"/>
                <w:sz w:val="18"/>
              </w:rPr>
            </w:pPr>
          </w:p>
        </w:tc>
        <w:tc>
          <w:tcPr>
            <w:tcW w:w="755" w:type="dxa"/>
            <w:tcBorders>
              <w:top w:val="nil"/>
              <w:left w:val="nil"/>
              <w:bottom w:val="nil"/>
              <w:right w:val="nil"/>
              <w:tl2br w:val="nil"/>
              <w:tr2bl w:val="nil"/>
            </w:tcBorders>
            <w:noWrap/>
            <w:vAlign w:val="center"/>
          </w:tcPr>
          <w:p>
            <w:pPr>
              <w:rPr>
                <w:rFonts w:ascii="宋体" w:eastAsia="宋体"/>
                <w:color w:val="000000"/>
                <w:sz w:val="18"/>
              </w:rPr>
            </w:pPr>
          </w:p>
        </w:tc>
        <w:tc>
          <w:tcPr>
            <w:tcW w:w="755" w:type="dxa"/>
            <w:tcBorders>
              <w:top w:val="nil"/>
              <w:left w:val="nil"/>
              <w:bottom w:val="nil"/>
              <w:right w:val="nil"/>
              <w:tl2br w:val="nil"/>
              <w:tr2bl w:val="nil"/>
            </w:tcBorders>
            <w:noWrap/>
            <w:vAlign w:val="center"/>
          </w:tcPr>
          <w:p>
            <w:pPr>
              <w:rPr>
                <w:rFonts w:ascii="宋体" w:eastAsia="宋体"/>
                <w:color w:val="000000"/>
                <w:sz w:val="18"/>
              </w:rPr>
            </w:pPr>
          </w:p>
        </w:tc>
        <w:tc>
          <w:tcPr>
            <w:tcW w:w="701" w:type="dxa"/>
            <w:tcBorders>
              <w:top w:val="nil"/>
              <w:left w:val="nil"/>
              <w:bottom w:val="nil"/>
              <w:right w:val="nil"/>
              <w:tl2br w:val="nil"/>
              <w:tr2bl w:val="nil"/>
            </w:tcBorders>
            <w:noWrap/>
            <w:vAlign w:val="center"/>
          </w:tcPr>
          <w:p>
            <w:pPr>
              <w:rPr>
                <w:rFonts w:ascii="宋体" w:eastAsia="宋体"/>
                <w:color w:val="000000"/>
                <w:sz w:val="18"/>
              </w:rPr>
            </w:pPr>
          </w:p>
        </w:tc>
      </w:tr>
      <w:tr>
        <w:trPr>
          <w:trHeight w:val="899"/>
        </w:trPr>
        <w:tc>
          <w:tcPr>
            <w:tcW w:w="8350" w:type="dxa"/>
            <w:gridSpan w:val="11"/>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Lucida Sans"/>
                <w:b/>
                <w:i w:val="0"/>
                <w:color w:val="000000"/>
                <w:sz w:val="30"/>
              </w:rPr>
            </w:pPr>
            <w:r>
              <w:rPr>
                <w:rFonts w:ascii="黑体" w:eastAsia="黑体" w:cs="Lucida Sans"/>
                <w:b/>
                <w:i w:val="0"/>
                <w:color w:val="000000"/>
                <w:sz w:val="30"/>
              </w:rPr>
              <w:t>部门预算项目支出绩效自评表（2025年度）</w:t>
            </w:r>
          </w:p>
        </w:tc>
      </w:tr>
      <w:tr>
        <w:trPr>
          <w:trHeight w:val="284"/>
        </w:trPr>
        <w:tc>
          <w:tcPr>
            <w:tcW w:w="1097"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项目名称</w:t>
            </w:r>
          </w:p>
        </w:tc>
        <w:tc>
          <w:tcPr>
            <w:tcW w:w="7253" w:type="dxa"/>
            <w:gridSpan w:val="9"/>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51320026T000014817564-采购国产办公设备</w:t>
            </w:r>
          </w:p>
        </w:tc>
      </w:tr>
      <w:tr>
        <w:trPr>
          <w:trHeight w:val="509"/>
        </w:trPr>
        <w:tc>
          <w:tcPr>
            <w:tcW w:w="1097"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主管部门</w:t>
            </w:r>
          </w:p>
        </w:tc>
        <w:tc>
          <w:tcPr>
            <w:tcW w:w="4265" w:type="dxa"/>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州佛协部门</w:t>
            </w:r>
          </w:p>
        </w:tc>
        <w:tc>
          <w:tcPr>
            <w:tcW w:w="776" w:type="dxa"/>
            <w:tcBorders>
              <w:top w:val="nil"/>
              <w:left w:val="nil"/>
              <w:bottom w:val="nil"/>
              <w:right w:val="nil"/>
              <w:tl2br w:val="nil"/>
              <w:tr2bl w:val="nil"/>
            </w:tcBorders>
            <w:noWrap/>
            <w:vAlign w:val="center"/>
          </w:tcPr>
          <w:p>
            <w:pPr>
              <w:jc w:val="center"/>
              <w:rPr>
                <w:rFonts w:ascii="黑体" w:eastAsia="黑体" w:cs="Lucida Sans"/>
                <w:color w:val="000000"/>
                <w:sz w:val="18"/>
              </w:rPr>
            </w:pPr>
            <w:r>
              <w:rPr>
                <w:rFonts w:ascii="黑体" w:eastAsia="黑体" w:cs="Lucida Sans"/>
                <w:color w:val="000000"/>
                <w:sz w:val="18"/>
              </w:rPr>
              <w:t>实施单位 （盖章）</w:t>
            </w:r>
          </w:p>
        </w:tc>
        <w:tc>
          <w:tcPr>
            <w:tcW w:w="2212"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州佛协</w:t>
            </w:r>
          </w:p>
        </w:tc>
      </w:tr>
      <w:tr>
        <w:trPr>
          <w:trHeight w:val="284"/>
        </w:trPr>
        <w:tc>
          <w:tcPr>
            <w:tcW w:w="569"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项目基本情况</w:t>
            </w:r>
          </w:p>
        </w:tc>
        <w:tc>
          <w:tcPr>
            <w:tcW w:w="528"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1.项目年度目标完成情况</w:t>
            </w:r>
          </w:p>
        </w:tc>
        <w:tc>
          <w:tcPr>
            <w:tcW w:w="4265" w:type="dxa"/>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项目年度目标</w:t>
            </w:r>
          </w:p>
        </w:tc>
        <w:tc>
          <w:tcPr>
            <w:tcW w:w="2987" w:type="dxa"/>
            <w:gridSpan w:val="4"/>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Lucida Sans"/>
                <w:color w:val="000000"/>
                <w:sz w:val="18"/>
              </w:rPr>
            </w:pPr>
            <w:r>
              <w:rPr>
                <w:rFonts w:ascii="黑体" w:eastAsia="黑体" w:cs="Lucida Sans"/>
                <w:color w:val="000000"/>
                <w:sz w:val="18"/>
              </w:rPr>
              <w:t>年度目标完成情况</w:t>
            </w:r>
          </w:p>
        </w:tc>
      </w:tr>
      <w:tr>
        <w:trPr>
          <w:trHeight w:val="704"/>
        </w:trPr>
        <w:tc>
          <w:tcPr>
            <w:tcW w:w="289"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333"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4265" w:type="dxa"/>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全面完成年度国产笔记本电脑、国产打印机采购计划、确保设备按时、按需、足额配置到位，满足日常办公需求。</w:t>
            </w:r>
          </w:p>
        </w:tc>
        <w:tc>
          <w:tcPr>
            <w:tcW w:w="2987" w:type="dxa"/>
            <w:gridSpan w:val="4"/>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Lucida Sans"/>
                <w:color w:val="000000"/>
                <w:sz w:val="18"/>
              </w:rPr>
            </w:pPr>
            <w:r>
              <w:rPr>
                <w:rFonts w:ascii="黑体" w:eastAsia="黑体" w:cs="Lucida Sans"/>
                <w:color w:val="000000"/>
                <w:sz w:val="18"/>
              </w:rPr>
              <w:t>2025年严格按照年度计划和采购流程组织实施采购1台国产笔记本电脑用于涉密工作,3台打印机用于日常工作开展,截止2025年年底已全面完成并入固定资产。</w:t>
            </w:r>
          </w:p>
        </w:tc>
      </w:tr>
      <w:tr>
        <w:trPr>
          <w:trHeight w:val="689"/>
        </w:trPr>
        <w:tc>
          <w:tcPr>
            <w:tcW w:w="289"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528"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2.项目实施内容及过程概述</w:t>
            </w:r>
          </w:p>
        </w:tc>
        <w:tc>
          <w:tcPr>
            <w:tcW w:w="7253" w:type="dxa"/>
            <w:gridSpan w:val="9"/>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因单位日常办公保障所需，采购标的国产标准化笔记本电脑与打印机，因符合规格标准统一、现货货源充足、价格变化幅度小的法定适用情形，且采购预算未达到公开招标数额标准，依据《中华人民共和国政府采购法》第三十二条及《政府采购非招标采购方式管理办法》相关规定，采用询价采购方式实施，未进行公开招标。项目全程遵循“公开、透明、最低价成交”原则，实现采购流程闭环管理。</w:t>
            </w:r>
          </w:p>
        </w:tc>
      </w:tr>
      <w:tr>
        <w:trPr>
          <w:trHeight w:val="359"/>
        </w:trPr>
        <w:tc>
          <w:tcPr>
            <w:tcW w:w="569"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预算执行情况（10分）</w:t>
            </w:r>
          </w:p>
        </w:tc>
        <w:tc>
          <w:tcPr>
            <w:tcW w:w="528"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年度预算数（万元）</w:t>
            </w:r>
          </w:p>
        </w:tc>
        <w:tc>
          <w:tcPr>
            <w:tcW w:w="82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年初预算</w:t>
            </w:r>
          </w:p>
        </w:tc>
        <w:tc>
          <w:tcPr>
            <w:tcW w:w="62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调整后预算数</w:t>
            </w:r>
          </w:p>
        </w:tc>
        <w:tc>
          <w:tcPr>
            <w:tcW w:w="2821"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预算执行数</w:t>
            </w:r>
          </w:p>
        </w:tc>
        <w:tc>
          <w:tcPr>
            <w:tcW w:w="776"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预算执行率</w:t>
            </w:r>
          </w:p>
        </w:tc>
        <w:tc>
          <w:tcPr>
            <w:tcW w:w="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权重</w:t>
            </w:r>
          </w:p>
        </w:tc>
        <w:tc>
          <w:tcPr>
            <w:tcW w:w="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得分</w:t>
            </w:r>
          </w:p>
        </w:tc>
        <w:tc>
          <w:tcPr>
            <w:tcW w:w="7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原因</w:t>
            </w:r>
          </w:p>
        </w:tc>
      </w:tr>
      <w:tr>
        <w:trPr>
          <w:trHeight w:val="344"/>
        </w:trPr>
        <w:tc>
          <w:tcPr>
            <w:tcW w:w="289"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528"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总额</w:t>
            </w:r>
          </w:p>
        </w:tc>
        <w:tc>
          <w:tcPr>
            <w:tcW w:w="82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w:t>
            </w:r>
          </w:p>
        </w:tc>
        <w:tc>
          <w:tcPr>
            <w:tcW w:w="62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2.62</w:t>
            </w:r>
          </w:p>
        </w:tc>
        <w:tc>
          <w:tcPr>
            <w:tcW w:w="2821"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2.62</w:t>
            </w:r>
          </w:p>
        </w:tc>
        <w:tc>
          <w:tcPr>
            <w:tcW w:w="776"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100.00%</w:t>
            </w:r>
          </w:p>
        </w:tc>
        <w:tc>
          <w:tcPr>
            <w:tcW w:w="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olor w:val="000000"/>
                <w:sz w:val="18"/>
              </w:rPr>
            </w:pPr>
          </w:p>
        </w:tc>
        <w:tc>
          <w:tcPr>
            <w:tcW w:w="701"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eastAsia="宋体" w:cs="Lucida Sans"/>
                <w:b w:val="0"/>
                <w:i/>
                <w:color w:val="000000"/>
                <w:sz w:val="18"/>
              </w:rPr>
            </w:pPr>
          </w:p>
        </w:tc>
      </w:tr>
      <w:tr>
        <w:trPr>
          <w:trHeight w:val="389"/>
        </w:trPr>
        <w:tc>
          <w:tcPr>
            <w:tcW w:w="289"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528"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其中：财政资金</w:t>
            </w:r>
          </w:p>
        </w:tc>
        <w:tc>
          <w:tcPr>
            <w:tcW w:w="82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w:t>
            </w:r>
          </w:p>
        </w:tc>
        <w:tc>
          <w:tcPr>
            <w:tcW w:w="62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2.62</w:t>
            </w:r>
          </w:p>
        </w:tc>
        <w:tc>
          <w:tcPr>
            <w:tcW w:w="2821"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2.62</w:t>
            </w:r>
          </w:p>
        </w:tc>
        <w:tc>
          <w:tcPr>
            <w:tcW w:w="776"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100.00%</w:t>
            </w:r>
          </w:p>
        </w:tc>
        <w:tc>
          <w:tcPr>
            <w:tcW w:w="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824"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404"/>
        </w:trPr>
        <w:tc>
          <w:tcPr>
            <w:tcW w:w="289"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528"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财政专户管理资金</w:t>
            </w:r>
          </w:p>
        </w:tc>
        <w:tc>
          <w:tcPr>
            <w:tcW w:w="82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62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2821"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776"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824"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359"/>
        </w:trPr>
        <w:tc>
          <w:tcPr>
            <w:tcW w:w="289"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528"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单位资金</w:t>
            </w:r>
          </w:p>
        </w:tc>
        <w:tc>
          <w:tcPr>
            <w:tcW w:w="82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62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2821"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776"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824"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344"/>
        </w:trPr>
        <w:tc>
          <w:tcPr>
            <w:tcW w:w="289"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528"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其他资金</w:t>
            </w:r>
          </w:p>
        </w:tc>
        <w:tc>
          <w:tcPr>
            <w:tcW w:w="82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62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2821"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p>
        </w:tc>
        <w:tc>
          <w:tcPr>
            <w:tcW w:w="776"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824"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449"/>
        </w:trPr>
        <w:tc>
          <w:tcPr>
            <w:tcW w:w="569"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绩效指标（90分）</w:t>
            </w:r>
          </w:p>
        </w:tc>
        <w:tc>
          <w:tcPr>
            <w:tcW w:w="528"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一级指标</w:t>
            </w:r>
          </w:p>
        </w:tc>
        <w:tc>
          <w:tcPr>
            <w:tcW w:w="82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二级指标</w:t>
            </w:r>
          </w:p>
        </w:tc>
        <w:tc>
          <w:tcPr>
            <w:tcW w:w="62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三级指标</w:t>
            </w:r>
          </w:p>
        </w:tc>
        <w:tc>
          <w:tcPr>
            <w:tcW w:w="80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指标性质</w:t>
            </w:r>
          </w:p>
        </w:tc>
        <w:tc>
          <w:tcPr>
            <w:tcW w:w="112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指标值</w:t>
            </w:r>
          </w:p>
        </w:tc>
        <w:tc>
          <w:tcPr>
            <w:tcW w:w="898"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度量单位</w:t>
            </w:r>
          </w:p>
        </w:tc>
        <w:tc>
          <w:tcPr>
            <w:tcW w:w="776"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完成值</w:t>
            </w:r>
          </w:p>
        </w:tc>
        <w:tc>
          <w:tcPr>
            <w:tcW w:w="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权重</w:t>
            </w:r>
          </w:p>
        </w:tc>
        <w:tc>
          <w:tcPr>
            <w:tcW w:w="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得分</w:t>
            </w:r>
          </w:p>
        </w:tc>
        <w:tc>
          <w:tcPr>
            <w:tcW w:w="7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未完成原因分析</w:t>
            </w:r>
          </w:p>
        </w:tc>
      </w:tr>
      <w:tr>
        <w:trPr>
          <w:trHeight w:val="344"/>
        </w:trPr>
        <w:tc>
          <w:tcPr>
            <w:tcW w:w="289"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528" w:type="dxa"/>
            <w:vMerge w:val="restart"/>
            <w:tcBorders>
              <w:top w:val="nil"/>
              <w:left w:val="nil"/>
              <w:bottom w:val="nil"/>
              <w:right w:val="nil"/>
              <w:tl2br w:val="nil"/>
              <w:tr2bl w:val="nil"/>
            </w:tcBorders>
          </w:tcPr>
          <w:p>
            <w:pPr>
              <w:jc w:val="center"/>
              <w:rPr>
                <w:rFonts w:ascii="宋体" w:eastAsia="宋体" w:cs="Lucida Sans"/>
                <w:color w:val="000000"/>
                <w:sz w:val="18"/>
              </w:rPr>
            </w:pPr>
          </w:p>
        </w:tc>
        <w:tc>
          <w:tcPr>
            <w:tcW w:w="823" w:type="dxa"/>
            <w:tcBorders>
              <w:top w:val="nil"/>
              <w:left w:val="nil"/>
              <w:bottom w:val="nil"/>
              <w:right w:val="nil"/>
              <w:tl2br w:val="nil"/>
              <w:tr2bl w:val="nil"/>
            </w:tcBorders>
          </w:tcPr>
          <w:p>
            <w:pPr>
              <w:jc w:val="center"/>
              <w:rPr>
                <w:rFonts w:ascii="宋体" w:eastAsia="宋体" w:cs="Lucida Sans"/>
                <w:color w:val="000000"/>
                <w:sz w:val="18"/>
              </w:rPr>
            </w:pPr>
          </w:p>
        </w:tc>
        <w:tc>
          <w:tcPr>
            <w:tcW w:w="621" w:type="dxa"/>
            <w:tcBorders>
              <w:top w:val="nil"/>
              <w:left w:val="nil"/>
              <w:bottom w:val="nil"/>
              <w:right w:val="nil"/>
              <w:tl2br w:val="nil"/>
              <w:tr2bl w:val="nil"/>
            </w:tcBorders>
          </w:tcPr>
          <w:p>
            <w:pPr>
              <w:jc w:val="center"/>
              <w:rPr>
                <w:rFonts w:ascii="宋体" w:eastAsia="宋体" w:cs="Lucida Sans"/>
                <w:color w:val="000000"/>
                <w:sz w:val="18"/>
              </w:rPr>
            </w:pPr>
          </w:p>
        </w:tc>
        <w:tc>
          <w:tcPr>
            <w:tcW w:w="803" w:type="dxa"/>
            <w:tcBorders>
              <w:top w:val="nil"/>
              <w:left w:val="nil"/>
              <w:bottom w:val="nil"/>
              <w:right w:val="nil"/>
              <w:tl2br w:val="nil"/>
              <w:tr2bl w:val="nil"/>
            </w:tcBorders>
          </w:tcPr>
          <w:p>
            <w:pPr>
              <w:jc w:val="center"/>
              <w:rPr>
                <w:rFonts w:ascii="宋体" w:eastAsia="宋体" w:cs="Lucida Sans"/>
                <w:color w:val="000000"/>
                <w:sz w:val="18"/>
              </w:rPr>
            </w:pPr>
          </w:p>
        </w:tc>
        <w:tc>
          <w:tcPr>
            <w:tcW w:w="1120" w:type="dxa"/>
            <w:tcBorders>
              <w:top w:val="nil"/>
              <w:left w:val="nil"/>
              <w:bottom w:val="nil"/>
              <w:right w:val="nil"/>
              <w:tl2br w:val="nil"/>
              <w:tr2bl w:val="nil"/>
            </w:tcBorders>
          </w:tcPr>
          <w:p>
            <w:pPr>
              <w:jc w:val="center"/>
              <w:rPr>
                <w:rFonts w:ascii="宋体" w:eastAsia="宋体" w:cs="Lucida Sans"/>
                <w:color w:val="000000"/>
                <w:sz w:val="18"/>
              </w:rPr>
            </w:pPr>
          </w:p>
        </w:tc>
        <w:tc>
          <w:tcPr>
            <w:tcW w:w="898" w:type="dxa"/>
            <w:tcBorders>
              <w:top w:val="nil"/>
              <w:left w:val="nil"/>
              <w:bottom w:val="nil"/>
              <w:right w:val="nil"/>
              <w:tl2br w:val="nil"/>
              <w:tr2bl w:val="nil"/>
            </w:tcBorders>
          </w:tcPr>
          <w:p>
            <w:pPr>
              <w:jc w:val="center"/>
              <w:rPr>
                <w:rFonts w:ascii="宋体" w:eastAsia="宋体" w:cs="Lucida Sans"/>
                <w:color w:val="000000"/>
                <w:sz w:val="18"/>
              </w:rPr>
            </w:pPr>
          </w:p>
        </w:tc>
        <w:tc>
          <w:tcPr>
            <w:tcW w:w="776" w:type="dxa"/>
            <w:tcBorders>
              <w:top w:val="nil"/>
              <w:left w:val="nil"/>
              <w:bottom w:val="nil"/>
              <w:right w:val="nil"/>
              <w:tl2br w:val="nil"/>
              <w:tr2bl w:val="nil"/>
            </w:tcBorders>
          </w:tcPr>
          <w:p>
            <w:pPr>
              <w:jc w:val="center"/>
              <w:rPr>
                <w:rFonts w:ascii="微软雅黑" w:eastAsia="微软雅黑"/>
                <w:b w:val="0"/>
                <w:i/>
                <w:color w:val="000000"/>
                <w:sz w:val="16"/>
              </w:rPr>
            </w:pPr>
          </w:p>
        </w:tc>
        <w:tc>
          <w:tcPr>
            <w:tcW w:w="755" w:type="dxa"/>
            <w:tcBorders>
              <w:top w:val="nil"/>
              <w:left w:val="nil"/>
              <w:bottom w:val="nil"/>
              <w:right w:val="nil"/>
              <w:tl2br w:val="nil"/>
              <w:tr2bl w:val="nil"/>
            </w:tcBorders>
          </w:tcPr>
          <w:p>
            <w:pPr>
              <w:jc w:val="center"/>
              <w:rPr>
                <w:rFonts w:ascii="宋体" w:eastAsia="宋体" w:cs="Lucida Sans"/>
                <w:color w:val="000000"/>
                <w:sz w:val="18"/>
              </w:rPr>
            </w:pPr>
          </w:p>
        </w:tc>
        <w:tc>
          <w:tcPr>
            <w:tcW w:w="755" w:type="dxa"/>
            <w:tcBorders>
              <w:top w:val="nil"/>
              <w:left w:val="nil"/>
              <w:bottom w:val="nil"/>
              <w:right w:val="nil"/>
              <w:tl2br w:val="nil"/>
              <w:tr2bl w:val="nil"/>
            </w:tcBorders>
          </w:tcPr>
          <w:p>
            <w:pPr>
              <w:jc w:val="center"/>
              <w:rPr>
                <w:rFonts w:ascii="宋体" w:eastAsia="宋体"/>
                <w:color w:val="000000"/>
                <w:sz w:val="18"/>
              </w:rPr>
            </w:pPr>
          </w:p>
        </w:tc>
        <w:tc>
          <w:tcPr>
            <w:tcW w:w="701" w:type="dxa"/>
            <w:tcBorders>
              <w:top w:val="nil"/>
              <w:left w:val="nil"/>
              <w:bottom w:val="nil"/>
              <w:right w:val="nil"/>
              <w:tl2br w:val="nil"/>
              <w:tr2bl w:val="nil"/>
            </w:tcBorders>
          </w:tcPr>
          <w:p>
            <w:pPr>
              <w:jc w:val="center"/>
              <w:rPr>
                <w:rFonts w:ascii="微软雅黑" w:eastAsia="微软雅黑"/>
                <w:b w:val="0"/>
                <w:i/>
                <w:color w:val="000000"/>
                <w:sz w:val="16"/>
              </w:rPr>
            </w:pPr>
          </w:p>
        </w:tc>
      </w:tr>
      <w:tr>
        <w:trPr>
          <w:trHeight w:val="344"/>
        </w:trPr>
        <w:tc>
          <w:tcPr>
            <w:tcW w:w="289"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333" w:type="dxa"/>
            <w:vMerge/>
            <w:tcBorders>
              <w:top w:val="nil"/>
              <w:left w:val="nil"/>
              <w:bottom w:val="nil"/>
              <w:right w:val="nil"/>
              <w:tl2br w:val="nil"/>
              <w:tr2bl w:val="nil"/>
            </w:tcBorders>
          </w:tcPr>
          <w:p/>
        </w:tc>
        <w:tc>
          <w:tcPr>
            <w:tcW w:w="823" w:type="dxa"/>
            <w:tcBorders>
              <w:top w:val="nil"/>
              <w:left w:val="nil"/>
              <w:bottom w:val="nil"/>
              <w:right w:val="nil"/>
              <w:tl2br w:val="nil"/>
              <w:tr2bl w:val="nil"/>
            </w:tcBorders>
          </w:tcPr>
          <w:p>
            <w:pPr>
              <w:jc w:val="center"/>
              <w:rPr>
                <w:rFonts w:ascii="宋体" w:eastAsia="宋体" w:cs="Lucida Sans"/>
                <w:color w:val="000000"/>
                <w:sz w:val="18"/>
              </w:rPr>
            </w:pPr>
          </w:p>
        </w:tc>
        <w:tc>
          <w:tcPr>
            <w:tcW w:w="621" w:type="dxa"/>
            <w:tcBorders>
              <w:top w:val="nil"/>
              <w:left w:val="nil"/>
              <w:bottom w:val="nil"/>
              <w:right w:val="nil"/>
              <w:tl2br w:val="nil"/>
              <w:tr2bl w:val="nil"/>
            </w:tcBorders>
          </w:tcPr>
          <w:p>
            <w:pPr>
              <w:jc w:val="center"/>
              <w:rPr>
                <w:rFonts w:ascii="宋体" w:eastAsia="宋体" w:cs="Lucida Sans"/>
                <w:color w:val="000000"/>
                <w:sz w:val="18"/>
              </w:rPr>
            </w:pPr>
          </w:p>
        </w:tc>
        <w:tc>
          <w:tcPr>
            <w:tcW w:w="803" w:type="dxa"/>
            <w:tcBorders>
              <w:top w:val="nil"/>
              <w:left w:val="nil"/>
              <w:bottom w:val="nil"/>
              <w:right w:val="nil"/>
              <w:tl2br w:val="nil"/>
              <w:tr2bl w:val="nil"/>
            </w:tcBorders>
          </w:tcPr>
          <w:p>
            <w:pPr>
              <w:jc w:val="center"/>
              <w:rPr>
                <w:rFonts w:ascii="宋体" w:eastAsia="宋体" w:cs="Lucida Sans"/>
                <w:color w:val="000000"/>
                <w:sz w:val="18"/>
              </w:rPr>
            </w:pPr>
          </w:p>
        </w:tc>
        <w:tc>
          <w:tcPr>
            <w:tcW w:w="1120" w:type="dxa"/>
            <w:tcBorders>
              <w:top w:val="nil"/>
              <w:left w:val="nil"/>
              <w:bottom w:val="nil"/>
              <w:right w:val="nil"/>
              <w:tl2br w:val="nil"/>
              <w:tr2bl w:val="nil"/>
            </w:tcBorders>
          </w:tcPr>
          <w:p>
            <w:pPr>
              <w:jc w:val="center"/>
              <w:rPr>
                <w:rFonts w:ascii="宋体" w:eastAsia="宋体" w:cs="Lucida Sans"/>
                <w:color w:val="000000"/>
                <w:sz w:val="18"/>
              </w:rPr>
            </w:pPr>
          </w:p>
        </w:tc>
        <w:tc>
          <w:tcPr>
            <w:tcW w:w="898" w:type="dxa"/>
            <w:tcBorders>
              <w:top w:val="nil"/>
              <w:left w:val="nil"/>
              <w:bottom w:val="nil"/>
              <w:right w:val="nil"/>
              <w:tl2br w:val="nil"/>
              <w:tr2bl w:val="nil"/>
            </w:tcBorders>
          </w:tcPr>
          <w:p>
            <w:pPr>
              <w:jc w:val="center"/>
              <w:rPr>
                <w:rFonts w:ascii="宋体" w:eastAsia="宋体" w:cs="Lucida Sans"/>
                <w:color w:val="000000"/>
                <w:sz w:val="18"/>
              </w:rPr>
            </w:pPr>
          </w:p>
        </w:tc>
        <w:tc>
          <w:tcPr>
            <w:tcW w:w="776" w:type="dxa"/>
            <w:tcBorders>
              <w:top w:val="nil"/>
              <w:left w:val="nil"/>
              <w:bottom w:val="nil"/>
              <w:right w:val="nil"/>
              <w:tl2br w:val="nil"/>
              <w:tr2bl w:val="nil"/>
            </w:tcBorders>
          </w:tcPr>
          <w:p>
            <w:pPr>
              <w:jc w:val="center"/>
              <w:rPr>
                <w:rFonts w:ascii="微软雅黑" w:eastAsia="微软雅黑"/>
                <w:b w:val="0"/>
                <w:i/>
                <w:color w:val="000000"/>
                <w:sz w:val="16"/>
              </w:rPr>
            </w:pPr>
          </w:p>
        </w:tc>
        <w:tc>
          <w:tcPr>
            <w:tcW w:w="755" w:type="dxa"/>
            <w:tcBorders>
              <w:top w:val="nil"/>
              <w:left w:val="nil"/>
              <w:bottom w:val="nil"/>
              <w:right w:val="nil"/>
              <w:tl2br w:val="nil"/>
              <w:tr2bl w:val="nil"/>
            </w:tcBorders>
          </w:tcPr>
          <w:p>
            <w:pPr>
              <w:jc w:val="center"/>
              <w:rPr>
                <w:rFonts w:ascii="宋体" w:eastAsia="宋体" w:cs="Lucida Sans"/>
                <w:color w:val="000000"/>
                <w:sz w:val="18"/>
              </w:rPr>
            </w:pPr>
          </w:p>
        </w:tc>
        <w:tc>
          <w:tcPr>
            <w:tcW w:w="755" w:type="dxa"/>
            <w:tcBorders>
              <w:top w:val="nil"/>
              <w:left w:val="nil"/>
              <w:bottom w:val="nil"/>
              <w:right w:val="nil"/>
              <w:tl2br w:val="nil"/>
              <w:tr2bl w:val="nil"/>
            </w:tcBorders>
          </w:tcPr>
          <w:p>
            <w:pPr>
              <w:jc w:val="center"/>
              <w:rPr>
                <w:rFonts w:ascii="宋体" w:eastAsia="宋体"/>
                <w:color w:val="000000"/>
                <w:sz w:val="18"/>
              </w:rPr>
            </w:pPr>
          </w:p>
        </w:tc>
        <w:tc>
          <w:tcPr>
            <w:tcW w:w="701" w:type="dxa"/>
            <w:tcBorders>
              <w:top w:val="nil"/>
              <w:left w:val="nil"/>
              <w:bottom w:val="nil"/>
              <w:right w:val="nil"/>
              <w:tl2br w:val="nil"/>
              <w:tr2bl w:val="nil"/>
            </w:tcBorders>
          </w:tcPr>
          <w:p>
            <w:pPr>
              <w:jc w:val="center"/>
              <w:rPr>
                <w:rFonts w:ascii="微软雅黑" w:eastAsia="微软雅黑"/>
                <w:b w:val="0"/>
                <w:i/>
                <w:color w:val="000000"/>
                <w:sz w:val="16"/>
              </w:rPr>
            </w:pPr>
          </w:p>
        </w:tc>
      </w:tr>
      <w:tr>
        <w:trPr>
          <w:trHeight w:val="344"/>
        </w:trPr>
        <w:tc>
          <w:tcPr>
            <w:tcW w:w="289"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333" w:type="dxa"/>
            <w:vMerge/>
            <w:tcBorders>
              <w:top w:val="nil"/>
              <w:left w:val="nil"/>
              <w:bottom w:val="nil"/>
              <w:right w:val="nil"/>
              <w:tl2br w:val="nil"/>
              <w:tr2bl w:val="nil"/>
            </w:tcBorders>
          </w:tcPr>
          <w:p/>
        </w:tc>
        <w:tc>
          <w:tcPr>
            <w:tcW w:w="823" w:type="dxa"/>
            <w:tcBorders>
              <w:top w:val="nil"/>
              <w:left w:val="nil"/>
              <w:bottom w:val="nil"/>
              <w:right w:val="nil"/>
              <w:tl2br w:val="nil"/>
              <w:tr2bl w:val="nil"/>
            </w:tcBorders>
          </w:tcPr>
          <w:p>
            <w:pPr>
              <w:jc w:val="center"/>
              <w:rPr>
                <w:rFonts w:ascii="宋体" w:eastAsia="宋体" w:cs="Lucida Sans"/>
                <w:color w:val="000000"/>
                <w:sz w:val="18"/>
              </w:rPr>
            </w:pPr>
          </w:p>
        </w:tc>
        <w:tc>
          <w:tcPr>
            <w:tcW w:w="621" w:type="dxa"/>
            <w:tcBorders>
              <w:top w:val="nil"/>
              <w:left w:val="nil"/>
              <w:bottom w:val="nil"/>
              <w:right w:val="nil"/>
              <w:tl2br w:val="nil"/>
              <w:tr2bl w:val="nil"/>
            </w:tcBorders>
          </w:tcPr>
          <w:p>
            <w:pPr>
              <w:jc w:val="center"/>
              <w:rPr>
                <w:rFonts w:ascii="宋体" w:eastAsia="宋体" w:cs="Lucida Sans"/>
                <w:color w:val="000000"/>
                <w:sz w:val="18"/>
              </w:rPr>
            </w:pPr>
          </w:p>
        </w:tc>
        <w:tc>
          <w:tcPr>
            <w:tcW w:w="803" w:type="dxa"/>
            <w:tcBorders>
              <w:top w:val="nil"/>
              <w:left w:val="nil"/>
              <w:bottom w:val="nil"/>
              <w:right w:val="nil"/>
              <w:tl2br w:val="nil"/>
              <w:tr2bl w:val="nil"/>
            </w:tcBorders>
          </w:tcPr>
          <w:p>
            <w:pPr>
              <w:jc w:val="center"/>
              <w:rPr>
                <w:rFonts w:ascii="宋体" w:eastAsia="宋体" w:cs="Lucida Sans"/>
                <w:color w:val="000000"/>
                <w:sz w:val="18"/>
              </w:rPr>
            </w:pPr>
          </w:p>
        </w:tc>
        <w:tc>
          <w:tcPr>
            <w:tcW w:w="1120" w:type="dxa"/>
            <w:tcBorders>
              <w:top w:val="nil"/>
              <w:left w:val="nil"/>
              <w:bottom w:val="nil"/>
              <w:right w:val="nil"/>
              <w:tl2br w:val="nil"/>
              <w:tr2bl w:val="nil"/>
            </w:tcBorders>
          </w:tcPr>
          <w:p>
            <w:pPr>
              <w:jc w:val="center"/>
              <w:rPr>
                <w:rFonts w:ascii="宋体" w:eastAsia="宋体" w:cs="Lucida Sans"/>
                <w:color w:val="000000"/>
                <w:sz w:val="18"/>
              </w:rPr>
            </w:pPr>
          </w:p>
        </w:tc>
        <w:tc>
          <w:tcPr>
            <w:tcW w:w="898" w:type="dxa"/>
            <w:tcBorders>
              <w:top w:val="nil"/>
              <w:left w:val="nil"/>
              <w:bottom w:val="nil"/>
              <w:right w:val="nil"/>
              <w:tl2br w:val="nil"/>
              <w:tr2bl w:val="nil"/>
            </w:tcBorders>
          </w:tcPr>
          <w:p>
            <w:pPr>
              <w:jc w:val="center"/>
              <w:rPr>
                <w:rFonts w:ascii="宋体" w:eastAsia="宋体" w:cs="Lucida Sans"/>
                <w:color w:val="000000"/>
                <w:sz w:val="18"/>
              </w:rPr>
            </w:pPr>
          </w:p>
        </w:tc>
        <w:tc>
          <w:tcPr>
            <w:tcW w:w="776" w:type="dxa"/>
            <w:tcBorders>
              <w:top w:val="nil"/>
              <w:left w:val="nil"/>
              <w:bottom w:val="nil"/>
              <w:right w:val="nil"/>
              <w:tl2br w:val="nil"/>
              <w:tr2bl w:val="nil"/>
            </w:tcBorders>
          </w:tcPr>
          <w:p>
            <w:pPr>
              <w:jc w:val="center"/>
              <w:rPr>
                <w:rFonts w:ascii="微软雅黑" w:eastAsia="微软雅黑"/>
                <w:b w:val="0"/>
                <w:i/>
                <w:color w:val="000000"/>
                <w:sz w:val="16"/>
              </w:rPr>
            </w:pPr>
          </w:p>
        </w:tc>
        <w:tc>
          <w:tcPr>
            <w:tcW w:w="755" w:type="dxa"/>
            <w:tcBorders>
              <w:top w:val="nil"/>
              <w:left w:val="nil"/>
              <w:bottom w:val="nil"/>
              <w:right w:val="nil"/>
              <w:tl2br w:val="nil"/>
              <w:tr2bl w:val="nil"/>
            </w:tcBorders>
          </w:tcPr>
          <w:p>
            <w:pPr>
              <w:jc w:val="center"/>
              <w:rPr>
                <w:rFonts w:ascii="宋体" w:eastAsia="宋体" w:cs="Lucida Sans"/>
                <w:color w:val="000000"/>
                <w:sz w:val="18"/>
              </w:rPr>
            </w:pPr>
          </w:p>
        </w:tc>
        <w:tc>
          <w:tcPr>
            <w:tcW w:w="755" w:type="dxa"/>
            <w:tcBorders>
              <w:top w:val="nil"/>
              <w:left w:val="nil"/>
              <w:bottom w:val="nil"/>
              <w:right w:val="nil"/>
              <w:tl2br w:val="nil"/>
              <w:tr2bl w:val="nil"/>
            </w:tcBorders>
          </w:tcPr>
          <w:p>
            <w:pPr>
              <w:jc w:val="center"/>
              <w:rPr>
                <w:rFonts w:ascii="宋体" w:eastAsia="宋体"/>
                <w:color w:val="000000"/>
                <w:sz w:val="18"/>
              </w:rPr>
            </w:pPr>
          </w:p>
        </w:tc>
        <w:tc>
          <w:tcPr>
            <w:tcW w:w="701" w:type="dxa"/>
            <w:tcBorders>
              <w:top w:val="nil"/>
              <w:left w:val="nil"/>
              <w:bottom w:val="nil"/>
              <w:right w:val="nil"/>
              <w:tl2br w:val="nil"/>
              <w:tr2bl w:val="nil"/>
            </w:tcBorders>
          </w:tcPr>
          <w:p>
            <w:pPr>
              <w:jc w:val="center"/>
              <w:rPr>
                <w:rFonts w:ascii="微软雅黑" w:eastAsia="微软雅黑"/>
                <w:b w:val="0"/>
                <w:i/>
                <w:color w:val="000000"/>
                <w:sz w:val="16"/>
              </w:rPr>
            </w:pPr>
          </w:p>
        </w:tc>
      </w:tr>
      <w:tr>
        <w:trPr>
          <w:trHeight w:val="344"/>
        </w:trPr>
        <w:tc>
          <w:tcPr>
            <w:tcW w:w="289"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528" w:type="dxa"/>
            <w:vMerge w:val="restart"/>
            <w:tcBorders>
              <w:top w:val="nil"/>
              <w:left w:val="nil"/>
              <w:bottom w:val="nil"/>
              <w:right w:val="nil"/>
              <w:tl2br w:val="nil"/>
              <w:tr2bl w:val="nil"/>
            </w:tcBorders>
          </w:tcPr>
          <w:p>
            <w:pPr>
              <w:jc w:val="center"/>
              <w:rPr>
                <w:rFonts w:ascii="宋体" w:eastAsia="宋体" w:cs="Lucida Sans"/>
                <w:color w:val="000000"/>
                <w:sz w:val="18"/>
              </w:rPr>
            </w:pPr>
          </w:p>
        </w:tc>
        <w:tc>
          <w:tcPr>
            <w:tcW w:w="823" w:type="dxa"/>
            <w:tcBorders>
              <w:top w:val="nil"/>
              <w:left w:val="nil"/>
              <w:bottom w:val="nil"/>
              <w:right w:val="nil"/>
              <w:tl2br w:val="nil"/>
              <w:tr2bl w:val="nil"/>
            </w:tcBorders>
          </w:tcPr>
          <w:p>
            <w:pPr>
              <w:jc w:val="center"/>
              <w:rPr>
                <w:rFonts w:ascii="宋体" w:eastAsia="宋体" w:cs="Lucida Sans"/>
                <w:color w:val="000000"/>
                <w:sz w:val="18"/>
              </w:rPr>
            </w:pPr>
          </w:p>
        </w:tc>
        <w:tc>
          <w:tcPr>
            <w:tcW w:w="621" w:type="dxa"/>
            <w:tcBorders>
              <w:top w:val="nil"/>
              <w:left w:val="nil"/>
              <w:bottom w:val="nil"/>
              <w:right w:val="nil"/>
              <w:tl2br w:val="nil"/>
              <w:tr2bl w:val="nil"/>
            </w:tcBorders>
          </w:tcPr>
          <w:p>
            <w:pPr>
              <w:jc w:val="center"/>
              <w:rPr>
                <w:rFonts w:ascii="宋体" w:eastAsia="宋体" w:cs="Lucida Sans"/>
                <w:color w:val="000000"/>
                <w:sz w:val="18"/>
              </w:rPr>
            </w:pPr>
          </w:p>
        </w:tc>
        <w:tc>
          <w:tcPr>
            <w:tcW w:w="803" w:type="dxa"/>
            <w:tcBorders>
              <w:top w:val="nil"/>
              <w:left w:val="nil"/>
              <w:bottom w:val="nil"/>
              <w:right w:val="nil"/>
              <w:tl2br w:val="nil"/>
              <w:tr2bl w:val="nil"/>
            </w:tcBorders>
          </w:tcPr>
          <w:p>
            <w:pPr>
              <w:jc w:val="center"/>
              <w:rPr>
                <w:rFonts w:ascii="宋体" w:eastAsia="宋体" w:cs="Lucida Sans"/>
                <w:color w:val="000000"/>
                <w:sz w:val="18"/>
              </w:rPr>
            </w:pPr>
          </w:p>
        </w:tc>
        <w:tc>
          <w:tcPr>
            <w:tcW w:w="1120" w:type="dxa"/>
            <w:tcBorders>
              <w:top w:val="nil"/>
              <w:left w:val="nil"/>
              <w:bottom w:val="nil"/>
              <w:right w:val="nil"/>
              <w:tl2br w:val="nil"/>
              <w:tr2bl w:val="nil"/>
            </w:tcBorders>
          </w:tcPr>
          <w:p>
            <w:pPr>
              <w:jc w:val="center"/>
              <w:rPr>
                <w:rFonts w:ascii="宋体" w:eastAsia="宋体" w:cs="Lucida Sans"/>
                <w:color w:val="000000"/>
                <w:sz w:val="18"/>
              </w:rPr>
            </w:pPr>
          </w:p>
        </w:tc>
        <w:tc>
          <w:tcPr>
            <w:tcW w:w="898" w:type="dxa"/>
            <w:tcBorders>
              <w:top w:val="nil"/>
              <w:left w:val="nil"/>
              <w:bottom w:val="nil"/>
              <w:right w:val="nil"/>
              <w:tl2br w:val="nil"/>
              <w:tr2bl w:val="nil"/>
            </w:tcBorders>
          </w:tcPr>
          <w:p>
            <w:pPr>
              <w:jc w:val="center"/>
              <w:rPr>
                <w:rFonts w:ascii="宋体" w:eastAsia="宋体"/>
                <w:color w:val="000000"/>
                <w:sz w:val="18"/>
              </w:rPr>
            </w:pPr>
          </w:p>
        </w:tc>
        <w:tc>
          <w:tcPr>
            <w:tcW w:w="776" w:type="dxa"/>
            <w:tcBorders>
              <w:top w:val="nil"/>
              <w:left w:val="nil"/>
              <w:bottom w:val="nil"/>
              <w:right w:val="nil"/>
              <w:tl2br w:val="nil"/>
              <w:tr2bl w:val="nil"/>
            </w:tcBorders>
          </w:tcPr>
          <w:p>
            <w:pPr>
              <w:jc w:val="center"/>
              <w:rPr>
                <w:rFonts w:ascii="微软雅黑" w:eastAsia="微软雅黑"/>
                <w:b w:val="0"/>
                <w:i/>
                <w:color w:val="000000"/>
                <w:sz w:val="16"/>
              </w:rPr>
            </w:pPr>
          </w:p>
        </w:tc>
        <w:tc>
          <w:tcPr>
            <w:tcW w:w="755" w:type="dxa"/>
            <w:tcBorders>
              <w:top w:val="nil"/>
              <w:left w:val="nil"/>
              <w:bottom w:val="nil"/>
              <w:right w:val="nil"/>
              <w:tl2br w:val="nil"/>
              <w:tr2bl w:val="nil"/>
            </w:tcBorders>
          </w:tcPr>
          <w:p>
            <w:pPr>
              <w:jc w:val="center"/>
              <w:rPr>
                <w:rFonts w:ascii="宋体" w:eastAsia="宋体" w:cs="Lucida Sans"/>
                <w:color w:val="000000"/>
                <w:sz w:val="18"/>
              </w:rPr>
            </w:pPr>
          </w:p>
        </w:tc>
        <w:tc>
          <w:tcPr>
            <w:tcW w:w="755" w:type="dxa"/>
            <w:tcBorders>
              <w:top w:val="nil"/>
              <w:left w:val="nil"/>
              <w:bottom w:val="nil"/>
              <w:right w:val="nil"/>
              <w:tl2br w:val="nil"/>
              <w:tr2bl w:val="nil"/>
            </w:tcBorders>
          </w:tcPr>
          <w:p>
            <w:pPr>
              <w:jc w:val="center"/>
              <w:rPr>
                <w:rFonts w:ascii="宋体" w:eastAsia="宋体"/>
                <w:color w:val="000000"/>
                <w:sz w:val="18"/>
              </w:rPr>
            </w:pPr>
          </w:p>
        </w:tc>
        <w:tc>
          <w:tcPr>
            <w:tcW w:w="701" w:type="dxa"/>
            <w:tcBorders>
              <w:top w:val="nil"/>
              <w:left w:val="nil"/>
              <w:bottom w:val="nil"/>
              <w:right w:val="nil"/>
              <w:tl2br w:val="nil"/>
              <w:tr2bl w:val="nil"/>
            </w:tcBorders>
          </w:tcPr>
          <w:p>
            <w:pPr>
              <w:jc w:val="center"/>
              <w:rPr>
                <w:rFonts w:ascii="微软雅黑" w:eastAsia="微软雅黑"/>
                <w:b w:val="0"/>
                <w:i/>
                <w:color w:val="000000"/>
                <w:sz w:val="16"/>
              </w:rPr>
            </w:pPr>
          </w:p>
        </w:tc>
      </w:tr>
      <w:tr>
        <w:trPr>
          <w:trHeight w:val="344"/>
        </w:trPr>
        <w:tc>
          <w:tcPr>
            <w:tcW w:w="289"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333" w:type="dxa"/>
            <w:vMerge/>
            <w:tcBorders>
              <w:top w:val="nil"/>
              <w:left w:val="nil"/>
              <w:bottom w:val="nil"/>
              <w:right w:val="nil"/>
              <w:tl2br w:val="nil"/>
              <w:tr2bl w:val="nil"/>
            </w:tcBorders>
          </w:tcPr>
          <w:p/>
        </w:tc>
        <w:tc>
          <w:tcPr>
            <w:tcW w:w="823" w:type="dxa"/>
            <w:tcBorders>
              <w:top w:val="nil"/>
              <w:left w:val="nil"/>
              <w:bottom w:val="nil"/>
              <w:right w:val="nil"/>
              <w:tl2br w:val="nil"/>
              <w:tr2bl w:val="nil"/>
            </w:tcBorders>
          </w:tcPr>
          <w:p>
            <w:pPr>
              <w:jc w:val="center"/>
              <w:rPr>
                <w:rFonts w:ascii="宋体" w:eastAsia="宋体" w:cs="Lucida Sans"/>
                <w:color w:val="000000"/>
                <w:sz w:val="18"/>
              </w:rPr>
            </w:pPr>
          </w:p>
        </w:tc>
        <w:tc>
          <w:tcPr>
            <w:tcW w:w="621" w:type="dxa"/>
            <w:tcBorders>
              <w:top w:val="nil"/>
              <w:left w:val="nil"/>
              <w:bottom w:val="nil"/>
              <w:right w:val="nil"/>
              <w:tl2br w:val="nil"/>
              <w:tr2bl w:val="nil"/>
            </w:tcBorders>
          </w:tcPr>
          <w:p>
            <w:pPr>
              <w:jc w:val="center"/>
              <w:rPr>
                <w:rFonts w:ascii="宋体" w:eastAsia="宋体" w:cs="Lucida Sans"/>
                <w:color w:val="000000"/>
                <w:sz w:val="18"/>
              </w:rPr>
            </w:pPr>
          </w:p>
        </w:tc>
        <w:tc>
          <w:tcPr>
            <w:tcW w:w="803" w:type="dxa"/>
            <w:tcBorders>
              <w:top w:val="nil"/>
              <w:left w:val="nil"/>
              <w:bottom w:val="nil"/>
              <w:right w:val="nil"/>
              <w:tl2br w:val="nil"/>
              <w:tr2bl w:val="nil"/>
            </w:tcBorders>
          </w:tcPr>
          <w:p>
            <w:pPr>
              <w:jc w:val="center"/>
              <w:rPr>
                <w:rFonts w:ascii="宋体" w:eastAsia="宋体" w:cs="Lucida Sans"/>
                <w:color w:val="000000"/>
                <w:sz w:val="18"/>
              </w:rPr>
            </w:pPr>
          </w:p>
        </w:tc>
        <w:tc>
          <w:tcPr>
            <w:tcW w:w="1120" w:type="dxa"/>
            <w:tcBorders>
              <w:top w:val="nil"/>
              <w:left w:val="nil"/>
              <w:bottom w:val="nil"/>
              <w:right w:val="nil"/>
              <w:tl2br w:val="nil"/>
              <w:tr2bl w:val="nil"/>
            </w:tcBorders>
          </w:tcPr>
          <w:p>
            <w:pPr>
              <w:jc w:val="center"/>
              <w:rPr>
                <w:rFonts w:ascii="宋体" w:eastAsia="宋体" w:cs="Lucida Sans"/>
                <w:color w:val="000000"/>
                <w:sz w:val="18"/>
              </w:rPr>
            </w:pPr>
          </w:p>
        </w:tc>
        <w:tc>
          <w:tcPr>
            <w:tcW w:w="898" w:type="dxa"/>
            <w:tcBorders>
              <w:top w:val="nil"/>
              <w:left w:val="nil"/>
              <w:bottom w:val="nil"/>
              <w:right w:val="nil"/>
              <w:tl2br w:val="nil"/>
              <w:tr2bl w:val="nil"/>
            </w:tcBorders>
          </w:tcPr>
          <w:p>
            <w:pPr>
              <w:jc w:val="center"/>
              <w:rPr>
                <w:rFonts w:ascii="宋体" w:eastAsia="宋体"/>
                <w:color w:val="000000"/>
                <w:sz w:val="18"/>
              </w:rPr>
            </w:pPr>
          </w:p>
        </w:tc>
        <w:tc>
          <w:tcPr>
            <w:tcW w:w="776" w:type="dxa"/>
            <w:tcBorders>
              <w:top w:val="nil"/>
              <w:left w:val="nil"/>
              <w:bottom w:val="nil"/>
              <w:right w:val="nil"/>
              <w:tl2br w:val="nil"/>
              <w:tr2bl w:val="nil"/>
            </w:tcBorders>
          </w:tcPr>
          <w:p>
            <w:pPr>
              <w:jc w:val="center"/>
              <w:rPr>
                <w:rFonts w:ascii="微软雅黑" w:eastAsia="微软雅黑"/>
                <w:b w:val="0"/>
                <w:i/>
                <w:color w:val="000000"/>
                <w:sz w:val="16"/>
              </w:rPr>
            </w:pPr>
          </w:p>
        </w:tc>
        <w:tc>
          <w:tcPr>
            <w:tcW w:w="755" w:type="dxa"/>
            <w:tcBorders>
              <w:top w:val="nil"/>
              <w:left w:val="nil"/>
              <w:bottom w:val="nil"/>
              <w:right w:val="nil"/>
              <w:tl2br w:val="nil"/>
              <w:tr2bl w:val="nil"/>
            </w:tcBorders>
          </w:tcPr>
          <w:p>
            <w:pPr>
              <w:jc w:val="center"/>
              <w:rPr>
                <w:rFonts w:ascii="宋体" w:eastAsia="宋体" w:cs="Lucida Sans"/>
                <w:color w:val="000000"/>
                <w:sz w:val="18"/>
              </w:rPr>
            </w:pPr>
          </w:p>
        </w:tc>
        <w:tc>
          <w:tcPr>
            <w:tcW w:w="755" w:type="dxa"/>
            <w:tcBorders>
              <w:top w:val="nil"/>
              <w:left w:val="nil"/>
              <w:bottom w:val="nil"/>
              <w:right w:val="nil"/>
              <w:tl2br w:val="nil"/>
              <w:tr2bl w:val="nil"/>
            </w:tcBorders>
          </w:tcPr>
          <w:p>
            <w:pPr>
              <w:jc w:val="center"/>
              <w:rPr>
                <w:rFonts w:ascii="宋体" w:eastAsia="宋体"/>
                <w:color w:val="000000"/>
                <w:sz w:val="18"/>
              </w:rPr>
            </w:pPr>
          </w:p>
        </w:tc>
        <w:tc>
          <w:tcPr>
            <w:tcW w:w="701" w:type="dxa"/>
            <w:tcBorders>
              <w:top w:val="nil"/>
              <w:left w:val="nil"/>
              <w:bottom w:val="nil"/>
              <w:right w:val="nil"/>
              <w:tl2br w:val="nil"/>
              <w:tr2bl w:val="nil"/>
            </w:tcBorders>
          </w:tcPr>
          <w:p>
            <w:pPr>
              <w:jc w:val="center"/>
              <w:rPr>
                <w:rFonts w:ascii="微软雅黑" w:eastAsia="微软雅黑"/>
                <w:b w:val="0"/>
                <w:i/>
                <w:color w:val="000000"/>
                <w:sz w:val="16"/>
              </w:rPr>
            </w:pPr>
          </w:p>
        </w:tc>
      </w:tr>
      <w:tr>
        <w:trPr>
          <w:trHeight w:val="122"/>
        </w:trPr>
        <w:tc>
          <w:tcPr>
            <w:tcW w:w="289"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528" w:type="dxa"/>
            <w:tcBorders>
              <w:top w:val="nil"/>
              <w:left w:val="nil"/>
              <w:bottom w:val="nil"/>
              <w:right w:val="nil"/>
              <w:tl2br w:val="nil"/>
              <w:tr2bl w:val="nil"/>
            </w:tcBorders>
          </w:tcPr>
          <w:p>
            <w:pPr>
              <w:jc w:val="center"/>
              <w:rPr>
                <w:rFonts w:ascii="宋体" w:eastAsia="宋体" w:cs="Lucida Sans"/>
                <w:color w:val="000000"/>
                <w:sz w:val="18"/>
              </w:rPr>
            </w:pPr>
          </w:p>
        </w:tc>
        <w:tc>
          <w:tcPr>
            <w:tcW w:w="823" w:type="dxa"/>
            <w:tcBorders>
              <w:top w:val="nil"/>
              <w:left w:val="nil"/>
              <w:bottom w:val="nil"/>
              <w:right w:val="nil"/>
              <w:tl2br w:val="nil"/>
              <w:tr2bl w:val="nil"/>
            </w:tcBorders>
          </w:tcPr>
          <w:p>
            <w:pPr>
              <w:jc w:val="center"/>
              <w:rPr>
                <w:rFonts w:ascii="宋体" w:eastAsia="宋体" w:cs="Lucida Sans"/>
                <w:color w:val="000000"/>
                <w:sz w:val="18"/>
              </w:rPr>
            </w:pPr>
          </w:p>
        </w:tc>
        <w:tc>
          <w:tcPr>
            <w:tcW w:w="621" w:type="dxa"/>
            <w:tcBorders>
              <w:top w:val="nil"/>
              <w:left w:val="nil"/>
              <w:bottom w:val="nil"/>
              <w:right w:val="nil"/>
              <w:tl2br w:val="nil"/>
              <w:tr2bl w:val="nil"/>
            </w:tcBorders>
          </w:tcPr>
          <w:p>
            <w:pPr>
              <w:jc w:val="center"/>
              <w:rPr>
                <w:rFonts w:ascii="宋体" w:eastAsia="宋体" w:cs="Lucida Sans"/>
                <w:color w:val="000000"/>
                <w:sz w:val="18"/>
              </w:rPr>
            </w:pPr>
          </w:p>
        </w:tc>
        <w:tc>
          <w:tcPr>
            <w:tcW w:w="803" w:type="dxa"/>
            <w:tcBorders>
              <w:top w:val="nil"/>
              <w:left w:val="nil"/>
              <w:bottom w:val="nil"/>
              <w:right w:val="nil"/>
              <w:tl2br w:val="nil"/>
              <w:tr2bl w:val="nil"/>
            </w:tcBorders>
          </w:tcPr>
          <w:p>
            <w:pPr>
              <w:jc w:val="center"/>
              <w:rPr>
                <w:rFonts w:ascii="宋体" w:eastAsia="宋体" w:cs="Lucida Sans"/>
                <w:color w:val="000000"/>
                <w:sz w:val="18"/>
              </w:rPr>
            </w:pPr>
          </w:p>
        </w:tc>
        <w:tc>
          <w:tcPr>
            <w:tcW w:w="1120" w:type="dxa"/>
            <w:tcBorders>
              <w:top w:val="nil"/>
              <w:left w:val="nil"/>
              <w:bottom w:val="nil"/>
              <w:right w:val="nil"/>
              <w:tl2br w:val="nil"/>
              <w:tr2bl w:val="nil"/>
            </w:tcBorders>
          </w:tcPr>
          <w:p>
            <w:pPr>
              <w:jc w:val="center"/>
              <w:rPr>
                <w:rFonts w:ascii="宋体" w:eastAsia="宋体" w:cs="Lucida Sans"/>
                <w:color w:val="000000"/>
                <w:sz w:val="18"/>
              </w:rPr>
            </w:pPr>
          </w:p>
        </w:tc>
        <w:tc>
          <w:tcPr>
            <w:tcW w:w="898" w:type="dxa"/>
            <w:tcBorders>
              <w:top w:val="nil"/>
              <w:left w:val="nil"/>
              <w:bottom w:val="nil"/>
              <w:right w:val="nil"/>
              <w:tl2br w:val="nil"/>
              <w:tr2bl w:val="nil"/>
            </w:tcBorders>
          </w:tcPr>
          <w:p>
            <w:pPr>
              <w:jc w:val="center"/>
              <w:rPr>
                <w:rFonts w:ascii="宋体" w:eastAsia="宋体" w:cs="Lucida Sans"/>
                <w:color w:val="000000"/>
                <w:sz w:val="18"/>
              </w:rPr>
            </w:pPr>
          </w:p>
        </w:tc>
        <w:tc>
          <w:tcPr>
            <w:tcW w:w="776" w:type="dxa"/>
            <w:tcBorders>
              <w:top w:val="nil"/>
              <w:left w:val="nil"/>
              <w:bottom w:val="nil"/>
              <w:right w:val="nil"/>
              <w:tl2br w:val="nil"/>
              <w:tr2bl w:val="nil"/>
            </w:tcBorders>
          </w:tcPr>
          <w:p>
            <w:pPr>
              <w:jc w:val="center"/>
              <w:rPr>
                <w:rFonts w:ascii="微软雅黑" w:eastAsia="微软雅黑"/>
                <w:b w:val="0"/>
                <w:i/>
                <w:color w:val="000000"/>
                <w:sz w:val="16"/>
              </w:rPr>
            </w:pPr>
          </w:p>
        </w:tc>
        <w:tc>
          <w:tcPr>
            <w:tcW w:w="755" w:type="dxa"/>
            <w:tcBorders>
              <w:top w:val="nil"/>
              <w:left w:val="nil"/>
              <w:bottom w:val="nil"/>
              <w:right w:val="nil"/>
              <w:tl2br w:val="nil"/>
              <w:tr2bl w:val="nil"/>
            </w:tcBorders>
          </w:tcPr>
          <w:p>
            <w:pPr>
              <w:jc w:val="center"/>
              <w:rPr>
                <w:rFonts w:ascii="宋体" w:eastAsia="宋体" w:cs="Lucida Sans"/>
                <w:color w:val="000000"/>
                <w:sz w:val="18"/>
              </w:rPr>
            </w:pPr>
          </w:p>
        </w:tc>
        <w:tc>
          <w:tcPr>
            <w:tcW w:w="755" w:type="dxa"/>
            <w:tcBorders>
              <w:top w:val="nil"/>
              <w:left w:val="nil"/>
              <w:bottom w:val="nil"/>
              <w:right w:val="nil"/>
              <w:tl2br w:val="nil"/>
              <w:tr2bl w:val="nil"/>
            </w:tcBorders>
          </w:tcPr>
          <w:p>
            <w:pPr>
              <w:jc w:val="center"/>
              <w:rPr>
                <w:rFonts w:ascii="宋体" w:eastAsia="宋体"/>
                <w:color w:val="000000"/>
                <w:sz w:val="18"/>
              </w:rPr>
            </w:pPr>
          </w:p>
        </w:tc>
        <w:tc>
          <w:tcPr>
            <w:tcW w:w="701" w:type="dxa"/>
            <w:tcBorders>
              <w:top w:val="nil"/>
              <w:left w:val="nil"/>
              <w:bottom w:val="nil"/>
              <w:right w:val="nil"/>
              <w:tl2br w:val="nil"/>
              <w:tr2bl w:val="nil"/>
            </w:tcBorders>
          </w:tcPr>
          <w:p>
            <w:pPr>
              <w:jc w:val="center"/>
              <w:rPr>
                <w:rFonts w:ascii="微软雅黑" w:eastAsia="微软雅黑"/>
                <w:b w:val="0"/>
                <w:i/>
                <w:color w:val="000000"/>
                <w:sz w:val="16"/>
              </w:rPr>
            </w:pPr>
          </w:p>
        </w:tc>
      </w:tr>
      <w:tr>
        <w:trPr>
          <w:trHeight w:val="599"/>
        </w:trPr>
        <w:tc>
          <w:tcPr>
            <w:tcW w:w="569"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评价结论</w:t>
            </w:r>
          </w:p>
        </w:tc>
        <w:tc>
          <w:tcPr>
            <w:tcW w:w="7781" w:type="dxa"/>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自评分为100分，本项目围绕我会移动办公及日常文印保障核心需求，严格遵循政府采购相关法律法规，采用合规采购方式完成国产笔记本电脑及打印机的采购、履约、验收全流程工作。项目已按既定目标全面办结，资金规范使用，设备适配性强，圆满达成采购预期。</w:t>
            </w:r>
          </w:p>
        </w:tc>
      </w:tr>
      <w:tr>
        <w:trPr>
          <w:trHeight w:val="569"/>
        </w:trPr>
        <w:tc>
          <w:tcPr>
            <w:tcW w:w="569"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存在问题</w:t>
            </w:r>
          </w:p>
        </w:tc>
        <w:tc>
          <w:tcPr>
            <w:tcW w:w="7781" w:type="dxa"/>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无</w:t>
            </w:r>
          </w:p>
        </w:tc>
      </w:tr>
      <w:tr>
        <w:trPr>
          <w:trHeight w:val="629"/>
        </w:trPr>
        <w:tc>
          <w:tcPr>
            <w:tcW w:w="569"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改进措施</w:t>
            </w:r>
          </w:p>
        </w:tc>
        <w:tc>
          <w:tcPr>
            <w:tcW w:w="7781" w:type="dxa"/>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无</w:t>
            </w:r>
          </w:p>
        </w:tc>
      </w:tr>
      <w:tr>
        <w:trPr>
          <w:trHeight w:val="284"/>
        </w:trPr>
        <w:tc>
          <w:tcPr>
            <w:tcW w:w="3344" w:type="dxa"/>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Lucida Sans"/>
                <w:color w:val="000000"/>
                <w:sz w:val="18"/>
              </w:rPr>
            </w:pPr>
            <w:r>
              <w:rPr>
                <w:rFonts w:ascii="黑体" w:eastAsia="黑体" w:cs="Lucida Sans"/>
                <w:color w:val="000000"/>
                <w:sz w:val="18"/>
              </w:rPr>
              <w:t>项目负责人：</w:t>
            </w:r>
          </w:p>
        </w:tc>
        <w:tc>
          <w:tcPr>
            <w:tcW w:w="5006" w:type="dxa"/>
            <w:gridSpan w:val="6"/>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Lucida Sans"/>
                <w:color w:val="000000"/>
                <w:sz w:val="18"/>
              </w:rPr>
            </w:pPr>
            <w:r>
              <w:rPr>
                <w:rFonts w:ascii="黑体" w:eastAsia="黑体" w:cs="Lucida Sans"/>
                <w:color w:val="000000"/>
                <w:sz w:val="18"/>
              </w:rPr>
              <w:t>财务负责人：</w:t>
            </w:r>
          </w:p>
        </w:tc>
      </w:tr>
      <w:tr>
        <w:trPr>
          <w:trHeight w:val="284"/>
        </w:trPr>
        <w:tc>
          <w:tcPr>
            <w:tcW w:w="569" w:type="dxa"/>
            <w:tcBorders>
              <w:top w:val="nil"/>
              <w:left w:val="nil"/>
              <w:bottom w:val="nil"/>
              <w:right w:val="nil"/>
              <w:tl2br w:val="nil"/>
              <w:tr2bl w:val="nil"/>
            </w:tcBorders>
            <w:noWrap/>
            <w:vAlign w:val="center"/>
          </w:tcPr>
          <w:p>
            <w:pPr>
              <w:rPr>
                <w:rFonts w:ascii="宋体" w:eastAsia="宋体"/>
                <w:color w:val="000000"/>
                <w:sz w:val="18"/>
              </w:rPr>
            </w:pPr>
          </w:p>
        </w:tc>
        <w:tc>
          <w:tcPr>
            <w:tcW w:w="528" w:type="dxa"/>
            <w:tcBorders>
              <w:top w:val="nil"/>
              <w:left w:val="nil"/>
              <w:bottom w:val="nil"/>
              <w:right w:val="nil"/>
              <w:tl2br w:val="nil"/>
              <w:tr2bl w:val="nil"/>
            </w:tcBorders>
            <w:noWrap/>
            <w:vAlign w:val="center"/>
          </w:tcPr>
          <w:p>
            <w:pPr>
              <w:rPr>
                <w:rFonts w:ascii="宋体" w:eastAsia="宋体"/>
                <w:color w:val="000000"/>
                <w:sz w:val="18"/>
              </w:rPr>
            </w:pPr>
          </w:p>
        </w:tc>
        <w:tc>
          <w:tcPr>
            <w:tcW w:w="823" w:type="dxa"/>
            <w:tcBorders>
              <w:top w:val="nil"/>
              <w:left w:val="nil"/>
              <w:bottom w:val="nil"/>
              <w:right w:val="nil"/>
              <w:tl2br w:val="nil"/>
              <w:tr2bl w:val="nil"/>
            </w:tcBorders>
            <w:noWrap/>
            <w:vAlign w:val="center"/>
          </w:tcPr>
          <w:p>
            <w:pPr>
              <w:rPr>
                <w:rFonts w:ascii="宋体" w:eastAsia="宋体"/>
                <w:color w:val="000000"/>
                <w:sz w:val="18"/>
              </w:rPr>
            </w:pPr>
          </w:p>
        </w:tc>
        <w:tc>
          <w:tcPr>
            <w:tcW w:w="621" w:type="dxa"/>
            <w:tcBorders>
              <w:top w:val="nil"/>
              <w:left w:val="nil"/>
              <w:bottom w:val="nil"/>
              <w:right w:val="nil"/>
              <w:tl2br w:val="nil"/>
              <w:tr2bl w:val="nil"/>
            </w:tcBorders>
            <w:noWrap/>
            <w:vAlign w:val="center"/>
          </w:tcPr>
          <w:p>
            <w:pPr>
              <w:rPr>
                <w:rFonts w:ascii="宋体" w:eastAsia="宋体"/>
                <w:color w:val="000000"/>
                <w:sz w:val="18"/>
              </w:rPr>
            </w:pPr>
          </w:p>
        </w:tc>
        <w:tc>
          <w:tcPr>
            <w:tcW w:w="803" w:type="dxa"/>
            <w:tcBorders>
              <w:top w:val="nil"/>
              <w:left w:val="nil"/>
              <w:bottom w:val="nil"/>
              <w:right w:val="nil"/>
              <w:tl2br w:val="nil"/>
              <w:tr2bl w:val="nil"/>
            </w:tcBorders>
            <w:noWrap/>
            <w:vAlign w:val="center"/>
          </w:tcPr>
          <w:p>
            <w:pPr>
              <w:rPr>
                <w:rFonts w:ascii="宋体" w:eastAsia="宋体"/>
                <w:color w:val="000000"/>
                <w:sz w:val="18"/>
              </w:rPr>
            </w:pPr>
          </w:p>
        </w:tc>
        <w:tc>
          <w:tcPr>
            <w:tcW w:w="1120" w:type="dxa"/>
            <w:tcBorders>
              <w:top w:val="nil"/>
              <w:left w:val="nil"/>
              <w:bottom w:val="nil"/>
              <w:right w:val="nil"/>
              <w:tl2br w:val="nil"/>
              <w:tr2bl w:val="nil"/>
            </w:tcBorders>
            <w:noWrap/>
            <w:vAlign w:val="center"/>
          </w:tcPr>
          <w:p>
            <w:pPr>
              <w:rPr>
                <w:rFonts w:ascii="宋体" w:eastAsia="宋体"/>
                <w:color w:val="000000"/>
                <w:sz w:val="18"/>
              </w:rPr>
            </w:pPr>
          </w:p>
        </w:tc>
        <w:tc>
          <w:tcPr>
            <w:tcW w:w="898" w:type="dxa"/>
            <w:tcBorders>
              <w:top w:val="nil"/>
              <w:left w:val="nil"/>
              <w:bottom w:val="nil"/>
              <w:right w:val="nil"/>
              <w:tl2br w:val="nil"/>
              <w:tr2bl w:val="nil"/>
            </w:tcBorders>
            <w:noWrap/>
            <w:vAlign w:val="center"/>
          </w:tcPr>
          <w:p>
            <w:pPr>
              <w:rPr>
                <w:rFonts w:ascii="宋体" w:eastAsia="宋体"/>
                <w:color w:val="000000"/>
                <w:sz w:val="18"/>
              </w:rPr>
            </w:pPr>
          </w:p>
        </w:tc>
        <w:tc>
          <w:tcPr>
            <w:tcW w:w="776" w:type="dxa"/>
            <w:tcBorders>
              <w:top w:val="nil"/>
              <w:left w:val="nil"/>
              <w:bottom w:val="nil"/>
              <w:right w:val="nil"/>
              <w:tl2br w:val="nil"/>
              <w:tr2bl w:val="nil"/>
            </w:tcBorders>
            <w:noWrap/>
            <w:vAlign w:val="center"/>
          </w:tcPr>
          <w:p>
            <w:pPr>
              <w:rPr>
                <w:rFonts w:ascii="宋体" w:eastAsia="宋体"/>
                <w:color w:val="000000"/>
                <w:sz w:val="18"/>
              </w:rPr>
            </w:pPr>
          </w:p>
        </w:tc>
        <w:tc>
          <w:tcPr>
            <w:tcW w:w="755" w:type="dxa"/>
            <w:tcBorders>
              <w:top w:val="nil"/>
              <w:left w:val="nil"/>
              <w:bottom w:val="nil"/>
              <w:right w:val="nil"/>
              <w:tl2br w:val="nil"/>
              <w:tr2bl w:val="nil"/>
            </w:tcBorders>
            <w:noWrap/>
            <w:vAlign w:val="center"/>
          </w:tcPr>
          <w:p>
            <w:pPr>
              <w:rPr>
                <w:rFonts w:ascii="宋体" w:eastAsia="宋体"/>
                <w:color w:val="000000"/>
                <w:sz w:val="18"/>
              </w:rPr>
            </w:pPr>
          </w:p>
        </w:tc>
        <w:tc>
          <w:tcPr>
            <w:tcW w:w="755" w:type="dxa"/>
            <w:tcBorders>
              <w:top w:val="nil"/>
              <w:left w:val="nil"/>
              <w:bottom w:val="nil"/>
              <w:right w:val="nil"/>
              <w:tl2br w:val="nil"/>
              <w:tr2bl w:val="nil"/>
            </w:tcBorders>
            <w:noWrap/>
            <w:vAlign w:val="center"/>
          </w:tcPr>
          <w:p>
            <w:pPr>
              <w:rPr>
                <w:rFonts w:ascii="宋体" w:eastAsia="宋体"/>
                <w:color w:val="000000"/>
                <w:sz w:val="18"/>
              </w:rPr>
            </w:pPr>
          </w:p>
        </w:tc>
        <w:tc>
          <w:tcPr>
            <w:tcW w:w="701" w:type="dxa"/>
            <w:tcBorders>
              <w:top w:val="nil"/>
              <w:left w:val="nil"/>
              <w:bottom w:val="nil"/>
              <w:right w:val="nil"/>
              <w:tl2br w:val="nil"/>
              <w:tr2bl w:val="nil"/>
            </w:tcBorders>
            <w:noWrap/>
            <w:vAlign w:val="center"/>
          </w:tcPr>
          <w:p>
            <w:pPr>
              <w:rPr>
                <w:rFonts w:ascii="宋体" w:eastAsia="宋体"/>
                <w:color w:val="000000"/>
                <w:sz w:val="18"/>
              </w:rPr>
            </w:pPr>
          </w:p>
        </w:tc>
      </w:tr>
      <w:tr>
        <w:trPr>
          <w:trHeight w:val="899"/>
        </w:trPr>
        <w:tc>
          <w:tcPr>
            <w:tcW w:w="569" w:type="dxa"/>
            <w:tcBorders>
              <w:top w:val="nil"/>
              <w:left w:val="nil"/>
              <w:bottom w:val="nil"/>
              <w:right w:val="nil"/>
              <w:tl2br w:val="nil"/>
              <w:tr2bl w:val="nil"/>
            </w:tcBorders>
            <w:noWrap/>
            <w:vAlign w:val="center"/>
          </w:tcPr>
          <w:p/>
        </w:tc>
        <w:tc>
          <w:tcPr>
            <w:tcW w:w="528" w:type="dxa"/>
            <w:tcBorders>
              <w:top w:val="nil"/>
              <w:left w:val="nil"/>
              <w:bottom w:val="nil"/>
              <w:right w:val="nil"/>
              <w:tl2br w:val="nil"/>
              <w:tr2bl w:val="nil"/>
            </w:tcBorders>
            <w:noWrap/>
            <w:vAlign w:val="center"/>
          </w:tcPr>
          <w:p/>
        </w:tc>
        <w:tc>
          <w:tcPr>
            <w:tcW w:w="823" w:type="dxa"/>
            <w:tcBorders>
              <w:top w:val="nil"/>
              <w:left w:val="nil"/>
              <w:bottom w:val="nil"/>
              <w:right w:val="nil"/>
              <w:tl2br w:val="nil"/>
              <w:tr2bl w:val="nil"/>
            </w:tcBorders>
            <w:noWrap/>
            <w:vAlign w:val="center"/>
          </w:tcPr>
          <w:p/>
        </w:tc>
        <w:tc>
          <w:tcPr>
            <w:tcW w:w="621" w:type="dxa"/>
            <w:tcBorders>
              <w:top w:val="nil"/>
              <w:left w:val="nil"/>
              <w:bottom w:val="nil"/>
              <w:right w:val="nil"/>
              <w:tl2br w:val="nil"/>
              <w:tr2bl w:val="nil"/>
            </w:tcBorders>
            <w:noWrap/>
            <w:vAlign w:val="center"/>
          </w:tcPr>
          <w:p/>
        </w:tc>
        <w:tc>
          <w:tcPr>
            <w:tcW w:w="803" w:type="dxa"/>
            <w:tcBorders>
              <w:top w:val="nil"/>
              <w:left w:val="nil"/>
              <w:bottom w:val="nil"/>
              <w:right w:val="nil"/>
              <w:tl2br w:val="nil"/>
              <w:tr2bl w:val="nil"/>
            </w:tcBorders>
            <w:noWrap/>
            <w:vAlign w:val="center"/>
          </w:tcPr>
          <w:p/>
        </w:tc>
        <w:tc>
          <w:tcPr>
            <w:tcW w:w="1120" w:type="dxa"/>
            <w:tcBorders>
              <w:top w:val="nil"/>
              <w:left w:val="nil"/>
              <w:bottom w:val="nil"/>
              <w:right w:val="nil"/>
              <w:tl2br w:val="nil"/>
              <w:tr2bl w:val="nil"/>
            </w:tcBorders>
            <w:noWrap/>
            <w:vAlign w:val="center"/>
          </w:tcPr>
          <w:p/>
        </w:tc>
        <w:tc>
          <w:tcPr>
            <w:tcW w:w="898" w:type="dxa"/>
            <w:tcBorders>
              <w:top w:val="nil"/>
              <w:left w:val="nil"/>
              <w:bottom w:val="nil"/>
              <w:right w:val="nil"/>
              <w:tl2br w:val="nil"/>
              <w:tr2bl w:val="nil"/>
            </w:tcBorders>
            <w:noWrap/>
            <w:vAlign w:val="center"/>
          </w:tcPr>
          <w:p/>
        </w:tc>
        <w:tc>
          <w:tcPr>
            <w:tcW w:w="776" w:type="dxa"/>
            <w:tcBorders>
              <w:top w:val="nil"/>
              <w:left w:val="nil"/>
              <w:bottom w:val="nil"/>
              <w:right w:val="nil"/>
              <w:tl2br w:val="nil"/>
              <w:tr2bl w:val="nil"/>
            </w:tcBorders>
            <w:noWrap/>
            <w:vAlign w:val="center"/>
          </w:tcPr>
          <w:p/>
        </w:tc>
        <w:tc>
          <w:tcPr>
            <w:tcW w:w="755" w:type="dxa"/>
            <w:tcBorders>
              <w:top w:val="nil"/>
              <w:left w:val="nil"/>
              <w:bottom w:val="nil"/>
              <w:right w:val="nil"/>
              <w:tl2br w:val="nil"/>
              <w:tr2bl w:val="nil"/>
            </w:tcBorders>
            <w:noWrap/>
            <w:vAlign w:val="center"/>
          </w:tcPr>
          <w:p/>
        </w:tc>
        <w:tc>
          <w:tcPr>
            <w:tcW w:w="755" w:type="dxa"/>
            <w:tcBorders>
              <w:top w:val="nil"/>
              <w:left w:val="nil"/>
              <w:bottom w:val="nil"/>
              <w:right w:val="nil"/>
              <w:tl2br w:val="nil"/>
              <w:tr2bl w:val="nil"/>
            </w:tcBorders>
            <w:noWrap/>
            <w:vAlign w:val="center"/>
          </w:tcPr>
          <w:p/>
        </w:tc>
        <w:tc>
          <w:tcPr>
            <w:tcW w:w="701" w:type="dxa"/>
            <w:tcBorders>
              <w:top w:val="nil"/>
              <w:left w:val="nil"/>
              <w:bottom w:val="nil"/>
              <w:right w:val="nil"/>
              <w:tl2br w:val="nil"/>
              <w:tr2bl w:val="nil"/>
            </w:tcBorders>
            <w:noWrap/>
            <w:vAlign w:val="center"/>
          </w:tcPr>
          <w:p/>
        </w:tc>
      </w:tr>
      <w:tr>
        <w:trPr>
          <w:trHeight w:val="284"/>
        </w:trPr>
        <w:tc>
          <w:tcPr>
            <w:tcW w:w="8350" w:type="dxa"/>
            <w:gridSpan w:val="11"/>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Lucida Sans"/>
                <w:b/>
                <w:i w:val="0"/>
                <w:color w:val="000000"/>
                <w:sz w:val="30"/>
              </w:rPr>
            </w:pPr>
            <w:r>
              <w:rPr>
                <w:rFonts w:ascii="黑体" w:eastAsia="黑体" w:cs="Lucida Sans"/>
                <w:b/>
                <w:i w:val="0"/>
                <w:color w:val="000000"/>
                <w:sz w:val="30"/>
              </w:rPr>
              <w:t>部门预算项目支出绩效自评表（2025年度）</w:t>
            </w:r>
          </w:p>
        </w:tc>
      </w:tr>
      <w:tr>
        <w:trPr>
          <w:trHeight w:val="509"/>
        </w:trPr>
        <w:tc>
          <w:tcPr>
            <w:tcW w:w="1097"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项目名称</w:t>
            </w:r>
          </w:p>
        </w:tc>
        <w:tc>
          <w:tcPr>
            <w:tcW w:w="7253" w:type="dxa"/>
            <w:gridSpan w:val="9"/>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51320024T000010457563-《阿坝州珍稀古籍文献汇编》收集整理经费</w:t>
            </w:r>
          </w:p>
        </w:tc>
      </w:tr>
      <w:tr>
        <w:trPr>
          <w:trHeight w:val="284"/>
        </w:trPr>
        <w:tc>
          <w:tcPr>
            <w:tcW w:w="1097"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主管部门</w:t>
            </w:r>
          </w:p>
        </w:tc>
        <w:tc>
          <w:tcPr>
            <w:tcW w:w="4265" w:type="dxa"/>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州佛协部门</w:t>
            </w:r>
          </w:p>
        </w:tc>
        <w:tc>
          <w:tcPr>
            <w:tcW w:w="776" w:type="dxa"/>
            <w:tcBorders>
              <w:top w:val="nil"/>
              <w:left w:val="nil"/>
              <w:bottom w:val="nil"/>
              <w:right w:val="nil"/>
              <w:tl2br w:val="nil"/>
              <w:tr2bl w:val="nil"/>
            </w:tcBorders>
            <w:noWrap/>
            <w:vAlign w:val="center"/>
          </w:tcPr>
          <w:p>
            <w:pPr>
              <w:jc w:val="center"/>
              <w:rPr>
                <w:rFonts w:ascii="黑体" w:eastAsia="黑体" w:cs="Lucida Sans"/>
                <w:color w:val="000000"/>
                <w:sz w:val="18"/>
              </w:rPr>
            </w:pPr>
            <w:r>
              <w:rPr>
                <w:rFonts w:ascii="黑体" w:eastAsia="黑体" w:cs="Lucida Sans"/>
                <w:color w:val="000000"/>
                <w:sz w:val="18"/>
              </w:rPr>
              <w:t>实施单位 （盖章）</w:t>
            </w:r>
          </w:p>
        </w:tc>
        <w:tc>
          <w:tcPr>
            <w:tcW w:w="2212"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州佛协</w:t>
            </w:r>
          </w:p>
        </w:tc>
      </w:tr>
      <w:tr>
        <w:trPr>
          <w:trHeight w:val="899"/>
        </w:trPr>
        <w:tc>
          <w:tcPr>
            <w:tcW w:w="569"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项目基本情况</w:t>
            </w:r>
          </w:p>
        </w:tc>
        <w:tc>
          <w:tcPr>
            <w:tcW w:w="528"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1.项目年度目标完成情况</w:t>
            </w:r>
          </w:p>
        </w:tc>
        <w:tc>
          <w:tcPr>
            <w:tcW w:w="4265" w:type="dxa"/>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项目年度目标</w:t>
            </w:r>
          </w:p>
        </w:tc>
        <w:tc>
          <w:tcPr>
            <w:tcW w:w="2987" w:type="dxa"/>
            <w:gridSpan w:val="4"/>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Lucida Sans"/>
                <w:color w:val="000000"/>
                <w:sz w:val="18"/>
              </w:rPr>
            </w:pPr>
            <w:r>
              <w:rPr>
                <w:rFonts w:ascii="黑体" w:eastAsia="黑体" w:cs="Lucida Sans"/>
                <w:color w:val="000000"/>
                <w:sz w:val="18"/>
              </w:rPr>
              <w:t>年度目标完成情况</w:t>
            </w:r>
          </w:p>
        </w:tc>
      </w:tr>
      <w:tr>
        <w:trPr>
          <w:trHeight w:val="689"/>
        </w:trPr>
        <w:tc>
          <w:tcPr>
            <w:tcW w:w="289"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52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4265" w:type="dxa"/>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为</w:t>
            </w:r>
            <w:r>
              <w:rPr>
                <w:rFonts w:ascii="宋体" w:cs="Lucida Sans" w:hint="eastAsia"/>
                <w:color w:val="000000"/>
                <w:sz w:val="18"/>
                <w:lang w:eastAsia="zh-CN"/>
              </w:rPr>
              <w:t>抢救性地</w:t>
            </w:r>
            <w:r>
              <w:rPr>
                <w:rFonts w:ascii="宋体" w:eastAsia="宋体" w:cs="Lucida Sans"/>
                <w:color w:val="000000"/>
                <w:sz w:val="18"/>
              </w:rPr>
              <w:t>收集、整理、出版我州藏传佛教发展进程中，有声望、有影响的活佛、喇嘛、堪布、格西等历史名人的著作，继承弘扬优秀民族文化，打造特色文化品牌，提升地域传统文化和旅游文化品位，促进阿坝州“文化兴州”进程。</w:t>
            </w:r>
          </w:p>
        </w:tc>
        <w:tc>
          <w:tcPr>
            <w:tcW w:w="2987" w:type="dxa"/>
            <w:gridSpan w:val="4"/>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Lucida Sans"/>
                <w:color w:val="000000"/>
                <w:sz w:val="18"/>
              </w:rPr>
            </w:pPr>
            <w:r>
              <w:rPr>
                <w:rFonts w:ascii="黑体" w:eastAsia="黑体" w:cs="Lucida Sans"/>
                <w:color w:val="000000"/>
                <w:sz w:val="18"/>
              </w:rPr>
              <w:t>2025年度已按工作要求已完成格鲁、萨迦、觉囊文集的收集率100%</w:t>
            </w:r>
          </w:p>
        </w:tc>
      </w:tr>
      <w:tr>
        <w:trPr>
          <w:trHeight w:val="359"/>
        </w:trPr>
        <w:tc>
          <w:tcPr>
            <w:tcW w:w="569"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528"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2.项目实施内容及过程概述</w:t>
            </w:r>
          </w:p>
        </w:tc>
        <w:tc>
          <w:tcPr>
            <w:tcW w:w="7253" w:type="dxa"/>
            <w:gridSpan w:val="9"/>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实施内容：召集我州藏传佛教方面专家学者对文集选题进行研讨，筛选符合出版的文集；请专业人员对筛选出的文集进行整理、录入、存档等工作；具有藏文排版资质的公司对文集进行排版编辑。具体支出内容为：一是办公费，用于收集整理工作中办公费的支出；二是差旅费，用于到各地各寺庙开展文集收集支出；三是劳务费，用于校对、排版等人员的工资支出；四是其他费用，交通费、文集存放库房租金和其他一些没有预计到的支出，共计支出29.94万元。</w:t>
            </w:r>
          </w:p>
        </w:tc>
      </w:tr>
      <w:tr>
        <w:trPr>
          <w:trHeight w:val="344"/>
        </w:trPr>
        <w:tc>
          <w:tcPr>
            <w:tcW w:w="569"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预算执行情况（10分）</w:t>
            </w:r>
          </w:p>
        </w:tc>
        <w:tc>
          <w:tcPr>
            <w:tcW w:w="528"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年度预算数（万元）</w:t>
            </w:r>
          </w:p>
        </w:tc>
        <w:tc>
          <w:tcPr>
            <w:tcW w:w="82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年初预算</w:t>
            </w:r>
          </w:p>
        </w:tc>
        <w:tc>
          <w:tcPr>
            <w:tcW w:w="62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调整后预算数</w:t>
            </w:r>
          </w:p>
        </w:tc>
        <w:tc>
          <w:tcPr>
            <w:tcW w:w="2821"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预算执行数</w:t>
            </w:r>
          </w:p>
        </w:tc>
        <w:tc>
          <w:tcPr>
            <w:tcW w:w="776"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预算执行率</w:t>
            </w:r>
          </w:p>
        </w:tc>
        <w:tc>
          <w:tcPr>
            <w:tcW w:w="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权重</w:t>
            </w:r>
          </w:p>
        </w:tc>
        <w:tc>
          <w:tcPr>
            <w:tcW w:w="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得分</w:t>
            </w:r>
          </w:p>
        </w:tc>
        <w:tc>
          <w:tcPr>
            <w:tcW w:w="7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原因</w:t>
            </w:r>
          </w:p>
        </w:tc>
      </w:tr>
      <w:tr>
        <w:trPr>
          <w:trHeight w:val="389"/>
        </w:trPr>
        <w:tc>
          <w:tcPr>
            <w:tcW w:w="289"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528"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总额</w:t>
            </w:r>
          </w:p>
        </w:tc>
        <w:tc>
          <w:tcPr>
            <w:tcW w:w="82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30</w:t>
            </w:r>
          </w:p>
        </w:tc>
        <w:tc>
          <w:tcPr>
            <w:tcW w:w="62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29.94</w:t>
            </w:r>
          </w:p>
        </w:tc>
        <w:tc>
          <w:tcPr>
            <w:tcW w:w="2821"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29.94</w:t>
            </w:r>
          </w:p>
        </w:tc>
        <w:tc>
          <w:tcPr>
            <w:tcW w:w="776"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100.00%</w:t>
            </w:r>
          </w:p>
        </w:tc>
        <w:tc>
          <w:tcPr>
            <w:tcW w:w="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755" w:type="dxa"/>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701"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404"/>
        </w:trPr>
        <w:tc>
          <w:tcPr>
            <w:tcW w:w="289"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528"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其中：财政资金</w:t>
            </w:r>
          </w:p>
        </w:tc>
        <w:tc>
          <w:tcPr>
            <w:tcW w:w="82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30</w:t>
            </w:r>
          </w:p>
        </w:tc>
        <w:tc>
          <w:tcPr>
            <w:tcW w:w="62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29.94</w:t>
            </w:r>
          </w:p>
        </w:tc>
        <w:tc>
          <w:tcPr>
            <w:tcW w:w="2821"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29.94</w:t>
            </w:r>
          </w:p>
        </w:tc>
        <w:tc>
          <w:tcPr>
            <w:tcW w:w="776"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100.00%</w:t>
            </w:r>
          </w:p>
        </w:tc>
        <w:tc>
          <w:tcPr>
            <w:tcW w:w="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824"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359"/>
        </w:trPr>
        <w:tc>
          <w:tcPr>
            <w:tcW w:w="289"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528"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财政专户管理资金</w:t>
            </w:r>
          </w:p>
        </w:tc>
        <w:tc>
          <w:tcPr>
            <w:tcW w:w="82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62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2821"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776"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824"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344"/>
        </w:trPr>
        <w:tc>
          <w:tcPr>
            <w:tcW w:w="289"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528"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单位资金</w:t>
            </w:r>
          </w:p>
        </w:tc>
        <w:tc>
          <w:tcPr>
            <w:tcW w:w="82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62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2821"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776"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824"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449"/>
        </w:trPr>
        <w:tc>
          <w:tcPr>
            <w:tcW w:w="569"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528"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其他资金</w:t>
            </w:r>
          </w:p>
        </w:tc>
        <w:tc>
          <w:tcPr>
            <w:tcW w:w="823" w:type="dxa"/>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621" w:type="dxa"/>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821"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776" w:type="dxa"/>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70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344"/>
        </w:trPr>
        <w:tc>
          <w:tcPr>
            <w:tcW w:w="569"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绩效指标（90分）</w:t>
            </w:r>
          </w:p>
        </w:tc>
        <w:tc>
          <w:tcPr>
            <w:tcW w:w="528"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一级指标</w:t>
            </w:r>
          </w:p>
        </w:tc>
        <w:tc>
          <w:tcPr>
            <w:tcW w:w="82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二级指标</w:t>
            </w:r>
          </w:p>
        </w:tc>
        <w:tc>
          <w:tcPr>
            <w:tcW w:w="62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三级指标</w:t>
            </w:r>
          </w:p>
        </w:tc>
        <w:tc>
          <w:tcPr>
            <w:tcW w:w="80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指标性质</w:t>
            </w:r>
          </w:p>
        </w:tc>
        <w:tc>
          <w:tcPr>
            <w:tcW w:w="112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指标值</w:t>
            </w:r>
          </w:p>
        </w:tc>
        <w:tc>
          <w:tcPr>
            <w:tcW w:w="898"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度量单位</w:t>
            </w:r>
          </w:p>
        </w:tc>
        <w:tc>
          <w:tcPr>
            <w:tcW w:w="776"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完成值</w:t>
            </w:r>
          </w:p>
        </w:tc>
        <w:tc>
          <w:tcPr>
            <w:tcW w:w="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权重</w:t>
            </w:r>
          </w:p>
        </w:tc>
        <w:tc>
          <w:tcPr>
            <w:tcW w:w="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得分</w:t>
            </w:r>
          </w:p>
        </w:tc>
        <w:tc>
          <w:tcPr>
            <w:tcW w:w="7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未完成原因分析</w:t>
            </w:r>
          </w:p>
        </w:tc>
      </w:tr>
      <w:tr>
        <w:trPr>
          <w:trHeight w:val="344"/>
        </w:trPr>
        <w:tc>
          <w:tcPr>
            <w:tcW w:w="289"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528"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产出指标</w:t>
            </w:r>
          </w:p>
        </w:tc>
        <w:tc>
          <w:tcPr>
            <w:tcW w:w="82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数量指标</w:t>
            </w:r>
          </w:p>
        </w:tc>
        <w:tc>
          <w:tcPr>
            <w:tcW w:w="62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文集收集</w:t>
            </w:r>
          </w:p>
        </w:tc>
        <w:tc>
          <w:tcPr>
            <w:tcW w:w="80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12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13</w:t>
            </w:r>
          </w:p>
        </w:tc>
        <w:tc>
          <w:tcPr>
            <w:tcW w:w="898"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卷</w:t>
            </w:r>
          </w:p>
        </w:tc>
        <w:tc>
          <w:tcPr>
            <w:tcW w:w="776" w:type="dxa"/>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20</w:t>
            </w:r>
          </w:p>
        </w:tc>
        <w:tc>
          <w:tcPr>
            <w:tcW w:w="755" w:type="dxa"/>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701" w:type="dxa"/>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344"/>
        </w:trPr>
        <w:tc>
          <w:tcPr>
            <w:tcW w:w="289"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333"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82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质量指标</w:t>
            </w:r>
          </w:p>
        </w:tc>
        <w:tc>
          <w:tcPr>
            <w:tcW w:w="62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整理合格率</w:t>
            </w:r>
          </w:p>
        </w:tc>
        <w:tc>
          <w:tcPr>
            <w:tcW w:w="80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12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95</w:t>
            </w:r>
          </w:p>
        </w:tc>
        <w:tc>
          <w:tcPr>
            <w:tcW w:w="898"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776" w:type="dxa"/>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755" w:type="dxa"/>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701" w:type="dxa"/>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344"/>
        </w:trPr>
        <w:tc>
          <w:tcPr>
            <w:tcW w:w="289"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52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82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时效指标</w:t>
            </w:r>
          </w:p>
        </w:tc>
        <w:tc>
          <w:tcPr>
            <w:tcW w:w="62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收集时限</w:t>
            </w:r>
          </w:p>
        </w:tc>
        <w:tc>
          <w:tcPr>
            <w:tcW w:w="80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12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w:t>
            </w:r>
          </w:p>
        </w:tc>
        <w:tc>
          <w:tcPr>
            <w:tcW w:w="898"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年</w:t>
            </w:r>
          </w:p>
        </w:tc>
        <w:tc>
          <w:tcPr>
            <w:tcW w:w="776" w:type="dxa"/>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755" w:type="dxa"/>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701" w:type="dxa"/>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449"/>
        </w:trPr>
        <w:tc>
          <w:tcPr>
            <w:tcW w:w="289"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528"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效益指标</w:t>
            </w:r>
          </w:p>
        </w:tc>
        <w:tc>
          <w:tcPr>
            <w:tcW w:w="82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社会效益指标</w:t>
            </w:r>
          </w:p>
        </w:tc>
        <w:tc>
          <w:tcPr>
            <w:tcW w:w="62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提升地域传统文化率</w:t>
            </w:r>
          </w:p>
        </w:tc>
        <w:tc>
          <w:tcPr>
            <w:tcW w:w="80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12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100</w:t>
            </w:r>
          </w:p>
        </w:tc>
        <w:tc>
          <w:tcPr>
            <w:tcW w:w="898"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776" w:type="dxa"/>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755" w:type="dxa"/>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701" w:type="dxa"/>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449"/>
        </w:trPr>
        <w:tc>
          <w:tcPr>
            <w:tcW w:w="289"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52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82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可持续影响指标</w:t>
            </w:r>
          </w:p>
        </w:tc>
        <w:tc>
          <w:tcPr>
            <w:tcW w:w="62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促进阿坝州文化兴州进程</w:t>
            </w:r>
          </w:p>
        </w:tc>
        <w:tc>
          <w:tcPr>
            <w:tcW w:w="80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定性</w:t>
            </w:r>
          </w:p>
        </w:tc>
        <w:tc>
          <w:tcPr>
            <w:tcW w:w="112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有效促进</w:t>
            </w:r>
          </w:p>
        </w:tc>
        <w:tc>
          <w:tcPr>
            <w:tcW w:w="898" w:type="dxa"/>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776" w:type="dxa"/>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755" w:type="dxa"/>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701" w:type="dxa"/>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899"/>
        </w:trPr>
        <w:tc>
          <w:tcPr>
            <w:tcW w:w="289"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528"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满意度指标</w:t>
            </w:r>
          </w:p>
        </w:tc>
        <w:tc>
          <w:tcPr>
            <w:tcW w:w="82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服务对象满意度指标</w:t>
            </w:r>
          </w:p>
        </w:tc>
        <w:tc>
          <w:tcPr>
            <w:tcW w:w="62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公众满意度</w:t>
            </w:r>
          </w:p>
        </w:tc>
        <w:tc>
          <w:tcPr>
            <w:tcW w:w="80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12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95</w:t>
            </w:r>
          </w:p>
        </w:tc>
        <w:tc>
          <w:tcPr>
            <w:tcW w:w="898"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776" w:type="dxa"/>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755" w:type="dxa"/>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701" w:type="dxa"/>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284"/>
        </w:trPr>
        <w:tc>
          <w:tcPr>
            <w:tcW w:w="6139"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528"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成本指标</w:t>
            </w:r>
          </w:p>
        </w:tc>
        <w:tc>
          <w:tcPr>
            <w:tcW w:w="82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经济成本指标</w:t>
            </w:r>
          </w:p>
        </w:tc>
        <w:tc>
          <w:tcPr>
            <w:tcW w:w="62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收集整理费</w:t>
            </w:r>
          </w:p>
        </w:tc>
        <w:tc>
          <w:tcPr>
            <w:tcW w:w="80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12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30</w:t>
            </w:r>
          </w:p>
        </w:tc>
        <w:tc>
          <w:tcPr>
            <w:tcW w:w="898"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万元</w:t>
            </w:r>
          </w:p>
        </w:tc>
        <w:tc>
          <w:tcPr>
            <w:tcW w:w="776" w:type="dxa"/>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20</w:t>
            </w:r>
          </w:p>
        </w:tc>
        <w:tc>
          <w:tcPr>
            <w:tcW w:w="755" w:type="dxa"/>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701" w:type="dxa"/>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599"/>
        </w:trPr>
        <w:tc>
          <w:tcPr>
            <w:tcW w:w="6138" w:type="dxa"/>
            <w:gridSpan w:val="8"/>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合计</w:t>
            </w:r>
          </w:p>
        </w:tc>
        <w:tc>
          <w:tcPr>
            <w:tcW w:w="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100</w:t>
            </w:r>
          </w:p>
        </w:tc>
        <w:tc>
          <w:tcPr>
            <w:tcW w:w="755" w:type="dxa"/>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701" w:type="dxa"/>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569"/>
        </w:trPr>
        <w:tc>
          <w:tcPr>
            <w:tcW w:w="569"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评价结论</w:t>
            </w:r>
          </w:p>
        </w:tc>
        <w:tc>
          <w:tcPr>
            <w:tcW w:w="7781" w:type="dxa"/>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自评分为100分，202年按要求支付完毕。在阿坝州藏传佛教发展进程中，曾出现过许多有声望、有影响的活佛、喇嘛、堪布、格西等高僧大德，他们中有不少人著书立说、弘扬佛法和传统文化，为藏传佛教和藏族传统文化在阿坝地区乃至整个藏区的传播作出了积极贡献。他们的著作数量多，内容涉及佛教、历史、诗词、医药、历算等领域，堪称藏学历史上的宝库。目前，很多有价值的文集诸多因素失散，如不及时抢救性的整理和收集，以后会很难再收集。整理出版我州历史名人著作，对继承弘扬优秀民族文化，打造特色文化品牌，提升地域传统文化和旅游文化品位，促进阿坝州“文化兴州”进程都具有十分重要的意义。</w:t>
            </w:r>
          </w:p>
        </w:tc>
      </w:tr>
      <w:tr>
        <w:trPr>
          <w:trHeight w:val="629"/>
        </w:trPr>
        <w:tc>
          <w:tcPr>
            <w:tcW w:w="569"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存在问题</w:t>
            </w:r>
          </w:p>
        </w:tc>
        <w:tc>
          <w:tcPr>
            <w:tcW w:w="7781" w:type="dxa"/>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无</w:t>
            </w:r>
          </w:p>
        </w:tc>
      </w:tr>
      <w:tr>
        <w:trPr>
          <w:trHeight w:val="284"/>
        </w:trPr>
        <w:tc>
          <w:tcPr>
            <w:tcW w:w="569"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改进措施</w:t>
            </w:r>
          </w:p>
        </w:tc>
        <w:tc>
          <w:tcPr>
            <w:tcW w:w="7781" w:type="dxa"/>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无</w:t>
            </w:r>
          </w:p>
        </w:tc>
      </w:tr>
      <w:tr>
        <w:trPr>
          <w:trHeight w:val="284"/>
        </w:trPr>
        <w:tc>
          <w:tcPr>
            <w:tcW w:w="3344" w:type="dxa"/>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Lucida Sans"/>
                <w:color w:val="000000"/>
                <w:sz w:val="18"/>
              </w:rPr>
            </w:pPr>
            <w:r>
              <w:rPr>
                <w:rFonts w:ascii="黑体" w:eastAsia="黑体" w:cs="Lucida Sans"/>
                <w:color w:val="000000"/>
                <w:sz w:val="18"/>
              </w:rPr>
              <w:t>项目负责人：</w:t>
            </w:r>
          </w:p>
        </w:tc>
        <w:tc>
          <w:tcPr>
            <w:tcW w:w="5006" w:type="dxa"/>
            <w:gridSpan w:val="6"/>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Lucida Sans"/>
                <w:color w:val="000000"/>
                <w:sz w:val="18"/>
              </w:rPr>
            </w:pPr>
            <w:r>
              <w:rPr>
                <w:rFonts w:ascii="黑体" w:eastAsia="黑体" w:cs="Lucida Sans"/>
                <w:color w:val="000000"/>
                <w:sz w:val="18"/>
              </w:rPr>
              <w:t>财务负责人：</w:t>
            </w:r>
          </w:p>
        </w:tc>
      </w:tr>
      <w:tr>
        <w:trPr>
          <w:trHeight w:val="899"/>
        </w:trPr>
        <w:tc>
          <w:tcPr>
            <w:tcW w:w="569" w:type="dxa"/>
            <w:tcBorders>
              <w:top w:val="nil"/>
              <w:left w:val="nil"/>
              <w:bottom w:val="nil"/>
              <w:right w:val="nil"/>
              <w:tl2br w:val="nil"/>
              <w:tr2bl w:val="nil"/>
            </w:tcBorders>
            <w:noWrap/>
            <w:vAlign w:val="center"/>
          </w:tcPr>
          <w:p/>
        </w:tc>
        <w:tc>
          <w:tcPr>
            <w:tcW w:w="528" w:type="dxa"/>
            <w:tcBorders>
              <w:top w:val="nil"/>
              <w:left w:val="nil"/>
              <w:bottom w:val="nil"/>
              <w:right w:val="nil"/>
              <w:tl2br w:val="nil"/>
              <w:tr2bl w:val="nil"/>
            </w:tcBorders>
            <w:noWrap/>
            <w:vAlign w:val="center"/>
          </w:tcPr>
          <w:p/>
        </w:tc>
        <w:tc>
          <w:tcPr>
            <w:tcW w:w="823" w:type="dxa"/>
            <w:tcBorders>
              <w:top w:val="nil"/>
              <w:left w:val="nil"/>
              <w:bottom w:val="nil"/>
              <w:right w:val="nil"/>
              <w:tl2br w:val="nil"/>
              <w:tr2bl w:val="nil"/>
            </w:tcBorders>
            <w:noWrap/>
            <w:vAlign w:val="center"/>
          </w:tcPr>
          <w:p/>
        </w:tc>
        <w:tc>
          <w:tcPr>
            <w:tcW w:w="621" w:type="dxa"/>
            <w:tcBorders>
              <w:top w:val="nil"/>
              <w:left w:val="nil"/>
              <w:bottom w:val="nil"/>
              <w:right w:val="nil"/>
              <w:tl2br w:val="nil"/>
              <w:tr2bl w:val="nil"/>
            </w:tcBorders>
            <w:noWrap/>
            <w:vAlign w:val="center"/>
          </w:tcPr>
          <w:p/>
        </w:tc>
        <w:tc>
          <w:tcPr>
            <w:tcW w:w="803" w:type="dxa"/>
            <w:tcBorders>
              <w:top w:val="nil"/>
              <w:left w:val="nil"/>
              <w:bottom w:val="nil"/>
              <w:right w:val="nil"/>
              <w:tl2br w:val="nil"/>
              <w:tr2bl w:val="nil"/>
            </w:tcBorders>
            <w:noWrap/>
            <w:vAlign w:val="center"/>
          </w:tcPr>
          <w:p/>
        </w:tc>
        <w:tc>
          <w:tcPr>
            <w:tcW w:w="1120" w:type="dxa"/>
            <w:tcBorders>
              <w:top w:val="nil"/>
              <w:left w:val="nil"/>
              <w:bottom w:val="nil"/>
              <w:right w:val="nil"/>
              <w:tl2br w:val="nil"/>
              <w:tr2bl w:val="nil"/>
            </w:tcBorders>
            <w:noWrap/>
            <w:vAlign w:val="center"/>
          </w:tcPr>
          <w:p/>
        </w:tc>
        <w:tc>
          <w:tcPr>
            <w:tcW w:w="898" w:type="dxa"/>
            <w:tcBorders>
              <w:top w:val="nil"/>
              <w:left w:val="nil"/>
              <w:bottom w:val="nil"/>
              <w:right w:val="nil"/>
              <w:tl2br w:val="nil"/>
              <w:tr2bl w:val="nil"/>
            </w:tcBorders>
            <w:noWrap/>
            <w:vAlign w:val="center"/>
          </w:tcPr>
          <w:p/>
        </w:tc>
        <w:tc>
          <w:tcPr>
            <w:tcW w:w="776" w:type="dxa"/>
            <w:tcBorders>
              <w:top w:val="nil"/>
              <w:left w:val="nil"/>
              <w:bottom w:val="nil"/>
              <w:right w:val="nil"/>
              <w:tl2br w:val="nil"/>
              <w:tr2bl w:val="nil"/>
            </w:tcBorders>
            <w:noWrap/>
            <w:vAlign w:val="center"/>
          </w:tcPr>
          <w:p/>
        </w:tc>
        <w:tc>
          <w:tcPr>
            <w:tcW w:w="755" w:type="dxa"/>
            <w:tcBorders>
              <w:top w:val="nil"/>
              <w:left w:val="nil"/>
              <w:bottom w:val="nil"/>
              <w:right w:val="nil"/>
              <w:tl2br w:val="nil"/>
              <w:tr2bl w:val="nil"/>
            </w:tcBorders>
            <w:noWrap/>
            <w:vAlign w:val="center"/>
          </w:tcPr>
          <w:p/>
        </w:tc>
        <w:tc>
          <w:tcPr>
            <w:tcW w:w="755" w:type="dxa"/>
            <w:tcBorders>
              <w:top w:val="nil"/>
              <w:left w:val="nil"/>
              <w:bottom w:val="nil"/>
              <w:right w:val="nil"/>
              <w:tl2br w:val="nil"/>
              <w:tr2bl w:val="nil"/>
            </w:tcBorders>
            <w:noWrap/>
            <w:vAlign w:val="center"/>
          </w:tcPr>
          <w:p/>
        </w:tc>
        <w:tc>
          <w:tcPr>
            <w:tcW w:w="701" w:type="dxa"/>
            <w:tcBorders>
              <w:top w:val="nil"/>
              <w:left w:val="nil"/>
              <w:bottom w:val="nil"/>
              <w:right w:val="nil"/>
              <w:tl2br w:val="nil"/>
              <w:tr2bl w:val="nil"/>
            </w:tcBorders>
            <w:noWrap/>
            <w:vAlign w:val="center"/>
          </w:tcPr>
          <w:p/>
        </w:tc>
      </w:tr>
      <w:tr>
        <w:trPr>
          <w:trHeight w:val="284"/>
        </w:trPr>
        <w:tc>
          <w:tcPr>
            <w:tcW w:w="3344" w:type="dxa"/>
            <w:gridSpan w:val="5"/>
            <w:tcBorders>
              <w:top w:val="nil"/>
              <w:left w:val="nil"/>
              <w:bottom w:val="nil"/>
              <w:right w:val="nil"/>
              <w:tl2br w:val="nil"/>
              <w:tr2bl w:val="nil"/>
            </w:tcBorders>
          </w:tcPr>
          <w:p>
            <w:pPr>
              <w:jc w:val="center"/>
              <w:rPr>
                <w:rFonts w:ascii="黑体" w:eastAsia="黑体" w:cs="Lucida Sans"/>
                <w:color w:val="000000"/>
                <w:sz w:val="18"/>
              </w:rPr>
            </w:pPr>
          </w:p>
        </w:tc>
        <w:tc>
          <w:tcPr>
            <w:tcW w:w="5006" w:type="dxa"/>
            <w:gridSpan w:val="6"/>
            <w:tcBorders>
              <w:top w:val="nil"/>
              <w:left w:val="nil"/>
              <w:bottom w:val="nil"/>
              <w:right w:val="nil"/>
              <w:tl2br w:val="nil"/>
              <w:tr2bl w:val="nil"/>
            </w:tcBorders>
          </w:tcPr>
          <w:p>
            <w:pPr>
              <w:jc w:val="center"/>
              <w:rPr>
                <w:rFonts w:ascii="黑体" w:eastAsia="黑体" w:cs="Lucida Sans"/>
                <w:color w:val="000000"/>
                <w:sz w:val="18"/>
              </w:rPr>
            </w:pPr>
          </w:p>
        </w:tc>
      </w:tr>
      <w:tr>
        <w:trPr>
          <w:trHeight w:val="284"/>
        </w:trPr>
        <w:tc>
          <w:tcPr>
            <w:tcW w:w="569" w:type="dxa"/>
            <w:tcBorders>
              <w:top w:val="nil"/>
              <w:left w:val="nil"/>
              <w:bottom w:val="nil"/>
              <w:right w:val="nil"/>
              <w:tl2br w:val="nil"/>
              <w:tr2bl w:val="nil"/>
            </w:tcBorders>
          </w:tcPr>
          <w:p>
            <w:pPr>
              <w:rPr>
                <w:rFonts w:ascii="宋体" w:eastAsia="宋体"/>
                <w:color w:val="000000"/>
                <w:sz w:val="18"/>
              </w:rPr>
            </w:pPr>
          </w:p>
        </w:tc>
        <w:tc>
          <w:tcPr>
            <w:tcW w:w="528" w:type="dxa"/>
            <w:tcBorders>
              <w:top w:val="nil"/>
              <w:left w:val="nil"/>
              <w:bottom w:val="nil"/>
              <w:right w:val="nil"/>
              <w:tl2br w:val="nil"/>
              <w:tr2bl w:val="nil"/>
            </w:tcBorders>
          </w:tcPr>
          <w:p>
            <w:pPr>
              <w:rPr>
                <w:rFonts w:ascii="宋体" w:eastAsia="宋体"/>
                <w:color w:val="000000"/>
                <w:sz w:val="18"/>
              </w:rPr>
            </w:pPr>
          </w:p>
        </w:tc>
        <w:tc>
          <w:tcPr>
            <w:tcW w:w="823" w:type="dxa"/>
            <w:tcBorders>
              <w:top w:val="nil"/>
              <w:left w:val="nil"/>
              <w:bottom w:val="nil"/>
              <w:right w:val="nil"/>
              <w:tl2br w:val="nil"/>
              <w:tr2bl w:val="nil"/>
            </w:tcBorders>
          </w:tcPr>
          <w:p>
            <w:pPr>
              <w:rPr>
                <w:rFonts w:ascii="宋体" w:eastAsia="宋体"/>
                <w:color w:val="000000"/>
                <w:sz w:val="18"/>
              </w:rPr>
            </w:pPr>
          </w:p>
        </w:tc>
        <w:tc>
          <w:tcPr>
            <w:tcW w:w="621" w:type="dxa"/>
            <w:tcBorders>
              <w:top w:val="nil"/>
              <w:left w:val="nil"/>
              <w:bottom w:val="nil"/>
              <w:right w:val="nil"/>
              <w:tl2br w:val="nil"/>
              <w:tr2bl w:val="nil"/>
            </w:tcBorders>
          </w:tcPr>
          <w:p>
            <w:pPr>
              <w:rPr>
                <w:rFonts w:ascii="宋体" w:eastAsia="宋体"/>
                <w:color w:val="000000"/>
                <w:sz w:val="18"/>
              </w:rPr>
            </w:pPr>
          </w:p>
        </w:tc>
        <w:tc>
          <w:tcPr>
            <w:tcW w:w="803" w:type="dxa"/>
            <w:tcBorders>
              <w:top w:val="nil"/>
              <w:left w:val="nil"/>
              <w:bottom w:val="nil"/>
              <w:right w:val="nil"/>
              <w:tl2br w:val="nil"/>
              <w:tr2bl w:val="nil"/>
            </w:tcBorders>
          </w:tcPr>
          <w:p>
            <w:pPr>
              <w:rPr>
                <w:rFonts w:ascii="宋体" w:eastAsia="宋体"/>
                <w:color w:val="000000"/>
                <w:sz w:val="18"/>
              </w:rPr>
            </w:pPr>
          </w:p>
        </w:tc>
        <w:tc>
          <w:tcPr>
            <w:tcW w:w="1120" w:type="dxa"/>
            <w:tcBorders>
              <w:top w:val="nil"/>
              <w:left w:val="nil"/>
              <w:bottom w:val="nil"/>
              <w:right w:val="nil"/>
              <w:tl2br w:val="nil"/>
              <w:tr2bl w:val="nil"/>
            </w:tcBorders>
          </w:tcPr>
          <w:p>
            <w:pPr>
              <w:rPr>
                <w:rFonts w:ascii="宋体" w:eastAsia="宋体"/>
                <w:color w:val="000000"/>
                <w:sz w:val="18"/>
              </w:rPr>
            </w:pPr>
          </w:p>
        </w:tc>
        <w:tc>
          <w:tcPr>
            <w:tcW w:w="898" w:type="dxa"/>
            <w:tcBorders>
              <w:top w:val="nil"/>
              <w:left w:val="nil"/>
              <w:bottom w:val="nil"/>
              <w:right w:val="nil"/>
              <w:tl2br w:val="nil"/>
              <w:tr2bl w:val="nil"/>
            </w:tcBorders>
          </w:tcPr>
          <w:p>
            <w:pPr>
              <w:rPr>
                <w:rFonts w:ascii="宋体" w:eastAsia="宋体"/>
                <w:color w:val="000000"/>
                <w:sz w:val="18"/>
              </w:rPr>
            </w:pPr>
          </w:p>
        </w:tc>
        <w:tc>
          <w:tcPr>
            <w:tcW w:w="776" w:type="dxa"/>
            <w:tcBorders>
              <w:top w:val="nil"/>
              <w:left w:val="nil"/>
              <w:bottom w:val="nil"/>
              <w:right w:val="nil"/>
              <w:tl2br w:val="nil"/>
              <w:tr2bl w:val="nil"/>
            </w:tcBorders>
          </w:tcPr>
          <w:p>
            <w:pPr>
              <w:rPr>
                <w:rFonts w:ascii="宋体" w:eastAsia="宋体"/>
                <w:color w:val="000000"/>
                <w:sz w:val="18"/>
              </w:rPr>
            </w:pPr>
          </w:p>
        </w:tc>
        <w:tc>
          <w:tcPr>
            <w:tcW w:w="755" w:type="dxa"/>
            <w:tcBorders>
              <w:top w:val="nil"/>
              <w:left w:val="nil"/>
              <w:bottom w:val="nil"/>
              <w:right w:val="nil"/>
              <w:tl2br w:val="nil"/>
              <w:tr2bl w:val="nil"/>
            </w:tcBorders>
          </w:tcPr>
          <w:p>
            <w:pPr>
              <w:rPr>
                <w:rFonts w:ascii="宋体" w:eastAsia="宋体"/>
                <w:color w:val="000000"/>
                <w:sz w:val="18"/>
              </w:rPr>
            </w:pPr>
          </w:p>
        </w:tc>
        <w:tc>
          <w:tcPr>
            <w:tcW w:w="755" w:type="dxa"/>
            <w:tcBorders>
              <w:top w:val="nil"/>
              <w:left w:val="nil"/>
              <w:bottom w:val="nil"/>
              <w:right w:val="nil"/>
              <w:tl2br w:val="nil"/>
              <w:tr2bl w:val="nil"/>
            </w:tcBorders>
          </w:tcPr>
          <w:p>
            <w:pPr>
              <w:rPr>
                <w:rFonts w:ascii="宋体" w:eastAsia="宋体"/>
                <w:color w:val="000000"/>
                <w:sz w:val="18"/>
              </w:rPr>
            </w:pPr>
          </w:p>
        </w:tc>
        <w:tc>
          <w:tcPr>
            <w:tcW w:w="701" w:type="dxa"/>
            <w:tcBorders>
              <w:top w:val="nil"/>
              <w:left w:val="nil"/>
              <w:bottom w:val="nil"/>
              <w:right w:val="nil"/>
              <w:tl2br w:val="nil"/>
              <w:tr2bl w:val="nil"/>
            </w:tcBorders>
          </w:tcPr>
          <w:p>
            <w:pPr>
              <w:rPr>
                <w:rFonts w:ascii="宋体" w:eastAsia="宋体"/>
                <w:color w:val="000000"/>
                <w:sz w:val="18"/>
              </w:rPr>
            </w:pPr>
          </w:p>
        </w:tc>
      </w:tr>
      <w:tr>
        <w:trPr>
          <w:trHeight w:val="899"/>
        </w:trPr>
        <w:tc>
          <w:tcPr>
            <w:tcW w:w="8350" w:type="dxa"/>
            <w:gridSpan w:val="11"/>
            <w:tcBorders>
              <w:top w:val="nil"/>
              <w:left w:val="nil"/>
              <w:bottom w:val="nil"/>
              <w:right w:val="nil"/>
              <w:tl2br w:val="nil"/>
              <w:tr2bl w:val="nil"/>
            </w:tcBorders>
          </w:tcPr>
          <w:p>
            <w:pPr>
              <w:jc w:val="center"/>
              <w:rPr>
                <w:rFonts w:ascii="黑体" w:eastAsia="黑体" w:cs="Lucida Sans"/>
                <w:b/>
                <w:i w:val="0"/>
                <w:color w:val="000000"/>
                <w:sz w:val="30"/>
              </w:rPr>
            </w:pPr>
          </w:p>
        </w:tc>
      </w:tr>
      <w:tr>
        <w:trPr>
          <w:trHeight w:val="284"/>
        </w:trPr>
        <w:tc>
          <w:tcPr>
            <w:tcW w:w="1097" w:type="dxa"/>
            <w:gridSpan w:val="2"/>
            <w:tcBorders>
              <w:top w:val="nil"/>
              <w:left w:val="nil"/>
              <w:bottom w:val="nil"/>
              <w:right w:val="nil"/>
              <w:tl2br w:val="nil"/>
              <w:tr2bl w:val="nil"/>
            </w:tcBorders>
          </w:tcPr>
          <w:p>
            <w:pPr>
              <w:jc w:val="center"/>
              <w:rPr>
                <w:rFonts w:ascii="宋体" w:eastAsia="宋体" w:cs="Lucida Sans"/>
                <w:color w:val="000000"/>
                <w:sz w:val="18"/>
              </w:rPr>
            </w:pPr>
          </w:p>
        </w:tc>
        <w:tc>
          <w:tcPr>
            <w:tcW w:w="7253" w:type="dxa"/>
            <w:gridSpan w:val="9"/>
            <w:tcBorders>
              <w:top w:val="nil"/>
              <w:left w:val="nil"/>
              <w:bottom w:val="nil"/>
              <w:right w:val="nil"/>
              <w:tl2br w:val="nil"/>
              <w:tr2bl w:val="nil"/>
            </w:tcBorders>
          </w:tcPr>
          <w:p>
            <w:pPr>
              <w:jc w:val="center"/>
              <w:rPr>
                <w:rFonts w:ascii="宋体" w:eastAsia="宋体" w:cs="Lucida Sans"/>
                <w:color w:val="000000"/>
                <w:sz w:val="18"/>
              </w:rPr>
            </w:pPr>
          </w:p>
        </w:tc>
      </w:tr>
      <w:tr>
        <w:trPr>
          <w:trHeight w:val="509"/>
        </w:trPr>
        <w:tc>
          <w:tcPr>
            <w:tcW w:w="1097" w:type="dxa"/>
            <w:gridSpan w:val="2"/>
            <w:tcBorders>
              <w:top w:val="nil"/>
              <w:left w:val="nil"/>
              <w:bottom w:val="nil"/>
              <w:right w:val="nil"/>
              <w:tl2br w:val="nil"/>
              <w:tr2bl w:val="nil"/>
            </w:tcBorders>
          </w:tcPr>
          <w:p>
            <w:pPr>
              <w:jc w:val="center"/>
              <w:rPr>
                <w:rFonts w:ascii="宋体" w:eastAsia="宋体" w:cs="Lucida Sans"/>
                <w:color w:val="000000"/>
                <w:sz w:val="18"/>
              </w:rPr>
            </w:pPr>
          </w:p>
        </w:tc>
        <w:tc>
          <w:tcPr>
            <w:tcW w:w="4265" w:type="dxa"/>
            <w:gridSpan w:val="5"/>
            <w:tcBorders>
              <w:top w:val="nil"/>
              <w:left w:val="nil"/>
              <w:bottom w:val="nil"/>
              <w:right w:val="nil"/>
              <w:tl2br w:val="nil"/>
              <w:tr2bl w:val="nil"/>
            </w:tcBorders>
          </w:tcPr>
          <w:p>
            <w:pPr>
              <w:jc w:val="center"/>
              <w:rPr>
                <w:rFonts w:ascii="宋体" w:eastAsia="宋体" w:cs="Lucida Sans"/>
                <w:color w:val="000000"/>
                <w:sz w:val="18"/>
              </w:rPr>
            </w:pPr>
          </w:p>
        </w:tc>
        <w:tc>
          <w:tcPr>
            <w:tcW w:w="776" w:type="dxa"/>
            <w:tcBorders>
              <w:top w:val="nil"/>
              <w:left w:val="nil"/>
              <w:bottom w:val="nil"/>
              <w:right w:val="nil"/>
              <w:tl2br w:val="nil"/>
              <w:tr2bl w:val="nil"/>
            </w:tcBorders>
          </w:tcPr>
          <w:p>
            <w:pPr>
              <w:jc w:val="center"/>
              <w:rPr>
                <w:rFonts w:ascii="黑体" w:eastAsia="黑体" w:cs="Lucida Sans"/>
                <w:color w:val="000000"/>
                <w:sz w:val="18"/>
              </w:rPr>
            </w:pPr>
          </w:p>
        </w:tc>
        <w:tc>
          <w:tcPr>
            <w:tcW w:w="2212" w:type="dxa"/>
            <w:gridSpan w:val="3"/>
            <w:tcBorders>
              <w:top w:val="nil"/>
              <w:left w:val="nil"/>
              <w:bottom w:val="nil"/>
              <w:right w:val="nil"/>
              <w:tl2br w:val="nil"/>
              <w:tr2bl w:val="nil"/>
            </w:tcBorders>
          </w:tcPr>
          <w:p>
            <w:pPr>
              <w:jc w:val="center"/>
              <w:rPr>
                <w:rFonts w:ascii="宋体" w:eastAsia="宋体" w:cs="Lucida Sans"/>
                <w:color w:val="000000"/>
                <w:sz w:val="18"/>
              </w:rPr>
            </w:pPr>
          </w:p>
        </w:tc>
      </w:tr>
      <w:tr>
        <w:trPr>
          <w:trHeight w:val="284"/>
        </w:trPr>
        <w:tc>
          <w:tcPr>
            <w:tcW w:w="569" w:type="dxa"/>
            <w:tcBorders>
              <w:top w:val="nil"/>
              <w:left w:val="nil"/>
              <w:bottom w:val="nil"/>
              <w:right w:val="nil"/>
              <w:tl2br w:val="nil"/>
              <w:tr2bl w:val="nil"/>
            </w:tcBorders>
          </w:tcPr>
          <w:p>
            <w:pPr>
              <w:jc w:val="center"/>
              <w:rPr>
                <w:rFonts w:ascii="宋体" w:eastAsia="宋体" w:cs="Lucida Sans"/>
                <w:color w:val="000000"/>
                <w:sz w:val="18"/>
              </w:rPr>
            </w:pPr>
          </w:p>
        </w:tc>
        <w:tc>
          <w:tcPr>
            <w:tcW w:w="528" w:type="dxa"/>
            <w:tcBorders>
              <w:top w:val="nil"/>
              <w:left w:val="nil"/>
              <w:bottom w:val="nil"/>
              <w:right w:val="nil"/>
              <w:tl2br w:val="nil"/>
              <w:tr2bl w:val="nil"/>
            </w:tcBorders>
          </w:tcPr>
          <w:p>
            <w:pPr>
              <w:jc w:val="center"/>
              <w:rPr>
                <w:rFonts w:ascii="宋体" w:eastAsia="宋体" w:cs="Lucida Sans"/>
                <w:color w:val="000000"/>
                <w:sz w:val="18"/>
              </w:rPr>
            </w:pPr>
          </w:p>
        </w:tc>
        <w:tc>
          <w:tcPr>
            <w:tcW w:w="4265" w:type="dxa"/>
            <w:gridSpan w:val="5"/>
            <w:tcBorders>
              <w:top w:val="nil"/>
              <w:left w:val="nil"/>
              <w:bottom w:val="nil"/>
              <w:right w:val="nil"/>
              <w:tl2br w:val="nil"/>
              <w:tr2bl w:val="nil"/>
            </w:tcBorders>
          </w:tcPr>
          <w:p>
            <w:pPr>
              <w:jc w:val="center"/>
              <w:rPr>
                <w:rFonts w:ascii="宋体" w:eastAsia="宋体" w:cs="Lucida Sans"/>
                <w:color w:val="000000"/>
                <w:sz w:val="18"/>
              </w:rPr>
            </w:pPr>
          </w:p>
        </w:tc>
        <w:tc>
          <w:tcPr>
            <w:tcW w:w="2987" w:type="dxa"/>
            <w:gridSpan w:val="4"/>
            <w:tcBorders>
              <w:top w:val="nil"/>
              <w:left w:val="nil"/>
              <w:bottom w:val="nil"/>
              <w:right w:val="nil"/>
              <w:tl2br w:val="nil"/>
              <w:tr2bl w:val="nil"/>
            </w:tcBorders>
          </w:tcPr>
          <w:p>
            <w:pPr>
              <w:jc w:val="center"/>
              <w:rPr>
                <w:rFonts w:ascii="黑体" w:eastAsia="黑体" w:cs="Lucida Sans"/>
                <w:color w:val="000000"/>
                <w:sz w:val="18"/>
              </w:rPr>
            </w:pPr>
          </w:p>
        </w:tc>
      </w:tr>
      <w:tr>
        <w:trPr>
          <w:trHeight w:val="704"/>
        </w:trPr>
        <w:tc>
          <w:tcPr>
            <w:tcW w:w="569" w:type="dxa"/>
            <w:tcBorders>
              <w:top w:val="nil"/>
              <w:left w:val="nil"/>
              <w:bottom w:val="nil"/>
              <w:right w:val="nil"/>
              <w:tl2br w:val="nil"/>
              <w:tr2bl w:val="nil"/>
            </w:tcBorders>
          </w:tcPr>
          <w:p/>
        </w:tc>
        <w:tc>
          <w:tcPr>
            <w:tcW w:w="528" w:type="dxa"/>
            <w:tcBorders>
              <w:top w:val="nil"/>
              <w:left w:val="nil"/>
              <w:bottom w:val="nil"/>
              <w:right w:val="nil"/>
              <w:tl2br w:val="nil"/>
              <w:tr2bl w:val="nil"/>
            </w:tcBorders>
          </w:tcPr>
          <w:p/>
        </w:tc>
        <w:tc>
          <w:tcPr>
            <w:tcW w:w="4265" w:type="dxa"/>
            <w:gridSpan w:val="5"/>
            <w:tcBorders>
              <w:top w:val="nil"/>
              <w:left w:val="nil"/>
              <w:bottom w:val="nil"/>
              <w:right w:val="nil"/>
              <w:tl2br w:val="nil"/>
              <w:tr2bl w:val="nil"/>
            </w:tcBorders>
          </w:tcPr>
          <w:p>
            <w:pPr>
              <w:jc w:val="center"/>
              <w:rPr>
                <w:rFonts w:ascii="宋体" w:eastAsia="宋体" w:cs="Lucida Sans"/>
                <w:color w:val="000000"/>
                <w:sz w:val="18"/>
              </w:rPr>
            </w:pPr>
          </w:p>
        </w:tc>
        <w:tc>
          <w:tcPr>
            <w:tcW w:w="2987" w:type="dxa"/>
            <w:gridSpan w:val="4"/>
            <w:tcBorders>
              <w:top w:val="nil"/>
              <w:left w:val="nil"/>
              <w:bottom w:val="nil"/>
              <w:right w:val="nil"/>
              <w:tl2br w:val="nil"/>
              <w:tr2bl w:val="nil"/>
            </w:tcBorders>
          </w:tcPr>
          <w:p>
            <w:pPr>
              <w:jc w:val="center"/>
              <w:rPr>
                <w:rFonts w:ascii="黑体" w:eastAsia="黑体" w:cs="Lucida Sans"/>
                <w:color w:val="000000"/>
                <w:sz w:val="18"/>
              </w:rPr>
            </w:pPr>
          </w:p>
        </w:tc>
      </w:tr>
      <w:tr>
        <w:trPr>
          <w:trHeight w:val="689"/>
        </w:trPr>
        <w:tc>
          <w:tcPr>
            <w:tcW w:w="569" w:type="dxa"/>
            <w:tcBorders>
              <w:top w:val="nil"/>
              <w:left w:val="nil"/>
              <w:bottom w:val="nil"/>
              <w:right w:val="nil"/>
              <w:tl2br w:val="nil"/>
              <w:tr2bl w:val="nil"/>
            </w:tcBorders>
          </w:tcPr>
          <w:p/>
        </w:tc>
        <w:tc>
          <w:tcPr>
            <w:tcW w:w="528" w:type="dxa"/>
            <w:tcBorders>
              <w:top w:val="nil"/>
              <w:left w:val="nil"/>
              <w:bottom w:val="nil"/>
              <w:right w:val="nil"/>
              <w:tl2br w:val="nil"/>
              <w:tr2bl w:val="nil"/>
            </w:tcBorders>
          </w:tcPr>
          <w:p>
            <w:pPr>
              <w:jc w:val="center"/>
              <w:rPr>
                <w:rFonts w:ascii="宋体" w:eastAsia="宋体" w:cs="Lucida Sans"/>
                <w:color w:val="000000"/>
                <w:sz w:val="18"/>
              </w:rPr>
            </w:pPr>
          </w:p>
        </w:tc>
        <w:tc>
          <w:tcPr>
            <w:tcW w:w="7253" w:type="dxa"/>
            <w:gridSpan w:val="9"/>
            <w:tcBorders>
              <w:top w:val="nil"/>
              <w:left w:val="nil"/>
              <w:bottom w:val="nil"/>
              <w:right w:val="nil"/>
              <w:tl2br w:val="nil"/>
              <w:tr2bl w:val="nil"/>
            </w:tcBorders>
          </w:tcPr>
          <w:p>
            <w:pPr>
              <w:jc w:val="center"/>
              <w:rPr>
                <w:rFonts w:ascii="宋体" w:eastAsia="宋体" w:cs="Lucida Sans"/>
                <w:color w:val="000000"/>
                <w:sz w:val="18"/>
              </w:rPr>
            </w:pPr>
          </w:p>
        </w:tc>
      </w:tr>
      <w:tr>
        <w:trPr>
          <w:trHeight w:val="359"/>
        </w:trPr>
        <w:tc>
          <w:tcPr>
            <w:tcW w:w="569" w:type="dxa"/>
            <w:tcBorders>
              <w:top w:val="nil"/>
              <w:left w:val="nil"/>
              <w:bottom w:val="nil"/>
              <w:right w:val="nil"/>
              <w:tl2br w:val="nil"/>
              <w:tr2bl w:val="nil"/>
            </w:tcBorders>
          </w:tcPr>
          <w:p>
            <w:pPr>
              <w:jc w:val="center"/>
              <w:rPr>
                <w:rFonts w:ascii="宋体" w:eastAsia="宋体" w:cs="Lucida Sans"/>
                <w:color w:val="000000"/>
                <w:sz w:val="18"/>
              </w:rPr>
            </w:pPr>
          </w:p>
        </w:tc>
        <w:tc>
          <w:tcPr>
            <w:tcW w:w="528" w:type="dxa"/>
            <w:tcBorders>
              <w:top w:val="nil"/>
              <w:left w:val="nil"/>
              <w:bottom w:val="nil"/>
              <w:right w:val="nil"/>
              <w:tl2br w:val="nil"/>
              <w:tr2bl w:val="nil"/>
            </w:tcBorders>
          </w:tcPr>
          <w:p>
            <w:pPr>
              <w:jc w:val="center"/>
              <w:rPr>
                <w:rFonts w:ascii="宋体" w:eastAsia="宋体" w:cs="Lucida Sans"/>
                <w:color w:val="000000"/>
                <w:sz w:val="18"/>
              </w:rPr>
            </w:pPr>
          </w:p>
        </w:tc>
        <w:tc>
          <w:tcPr>
            <w:tcW w:w="823" w:type="dxa"/>
            <w:tcBorders>
              <w:top w:val="nil"/>
              <w:left w:val="nil"/>
              <w:bottom w:val="nil"/>
              <w:right w:val="nil"/>
              <w:tl2br w:val="nil"/>
              <w:tr2bl w:val="nil"/>
            </w:tcBorders>
          </w:tcPr>
          <w:p>
            <w:pPr>
              <w:jc w:val="center"/>
              <w:rPr>
                <w:rFonts w:ascii="宋体" w:eastAsia="宋体" w:cs="Lucida Sans"/>
                <w:color w:val="000000"/>
                <w:sz w:val="18"/>
              </w:rPr>
            </w:pPr>
          </w:p>
        </w:tc>
        <w:tc>
          <w:tcPr>
            <w:tcW w:w="621" w:type="dxa"/>
            <w:tcBorders>
              <w:top w:val="nil"/>
              <w:left w:val="nil"/>
              <w:bottom w:val="nil"/>
              <w:right w:val="nil"/>
              <w:tl2br w:val="nil"/>
              <w:tr2bl w:val="nil"/>
            </w:tcBorders>
          </w:tcPr>
          <w:p>
            <w:pPr>
              <w:jc w:val="center"/>
              <w:rPr>
                <w:rFonts w:ascii="宋体" w:eastAsia="宋体" w:cs="Lucida Sans"/>
                <w:color w:val="000000"/>
                <w:sz w:val="18"/>
              </w:rPr>
            </w:pPr>
          </w:p>
        </w:tc>
        <w:tc>
          <w:tcPr>
            <w:tcW w:w="2821" w:type="dxa"/>
            <w:gridSpan w:val="3"/>
            <w:tcBorders>
              <w:top w:val="nil"/>
              <w:left w:val="nil"/>
              <w:bottom w:val="nil"/>
              <w:right w:val="nil"/>
              <w:tl2br w:val="nil"/>
              <w:tr2bl w:val="nil"/>
            </w:tcBorders>
          </w:tcPr>
          <w:p>
            <w:pPr>
              <w:jc w:val="center"/>
              <w:rPr>
                <w:rFonts w:ascii="宋体" w:eastAsia="宋体" w:cs="Lucida Sans"/>
                <w:color w:val="000000"/>
                <w:sz w:val="18"/>
              </w:rPr>
            </w:pPr>
          </w:p>
        </w:tc>
        <w:tc>
          <w:tcPr>
            <w:tcW w:w="776" w:type="dxa"/>
            <w:tcBorders>
              <w:top w:val="nil"/>
              <w:left w:val="nil"/>
              <w:bottom w:val="nil"/>
              <w:right w:val="nil"/>
              <w:tl2br w:val="nil"/>
              <w:tr2bl w:val="nil"/>
            </w:tcBorders>
          </w:tcPr>
          <w:p>
            <w:pPr>
              <w:jc w:val="center"/>
              <w:rPr>
                <w:rFonts w:ascii="宋体" w:eastAsia="宋体" w:cs="Lucida Sans"/>
                <w:color w:val="000000"/>
                <w:sz w:val="18"/>
              </w:rPr>
            </w:pPr>
          </w:p>
        </w:tc>
        <w:tc>
          <w:tcPr>
            <w:tcW w:w="755" w:type="dxa"/>
            <w:tcBorders>
              <w:top w:val="nil"/>
              <w:left w:val="nil"/>
              <w:bottom w:val="nil"/>
              <w:right w:val="nil"/>
              <w:tl2br w:val="nil"/>
              <w:tr2bl w:val="nil"/>
            </w:tcBorders>
          </w:tcPr>
          <w:p>
            <w:pPr>
              <w:jc w:val="center"/>
              <w:rPr>
                <w:rFonts w:ascii="宋体" w:eastAsia="宋体" w:cs="Lucida Sans"/>
                <w:color w:val="000000"/>
                <w:sz w:val="18"/>
              </w:rPr>
            </w:pPr>
          </w:p>
        </w:tc>
        <w:tc>
          <w:tcPr>
            <w:tcW w:w="755" w:type="dxa"/>
            <w:tcBorders>
              <w:top w:val="nil"/>
              <w:left w:val="nil"/>
              <w:bottom w:val="nil"/>
              <w:right w:val="nil"/>
              <w:tl2br w:val="nil"/>
              <w:tr2bl w:val="nil"/>
            </w:tcBorders>
          </w:tcPr>
          <w:p>
            <w:pPr>
              <w:jc w:val="center"/>
              <w:rPr>
                <w:rFonts w:ascii="宋体" w:eastAsia="宋体" w:cs="Lucida Sans"/>
                <w:color w:val="000000"/>
                <w:sz w:val="18"/>
              </w:rPr>
            </w:pPr>
          </w:p>
        </w:tc>
        <w:tc>
          <w:tcPr>
            <w:tcW w:w="701" w:type="dxa"/>
            <w:tcBorders>
              <w:top w:val="nil"/>
              <w:left w:val="nil"/>
              <w:bottom w:val="nil"/>
              <w:right w:val="nil"/>
              <w:tl2br w:val="nil"/>
              <w:tr2bl w:val="nil"/>
            </w:tcBorders>
          </w:tcPr>
          <w:p>
            <w:pPr>
              <w:jc w:val="center"/>
              <w:rPr>
                <w:rFonts w:ascii="宋体" w:eastAsia="宋体" w:cs="Lucida Sans"/>
                <w:color w:val="000000"/>
                <w:sz w:val="18"/>
              </w:rPr>
            </w:pPr>
          </w:p>
        </w:tc>
      </w:tr>
      <w:tr>
        <w:trPr>
          <w:trHeight w:val="344"/>
        </w:trPr>
        <w:tc>
          <w:tcPr>
            <w:tcW w:w="569" w:type="dxa"/>
            <w:tcBorders>
              <w:top w:val="nil"/>
              <w:left w:val="nil"/>
              <w:bottom w:val="nil"/>
              <w:right w:val="nil"/>
              <w:tl2br w:val="nil"/>
              <w:tr2bl w:val="nil"/>
            </w:tcBorders>
          </w:tcPr>
          <w:p/>
        </w:tc>
        <w:tc>
          <w:tcPr>
            <w:tcW w:w="528" w:type="dxa"/>
            <w:tcBorders>
              <w:top w:val="nil"/>
              <w:left w:val="nil"/>
              <w:bottom w:val="nil"/>
              <w:right w:val="nil"/>
              <w:tl2br w:val="nil"/>
              <w:tr2bl w:val="nil"/>
            </w:tcBorders>
          </w:tcPr>
          <w:p>
            <w:pPr>
              <w:jc w:val="center"/>
              <w:rPr>
                <w:rFonts w:ascii="宋体" w:eastAsia="宋体" w:cs="Lucida Sans"/>
                <w:color w:val="000000"/>
                <w:sz w:val="18"/>
              </w:rPr>
            </w:pPr>
          </w:p>
        </w:tc>
        <w:tc>
          <w:tcPr>
            <w:tcW w:w="823" w:type="dxa"/>
            <w:tcBorders>
              <w:top w:val="nil"/>
              <w:left w:val="nil"/>
              <w:bottom w:val="nil"/>
              <w:right w:val="nil"/>
              <w:tl2br w:val="nil"/>
              <w:tr2bl w:val="nil"/>
            </w:tcBorders>
          </w:tcPr>
          <w:p>
            <w:pPr>
              <w:jc w:val="center"/>
              <w:rPr>
                <w:rFonts w:ascii="宋体" w:eastAsia="宋体" w:cs="Lucida Sans"/>
                <w:color w:val="000000"/>
                <w:sz w:val="18"/>
              </w:rPr>
            </w:pPr>
          </w:p>
        </w:tc>
        <w:tc>
          <w:tcPr>
            <w:tcW w:w="621" w:type="dxa"/>
            <w:tcBorders>
              <w:top w:val="nil"/>
              <w:left w:val="nil"/>
              <w:bottom w:val="nil"/>
              <w:right w:val="nil"/>
              <w:tl2br w:val="nil"/>
              <w:tr2bl w:val="nil"/>
            </w:tcBorders>
          </w:tcPr>
          <w:p>
            <w:pPr>
              <w:jc w:val="center"/>
              <w:rPr>
                <w:rFonts w:ascii="宋体" w:eastAsia="宋体" w:cs="Lucida Sans"/>
                <w:color w:val="000000"/>
                <w:sz w:val="18"/>
              </w:rPr>
            </w:pPr>
          </w:p>
        </w:tc>
        <w:tc>
          <w:tcPr>
            <w:tcW w:w="2821" w:type="dxa"/>
            <w:gridSpan w:val="3"/>
            <w:tcBorders>
              <w:top w:val="nil"/>
              <w:left w:val="nil"/>
              <w:bottom w:val="nil"/>
              <w:right w:val="nil"/>
              <w:tl2br w:val="nil"/>
              <w:tr2bl w:val="nil"/>
            </w:tcBorders>
          </w:tcPr>
          <w:p>
            <w:pPr>
              <w:jc w:val="center"/>
              <w:rPr>
                <w:rFonts w:ascii="宋体" w:eastAsia="宋体" w:cs="Lucida Sans"/>
                <w:color w:val="000000"/>
                <w:sz w:val="18"/>
              </w:rPr>
            </w:pPr>
          </w:p>
        </w:tc>
        <w:tc>
          <w:tcPr>
            <w:tcW w:w="776" w:type="dxa"/>
            <w:tcBorders>
              <w:top w:val="nil"/>
              <w:left w:val="nil"/>
              <w:bottom w:val="nil"/>
              <w:right w:val="nil"/>
              <w:tl2br w:val="nil"/>
              <w:tr2bl w:val="nil"/>
            </w:tcBorders>
          </w:tcPr>
          <w:p>
            <w:pPr>
              <w:jc w:val="center"/>
              <w:rPr>
                <w:rFonts w:ascii="宋体" w:eastAsia="宋体" w:cs="Lucida Sans"/>
                <w:color w:val="000000"/>
                <w:sz w:val="18"/>
              </w:rPr>
            </w:pPr>
          </w:p>
        </w:tc>
        <w:tc>
          <w:tcPr>
            <w:tcW w:w="755" w:type="dxa"/>
            <w:tcBorders>
              <w:top w:val="nil"/>
              <w:left w:val="nil"/>
              <w:bottom w:val="nil"/>
              <w:right w:val="nil"/>
              <w:tl2br w:val="nil"/>
              <w:tr2bl w:val="nil"/>
            </w:tcBorders>
          </w:tcPr>
          <w:p>
            <w:pPr>
              <w:jc w:val="center"/>
              <w:rPr>
                <w:rFonts w:ascii="宋体" w:eastAsia="宋体" w:cs="Lucida Sans"/>
                <w:color w:val="000000"/>
                <w:sz w:val="18"/>
              </w:rPr>
            </w:pPr>
          </w:p>
        </w:tc>
        <w:tc>
          <w:tcPr>
            <w:tcW w:w="755" w:type="dxa"/>
            <w:tcBorders>
              <w:top w:val="nil"/>
              <w:left w:val="nil"/>
              <w:bottom w:val="nil"/>
              <w:right w:val="nil"/>
              <w:tl2br w:val="nil"/>
              <w:tr2bl w:val="nil"/>
            </w:tcBorders>
          </w:tcPr>
          <w:p>
            <w:pPr>
              <w:jc w:val="center"/>
              <w:rPr>
                <w:rFonts w:ascii="宋体" w:eastAsia="宋体"/>
                <w:color w:val="000000"/>
                <w:sz w:val="18"/>
              </w:rPr>
            </w:pPr>
          </w:p>
        </w:tc>
        <w:tc>
          <w:tcPr>
            <w:tcW w:w="701" w:type="dxa"/>
            <w:tcBorders>
              <w:top w:val="nil"/>
              <w:left w:val="nil"/>
              <w:bottom w:val="nil"/>
              <w:right w:val="nil"/>
              <w:tl2br w:val="nil"/>
              <w:tr2bl w:val="nil"/>
            </w:tcBorders>
          </w:tcPr>
          <w:p>
            <w:pPr>
              <w:rPr>
                <w:rFonts w:ascii="宋体" w:eastAsia="宋体" w:cs="Lucida Sans"/>
                <w:b w:val="0"/>
                <w:i/>
                <w:color w:val="000000"/>
                <w:sz w:val="18"/>
              </w:rPr>
            </w:pPr>
          </w:p>
        </w:tc>
      </w:tr>
      <w:tr>
        <w:trPr>
          <w:trHeight w:val="389"/>
        </w:trPr>
        <w:tc>
          <w:tcPr>
            <w:tcW w:w="569" w:type="dxa"/>
            <w:tcBorders>
              <w:top w:val="nil"/>
              <w:left w:val="nil"/>
              <w:bottom w:val="nil"/>
              <w:right w:val="nil"/>
              <w:tl2br w:val="nil"/>
              <w:tr2bl w:val="nil"/>
            </w:tcBorders>
          </w:tcPr>
          <w:p/>
        </w:tc>
        <w:tc>
          <w:tcPr>
            <w:tcW w:w="528" w:type="dxa"/>
            <w:tcBorders>
              <w:top w:val="nil"/>
              <w:left w:val="nil"/>
              <w:bottom w:val="nil"/>
              <w:right w:val="nil"/>
              <w:tl2br w:val="nil"/>
              <w:tr2bl w:val="nil"/>
            </w:tcBorders>
          </w:tcPr>
          <w:p>
            <w:pPr>
              <w:jc w:val="center"/>
              <w:rPr>
                <w:rFonts w:ascii="宋体" w:eastAsia="宋体" w:cs="Lucida Sans"/>
                <w:color w:val="000000"/>
                <w:sz w:val="18"/>
              </w:rPr>
            </w:pPr>
          </w:p>
        </w:tc>
        <w:tc>
          <w:tcPr>
            <w:tcW w:w="823" w:type="dxa"/>
            <w:tcBorders>
              <w:top w:val="nil"/>
              <w:left w:val="nil"/>
              <w:bottom w:val="nil"/>
              <w:right w:val="nil"/>
              <w:tl2br w:val="nil"/>
              <w:tr2bl w:val="nil"/>
            </w:tcBorders>
          </w:tcPr>
          <w:p>
            <w:pPr>
              <w:jc w:val="center"/>
              <w:rPr>
                <w:rFonts w:ascii="宋体" w:eastAsia="宋体" w:cs="Lucida Sans"/>
                <w:color w:val="000000"/>
                <w:sz w:val="18"/>
              </w:rPr>
            </w:pPr>
          </w:p>
        </w:tc>
        <w:tc>
          <w:tcPr>
            <w:tcW w:w="621" w:type="dxa"/>
            <w:tcBorders>
              <w:top w:val="nil"/>
              <w:left w:val="nil"/>
              <w:bottom w:val="nil"/>
              <w:right w:val="nil"/>
              <w:tl2br w:val="nil"/>
              <w:tr2bl w:val="nil"/>
            </w:tcBorders>
          </w:tcPr>
          <w:p>
            <w:pPr>
              <w:jc w:val="center"/>
              <w:rPr>
                <w:rFonts w:ascii="宋体" w:eastAsia="宋体" w:cs="Lucida Sans"/>
                <w:color w:val="000000"/>
                <w:sz w:val="18"/>
              </w:rPr>
            </w:pPr>
          </w:p>
        </w:tc>
        <w:tc>
          <w:tcPr>
            <w:tcW w:w="2821" w:type="dxa"/>
            <w:gridSpan w:val="3"/>
            <w:tcBorders>
              <w:top w:val="nil"/>
              <w:left w:val="nil"/>
              <w:bottom w:val="nil"/>
              <w:right w:val="nil"/>
              <w:tl2br w:val="nil"/>
              <w:tr2bl w:val="nil"/>
            </w:tcBorders>
          </w:tcPr>
          <w:p>
            <w:pPr>
              <w:jc w:val="center"/>
              <w:rPr>
                <w:rFonts w:ascii="宋体" w:eastAsia="宋体" w:cs="Lucida Sans"/>
                <w:color w:val="000000"/>
                <w:sz w:val="18"/>
              </w:rPr>
            </w:pPr>
          </w:p>
        </w:tc>
        <w:tc>
          <w:tcPr>
            <w:tcW w:w="776" w:type="dxa"/>
            <w:tcBorders>
              <w:top w:val="nil"/>
              <w:left w:val="nil"/>
              <w:bottom w:val="nil"/>
              <w:right w:val="nil"/>
              <w:tl2br w:val="nil"/>
              <w:tr2bl w:val="nil"/>
            </w:tcBorders>
          </w:tcPr>
          <w:p>
            <w:pPr>
              <w:jc w:val="center"/>
              <w:rPr>
                <w:rFonts w:ascii="宋体" w:eastAsia="宋体" w:cs="Lucida Sans"/>
                <w:color w:val="000000"/>
                <w:sz w:val="18"/>
              </w:rPr>
            </w:pPr>
          </w:p>
        </w:tc>
        <w:tc>
          <w:tcPr>
            <w:tcW w:w="755" w:type="dxa"/>
            <w:tcBorders>
              <w:top w:val="nil"/>
              <w:left w:val="nil"/>
              <w:bottom w:val="nil"/>
              <w:right w:val="nil"/>
              <w:tl2br w:val="nil"/>
              <w:tr2bl w:val="nil"/>
            </w:tcBorders>
          </w:tcPr>
          <w:p>
            <w:pPr>
              <w:jc w:val="center"/>
              <w:rPr>
                <w:rFonts w:ascii="宋体" w:eastAsia="宋体" w:cs="Lucida Sans"/>
                <w:color w:val="000000"/>
                <w:sz w:val="18"/>
              </w:rPr>
            </w:pPr>
          </w:p>
        </w:tc>
        <w:tc>
          <w:tcPr>
            <w:tcW w:w="755" w:type="dxa"/>
            <w:tcBorders>
              <w:top w:val="nil"/>
              <w:left w:val="nil"/>
              <w:bottom w:val="nil"/>
              <w:right w:val="nil"/>
              <w:tl2br w:val="nil"/>
              <w:tr2bl w:val="nil"/>
            </w:tcBorders>
          </w:tcPr>
          <w:p>
            <w:pPr>
              <w:jc w:val="center"/>
              <w:rPr>
                <w:rFonts w:ascii="宋体" w:eastAsia="宋体" w:cs="Lucida Sans"/>
                <w:color w:val="000000"/>
                <w:sz w:val="18"/>
              </w:rPr>
            </w:pPr>
          </w:p>
        </w:tc>
        <w:tc>
          <w:tcPr>
            <w:tcW w:w="701" w:type="dxa"/>
            <w:tcBorders>
              <w:top w:val="nil"/>
              <w:left w:val="nil"/>
              <w:bottom w:val="nil"/>
              <w:right w:val="nil"/>
              <w:tl2br w:val="nil"/>
              <w:tr2bl w:val="nil"/>
            </w:tcBorders>
          </w:tcPr>
          <w:p/>
        </w:tc>
      </w:tr>
      <w:tr>
        <w:trPr>
          <w:trHeight w:val="404"/>
        </w:trPr>
        <w:tc>
          <w:tcPr>
            <w:tcW w:w="569" w:type="dxa"/>
            <w:tcBorders>
              <w:top w:val="nil"/>
              <w:left w:val="nil"/>
              <w:bottom w:val="nil"/>
              <w:right w:val="nil"/>
              <w:tl2br w:val="nil"/>
              <w:tr2bl w:val="nil"/>
            </w:tcBorders>
          </w:tcPr>
          <w:p/>
        </w:tc>
        <w:tc>
          <w:tcPr>
            <w:tcW w:w="528" w:type="dxa"/>
            <w:tcBorders>
              <w:top w:val="nil"/>
              <w:left w:val="nil"/>
              <w:bottom w:val="nil"/>
              <w:right w:val="nil"/>
              <w:tl2br w:val="nil"/>
              <w:tr2bl w:val="nil"/>
            </w:tcBorders>
          </w:tcPr>
          <w:p>
            <w:pPr>
              <w:jc w:val="center"/>
              <w:rPr>
                <w:rFonts w:ascii="宋体" w:eastAsia="宋体" w:cs="Lucida Sans"/>
                <w:color w:val="000000"/>
                <w:sz w:val="18"/>
              </w:rPr>
            </w:pPr>
          </w:p>
        </w:tc>
        <w:tc>
          <w:tcPr>
            <w:tcW w:w="823" w:type="dxa"/>
            <w:tcBorders>
              <w:top w:val="nil"/>
              <w:left w:val="nil"/>
              <w:bottom w:val="nil"/>
              <w:right w:val="nil"/>
              <w:tl2br w:val="nil"/>
              <w:tr2bl w:val="nil"/>
            </w:tcBorders>
          </w:tcPr>
          <w:p>
            <w:pPr>
              <w:jc w:val="center"/>
              <w:rPr>
                <w:rFonts w:ascii="宋体" w:eastAsia="宋体" w:cs="Lucida Sans"/>
                <w:color w:val="000000"/>
                <w:sz w:val="18"/>
              </w:rPr>
            </w:pPr>
          </w:p>
        </w:tc>
        <w:tc>
          <w:tcPr>
            <w:tcW w:w="621" w:type="dxa"/>
            <w:tcBorders>
              <w:top w:val="nil"/>
              <w:left w:val="nil"/>
              <w:bottom w:val="nil"/>
              <w:right w:val="nil"/>
              <w:tl2br w:val="nil"/>
              <w:tr2bl w:val="nil"/>
            </w:tcBorders>
          </w:tcPr>
          <w:p>
            <w:pPr>
              <w:jc w:val="center"/>
              <w:rPr>
                <w:rFonts w:ascii="宋体" w:eastAsia="宋体" w:cs="Lucida Sans"/>
                <w:color w:val="000000"/>
                <w:sz w:val="18"/>
              </w:rPr>
            </w:pPr>
          </w:p>
        </w:tc>
        <w:tc>
          <w:tcPr>
            <w:tcW w:w="2821" w:type="dxa"/>
            <w:gridSpan w:val="3"/>
            <w:tcBorders>
              <w:top w:val="nil"/>
              <w:left w:val="nil"/>
              <w:bottom w:val="nil"/>
              <w:right w:val="nil"/>
              <w:tl2br w:val="nil"/>
              <w:tr2bl w:val="nil"/>
            </w:tcBorders>
          </w:tcPr>
          <w:p>
            <w:pPr>
              <w:jc w:val="center"/>
              <w:rPr>
                <w:rFonts w:ascii="宋体" w:eastAsia="宋体" w:cs="Lucida Sans"/>
                <w:color w:val="000000"/>
                <w:sz w:val="18"/>
              </w:rPr>
            </w:pPr>
          </w:p>
        </w:tc>
        <w:tc>
          <w:tcPr>
            <w:tcW w:w="776" w:type="dxa"/>
            <w:tcBorders>
              <w:top w:val="nil"/>
              <w:left w:val="nil"/>
              <w:bottom w:val="nil"/>
              <w:right w:val="nil"/>
              <w:tl2br w:val="nil"/>
              <w:tr2bl w:val="nil"/>
            </w:tcBorders>
          </w:tcPr>
          <w:p>
            <w:pPr>
              <w:jc w:val="center"/>
              <w:rPr>
                <w:rFonts w:ascii="宋体" w:eastAsia="宋体" w:cs="Lucida Sans"/>
                <w:color w:val="000000"/>
                <w:sz w:val="18"/>
              </w:rPr>
            </w:pPr>
          </w:p>
        </w:tc>
        <w:tc>
          <w:tcPr>
            <w:tcW w:w="755" w:type="dxa"/>
            <w:tcBorders>
              <w:top w:val="nil"/>
              <w:left w:val="nil"/>
              <w:bottom w:val="nil"/>
              <w:right w:val="nil"/>
              <w:tl2br w:val="nil"/>
              <w:tr2bl w:val="nil"/>
            </w:tcBorders>
          </w:tcPr>
          <w:p>
            <w:pPr>
              <w:jc w:val="center"/>
              <w:rPr>
                <w:rFonts w:ascii="宋体" w:eastAsia="宋体" w:cs="Lucida Sans"/>
                <w:color w:val="000000"/>
                <w:sz w:val="18"/>
              </w:rPr>
            </w:pPr>
          </w:p>
        </w:tc>
        <w:tc>
          <w:tcPr>
            <w:tcW w:w="755" w:type="dxa"/>
            <w:tcBorders>
              <w:top w:val="nil"/>
              <w:left w:val="nil"/>
              <w:bottom w:val="nil"/>
              <w:right w:val="nil"/>
              <w:tl2br w:val="nil"/>
              <w:tr2bl w:val="nil"/>
            </w:tcBorders>
          </w:tcPr>
          <w:p>
            <w:pPr>
              <w:jc w:val="center"/>
              <w:rPr>
                <w:rFonts w:ascii="宋体" w:eastAsia="宋体" w:cs="Lucida Sans"/>
                <w:color w:val="000000"/>
                <w:sz w:val="18"/>
              </w:rPr>
            </w:pPr>
          </w:p>
        </w:tc>
        <w:tc>
          <w:tcPr>
            <w:tcW w:w="701" w:type="dxa"/>
            <w:tcBorders>
              <w:top w:val="nil"/>
              <w:left w:val="nil"/>
              <w:bottom w:val="nil"/>
              <w:right w:val="nil"/>
              <w:tl2br w:val="nil"/>
              <w:tr2bl w:val="nil"/>
            </w:tcBorders>
          </w:tcPr>
          <w:p/>
        </w:tc>
      </w:tr>
      <w:tr>
        <w:trPr>
          <w:trHeight w:val="359"/>
        </w:trPr>
        <w:tc>
          <w:tcPr>
            <w:tcW w:w="569" w:type="dxa"/>
            <w:tcBorders>
              <w:top w:val="nil"/>
              <w:left w:val="nil"/>
              <w:bottom w:val="nil"/>
              <w:right w:val="nil"/>
              <w:tl2br w:val="nil"/>
              <w:tr2bl w:val="nil"/>
            </w:tcBorders>
          </w:tcPr>
          <w:p/>
        </w:tc>
        <w:tc>
          <w:tcPr>
            <w:tcW w:w="528" w:type="dxa"/>
            <w:tcBorders>
              <w:top w:val="nil"/>
              <w:left w:val="nil"/>
              <w:bottom w:val="nil"/>
              <w:right w:val="nil"/>
              <w:tl2br w:val="nil"/>
              <w:tr2bl w:val="nil"/>
            </w:tcBorders>
          </w:tcPr>
          <w:p>
            <w:pPr>
              <w:jc w:val="center"/>
              <w:rPr>
                <w:rFonts w:ascii="宋体" w:eastAsia="宋体" w:cs="Lucida Sans"/>
                <w:color w:val="000000"/>
                <w:sz w:val="18"/>
              </w:rPr>
            </w:pPr>
          </w:p>
        </w:tc>
        <w:tc>
          <w:tcPr>
            <w:tcW w:w="823" w:type="dxa"/>
            <w:tcBorders>
              <w:top w:val="nil"/>
              <w:left w:val="nil"/>
              <w:bottom w:val="nil"/>
              <w:right w:val="nil"/>
              <w:tl2br w:val="nil"/>
              <w:tr2bl w:val="nil"/>
            </w:tcBorders>
          </w:tcPr>
          <w:p>
            <w:pPr>
              <w:jc w:val="center"/>
              <w:rPr>
                <w:rFonts w:ascii="宋体" w:eastAsia="宋体" w:cs="Lucida Sans"/>
                <w:color w:val="000000"/>
                <w:sz w:val="18"/>
              </w:rPr>
            </w:pPr>
          </w:p>
        </w:tc>
        <w:tc>
          <w:tcPr>
            <w:tcW w:w="621" w:type="dxa"/>
            <w:tcBorders>
              <w:top w:val="nil"/>
              <w:left w:val="nil"/>
              <w:bottom w:val="nil"/>
              <w:right w:val="nil"/>
              <w:tl2br w:val="nil"/>
              <w:tr2bl w:val="nil"/>
            </w:tcBorders>
          </w:tcPr>
          <w:p>
            <w:pPr>
              <w:jc w:val="center"/>
              <w:rPr>
                <w:rFonts w:ascii="宋体" w:eastAsia="宋体" w:cs="Lucida Sans"/>
                <w:color w:val="000000"/>
                <w:sz w:val="18"/>
              </w:rPr>
            </w:pPr>
          </w:p>
        </w:tc>
        <w:tc>
          <w:tcPr>
            <w:tcW w:w="2821" w:type="dxa"/>
            <w:gridSpan w:val="3"/>
            <w:tcBorders>
              <w:top w:val="nil"/>
              <w:left w:val="nil"/>
              <w:bottom w:val="nil"/>
              <w:right w:val="nil"/>
              <w:tl2br w:val="nil"/>
              <w:tr2bl w:val="nil"/>
            </w:tcBorders>
          </w:tcPr>
          <w:p>
            <w:pPr>
              <w:jc w:val="center"/>
              <w:rPr>
                <w:rFonts w:ascii="宋体" w:eastAsia="宋体" w:cs="Lucida Sans"/>
                <w:color w:val="000000"/>
                <w:sz w:val="18"/>
              </w:rPr>
            </w:pPr>
          </w:p>
        </w:tc>
        <w:tc>
          <w:tcPr>
            <w:tcW w:w="776" w:type="dxa"/>
            <w:tcBorders>
              <w:top w:val="nil"/>
              <w:left w:val="nil"/>
              <w:bottom w:val="nil"/>
              <w:right w:val="nil"/>
              <w:tl2br w:val="nil"/>
              <w:tr2bl w:val="nil"/>
            </w:tcBorders>
          </w:tcPr>
          <w:p>
            <w:pPr>
              <w:jc w:val="center"/>
              <w:rPr>
                <w:rFonts w:ascii="宋体" w:eastAsia="宋体" w:cs="Lucida Sans"/>
                <w:color w:val="000000"/>
                <w:sz w:val="18"/>
              </w:rPr>
            </w:pPr>
          </w:p>
        </w:tc>
        <w:tc>
          <w:tcPr>
            <w:tcW w:w="755" w:type="dxa"/>
            <w:tcBorders>
              <w:top w:val="nil"/>
              <w:left w:val="nil"/>
              <w:bottom w:val="nil"/>
              <w:right w:val="nil"/>
              <w:tl2br w:val="nil"/>
              <w:tr2bl w:val="nil"/>
            </w:tcBorders>
          </w:tcPr>
          <w:p>
            <w:pPr>
              <w:jc w:val="center"/>
              <w:rPr>
                <w:rFonts w:ascii="宋体" w:eastAsia="宋体" w:cs="Lucida Sans"/>
                <w:color w:val="000000"/>
                <w:sz w:val="18"/>
              </w:rPr>
            </w:pPr>
          </w:p>
        </w:tc>
        <w:tc>
          <w:tcPr>
            <w:tcW w:w="755" w:type="dxa"/>
            <w:tcBorders>
              <w:top w:val="nil"/>
              <w:left w:val="nil"/>
              <w:bottom w:val="nil"/>
              <w:right w:val="nil"/>
              <w:tl2br w:val="nil"/>
              <w:tr2bl w:val="nil"/>
            </w:tcBorders>
          </w:tcPr>
          <w:p>
            <w:pPr>
              <w:jc w:val="center"/>
              <w:rPr>
                <w:rFonts w:ascii="宋体" w:eastAsia="宋体" w:cs="Lucida Sans"/>
                <w:color w:val="000000"/>
                <w:sz w:val="18"/>
              </w:rPr>
            </w:pPr>
          </w:p>
        </w:tc>
        <w:tc>
          <w:tcPr>
            <w:tcW w:w="701" w:type="dxa"/>
            <w:tcBorders>
              <w:top w:val="nil"/>
              <w:left w:val="nil"/>
              <w:bottom w:val="nil"/>
              <w:right w:val="nil"/>
              <w:tl2br w:val="nil"/>
              <w:tr2bl w:val="nil"/>
            </w:tcBorders>
          </w:tcPr>
          <w:p/>
        </w:tc>
      </w:tr>
      <w:tr>
        <w:trPr>
          <w:trHeight w:val="344"/>
        </w:trPr>
        <w:tc>
          <w:tcPr>
            <w:tcW w:w="569" w:type="dxa"/>
            <w:tcBorders>
              <w:top w:val="nil"/>
              <w:left w:val="nil"/>
              <w:bottom w:val="nil"/>
              <w:right w:val="nil"/>
              <w:tl2br w:val="nil"/>
              <w:tr2bl w:val="nil"/>
            </w:tcBorders>
          </w:tcPr>
          <w:p/>
        </w:tc>
        <w:tc>
          <w:tcPr>
            <w:tcW w:w="528" w:type="dxa"/>
            <w:tcBorders>
              <w:top w:val="nil"/>
              <w:left w:val="nil"/>
              <w:bottom w:val="nil"/>
              <w:right w:val="nil"/>
              <w:tl2br w:val="nil"/>
              <w:tr2bl w:val="nil"/>
            </w:tcBorders>
          </w:tcPr>
          <w:p>
            <w:pPr>
              <w:jc w:val="center"/>
              <w:rPr>
                <w:rFonts w:ascii="宋体" w:eastAsia="宋体" w:cs="Lucida Sans"/>
                <w:color w:val="000000"/>
                <w:sz w:val="18"/>
              </w:rPr>
            </w:pPr>
          </w:p>
        </w:tc>
        <w:tc>
          <w:tcPr>
            <w:tcW w:w="823" w:type="dxa"/>
            <w:tcBorders>
              <w:top w:val="nil"/>
              <w:left w:val="nil"/>
              <w:bottom w:val="nil"/>
              <w:right w:val="nil"/>
              <w:tl2br w:val="nil"/>
              <w:tr2bl w:val="nil"/>
            </w:tcBorders>
          </w:tcPr>
          <w:p>
            <w:pPr>
              <w:jc w:val="center"/>
              <w:rPr>
                <w:rFonts w:ascii="微软雅黑" w:eastAsia="微软雅黑"/>
                <w:b w:val="0"/>
                <w:i/>
                <w:color w:val="000000"/>
                <w:sz w:val="16"/>
              </w:rPr>
            </w:pPr>
          </w:p>
        </w:tc>
        <w:tc>
          <w:tcPr>
            <w:tcW w:w="621" w:type="dxa"/>
            <w:tcBorders>
              <w:top w:val="nil"/>
              <w:left w:val="nil"/>
              <w:bottom w:val="nil"/>
              <w:right w:val="nil"/>
              <w:tl2br w:val="nil"/>
              <w:tr2bl w:val="nil"/>
            </w:tcBorders>
          </w:tcPr>
          <w:p>
            <w:pPr>
              <w:jc w:val="center"/>
              <w:rPr>
                <w:rFonts w:ascii="微软雅黑" w:eastAsia="微软雅黑"/>
                <w:b w:val="0"/>
                <w:i/>
                <w:color w:val="000000"/>
                <w:sz w:val="16"/>
              </w:rPr>
            </w:pPr>
          </w:p>
        </w:tc>
        <w:tc>
          <w:tcPr>
            <w:tcW w:w="2821" w:type="dxa"/>
            <w:gridSpan w:val="3"/>
            <w:tcBorders>
              <w:top w:val="nil"/>
              <w:left w:val="nil"/>
              <w:bottom w:val="nil"/>
              <w:right w:val="nil"/>
              <w:tl2br w:val="nil"/>
              <w:tr2bl w:val="nil"/>
            </w:tcBorders>
          </w:tcPr>
          <w:p>
            <w:pPr>
              <w:jc w:val="center"/>
              <w:rPr>
                <w:rFonts w:ascii="微软雅黑" w:eastAsia="微软雅黑" w:cs="Lucida Sans"/>
                <w:b w:val="0"/>
                <w:i/>
                <w:color w:val="000000"/>
                <w:sz w:val="16"/>
              </w:rPr>
            </w:pPr>
          </w:p>
        </w:tc>
        <w:tc>
          <w:tcPr>
            <w:tcW w:w="776" w:type="dxa"/>
            <w:tcBorders>
              <w:top w:val="nil"/>
              <w:left w:val="nil"/>
              <w:bottom w:val="nil"/>
              <w:right w:val="nil"/>
              <w:tl2br w:val="nil"/>
              <w:tr2bl w:val="nil"/>
            </w:tcBorders>
          </w:tcPr>
          <w:p>
            <w:pPr>
              <w:jc w:val="center"/>
              <w:rPr>
                <w:rFonts w:ascii="微软雅黑" w:eastAsia="微软雅黑"/>
                <w:b w:val="0"/>
                <w:i/>
                <w:color w:val="000000"/>
                <w:sz w:val="16"/>
              </w:rPr>
            </w:pPr>
          </w:p>
        </w:tc>
        <w:tc>
          <w:tcPr>
            <w:tcW w:w="755" w:type="dxa"/>
            <w:tcBorders>
              <w:top w:val="nil"/>
              <w:left w:val="nil"/>
              <w:bottom w:val="nil"/>
              <w:right w:val="nil"/>
              <w:tl2br w:val="nil"/>
              <w:tr2bl w:val="nil"/>
            </w:tcBorders>
          </w:tcPr>
          <w:p>
            <w:pPr>
              <w:jc w:val="center"/>
              <w:rPr>
                <w:rFonts w:ascii="宋体" w:eastAsia="宋体" w:cs="Lucida Sans"/>
                <w:color w:val="000000"/>
                <w:sz w:val="18"/>
              </w:rPr>
            </w:pPr>
          </w:p>
        </w:tc>
        <w:tc>
          <w:tcPr>
            <w:tcW w:w="755" w:type="dxa"/>
            <w:tcBorders>
              <w:top w:val="nil"/>
              <w:left w:val="nil"/>
              <w:bottom w:val="nil"/>
              <w:right w:val="nil"/>
              <w:tl2br w:val="nil"/>
              <w:tr2bl w:val="nil"/>
            </w:tcBorders>
          </w:tcPr>
          <w:p>
            <w:pPr>
              <w:jc w:val="center"/>
              <w:rPr>
                <w:rFonts w:ascii="宋体" w:eastAsia="宋体" w:cs="Lucida Sans"/>
                <w:color w:val="000000"/>
                <w:sz w:val="18"/>
              </w:rPr>
            </w:pPr>
          </w:p>
        </w:tc>
        <w:tc>
          <w:tcPr>
            <w:tcW w:w="701" w:type="dxa"/>
            <w:tcBorders>
              <w:top w:val="nil"/>
              <w:left w:val="nil"/>
              <w:bottom w:val="nil"/>
              <w:right w:val="nil"/>
              <w:tl2br w:val="nil"/>
              <w:tr2bl w:val="nil"/>
            </w:tcBorders>
          </w:tcPr>
          <w:p/>
        </w:tc>
      </w:tr>
      <w:tr>
        <w:trPr>
          <w:trHeight w:val="449"/>
        </w:trPr>
        <w:tc>
          <w:tcPr>
            <w:tcW w:w="569" w:type="dxa"/>
            <w:tcBorders>
              <w:top w:val="nil"/>
              <w:left w:val="nil"/>
              <w:bottom w:val="nil"/>
              <w:right w:val="nil"/>
              <w:tl2br w:val="nil"/>
              <w:tr2bl w:val="nil"/>
            </w:tcBorders>
          </w:tcPr>
          <w:p>
            <w:pPr>
              <w:jc w:val="center"/>
              <w:rPr>
                <w:rFonts w:ascii="宋体" w:eastAsia="宋体" w:cs="Lucida Sans"/>
                <w:color w:val="000000"/>
                <w:sz w:val="18"/>
              </w:rPr>
            </w:pPr>
          </w:p>
        </w:tc>
        <w:tc>
          <w:tcPr>
            <w:tcW w:w="528" w:type="dxa"/>
            <w:tcBorders>
              <w:top w:val="nil"/>
              <w:left w:val="nil"/>
              <w:bottom w:val="nil"/>
              <w:right w:val="nil"/>
              <w:tl2br w:val="nil"/>
              <w:tr2bl w:val="nil"/>
            </w:tcBorders>
          </w:tcPr>
          <w:p>
            <w:pPr>
              <w:jc w:val="center"/>
              <w:rPr>
                <w:rFonts w:ascii="宋体" w:eastAsia="宋体" w:cs="Lucida Sans"/>
                <w:color w:val="000000"/>
                <w:sz w:val="18"/>
              </w:rPr>
            </w:pPr>
          </w:p>
        </w:tc>
        <w:tc>
          <w:tcPr>
            <w:tcW w:w="823" w:type="dxa"/>
            <w:tcBorders>
              <w:top w:val="nil"/>
              <w:left w:val="nil"/>
              <w:bottom w:val="nil"/>
              <w:right w:val="nil"/>
              <w:tl2br w:val="nil"/>
              <w:tr2bl w:val="nil"/>
            </w:tcBorders>
          </w:tcPr>
          <w:p>
            <w:pPr>
              <w:jc w:val="center"/>
              <w:rPr>
                <w:rFonts w:ascii="宋体" w:eastAsia="宋体" w:cs="Lucida Sans"/>
                <w:color w:val="000000"/>
                <w:sz w:val="18"/>
              </w:rPr>
            </w:pPr>
          </w:p>
        </w:tc>
        <w:tc>
          <w:tcPr>
            <w:tcW w:w="621" w:type="dxa"/>
            <w:tcBorders>
              <w:top w:val="nil"/>
              <w:left w:val="nil"/>
              <w:bottom w:val="nil"/>
              <w:right w:val="nil"/>
              <w:tl2br w:val="nil"/>
              <w:tr2bl w:val="nil"/>
            </w:tcBorders>
          </w:tcPr>
          <w:p>
            <w:pPr>
              <w:jc w:val="center"/>
              <w:rPr>
                <w:rFonts w:ascii="宋体" w:eastAsia="宋体" w:cs="Lucida Sans"/>
                <w:color w:val="000000"/>
                <w:sz w:val="18"/>
              </w:rPr>
            </w:pPr>
          </w:p>
        </w:tc>
        <w:tc>
          <w:tcPr>
            <w:tcW w:w="803" w:type="dxa"/>
            <w:tcBorders>
              <w:top w:val="nil"/>
              <w:left w:val="nil"/>
              <w:bottom w:val="nil"/>
              <w:right w:val="nil"/>
              <w:tl2br w:val="nil"/>
              <w:tr2bl w:val="nil"/>
            </w:tcBorders>
          </w:tcPr>
          <w:p>
            <w:pPr>
              <w:jc w:val="center"/>
              <w:rPr>
                <w:rFonts w:ascii="宋体" w:eastAsia="宋体" w:cs="Lucida Sans"/>
                <w:color w:val="000000"/>
                <w:sz w:val="18"/>
              </w:rPr>
            </w:pPr>
          </w:p>
        </w:tc>
        <w:tc>
          <w:tcPr>
            <w:tcW w:w="1120" w:type="dxa"/>
            <w:tcBorders>
              <w:top w:val="nil"/>
              <w:left w:val="nil"/>
              <w:bottom w:val="nil"/>
              <w:right w:val="nil"/>
              <w:tl2br w:val="nil"/>
              <w:tr2bl w:val="nil"/>
            </w:tcBorders>
          </w:tcPr>
          <w:p>
            <w:pPr>
              <w:jc w:val="center"/>
              <w:rPr>
                <w:rFonts w:ascii="宋体" w:eastAsia="宋体" w:cs="Lucida Sans"/>
                <w:color w:val="000000"/>
                <w:sz w:val="18"/>
              </w:rPr>
            </w:pPr>
          </w:p>
        </w:tc>
        <w:tc>
          <w:tcPr>
            <w:tcW w:w="898" w:type="dxa"/>
            <w:tcBorders>
              <w:top w:val="nil"/>
              <w:left w:val="nil"/>
              <w:bottom w:val="nil"/>
              <w:right w:val="nil"/>
              <w:tl2br w:val="nil"/>
              <w:tr2bl w:val="nil"/>
            </w:tcBorders>
          </w:tcPr>
          <w:p>
            <w:pPr>
              <w:jc w:val="center"/>
              <w:rPr>
                <w:rFonts w:ascii="宋体" w:eastAsia="宋体" w:cs="Lucida Sans"/>
                <w:color w:val="000000"/>
                <w:sz w:val="18"/>
              </w:rPr>
            </w:pPr>
          </w:p>
        </w:tc>
        <w:tc>
          <w:tcPr>
            <w:tcW w:w="776" w:type="dxa"/>
            <w:tcBorders>
              <w:top w:val="nil"/>
              <w:left w:val="nil"/>
              <w:bottom w:val="nil"/>
              <w:right w:val="nil"/>
              <w:tl2br w:val="nil"/>
              <w:tr2bl w:val="nil"/>
            </w:tcBorders>
          </w:tcPr>
          <w:p>
            <w:pPr>
              <w:jc w:val="center"/>
              <w:rPr>
                <w:rFonts w:ascii="宋体" w:eastAsia="宋体" w:cs="Lucida Sans"/>
                <w:color w:val="000000"/>
                <w:sz w:val="18"/>
              </w:rPr>
            </w:pPr>
          </w:p>
        </w:tc>
        <w:tc>
          <w:tcPr>
            <w:tcW w:w="755" w:type="dxa"/>
            <w:tcBorders>
              <w:top w:val="nil"/>
              <w:left w:val="nil"/>
              <w:bottom w:val="nil"/>
              <w:right w:val="nil"/>
              <w:tl2br w:val="nil"/>
              <w:tr2bl w:val="nil"/>
            </w:tcBorders>
          </w:tcPr>
          <w:p>
            <w:pPr>
              <w:jc w:val="center"/>
              <w:rPr>
                <w:rFonts w:ascii="宋体" w:eastAsia="宋体" w:cs="Lucida Sans"/>
                <w:color w:val="000000"/>
                <w:sz w:val="18"/>
              </w:rPr>
            </w:pPr>
          </w:p>
        </w:tc>
        <w:tc>
          <w:tcPr>
            <w:tcW w:w="755" w:type="dxa"/>
            <w:tcBorders>
              <w:top w:val="nil"/>
              <w:left w:val="nil"/>
              <w:bottom w:val="nil"/>
              <w:right w:val="nil"/>
              <w:tl2br w:val="nil"/>
              <w:tr2bl w:val="nil"/>
            </w:tcBorders>
          </w:tcPr>
          <w:p>
            <w:pPr>
              <w:jc w:val="center"/>
              <w:rPr>
                <w:rFonts w:ascii="宋体" w:eastAsia="宋体" w:cs="Lucida Sans"/>
                <w:color w:val="000000"/>
                <w:sz w:val="18"/>
              </w:rPr>
            </w:pPr>
          </w:p>
        </w:tc>
        <w:tc>
          <w:tcPr>
            <w:tcW w:w="701" w:type="dxa"/>
            <w:tcBorders>
              <w:top w:val="nil"/>
              <w:left w:val="nil"/>
              <w:bottom w:val="nil"/>
              <w:right w:val="nil"/>
              <w:tl2br w:val="nil"/>
              <w:tr2bl w:val="nil"/>
            </w:tcBorders>
          </w:tcPr>
          <w:p>
            <w:pPr>
              <w:jc w:val="center"/>
              <w:rPr>
                <w:rFonts w:ascii="宋体" w:eastAsia="宋体" w:cs="Lucida Sans"/>
                <w:color w:val="000000"/>
                <w:sz w:val="18"/>
              </w:rPr>
            </w:pPr>
          </w:p>
        </w:tc>
      </w:tr>
      <w:tr>
        <w:trPr>
          <w:trHeight w:val="344"/>
        </w:trPr>
        <w:tc>
          <w:tcPr>
            <w:tcW w:w="569" w:type="dxa"/>
            <w:tcBorders>
              <w:top w:val="nil"/>
              <w:left w:val="nil"/>
              <w:bottom w:val="nil"/>
              <w:right w:val="nil"/>
              <w:tl2br w:val="nil"/>
              <w:tr2bl w:val="nil"/>
            </w:tcBorders>
          </w:tcPr>
          <w:p/>
        </w:tc>
        <w:tc>
          <w:tcPr>
            <w:tcW w:w="528" w:type="dxa"/>
            <w:tcBorders>
              <w:top w:val="nil"/>
              <w:left w:val="nil"/>
              <w:bottom w:val="nil"/>
              <w:right w:val="nil"/>
              <w:tl2br w:val="nil"/>
              <w:tr2bl w:val="nil"/>
            </w:tcBorders>
          </w:tcPr>
          <w:p>
            <w:pPr>
              <w:jc w:val="center"/>
              <w:rPr>
                <w:rFonts w:ascii="宋体" w:eastAsia="宋体" w:cs="Lucida Sans"/>
                <w:color w:val="000000"/>
                <w:sz w:val="18"/>
              </w:rPr>
            </w:pPr>
          </w:p>
        </w:tc>
        <w:tc>
          <w:tcPr>
            <w:tcW w:w="823" w:type="dxa"/>
            <w:tcBorders>
              <w:top w:val="nil"/>
              <w:left w:val="nil"/>
              <w:bottom w:val="nil"/>
              <w:right w:val="nil"/>
              <w:tl2br w:val="nil"/>
              <w:tr2bl w:val="nil"/>
            </w:tcBorders>
          </w:tcPr>
          <w:p>
            <w:pPr>
              <w:jc w:val="center"/>
              <w:rPr>
                <w:rFonts w:ascii="宋体" w:eastAsia="宋体" w:cs="Lucida Sans"/>
                <w:color w:val="000000"/>
                <w:sz w:val="18"/>
              </w:rPr>
            </w:pPr>
          </w:p>
        </w:tc>
        <w:tc>
          <w:tcPr>
            <w:tcW w:w="621" w:type="dxa"/>
            <w:tcBorders>
              <w:top w:val="nil"/>
              <w:left w:val="nil"/>
              <w:bottom w:val="nil"/>
              <w:right w:val="nil"/>
              <w:tl2br w:val="nil"/>
              <w:tr2bl w:val="nil"/>
            </w:tcBorders>
          </w:tcPr>
          <w:p>
            <w:pPr>
              <w:jc w:val="center"/>
              <w:rPr>
                <w:rFonts w:ascii="宋体" w:eastAsia="宋体" w:cs="Lucida Sans"/>
                <w:color w:val="000000"/>
                <w:sz w:val="18"/>
              </w:rPr>
            </w:pPr>
          </w:p>
        </w:tc>
        <w:tc>
          <w:tcPr>
            <w:tcW w:w="803" w:type="dxa"/>
            <w:tcBorders>
              <w:top w:val="nil"/>
              <w:left w:val="nil"/>
              <w:bottom w:val="nil"/>
              <w:right w:val="nil"/>
              <w:tl2br w:val="nil"/>
              <w:tr2bl w:val="nil"/>
            </w:tcBorders>
          </w:tcPr>
          <w:p>
            <w:pPr>
              <w:jc w:val="center"/>
              <w:rPr>
                <w:rFonts w:ascii="宋体" w:eastAsia="宋体" w:cs="Lucida Sans"/>
                <w:color w:val="000000"/>
                <w:sz w:val="18"/>
              </w:rPr>
            </w:pPr>
          </w:p>
        </w:tc>
        <w:tc>
          <w:tcPr>
            <w:tcW w:w="1120" w:type="dxa"/>
            <w:tcBorders>
              <w:top w:val="nil"/>
              <w:left w:val="nil"/>
              <w:bottom w:val="nil"/>
              <w:right w:val="nil"/>
              <w:tl2br w:val="nil"/>
              <w:tr2bl w:val="nil"/>
            </w:tcBorders>
          </w:tcPr>
          <w:p>
            <w:pPr>
              <w:jc w:val="center"/>
              <w:rPr>
                <w:rFonts w:ascii="宋体" w:eastAsia="宋体" w:cs="Lucida Sans"/>
                <w:color w:val="000000"/>
                <w:sz w:val="18"/>
              </w:rPr>
            </w:pPr>
          </w:p>
        </w:tc>
        <w:tc>
          <w:tcPr>
            <w:tcW w:w="898" w:type="dxa"/>
            <w:tcBorders>
              <w:top w:val="nil"/>
              <w:left w:val="nil"/>
              <w:bottom w:val="nil"/>
              <w:right w:val="nil"/>
              <w:tl2br w:val="nil"/>
              <w:tr2bl w:val="nil"/>
            </w:tcBorders>
          </w:tcPr>
          <w:p>
            <w:pPr>
              <w:jc w:val="center"/>
              <w:rPr>
                <w:rFonts w:ascii="宋体" w:eastAsia="宋体" w:cs="Lucida Sans"/>
                <w:color w:val="000000"/>
                <w:sz w:val="18"/>
              </w:rPr>
            </w:pPr>
          </w:p>
        </w:tc>
        <w:tc>
          <w:tcPr>
            <w:tcW w:w="776" w:type="dxa"/>
            <w:tcBorders>
              <w:top w:val="nil"/>
              <w:left w:val="nil"/>
              <w:bottom w:val="nil"/>
              <w:right w:val="nil"/>
              <w:tl2br w:val="nil"/>
              <w:tr2bl w:val="nil"/>
            </w:tcBorders>
          </w:tcPr>
          <w:p>
            <w:pPr>
              <w:jc w:val="center"/>
              <w:rPr>
                <w:rFonts w:ascii="微软雅黑" w:eastAsia="微软雅黑"/>
                <w:b w:val="0"/>
                <w:i/>
                <w:color w:val="000000"/>
                <w:sz w:val="16"/>
              </w:rPr>
            </w:pPr>
          </w:p>
        </w:tc>
        <w:tc>
          <w:tcPr>
            <w:tcW w:w="755" w:type="dxa"/>
            <w:tcBorders>
              <w:top w:val="nil"/>
              <w:left w:val="nil"/>
              <w:bottom w:val="nil"/>
              <w:right w:val="nil"/>
              <w:tl2br w:val="nil"/>
              <w:tr2bl w:val="nil"/>
            </w:tcBorders>
          </w:tcPr>
          <w:p>
            <w:pPr>
              <w:jc w:val="center"/>
              <w:rPr>
                <w:rFonts w:ascii="宋体" w:eastAsia="宋体" w:cs="Lucida Sans"/>
                <w:color w:val="000000"/>
                <w:sz w:val="18"/>
              </w:rPr>
            </w:pPr>
          </w:p>
        </w:tc>
        <w:tc>
          <w:tcPr>
            <w:tcW w:w="755" w:type="dxa"/>
            <w:tcBorders>
              <w:top w:val="nil"/>
              <w:left w:val="nil"/>
              <w:bottom w:val="nil"/>
              <w:right w:val="nil"/>
              <w:tl2br w:val="nil"/>
              <w:tr2bl w:val="nil"/>
            </w:tcBorders>
          </w:tcPr>
          <w:p>
            <w:pPr>
              <w:jc w:val="center"/>
              <w:rPr>
                <w:rFonts w:ascii="宋体" w:eastAsia="宋体"/>
                <w:color w:val="000000"/>
                <w:sz w:val="18"/>
              </w:rPr>
            </w:pPr>
          </w:p>
        </w:tc>
        <w:tc>
          <w:tcPr>
            <w:tcW w:w="701" w:type="dxa"/>
            <w:tcBorders>
              <w:top w:val="nil"/>
              <w:left w:val="nil"/>
              <w:bottom w:val="nil"/>
              <w:right w:val="nil"/>
              <w:tl2br w:val="nil"/>
              <w:tr2bl w:val="nil"/>
            </w:tcBorders>
          </w:tcPr>
          <w:p>
            <w:pPr>
              <w:jc w:val="center"/>
              <w:rPr>
                <w:rFonts w:ascii="微软雅黑" w:eastAsia="微软雅黑"/>
                <w:b w:val="0"/>
                <w:i/>
                <w:color w:val="000000"/>
                <w:sz w:val="16"/>
              </w:rPr>
            </w:pPr>
          </w:p>
        </w:tc>
      </w:tr>
      <w:tr>
        <w:trPr>
          <w:trHeight w:val="344"/>
        </w:trPr>
        <w:tc>
          <w:tcPr>
            <w:tcW w:w="569" w:type="dxa"/>
            <w:tcBorders>
              <w:top w:val="nil"/>
              <w:left w:val="nil"/>
              <w:bottom w:val="nil"/>
              <w:right w:val="nil"/>
              <w:tl2br w:val="nil"/>
              <w:tr2bl w:val="nil"/>
            </w:tcBorders>
          </w:tcPr>
          <w:p/>
        </w:tc>
        <w:tc>
          <w:tcPr>
            <w:tcW w:w="528" w:type="dxa"/>
            <w:tcBorders>
              <w:top w:val="nil"/>
              <w:left w:val="nil"/>
              <w:bottom w:val="nil"/>
              <w:right w:val="nil"/>
              <w:tl2br w:val="nil"/>
              <w:tr2bl w:val="nil"/>
            </w:tcBorders>
          </w:tcPr>
          <w:p>
            <w:pPr>
              <w:jc w:val="center"/>
              <w:rPr>
                <w:rFonts w:ascii="宋体" w:eastAsia="宋体" w:cs="Lucida Sans"/>
                <w:color w:val="000000"/>
                <w:sz w:val="18"/>
              </w:rPr>
            </w:pPr>
          </w:p>
        </w:tc>
        <w:tc>
          <w:tcPr>
            <w:tcW w:w="823" w:type="dxa"/>
            <w:tcBorders>
              <w:top w:val="nil"/>
              <w:left w:val="nil"/>
              <w:bottom w:val="nil"/>
              <w:right w:val="nil"/>
              <w:tl2br w:val="nil"/>
              <w:tr2bl w:val="nil"/>
            </w:tcBorders>
          </w:tcPr>
          <w:p>
            <w:pPr>
              <w:jc w:val="center"/>
              <w:rPr>
                <w:rFonts w:ascii="宋体" w:eastAsia="宋体" w:cs="Lucida Sans"/>
                <w:color w:val="000000"/>
                <w:sz w:val="18"/>
              </w:rPr>
            </w:pPr>
          </w:p>
        </w:tc>
        <w:tc>
          <w:tcPr>
            <w:tcW w:w="621" w:type="dxa"/>
            <w:tcBorders>
              <w:top w:val="nil"/>
              <w:left w:val="nil"/>
              <w:bottom w:val="nil"/>
              <w:right w:val="nil"/>
              <w:tl2br w:val="nil"/>
              <w:tr2bl w:val="nil"/>
            </w:tcBorders>
          </w:tcPr>
          <w:p>
            <w:pPr>
              <w:jc w:val="center"/>
              <w:rPr>
                <w:rFonts w:ascii="宋体" w:eastAsia="宋体" w:cs="Lucida Sans"/>
                <w:color w:val="000000"/>
                <w:sz w:val="18"/>
              </w:rPr>
            </w:pPr>
          </w:p>
        </w:tc>
        <w:tc>
          <w:tcPr>
            <w:tcW w:w="803" w:type="dxa"/>
            <w:tcBorders>
              <w:top w:val="nil"/>
              <w:left w:val="nil"/>
              <w:bottom w:val="nil"/>
              <w:right w:val="nil"/>
              <w:tl2br w:val="nil"/>
              <w:tr2bl w:val="nil"/>
            </w:tcBorders>
          </w:tcPr>
          <w:p>
            <w:pPr>
              <w:jc w:val="center"/>
              <w:rPr>
                <w:rFonts w:ascii="宋体" w:eastAsia="宋体" w:cs="Lucida Sans"/>
                <w:color w:val="000000"/>
                <w:sz w:val="18"/>
              </w:rPr>
            </w:pPr>
          </w:p>
        </w:tc>
        <w:tc>
          <w:tcPr>
            <w:tcW w:w="1120" w:type="dxa"/>
            <w:tcBorders>
              <w:top w:val="nil"/>
              <w:left w:val="nil"/>
              <w:bottom w:val="nil"/>
              <w:right w:val="nil"/>
              <w:tl2br w:val="nil"/>
              <w:tr2bl w:val="nil"/>
            </w:tcBorders>
          </w:tcPr>
          <w:p>
            <w:pPr>
              <w:jc w:val="center"/>
              <w:rPr>
                <w:rFonts w:ascii="宋体" w:eastAsia="宋体" w:cs="Lucida Sans"/>
                <w:color w:val="000000"/>
                <w:sz w:val="18"/>
              </w:rPr>
            </w:pPr>
          </w:p>
        </w:tc>
        <w:tc>
          <w:tcPr>
            <w:tcW w:w="898" w:type="dxa"/>
            <w:tcBorders>
              <w:top w:val="nil"/>
              <w:left w:val="nil"/>
              <w:bottom w:val="nil"/>
              <w:right w:val="nil"/>
              <w:tl2br w:val="nil"/>
              <w:tr2bl w:val="nil"/>
            </w:tcBorders>
          </w:tcPr>
          <w:p>
            <w:pPr>
              <w:jc w:val="center"/>
              <w:rPr>
                <w:rFonts w:ascii="宋体" w:eastAsia="宋体" w:cs="Lucida Sans"/>
                <w:color w:val="000000"/>
                <w:sz w:val="18"/>
              </w:rPr>
            </w:pPr>
          </w:p>
        </w:tc>
        <w:tc>
          <w:tcPr>
            <w:tcW w:w="776" w:type="dxa"/>
            <w:tcBorders>
              <w:top w:val="nil"/>
              <w:left w:val="nil"/>
              <w:bottom w:val="nil"/>
              <w:right w:val="nil"/>
              <w:tl2br w:val="nil"/>
              <w:tr2bl w:val="nil"/>
            </w:tcBorders>
          </w:tcPr>
          <w:p>
            <w:pPr>
              <w:jc w:val="center"/>
              <w:rPr>
                <w:rFonts w:ascii="微软雅黑" w:eastAsia="微软雅黑"/>
                <w:b w:val="0"/>
                <w:i/>
                <w:color w:val="000000"/>
                <w:sz w:val="16"/>
              </w:rPr>
            </w:pPr>
          </w:p>
        </w:tc>
        <w:tc>
          <w:tcPr>
            <w:tcW w:w="755" w:type="dxa"/>
            <w:tcBorders>
              <w:top w:val="nil"/>
              <w:left w:val="nil"/>
              <w:bottom w:val="nil"/>
              <w:right w:val="nil"/>
              <w:tl2br w:val="nil"/>
              <w:tr2bl w:val="nil"/>
            </w:tcBorders>
          </w:tcPr>
          <w:p>
            <w:pPr>
              <w:jc w:val="center"/>
              <w:rPr>
                <w:rFonts w:ascii="宋体" w:eastAsia="宋体" w:cs="Lucida Sans"/>
                <w:color w:val="000000"/>
                <w:sz w:val="18"/>
              </w:rPr>
            </w:pPr>
          </w:p>
        </w:tc>
        <w:tc>
          <w:tcPr>
            <w:tcW w:w="755" w:type="dxa"/>
            <w:tcBorders>
              <w:top w:val="nil"/>
              <w:left w:val="nil"/>
              <w:bottom w:val="nil"/>
              <w:right w:val="nil"/>
              <w:tl2br w:val="nil"/>
              <w:tr2bl w:val="nil"/>
            </w:tcBorders>
          </w:tcPr>
          <w:p>
            <w:pPr>
              <w:jc w:val="center"/>
              <w:rPr>
                <w:rFonts w:ascii="宋体" w:eastAsia="宋体"/>
                <w:color w:val="000000"/>
                <w:sz w:val="18"/>
              </w:rPr>
            </w:pPr>
          </w:p>
        </w:tc>
        <w:tc>
          <w:tcPr>
            <w:tcW w:w="701" w:type="dxa"/>
            <w:tcBorders>
              <w:top w:val="nil"/>
              <w:left w:val="nil"/>
              <w:bottom w:val="nil"/>
              <w:right w:val="nil"/>
              <w:tl2br w:val="nil"/>
              <w:tr2bl w:val="nil"/>
            </w:tcBorders>
          </w:tcPr>
          <w:p>
            <w:pPr>
              <w:jc w:val="center"/>
              <w:rPr>
                <w:rFonts w:ascii="微软雅黑" w:eastAsia="微软雅黑"/>
                <w:b w:val="0"/>
                <w:i/>
                <w:color w:val="000000"/>
                <w:sz w:val="16"/>
              </w:rPr>
            </w:pPr>
          </w:p>
        </w:tc>
      </w:tr>
      <w:tr>
        <w:trPr>
          <w:trHeight w:val="344"/>
        </w:trPr>
        <w:tc>
          <w:tcPr>
            <w:tcW w:w="569" w:type="dxa"/>
            <w:tcBorders>
              <w:top w:val="nil"/>
              <w:left w:val="nil"/>
              <w:bottom w:val="nil"/>
              <w:right w:val="nil"/>
              <w:tl2br w:val="nil"/>
              <w:tr2bl w:val="nil"/>
            </w:tcBorders>
          </w:tcPr>
          <w:p/>
        </w:tc>
        <w:tc>
          <w:tcPr>
            <w:tcW w:w="528" w:type="dxa"/>
            <w:tcBorders>
              <w:top w:val="nil"/>
              <w:left w:val="nil"/>
              <w:bottom w:val="nil"/>
              <w:right w:val="nil"/>
              <w:tl2br w:val="nil"/>
              <w:tr2bl w:val="nil"/>
            </w:tcBorders>
          </w:tcPr>
          <w:p>
            <w:pPr>
              <w:jc w:val="center"/>
              <w:rPr>
                <w:rFonts w:ascii="宋体" w:eastAsia="宋体" w:cs="Lucida Sans"/>
                <w:color w:val="000000"/>
                <w:sz w:val="18"/>
              </w:rPr>
            </w:pPr>
          </w:p>
        </w:tc>
        <w:tc>
          <w:tcPr>
            <w:tcW w:w="823" w:type="dxa"/>
            <w:tcBorders>
              <w:top w:val="nil"/>
              <w:left w:val="nil"/>
              <w:bottom w:val="nil"/>
              <w:right w:val="nil"/>
              <w:tl2br w:val="nil"/>
              <w:tr2bl w:val="nil"/>
            </w:tcBorders>
          </w:tcPr>
          <w:p>
            <w:pPr>
              <w:jc w:val="center"/>
              <w:rPr>
                <w:rFonts w:ascii="宋体" w:eastAsia="宋体" w:cs="Lucida Sans"/>
                <w:color w:val="000000"/>
                <w:sz w:val="18"/>
              </w:rPr>
            </w:pPr>
          </w:p>
        </w:tc>
        <w:tc>
          <w:tcPr>
            <w:tcW w:w="621" w:type="dxa"/>
            <w:tcBorders>
              <w:top w:val="nil"/>
              <w:left w:val="nil"/>
              <w:bottom w:val="nil"/>
              <w:right w:val="nil"/>
              <w:tl2br w:val="nil"/>
              <w:tr2bl w:val="nil"/>
            </w:tcBorders>
          </w:tcPr>
          <w:p>
            <w:pPr>
              <w:jc w:val="center"/>
              <w:rPr>
                <w:rFonts w:ascii="宋体" w:eastAsia="宋体" w:cs="Lucida Sans"/>
                <w:color w:val="000000"/>
                <w:sz w:val="18"/>
              </w:rPr>
            </w:pPr>
          </w:p>
        </w:tc>
        <w:tc>
          <w:tcPr>
            <w:tcW w:w="803" w:type="dxa"/>
            <w:tcBorders>
              <w:top w:val="nil"/>
              <w:left w:val="nil"/>
              <w:bottom w:val="nil"/>
              <w:right w:val="nil"/>
              <w:tl2br w:val="nil"/>
              <w:tr2bl w:val="nil"/>
            </w:tcBorders>
          </w:tcPr>
          <w:p>
            <w:pPr>
              <w:jc w:val="center"/>
              <w:rPr>
                <w:rFonts w:ascii="宋体" w:eastAsia="宋体" w:cs="Lucida Sans"/>
                <w:color w:val="000000"/>
                <w:sz w:val="18"/>
              </w:rPr>
            </w:pPr>
          </w:p>
        </w:tc>
        <w:tc>
          <w:tcPr>
            <w:tcW w:w="1120" w:type="dxa"/>
            <w:tcBorders>
              <w:top w:val="nil"/>
              <w:left w:val="nil"/>
              <w:bottom w:val="nil"/>
              <w:right w:val="nil"/>
              <w:tl2br w:val="nil"/>
              <w:tr2bl w:val="nil"/>
            </w:tcBorders>
          </w:tcPr>
          <w:p>
            <w:pPr>
              <w:jc w:val="center"/>
              <w:rPr>
                <w:rFonts w:ascii="宋体" w:eastAsia="宋体" w:cs="Lucida Sans"/>
                <w:color w:val="000000"/>
                <w:sz w:val="18"/>
              </w:rPr>
            </w:pPr>
          </w:p>
        </w:tc>
        <w:tc>
          <w:tcPr>
            <w:tcW w:w="898" w:type="dxa"/>
            <w:tcBorders>
              <w:top w:val="nil"/>
              <w:left w:val="nil"/>
              <w:bottom w:val="nil"/>
              <w:right w:val="nil"/>
              <w:tl2br w:val="nil"/>
              <w:tr2bl w:val="nil"/>
            </w:tcBorders>
          </w:tcPr>
          <w:p>
            <w:pPr>
              <w:jc w:val="center"/>
              <w:rPr>
                <w:rFonts w:ascii="宋体" w:eastAsia="宋体" w:cs="Lucida Sans"/>
                <w:color w:val="000000"/>
                <w:sz w:val="18"/>
              </w:rPr>
            </w:pPr>
          </w:p>
        </w:tc>
        <w:tc>
          <w:tcPr>
            <w:tcW w:w="776" w:type="dxa"/>
            <w:tcBorders>
              <w:top w:val="nil"/>
              <w:left w:val="nil"/>
              <w:bottom w:val="nil"/>
              <w:right w:val="nil"/>
              <w:tl2br w:val="nil"/>
              <w:tr2bl w:val="nil"/>
            </w:tcBorders>
          </w:tcPr>
          <w:p>
            <w:pPr>
              <w:jc w:val="center"/>
              <w:rPr>
                <w:rFonts w:ascii="微软雅黑" w:eastAsia="微软雅黑"/>
                <w:b w:val="0"/>
                <w:i/>
                <w:color w:val="000000"/>
                <w:sz w:val="16"/>
              </w:rPr>
            </w:pPr>
          </w:p>
        </w:tc>
        <w:tc>
          <w:tcPr>
            <w:tcW w:w="755" w:type="dxa"/>
            <w:tcBorders>
              <w:top w:val="nil"/>
              <w:left w:val="nil"/>
              <w:bottom w:val="nil"/>
              <w:right w:val="nil"/>
              <w:tl2br w:val="nil"/>
              <w:tr2bl w:val="nil"/>
            </w:tcBorders>
          </w:tcPr>
          <w:p>
            <w:pPr>
              <w:jc w:val="center"/>
              <w:rPr>
                <w:rFonts w:ascii="宋体" w:eastAsia="宋体" w:cs="Lucida Sans"/>
                <w:color w:val="000000"/>
                <w:sz w:val="18"/>
              </w:rPr>
            </w:pPr>
          </w:p>
        </w:tc>
        <w:tc>
          <w:tcPr>
            <w:tcW w:w="755" w:type="dxa"/>
            <w:tcBorders>
              <w:top w:val="nil"/>
              <w:left w:val="nil"/>
              <w:bottom w:val="nil"/>
              <w:right w:val="nil"/>
              <w:tl2br w:val="nil"/>
              <w:tr2bl w:val="nil"/>
            </w:tcBorders>
          </w:tcPr>
          <w:p>
            <w:pPr>
              <w:jc w:val="center"/>
              <w:rPr>
                <w:rFonts w:ascii="宋体" w:eastAsia="宋体"/>
                <w:color w:val="000000"/>
                <w:sz w:val="18"/>
              </w:rPr>
            </w:pPr>
          </w:p>
        </w:tc>
        <w:tc>
          <w:tcPr>
            <w:tcW w:w="701" w:type="dxa"/>
            <w:tcBorders>
              <w:top w:val="nil"/>
              <w:left w:val="nil"/>
              <w:bottom w:val="nil"/>
              <w:right w:val="nil"/>
              <w:tl2br w:val="nil"/>
              <w:tr2bl w:val="nil"/>
            </w:tcBorders>
          </w:tcPr>
          <w:p>
            <w:pPr>
              <w:jc w:val="center"/>
              <w:rPr>
                <w:rFonts w:ascii="微软雅黑" w:eastAsia="微软雅黑"/>
                <w:b w:val="0"/>
                <w:i/>
                <w:color w:val="000000"/>
                <w:sz w:val="16"/>
              </w:rPr>
            </w:pPr>
          </w:p>
        </w:tc>
      </w:tr>
      <w:tr>
        <w:trPr>
          <w:trHeight w:val="449"/>
        </w:trPr>
        <w:tc>
          <w:tcPr>
            <w:tcW w:w="569" w:type="dxa"/>
            <w:tcBorders>
              <w:top w:val="nil"/>
              <w:left w:val="nil"/>
              <w:bottom w:val="nil"/>
              <w:right w:val="nil"/>
              <w:tl2br w:val="nil"/>
              <w:tr2bl w:val="nil"/>
            </w:tcBorders>
          </w:tcPr>
          <w:p/>
        </w:tc>
        <w:tc>
          <w:tcPr>
            <w:tcW w:w="528" w:type="dxa"/>
            <w:tcBorders>
              <w:top w:val="nil"/>
              <w:left w:val="nil"/>
              <w:bottom w:val="nil"/>
              <w:right w:val="nil"/>
              <w:tl2br w:val="nil"/>
              <w:tr2bl w:val="nil"/>
            </w:tcBorders>
          </w:tcPr>
          <w:p>
            <w:pPr>
              <w:jc w:val="center"/>
              <w:rPr>
                <w:rFonts w:ascii="宋体" w:eastAsia="宋体" w:cs="Lucida Sans"/>
                <w:color w:val="000000"/>
                <w:sz w:val="18"/>
              </w:rPr>
            </w:pPr>
          </w:p>
        </w:tc>
        <w:tc>
          <w:tcPr>
            <w:tcW w:w="823" w:type="dxa"/>
            <w:tcBorders>
              <w:top w:val="nil"/>
              <w:left w:val="nil"/>
              <w:bottom w:val="nil"/>
              <w:right w:val="nil"/>
              <w:tl2br w:val="nil"/>
              <w:tr2bl w:val="nil"/>
            </w:tcBorders>
          </w:tcPr>
          <w:p>
            <w:pPr>
              <w:jc w:val="center"/>
              <w:rPr>
                <w:rFonts w:ascii="宋体" w:eastAsia="宋体" w:cs="Lucida Sans"/>
                <w:color w:val="000000"/>
                <w:sz w:val="18"/>
              </w:rPr>
            </w:pPr>
          </w:p>
        </w:tc>
        <w:tc>
          <w:tcPr>
            <w:tcW w:w="621" w:type="dxa"/>
            <w:tcBorders>
              <w:top w:val="nil"/>
              <w:left w:val="nil"/>
              <w:bottom w:val="nil"/>
              <w:right w:val="nil"/>
              <w:tl2br w:val="nil"/>
              <w:tr2bl w:val="nil"/>
            </w:tcBorders>
          </w:tcPr>
          <w:p>
            <w:pPr>
              <w:jc w:val="center"/>
              <w:rPr>
                <w:rFonts w:ascii="宋体" w:eastAsia="宋体" w:cs="Lucida Sans"/>
                <w:color w:val="000000"/>
                <w:sz w:val="18"/>
              </w:rPr>
            </w:pPr>
          </w:p>
        </w:tc>
        <w:tc>
          <w:tcPr>
            <w:tcW w:w="803" w:type="dxa"/>
            <w:tcBorders>
              <w:top w:val="nil"/>
              <w:left w:val="nil"/>
              <w:bottom w:val="nil"/>
              <w:right w:val="nil"/>
              <w:tl2br w:val="nil"/>
              <w:tr2bl w:val="nil"/>
            </w:tcBorders>
          </w:tcPr>
          <w:p>
            <w:pPr>
              <w:jc w:val="center"/>
              <w:rPr>
                <w:rFonts w:ascii="宋体" w:eastAsia="宋体" w:cs="Lucida Sans"/>
                <w:color w:val="000000"/>
                <w:sz w:val="18"/>
              </w:rPr>
            </w:pPr>
          </w:p>
        </w:tc>
        <w:tc>
          <w:tcPr>
            <w:tcW w:w="1120" w:type="dxa"/>
            <w:tcBorders>
              <w:top w:val="nil"/>
              <w:left w:val="nil"/>
              <w:bottom w:val="nil"/>
              <w:right w:val="nil"/>
              <w:tl2br w:val="nil"/>
              <w:tr2bl w:val="nil"/>
            </w:tcBorders>
          </w:tcPr>
          <w:p>
            <w:pPr>
              <w:jc w:val="center"/>
              <w:rPr>
                <w:rFonts w:ascii="宋体" w:eastAsia="宋体" w:cs="Lucida Sans"/>
                <w:color w:val="000000"/>
                <w:sz w:val="18"/>
              </w:rPr>
            </w:pPr>
          </w:p>
        </w:tc>
        <w:tc>
          <w:tcPr>
            <w:tcW w:w="898" w:type="dxa"/>
            <w:tcBorders>
              <w:top w:val="nil"/>
              <w:left w:val="nil"/>
              <w:bottom w:val="nil"/>
              <w:right w:val="nil"/>
              <w:tl2br w:val="nil"/>
              <w:tr2bl w:val="nil"/>
            </w:tcBorders>
          </w:tcPr>
          <w:p>
            <w:pPr>
              <w:jc w:val="center"/>
              <w:rPr>
                <w:rFonts w:ascii="宋体" w:eastAsia="宋体" w:cs="Lucida Sans"/>
                <w:color w:val="000000"/>
                <w:sz w:val="18"/>
              </w:rPr>
            </w:pPr>
          </w:p>
        </w:tc>
        <w:tc>
          <w:tcPr>
            <w:tcW w:w="776" w:type="dxa"/>
            <w:tcBorders>
              <w:top w:val="nil"/>
              <w:left w:val="nil"/>
              <w:bottom w:val="nil"/>
              <w:right w:val="nil"/>
              <w:tl2br w:val="nil"/>
              <w:tr2bl w:val="nil"/>
            </w:tcBorders>
          </w:tcPr>
          <w:p>
            <w:pPr>
              <w:jc w:val="center"/>
              <w:rPr>
                <w:rFonts w:ascii="微软雅黑" w:eastAsia="微软雅黑"/>
                <w:b w:val="0"/>
                <w:i/>
                <w:color w:val="000000"/>
                <w:sz w:val="16"/>
              </w:rPr>
            </w:pPr>
          </w:p>
        </w:tc>
        <w:tc>
          <w:tcPr>
            <w:tcW w:w="755" w:type="dxa"/>
            <w:tcBorders>
              <w:top w:val="nil"/>
              <w:left w:val="nil"/>
              <w:bottom w:val="nil"/>
              <w:right w:val="nil"/>
              <w:tl2br w:val="nil"/>
              <w:tr2bl w:val="nil"/>
            </w:tcBorders>
          </w:tcPr>
          <w:p>
            <w:pPr>
              <w:jc w:val="center"/>
              <w:rPr>
                <w:rFonts w:ascii="宋体" w:eastAsia="宋体" w:cs="Lucida Sans"/>
                <w:color w:val="000000"/>
                <w:sz w:val="18"/>
              </w:rPr>
            </w:pPr>
          </w:p>
        </w:tc>
        <w:tc>
          <w:tcPr>
            <w:tcW w:w="755" w:type="dxa"/>
            <w:tcBorders>
              <w:top w:val="nil"/>
              <w:left w:val="nil"/>
              <w:bottom w:val="nil"/>
              <w:right w:val="nil"/>
              <w:tl2br w:val="nil"/>
              <w:tr2bl w:val="nil"/>
            </w:tcBorders>
          </w:tcPr>
          <w:p>
            <w:pPr>
              <w:jc w:val="center"/>
              <w:rPr>
                <w:rFonts w:ascii="宋体" w:eastAsia="宋体"/>
                <w:color w:val="000000"/>
                <w:sz w:val="18"/>
              </w:rPr>
            </w:pPr>
          </w:p>
        </w:tc>
        <w:tc>
          <w:tcPr>
            <w:tcW w:w="701" w:type="dxa"/>
            <w:tcBorders>
              <w:top w:val="nil"/>
              <w:left w:val="nil"/>
              <w:bottom w:val="nil"/>
              <w:right w:val="nil"/>
              <w:tl2br w:val="nil"/>
              <w:tr2bl w:val="nil"/>
            </w:tcBorders>
          </w:tcPr>
          <w:p>
            <w:pPr>
              <w:jc w:val="center"/>
              <w:rPr>
                <w:rFonts w:ascii="微软雅黑" w:eastAsia="微软雅黑"/>
                <w:b w:val="0"/>
                <w:i/>
                <w:color w:val="000000"/>
                <w:sz w:val="16"/>
              </w:rPr>
            </w:pPr>
          </w:p>
        </w:tc>
      </w:tr>
      <w:tr>
        <w:trPr>
          <w:trHeight w:val="284"/>
        </w:trPr>
        <w:tc>
          <w:tcPr>
            <w:tcW w:w="6138" w:type="dxa"/>
            <w:gridSpan w:val="8"/>
            <w:tcBorders>
              <w:top w:val="nil"/>
              <w:left w:val="nil"/>
              <w:bottom w:val="nil"/>
              <w:right w:val="nil"/>
              <w:tl2br w:val="nil"/>
              <w:tr2bl w:val="nil"/>
            </w:tcBorders>
          </w:tcPr>
          <w:p>
            <w:pPr>
              <w:jc w:val="center"/>
              <w:rPr>
                <w:rFonts w:ascii="宋体" w:eastAsia="宋体" w:cs="Lucida Sans"/>
                <w:color w:val="000000"/>
                <w:sz w:val="18"/>
              </w:rPr>
            </w:pPr>
          </w:p>
        </w:tc>
        <w:tc>
          <w:tcPr>
            <w:tcW w:w="755" w:type="dxa"/>
            <w:tcBorders>
              <w:top w:val="nil"/>
              <w:left w:val="nil"/>
              <w:bottom w:val="nil"/>
              <w:right w:val="nil"/>
              <w:tl2br w:val="nil"/>
              <w:tr2bl w:val="nil"/>
            </w:tcBorders>
          </w:tcPr>
          <w:p>
            <w:pPr>
              <w:jc w:val="center"/>
              <w:rPr>
                <w:rFonts w:ascii="宋体" w:eastAsia="宋体" w:cs="Lucida Sans"/>
                <w:color w:val="000000"/>
                <w:sz w:val="18"/>
              </w:rPr>
            </w:pPr>
          </w:p>
        </w:tc>
        <w:tc>
          <w:tcPr>
            <w:tcW w:w="755" w:type="dxa"/>
            <w:tcBorders>
              <w:top w:val="nil"/>
              <w:left w:val="nil"/>
              <w:bottom w:val="nil"/>
              <w:right w:val="nil"/>
              <w:tl2br w:val="nil"/>
              <w:tr2bl w:val="nil"/>
            </w:tcBorders>
          </w:tcPr>
          <w:p>
            <w:pPr>
              <w:rPr>
                <w:rFonts w:ascii="宋体" w:eastAsia="宋体"/>
                <w:color w:val="000000"/>
                <w:sz w:val="18"/>
              </w:rPr>
            </w:pPr>
          </w:p>
        </w:tc>
        <w:tc>
          <w:tcPr>
            <w:tcW w:w="701" w:type="dxa"/>
            <w:tcBorders>
              <w:top w:val="nil"/>
              <w:left w:val="nil"/>
              <w:bottom w:val="nil"/>
              <w:right w:val="nil"/>
              <w:tl2br w:val="nil"/>
              <w:tr2bl w:val="nil"/>
            </w:tcBorders>
          </w:tcPr>
          <w:p>
            <w:pPr>
              <w:rPr>
                <w:rFonts w:ascii="宋体" w:eastAsia="宋体"/>
                <w:color w:val="000000"/>
                <w:sz w:val="18"/>
              </w:rPr>
            </w:pPr>
          </w:p>
        </w:tc>
      </w:tr>
      <w:tr>
        <w:trPr>
          <w:trHeight w:val="599"/>
        </w:trPr>
        <w:tc>
          <w:tcPr>
            <w:tcW w:w="569" w:type="dxa"/>
            <w:tcBorders>
              <w:top w:val="nil"/>
              <w:left w:val="nil"/>
              <w:bottom w:val="nil"/>
              <w:right w:val="nil"/>
              <w:tl2br w:val="nil"/>
              <w:tr2bl w:val="nil"/>
            </w:tcBorders>
          </w:tcPr>
          <w:p>
            <w:pPr>
              <w:jc w:val="center"/>
              <w:rPr>
                <w:rFonts w:ascii="宋体" w:eastAsia="宋体" w:cs="Lucida Sans"/>
                <w:color w:val="000000"/>
                <w:sz w:val="18"/>
              </w:rPr>
            </w:pPr>
          </w:p>
        </w:tc>
        <w:tc>
          <w:tcPr>
            <w:tcW w:w="7781" w:type="dxa"/>
            <w:gridSpan w:val="10"/>
            <w:tcBorders>
              <w:top w:val="nil"/>
              <w:left w:val="nil"/>
              <w:bottom w:val="nil"/>
              <w:right w:val="nil"/>
              <w:tl2br w:val="nil"/>
              <w:tr2bl w:val="nil"/>
            </w:tcBorders>
          </w:tcPr>
          <w:p>
            <w:pPr>
              <w:jc w:val="center"/>
              <w:rPr>
                <w:rFonts w:ascii="微软雅黑" w:eastAsia="微软雅黑" w:cs="Lucida Sans"/>
                <w:b w:val="0"/>
                <w:i/>
                <w:color w:val="000000"/>
                <w:sz w:val="16"/>
              </w:rPr>
            </w:pPr>
          </w:p>
        </w:tc>
      </w:tr>
      <w:tr>
        <w:trPr>
          <w:trHeight w:val="569"/>
        </w:trPr>
        <w:tc>
          <w:tcPr>
            <w:tcW w:w="569" w:type="dxa"/>
            <w:tcBorders>
              <w:top w:val="nil"/>
              <w:left w:val="nil"/>
              <w:bottom w:val="nil"/>
              <w:right w:val="nil"/>
              <w:tl2br w:val="nil"/>
              <w:tr2bl w:val="nil"/>
            </w:tcBorders>
          </w:tcPr>
          <w:p>
            <w:pPr>
              <w:jc w:val="center"/>
              <w:rPr>
                <w:rFonts w:ascii="宋体" w:eastAsia="宋体" w:cs="Lucida Sans"/>
                <w:color w:val="000000"/>
                <w:sz w:val="18"/>
              </w:rPr>
            </w:pPr>
          </w:p>
        </w:tc>
        <w:tc>
          <w:tcPr>
            <w:tcW w:w="7781" w:type="dxa"/>
            <w:gridSpan w:val="10"/>
            <w:tcBorders>
              <w:top w:val="nil"/>
              <w:left w:val="nil"/>
              <w:bottom w:val="nil"/>
              <w:right w:val="nil"/>
              <w:tl2br w:val="nil"/>
              <w:tr2bl w:val="nil"/>
            </w:tcBorders>
          </w:tcPr>
          <w:p>
            <w:pPr>
              <w:jc w:val="center"/>
              <w:rPr>
                <w:rFonts w:ascii="微软雅黑" w:eastAsia="微软雅黑" w:cs="Lucida Sans"/>
                <w:b w:val="0"/>
                <w:i/>
                <w:color w:val="000000"/>
                <w:sz w:val="16"/>
              </w:rPr>
            </w:pPr>
          </w:p>
        </w:tc>
      </w:tr>
      <w:tr>
        <w:trPr>
          <w:trHeight w:val="629"/>
        </w:trPr>
        <w:tc>
          <w:tcPr>
            <w:tcW w:w="569" w:type="dxa"/>
            <w:tcBorders>
              <w:top w:val="nil"/>
              <w:left w:val="nil"/>
              <w:bottom w:val="nil"/>
              <w:right w:val="nil"/>
              <w:tl2br w:val="nil"/>
              <w:tr2bl w:val="nil"/>
            </w:tcBorders>
          </w:tcPr>
          <w:p>
            <w:pPr>
              <w:jc w:val="center"/>
              <w:rPr>
                <w:rFonts w:ascii="宋体" w:eastAsia="宋体" w:cs="Lucida Sans"/>
                <w:color w:val="000000"/>
                <w:sz w:val="18"/>
              </w:rPr>
            </w:pPr>
          </w:p>
        </w:tc>
        <w:tc>
          <w:tcPr>
            <w:tcW w:w="7781" w:type="dxa"/>
            <w:gridSpan w:val="10"/>
            <w:tcBorders>
              <w:top w:val="nil"/>
              <w:left w:val="nil"/>
              <w:bottom w:val="nil"/>
              <w:right w:val="nil"/>
              <w:tl2br w:val="nil"/>
              <w:tr2bl w:val="nil"/>
            </w:tcBorders>
          </w:tcPr>
          <w:p>
            <w:pPr>
              <w:jc w:val="center"/>
              <w:rPr>
                <w:rFonts w:ascii="微软雅黑" w:eastAsia="微软雅黑" w:cs="Lucida Sans"/>
                <w:b w:val="0"/>
                <w:i/>
                <w:color w:val="000000"/>
                <w:sz w:val="16"/>
              </w:rPr>
            </w:pPr>
          </w:p>
        </w:tc>
      </w:tr>
      <w:tr>
        <w:trPr>
          <w:trHeight w:val="284"/>
        </w:trPr>
        <w:tc>
          <w:tcPr>
            <w:tcW w:w="3344" w:type="dxa"/>
            <w:gridSpan w:val="5"/>
            <w:tcBorders>
              <w:top w:val="nil"/>
              <w:left w:val="nil"/>
              <w:bottom w:val="nil"/>
              <w:right w:val="nil"/>
              <w:tl2br w:val="nil"/>
              <w:tr2bl w:val="nil"/>
            </w:tcBorders>
          </w:tcPr>
          <w:p>
            <w:pPr>
              <w:rPr>
                <w:rFonts w:ascii="黑体" w:eastAsia="黑体" w:cs="Lucida Sans"/>
                <w:color w:val="000000"/>
                <w:sz w:val="18"/>
              </w:rPr>
            </w:pPr>
          </w:p>
        </w:tc>
        <w:tc>
          <w:tcPr>
            <w:tcW w:w="5006" w:type="dxa"/>
            <w:gridSpan w:val="6"/>
            <w:tcBorders>
              <w:top w:val="nil"/>
              <w:left w:val="nil"/>
              <w:bottom w:val="nil"/>
              <w:right w:val="nil"/>
              <w:tl2br w:val="nil"/>
              <w:tr2bl w:val="nil"/>
            </w:tcBorders>
          </w:tcPr>
          <w:p>
            <w:pPr>
              <w:jc w:val="center"/>
              <w:rPr>
                <w:rFonts w:ascii="黑体" w:eastAsia="黑体" w:cs="Lucida Sans"/>
                <w:color w:val="000000"/>
                <w:sz w:val="18"/>
              </w:rPr>
            </w:pPr>
          </w:p>
        </w:tc>
      </w:tr>
    </w:tbl>
    <w:tbl>
      <w:tblPr>
        <w:tblpPr w:leftFromText="180" w:rightFromText="180" w:vertAnchor="text" w:horzAnchor="page" w:tblpX="1" w:tblpY="415"/>
        <w:tblOverlap w:val="never"/>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5768"/>
        <w:gridCol w:w="2130"/>
        <w:gridCol w:w="1845"/>
        <w:gridCol w:w="2340"/>
        <w:gridCol w:w="600"/>
        <w:gridCol w:w="1755"/>
        <w:gridCol w:w="600"/>
        <w:gridCol w:w="1170"/>
        <w:gridCol w:w="585"/>
        <w:gridCol w:w="525"/>
        <w:gridCol w:w="2625"/>
      </w:tblGrid>
      <w:tr>
        <w:trPr>
          <w:trHeight w:val="899"/>
        </w:trPr>
        <w:tc>
          <w:tcPr>
            <w:tcW w:w="14940" w:type="dxa"/>
            <w:gridSpan w:val="11"/>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Lucida Sans"/>
                <w:b/>
                <w:i w:val="0"/>
                <w:color w:val="000000"/>
                <w:sz w:val="30"/>
              </w:rPr>
            </w:pPr>
            <w:r>
              <w:rPr>
                <w:rFonts w:ascii="黑体" w:eastAsia="黑体" w:cs="Lucida Sans"/>
                <w:b/>
                <w:i w:val="0"/>
                <w:color w:val="000000"/>
                <w:sz w:val="30"/>
              </w:rPr>
              <w:t>部门预算项目支出绩效自评表（2025年度）</w:t>
            </w:r>
          </w:p>
        </w:tc>
      </w:tr>
      <w:tr>
        <w:trPr>
          <w:trHeight w:val="284"/>
        </w:trPr>
        <w:tc>
          <w:tcPr>
            <w:tcW w:w="2895"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Lucida Sans"/>
                <w:color w:val="000000"/>
                <w:sz w:val="18"/>
              </w:rPr>
            </w:pPr>
            <w:r>
              <w:rPr>
                <w:rFonts w:ascii="SimSun" w:eastAsia="SimSun" w:cs="Lucida Sans"/>
                <w:color w:val="000000"/>
                <w:sz w:val="18"/>
              </w:rPr>
              <w:t>项目名称</w:t>
            </w:r>
          </w:p>
        </w:tc>
        <w:tc>
          <w:tcPr>
            <w:tcW w:w="12045" w:type="dxa"/>
            <w:gridSpan w:val="9"/>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Lucida Sans"/>
                <w:color w:val="000000"/>
                <w:sz w:val="18"/>
              </w:rPr>
            </w:pPr>
            <w:r>
              <w:rPr>
                <w:rFonts w:ascii="SimSun" w:eastAsia="SimSun" w:cs="Lucida Sans"/>
                <w:color w:val="000000"/>
                <w:sz w:val="18"/>
              </w:rPr>
              <w:t>51320021T000000090247-老会长慰问费</w:t>
            </w:r>
          </w:p>
        </w:tc>
      </w:tr>
      <w:tr>
        <w:trPr>
          <w:trHeight w:val="509"/>
        </w:trPr>
        <w:tc>
          <w:tcPr>
            <w:tcW w:w="2895"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Lucida Sans"/>
                <w:color w:val="000000"/>
                <w:sz w:val="18"/>
              </w:rPr>
            </w:pPr>
            <w:r>
              <w:rPr>
                <w:rFonts w:ascii="SimSun" w:eastAsia="SimSun" w:cs="Lucida Sans"/>
                <w:color w:val="000000"/>
                <w:sz w:val="18"/>
              </w:rPr>
              <w:t>主管部门</w:t>
            </w:r>
          </w:p>
        </w:tc>
        <w:tc>
          <w:tcPr>
            <w:tcW w:w="7140" w:type="dxa"/>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Lucida Sans"/>
                <w:color w:val="000000"/>
                <w:sz w:val="18"/>
              </w:rPr>
            </w:pPr>
            <w:r>
              <w:rPr>
                <w:rFonts w:ascii="SimSun" w:eastAsia="SimSun" w:cs="Lucida Sans"/>
                <w:color w:val="000000"/>
                <w:sz w:val="18"/>
              </w:rPr>
              <w:t>州佛协部门</w:t>
            </w:r>
          </w:p>
        </w:tc>
        <w:tc>
          <w:tcPr>
            <w:tcW w:w="1170" w:type="dxa"/>
            <w:tcBorders>
              <w:top w:val="nil"/>
              <w:left w:val="nil"/>
              <w:bottom w:val="nil"/>
              <w:right w:val="nil"/>
              <w:tl2br w:val="nil"/>
              <w:tr2bl w:val="nil"/>
            </w:tcBorders>
            <w:noWrap/>
            <w:vAlign w:val="center"/>
          </w:tcPr>
          <w:p>
            <w:pPr>
              <w:jc w:val="center"/>
              <w:rPr>
                <w:rFonts w:ascii="simhei" w:eastAsia="simhei" w:cs="Lucida Sans" w:hAnsi="simhei"/>
                <w:color w:val="000000"/>
                <w:sz w:val="18"/>
              </w:rPr>
            </w:pPr>
            <w:r>
              <w:rPr>
                <w:rFonts w:ascii="simhei" w:eastAsia="simhei" w:cs="Lucida Sans" w:hAnsi="simhei"/>
                <w:color w:val="000000"/>
                <w:sz w:val="18"/>
              </w:rPr>
              <w:t>实施单位 （盖章）</w:t>
            </w:r>
          </w:p>
        </w:tc>
        <w:tc>
          <w:tcPr>
            <w:tcW w:w="373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Lucida Sans"/>
                <w:color w:val="000000"/>
                <w:sz w:val="18"/>
              </w:rPr>
            </w:pPr>
            <w:r>
              <w:rPr>
                <w:rFonts w:ascii="SimSun" w:eastAsia="SimSun" w:cs="Lucida Sans"/>
                <w:color w:val="000000"/>
                <w:sz w:val="18"/>
              </w:rPr>
              <w:t>州佛协</w:t>
            </w:r>
          </w:p>
        </w:tc>
      </w:tr>
      <w:tr>
        <w:trPr>
          <w:trHeight w:val="284"/>
        </w:trPr>
        <w:tc>
          <w:tcPr>
            <w:tcW w:w="76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Lucida Sans"/>
                <w:color w:val="000000"/>
                <w:sz w:val="18"/>
              </w:rPr>
            </w:pPr>
            <w:r>
              <w:rPr>
                <w:rFonts w:ascii="SimSun" w:eastAsia="SimSun" w:cs="Lucida Sans"/>
                <w:color w:val="000000"/>
                <w:sz w:val="18"/>
              </w:rPr>
              <w:t>项目基本情况</w:t>
            </w:r>
          </w:p>
        </w:tc>
        <w:tc>
          <w:tcPr>
            <w:tcW w:w="2130"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Lucida Sans"/>
                <w:color w:val="000000"/>
                <w:sz w:val="18"/>
              </w:rPr>
            </w:pPr>
            <w:r>
              <w:rPr>
                <w:rFonts w:ascii="SimSun" w:eastAsia="SimSun" w:cs="Lucida Sans"/>
                <w:color w:val="000000"/>
                <w:sz w:val="18"/>
              </w:rPr>
              <w:t>1.项目年度目标完成情况</w:t>
            </w:r>
          </w:p>
        </w:tc>
        <w:tc>
          <w:tcPr>
            <w:tcW w:w="7140" w:type="dxa"/>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Lucida Sans"/>
                <w:color w:val="000000"/>
                <w:sz w:val="18"/>
              </w:rPr>
            </w:pPr>
            <w:r>
              <w:rPr>
                <w:rFonts w:ascii="SimSun" w:eastAsia="SimSun" w:cs="Lucida Sans"/>
                <w:color w:val="000000"/>
                <w:sz w:val="18"/>
              </w:rPr>
              <w:t>项目年度目标</w:t>
            </w:r>
          </w:p>
        </w:tc>
        <w:tc>
          <w:tcPr>
            <w:tcW w:w="4905" w:type="dxa"/>
            <w:gridSpan w:val="4"/>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hei" w:eastAsia="simhei" w:cs="Lucida Sans" w:hAnsi="simhei"/>
                <w:color w:val="000000"/>
                <w:sz w:val="18"/>
              </w:rPr>
            </w:pPr>
            <w:r>
              <w:rPr>
                <w:rFonts w:ascii="simhei" w:eastAsia="simhei" w:cs="Lucida Sans" w:hAnsi="simhei"/>
                <w:color w:val="000000"/>
                <w:sz w:val="18"/>
              </w:rPr>
              <w:t>年度目标完成情况</w:t>
            </w:r>
          </w:p>
        </w:tc>
      </w:tr>
      <w:tr>
        <w:trPr>
          <w:trHeight w:val="1619"/>
        </w:trPr>
        <w:tc>
          <w:tcPr>
            <w:tcW w:w="76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7140" w:type="dxa"/>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Lucida Sans"/>
                <w:color w:val="000000"/>
                <w:sz w:val="18"/>
              </w:rPr>
            </w:pPr>
            <w:r>
              <w:rPr>
                <w:rFonts w:ascii="SimSun" w:eastAsia="SimSun" w:cs="Lucida Sans"/>
                <w:color w:val="000000"/>
                <w:sz w:val="18"/>
              </w:rPr>
              <w:t>　根据我会工作实际，按照州委主要领导的指示，要求我会在春节前开展老会长、老活佛的慰问工作，传达党和政府的问候和关心，为切实做好此项工作。通过慰问老会长、老活佛，传达党和政府的关心关爱，促进宗教和谐，鼓励老同志继续为我州宗教工作建言献策</w:t>
            </w:r>
          </w:p>
        </w:tc>
        <w:tc>
          <w:tcPr>
            <w:tcW w:w="4905" w:type="dxa"/>
            <w:gridSpan w:val="4"/>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hei" w:eastAsia="simhei" w:cs="Lucida Sans" w:hAnsi="simhei"/>
                <w:color w:val="000000"/>
                <w:sz w:val="18"/>
              </w:rPr>
            </w:pPr>
            <w:r>
              <w:rPr>
                <w:rFonts w:ascii="simhei" w:eastAsia="simhei" w:cs="Lucida Sans" w:hAnsi="simhei"/>
                <w:color w:val="000000"/>
                <w:sz w:val="18"/>
              </w:rPr>
              <w:t>2025年对已离任的老会长、老活佛等宗教界代表人士进行慰问8人,发放对象及数额准确率100%,有效传达党和政府的关心、关爱.本次慰问项目组织严谨、安排周密、执行顺畅、措施暖心，切实做到了关心到位、沟通到位、了解到位，有效增强了宗教界代表人士的归属感与认同感，维护了宗教领域的和谐稳定，圆满完成年度慰问工作任务。</w:t>
            </w:r>
          </w:p>
        </w:tc>
      </w:tr>
      <w:tr>
        <w:trPr>
          <w:trHeight w:val="1499"/>
        </w:trPr>
        <w:tc>
          <w:tcPr>
            <w:tcW w:w="76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Lucida Sans"/>
                <w:color w:val="000000"/>
                <w:sz w:val="18"/>
              </w:rPr>
            </w:pPr>
            <w:r>
              <w:rPr>
                <w:rFonts w:ascii="SimSun" w:eastAsia="SimSun" w:cs="Lucida Sans"/>
                <w:color w:val="000000"/>
                <w:sz w:val="18"/>
              </w:rPr>
              <w:t>2.项目实施内容及过程概述</w:t>
            </w:r>
          </w:p>
        </w:tc>
        <w:tc>
          <w:tcPr>
            <w:tcW w:w="12045" w:type="dxa"/>
            <w:gridSpan w:val="9"/>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Lucida Sans"/>
                <w:color w:val="000000"/>
                <w:sz w:val="18"/>
              </w:rPr>
            </w:pPr>
            <w:r>
              <w:rPr>
                <w:rFonts w:ascii="SimSun" w:eastAsia="SimSun" w:cs="Lucida Sans"/>
                <w:color w:val="000000"/>
                <w:sz w:val="18"/>
              </w:rPr>
              <w:t>本项目旨在进一步贯彻落实党和政府对宗教界代表人士的关心关怀政策，扎实做好离退休及已离任代表人士的联络服务工作，通过组织开展走访慰问活动，传递组织关怀、了解生活状况、沟通思想动态，促进宗教界和谐稳定。项目严格按照相关经费管理规定、慰问工作制度及年度预算组织实施，坚持政策暖心、程序合规、开支规范、实事求实的工作原则。慰问实施过程中，严格按照既定方案，组织工作人员采取上门走访、座谈慰问等多种方式，与慰问对象亲切交流。工作人员认真了解他们的生活情况、身体健康状况和实际困难，耐心听取意见建议，及时做好沟通记录和情况反馈。慰问物资与慰问金严格按照预算标准发放，做到对象明确、金额准确、依据充分、手续齐全，全过程实行公开透明、即时登记、财务合规管理。</w:t>
            </w:r>
          </w:p>
          <w:p>
            <w:pPr>
              <w:rPr>
                <w:rFonts w:ascii="SimSun" w:eastAsia="SimSun" w:cs="Lucida Sans"/>
                <w:color w:val="000000"/>
                <w:sz w:val="18"/>
              </w:rPr>
            </w:pPr>
            <w:r>
              <w:rPr>
                <w:rFonts w:ascii="SimSun" w:eastAsia="SimSun" w:cs="Lucida Sans"/>
                <w:color w:val="000000"/>
                <w:sz w:val="18"/>
              </w:rPr>
              <w:t xml:space="preserve"> </w:t>
            </w:r>
          </w:p>
        </w:tc>
      </w:tr>
      <w:tr>
        <w:trPr>
          <w:trHeight w:val="359"/>
        </w:trPr>
        <w:tc>
          <w:tcPr>
            <w:tcW w:w="76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Lucida Sans"/>
                <w:color w:val="000000"/>
                <w:sz w:val="18"/>
              </w:rPr>
            </w:pPr>
            <w:r>
              <w:rPr>
                <w:rFonts w:ascii="SimSun" w:eastAsia="SimSun" w:cs="Lucida Sans"/>
                <w:color w:val="000000"/>
                <w:sz w:val="18"/>
              </w:rPr>
              <w:t>预算执行情况（10分）</w:t>
            </w: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Lucida Sans"/>
                <w:color w:val="000000"/>
                <w:sz w:val="18"/>
              </w:rPr>
            </w:pPr>
            <w:r>
              <w:rPr>
                <w:rFonts w:ascii="SimSun" w:eastAsia="SimSun" w:cs="Lucida Sans"/>
                <w:color w:val="000000"/>
                <w:sz w:val="18"/>
              </w:rPr>
              <w:t>年度预算数（万元）</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Lucida Sans"/>
                <w:color w:val="000000"/>
                <w:sz w:val="18"/>
              </w:rPr>
            </w:pPr>
            <w:r>
              <w:rPr>
                <w:rFonts w:ascii="SimSun" w:eastAsia="SimSun" w:cs="Lucida Sans"/>
                <w:color w:val="000000"/>
                <w:sz w:val="18"/>
              </w:rPr>
              <w:t>年初预算</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Lucida Sans"/>
                <w:color w:val="000000"/>
                <w:sz w:val="18"/>
              </w:rPr>
            </w:pPr>
            <w:r>
              <w:rPr>
                <w:rFonts w:ascii="SimSun" w:eastAsia="SimSun" w:cs="Lucida Sans"/>
                <w:color w:val="000000"/>
                <w:sz w:val="18"/>
              </w:rPr>
              <w:t>调整后预算数</w:t>
            </w:r>
          </w:p>
        </w:tc>
        <w:tc>
          <w:tcPr>
            <w:tcW w:w="295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Lucida Sans"/>
                <w:color w:val="000000"/>
                <w:sz w:val="18"/>
              </w:rPr>
            </w:pPr>
            <w:r>
              <w:rPr>
                <w:rFonts w:ascii="SimSun" w:eastAsia="SimSun" w:cs="Lucida Sans"/>
                <w:color w:val="000000"/>
                <w:sz w:val="18"/>
              </w:rPr>
              <w:t>预算执行数</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Lucida Sans"/>
                <w:color w:val="000000"/>
                <w:sz w:val="18"/>
              </w:rPr>
            </w:pPr>
            <w:r>
              <w:rPr>
                <w:rFonts w:ascii="SimSun" w:eastAsia="SimSun" w:cs="Lucida Sans"/>
                <w:color w:val="000000"/>
                <w:sz w:val="18"/>
              </w:rPr>
              <w:t>预算执行率</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Lucida Sans"/>
                <w:color w:val="000000"/>
                <w:sz w:val="18"/>
              </w:rPr>
            </w:pPr>
            <w:r>
              <w:rPr>
                <w:rFonts w:ascii="SimSun" w:eastAsia="SimSun" w:cs="Lucida Sans"/>
                <w:color w:val="000000"/>
                <w:sz w:val="18"/>
              </w:rPr>
              <w:t>权重</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Lucida Sans"/>
                <w:color w:val="000000"/>
                <w:sz w:val="18"/>
              </w:rPr>
            </w:pPr>
            <w:r>
              <w:rPr>
                <w:rFonts w:ascii="SimSun" w:eastAsia="SimSun" w:cs="Lucida Sans"/>
                <w:color w:val="000000"/>
                <w:sz w:val="18"/>
              </w:rPr>
              <w:t>得分</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Lucida Sans"/>
                <w:color w:val="000000"/>
                <w:sz w:val="18"/>
              </w:rPr>
            </w:pPr>
            <w:r>
              <w:rPr>
                <w:rFonts w:ascii="SimSun" w:eastAsia="SimSun" w:cs="Lucida Sans"/>
                <w:color w:val="000000"/>
                <w:sz w:val="18"/>
              </w:rPr>
              <w:t>原因</w:t>
            </w:r>
          </w:p>
        </w:tc>
      </w:tr>
      <w:tr>
        <w:trPr>
          <w:trHeight w:val="344"/>
        </w:trPr>
        <w:tc>
          <w:tcPr>
            <w:tcW w:w="76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Lucida Sans"/>
                <w:color w:val="000000"/>
                <w:sz w:val="18"/>
              </w:rPr>
            </w:pPr>
            <w:r>
              <w:rPr>
                <w:rFonts w:ascii="SimSun" w:eastAsia="SimSun" w:cs="Lucida Sans"/>
                <w:color w:val="000000"/>
                <w:sz w:val="18"/>
              </w:rPr>
              <w:t>总额</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Lucida Sans"/>
                <w:color w:val="000000"/>
                <w:sz w:val="18"/>
              </w:rPr>
            </w:pPr>
            <w:r>
              <w:rPr>
                <w:rFonts w:ascii="SimSun" w:eastAsia="SimSun" w:cs="Lucida Sans"/>
                <w:color w:val="000000"/>
                <w:sz w:val="18"/>
              </w:rPr>
              <w:t>0.90</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Lucida Sans"/>
                <w:color w:val="000000"/>
                <w:sz w:val="18"/>
              </w:rPr>
            </w:pPr>
            <w:r>
              <w:rPr>
                <w:rFonts w:ascii="SimSun" w:eastAsia="SimSun" w:cs="Lucida Sans"/>
                <w:color w:val="000000"/>
                <w:sz w:val="18"/>
              </w:rPr>
              <w:t>0.90</w:t>
            </w:r>
          </w:p>
        </w:tc>
        <w:tc>
          <w:tcPr>
            <w:tcW w:w="295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Lucida Sans"/>
                <w:color w:val="000000"/>
                <w:sz w:val="18"/>
              </w:rPr>
            </w:pPr>
            <w:r>
              <w:rPr>
                <w:rFonts w:ascii="SimSun" w:eastAsia="SimSun" w:cs="Lucida Sans"/>
                <w:color w:val="000000"/>
                <w:sz w:val="18"/>
              </w:rPr>
              <w:t>0.90</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Lucida Sans"/>
                <w:color w:val="000000"/>
                <w:sz w:val="18"/>
              </w:rPr>
            </w:pPr>
            <w:r>
              <w:rPr>
                <w:rFonts w:ascii="SimSun" w:eastAsia="SimSun" w:cs="Lucida Sans"/>
                <w:color w:val="000000"/>
                <w:sz w:val="18"/>
              </w:rPr>
              <w:t>100.00%</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Lucida Sans"/>
                <w:color w:val="000000"/>
                <w:sz w:val="18"/>
              </w:rPr>
            </w:pPr>
            <w:r>
              <w:rPr>
                <w:rFonts w:ascii="SimSun" w:eastAsia="SimSun" w:cs="Lucida Sans"/>
                <w:color w:val="000000"/>
                <w:sz w:val="18"/>
              </w:rPr>
              <w:t>10</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Lucida Sans"/>
                <w:color w:val="000000"/>
                <w:sz w:val="18"/>
              </w:rPr>
            </w:pPr>
            <w:r>
              <w:rPr>
                <w:rFonts w:ascii="SimSun" w:eastAsia="SimSun" w:cs="Lucida Sans"/>
                <w:color w:val="000000"/>
                <w:sz w:val="18"/>
              </w:rPr>
              <w:t>10</w:t>
            </w:r>
          </w:p>
        </w:tc>
        <w:tc>
          <w:tcPr>
            <w:tcW w:w="262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hei" w:eastAsia="simhei" w:cs="Lucida Sans" w:hAnsi="simhei"/>
                <w:b w:val="0"/>
                <w:i/>
                <w:color w:val="000000"/>
                <w:sz w:val="18"/>
              </w:rPr>
            </w:pPr>
            <w:r>
              <w:rPr>
                <w:rFonts w:ascii="simhei" w:eastAsia="simhei" w:cs="Lucida Sans" w:hAnsi="simhei"/>
                <w:b w:val="0"/>
                <w:i/>
                <w:color w:val="000000"/>
                <w:sz w:val="18"/>
              </w:rPr>
              <w:t>1.预算执行率=预算执行数/调整后预算数，预算执行率未达到90%的需说明原因（100字以内）;2.年中发生预算调整的（追加或调减）,应单独说明理由；3.其他资金包括：社会投入资金、银行贷款.</w:t>
            </w:r>
          </w:p>
        </w:tc>
      </w:tr>
      <w:tr>
        <w:trPr>
          <w:trHeight w:val="389"/>
        </w:trPr>
        <w:tc>
          <w:tcPr>
            <w:tcW w:w="76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Lucida Sans"/>
                <w:color w:val="000000"/>
                <w:sz w:val="18"/>
              </w:rPr>
            </w:pPr>
            <w:r>
              <w:rPr>
                <w:rFonts w:ascii="SimSun" w:eastAsia="SimSun" w:cs="Lucida Sans"/>
                <w:color w:val="000000"/>
                <w:sz w:val="18"/>
              </w:rPr>
              <w:t>其中：财政资金</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Lucida Sans"/>
                <w:color w:val="000000"/>
                <w:sz w:val="18"/>
              </w:rPr>
            </w:pPr>
            <w:r>
              <w:rPr>
                <w:rFonts w:ascii="SimSun" w:eastAsia="SimSun" w:cs="Lucida Sans"/>
                <w:color w:val="000000"/>
                <w:sz w:val="18"/>
              </w:rPr>
              <w:t>0.90</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Lucida Sans"/>
                <w:color w:val="000000"/>
                <w:sz w:val="18"/>
              </w:rPr>
            </w:pPr>
            <w:r>
              <w:rPr>
                <w:rFonts w:ascii="SimSun" w:eastAsia="SimSun" w:cs="Lucida Sans"/>
                <w:color w:val="000000"/>
                <w:sz w:val="18"/>
              </w:rPr>
              <w:t>0.90</w:t>
            </w:r>
          </w:p>
        </w:tc>
        <w:tc>
          <w:tcPr>
            <w:tcW w:w="295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Lucida Sans"/>
                <w:color w:val="000000"/>
                <w:sz w:val="18"/>
              </w:rPr>
            </w:pPr>
            <w:r>
              <w:rPr>
                <w:rFonts w:ascii="SimSun" w:eastAsia="SimSun" w:cs="Lucida Sans"/>
                <w:color w:val="000000"/>
                <w:sz w:val="18"/>
              </w:rPr>
              <w:t>0.90</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Lucida Sans"/>
                <w:color w:val="000000"/>
                <w:sz w:val="18"/>
              </w:rPr>
            </w:pPr>
            <w:r>
              <w:rPr>
                <w:rFonts w:ascii="SimSun" w:eastAsia="SimSun" w:cs="Lucida Sans"/>
                <w:color w:val="000000"/>
                <w:sz w:val="18"/>
              </w:rPr>
              <w:t>100.00%</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Lucida Sans"/>
                <w:color w:val="000000"/>
                <w:sz w:val="18"/>
              </w:rPr>
            </w:pPr>
            <w:r>
              <w:rPr>
                <w:rFonts w:ascii="SimSun" w:eastAsia="SimSun" w:cs="Lucida Sans"/>
                <w:color w:val="000000"/>
                <w:sz w:val="18"/>
              </w:rPr>
              <w:t>/</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Lucida Sans"/>
                <w:color w:val="000000"/>
                <w:sz w:val="18"/>
              </w:rPr>
            </w:pPr>
            <w:r>
              <w:rPr>
                <w:rFonts w:ascii="SimSun" w:eastAsia="SimSun" w:cs="Lucida Sans"/>
                <w:color w:val="000000"/>
                <w:sz w:val="18"/>
              </w:rPr>
              <w:t>/</w:t>
            </w:r>
          </w:p>
        </w:tc>
        <w:tc>
          <w:tcPr>
            <w:tcW w:w="262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404"/>
        </w:trPr>
        <w:tc>
          <w:tcPr>
            <w:tcW w:w="76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Lucida Sans"/>
                <w:color w:val="000000"/>
                <w:sz w:val="18"/>
              </w:rPr>
            </w:pPr>
            <w:r>
              <w:rPr>
                <w:rFonts w:ascii="SimSun" w:eastAsia="SimSun" w:cs="Lucida Sans"/>
                <w:color w:val="000000"/>
                <w:sz w:val="18"/>
              </w:rPr>
              <w:t>财政专户管理资金</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Lucida Sans"/>
                <w:color w:val="000000"/>
                <w:sz w:val="18"/>
              </w:rPr>
            </w:pPr>
            <w:r>
              <w:rPr>
                <w:rFonts w:ascii="SimSun" w:eastAsia="SimSun" w:cs="Lucida Sans"/>
                <w:color w:val="000000"/>
                <w:sz w:val="18"/>
              </w:rPr>
              <w:t>0.00</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Lucida Sans"/>
                <w:color w:val="000000"/>
                <w:sz w:val="18"/>
              </w:rPr>
            </w:pPr>
            <w:r>
              <w:rPr>
                <w:rFonts w:ascii="SimSun" w:eastAsia="SimSun" w:cs="Lucida Sans"/>
                <w:color w:val="000000"/>
                <w:sz w:val="18"/>
              </w:rPr>
              <w:t>0.00</w:t>
            </w:r>
          </w:p>
        </w:tc>
        <w:tc>
          <w:tcPr>
            <w:tcW w:w="295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Lucida Sans"/>
                <w:color w:val="000000"/>
                <w:sz w:val="18"/>
              </w:rPr>
            </w:pPr>
            <w:r>
              <w:rPr>
                <w:rFonts w:ascii="SimSun" w:eastAsia="SimSun" w:cs="Lucida Sans"/>
                <w:color w:val="000000"/>
                <w:sz w:val="18"/>
              </w:rPr>
              <w:t>0.00</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Lucida Sans"/>
                <w:color w:val="000000"/>
                <w:sz w:val="18"/>
              </w:rPr>
            </w:pPr>
            <w:r>
              <w:rPr>
                <w:rFonts w:ascii="SimSun" w:eastAsia="SimSun" w:cs="Lucida Sans"/>
                <w:color w:val="000000"/>
                <w:sz w:val="18"/>
              </w:rPr>
              <w:t>0.00%</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Lucida Sans"/>
                <w:color w:val="000000"/>
                <w:sz w:val="18"/>
              </w:rPr>
            </w:pPr>
            <w:r>
              <w:rPr>
                <w:rFonts w:ascii="SimSun" w:eastAsia="SimSun" w:cs="Lucida Sans"/>
                <w:color w:val="000000"/>
                <w:sz w:val="18"/>
              </w:rPr>
              <w:t>/</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Lucida Sans"/>
                <w:color w:val="000000"/>
                <w:sz w:val="18"/>
              </w:rPr>
            </w:pPr>
            <w:r>
              <w:rPr>
                <w:rFonts w:ascii="SimSun" w:eastAsia="SimSun" w:cs="Lucida Sans"/>
                <w:color w:val="000000"/>
                <w:sz w:val="18"/>
              </w:rPr>
              <w:t>/</w:t>
            </w:r>
          </w:p>
        </w:tc>
        <w:tc>
          <w:tcPr>
            <w:tcW w:w="262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359"/>
        </w:trPr>
        <w:tc>
          <w:tcPr>
            <w:tcW w:w="76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Lucida Sans"/>
                <w:color w:val="000000"/>
                <w:sz w:val="18"/>
              </w:rPr>
            </w:pPr>
            <w:r>
              <w:rPr>
                <w:rFonts w:ascii="SimSun" w:eastAsia="SimSun" w:cs="Lucida Sans"/>
                <w:color w:val="000000"/>
                <w:sz w:val="18"/>
              </w:rPr>
              <w:t>单位资金</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Lucida Sans"/>
                <w:color w:val="000000"/>
                <w:sz w:val="18"/>
              </w:rPr>
            </w:pPr>
            <w:r>
              <w:rPr>
                <w:rFonts w:ascii="SimSun" w:eastAsia="SimSun" w:cs="Lucida Sans"/>
                <w:color w:val="000000"/>
                <w:sz w:val="18"/>
              </w:rPr>
              <w:t>0.00</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Lucida Sans"/>
                <w:color w:val="000000"/>
                <w:sz w:val="18"/>
              </w:rPr>
            </w:pPr>
            <w:r>
              <w:rPr>
                <w:rFonts w:ascii="SimSun" w:eastAsia="SimSun" w:cs="Lucida Sans"/>
                <w:color w:val="000000"/>
                <w:sz w:val="18"/>
              </w:rPr>
              <w:t>0.00</w:t>
            </w:r>
          </w:p>
        </w:tc>
        <w:tc>
          <w:tcPr>
            <w:tcW w:w="295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Lucida Sans"/>
                <w:color w:val="000000"/>
                <w:sz w:val="18"/>
              </w:rPr>
            </w:pPr>
            <w:r>
              <w:rPr>
                <w:rFonts w:ascii="SimSun" w:eastAsia="SimSun" w:cs="Lucida Sans"/>
                <w:color w:val="000000"/>
                <w:sz w:val="18"/>
              </w:rPr>
              <w:t>0.00</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Lucida Sans"/>
                <w:color w:val="000000"/>
                <w:sz w:val="18"/>
              </w:rPr>
            </w:pPr>
            <w:r>
              <w:rPr>
                <w:rFonts w:ascii="SimSun" w:eastAsia="SimSun" w:cs="Lucida Sans"/>
                <w:color w:val="000000"/>
                <w:sz w:val="18"/>
              </w:rPr>
              <w:t>0.00%</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Lucida Sans"/>
                <w:color w:val="000000"/>
                <w:sz w:val="18"/>
              </w:rPr>
            </w:pPr>
            <w:r>
              <w:rPr>
                <w:rFonts w:ascii="SimSun" w:eastAsia="SimSun" w:cs="Lucida Sans"/>
                <w:color w:val="000000"/>
                <w:sz w:val="18"/>
              </w:rPr>
              <w:t>/</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Lucida Sans"/>
                <w:color w:val="000000"/>
                <w:sz w:val="18"/>
              </w:rPr>
            </w:pPr>
            <w:r>
              <w:rPr>
                <w:rFonts w:ascii="SimSun" w:eastAsia="SimSun" w:cs="Lucida Sans"/>
                <w:color w:val="000000"/>
                <w:sz w:val="18"/>
              </w:rPr>
              <w:t>/</w:t>
            </w:r>
          </w:p>
        </w:tc>
        <w:tc>
          <w:tcPr>
            <w:tcW w:w="262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344"/>
        </w:trPr>
        <w:tc>
          <w:tcPr>
            <w:tcW w:w="76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Lucida Sans"/>
                <w:color w:val="000000"/>
                <w:sz w:val="18"/>
              </w:rPr>
            </w:pPr>
            <w:r>
              <w:rPr>
                <w:rFonts w:ascii="SimSun" w:eastAsia="SimSun" w:cs="Lucida Sans"/>
                <w:color w:val="000000"/>
                <w:sz w:val="18"/>
              </w:rPr>
              <w:t>其他资金</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295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Lucida Sans"/>
                <w:color w:val="000000"/>
                <w:sz w:val="18"/>
              </w:rPr>
            </w:pPr>
            <w:r>
              <w:rPr>
                <w:rFonts w:ascii="SimSun" w:eastAsia="SimSun" w:cs="Lucida Sans"/>
                <w:color w:val="000000"/>
                <w:sz w:val="18"/>
              </w:rPr>
              <w:t>/</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olor w:val="000000"/>
                <w:sz w:val="18"/>
              </w:rPr>
            </w:pPr>
          </w:p>
        </w:tc>
        <w:tc>
          <w:tcPr>
            <w:tcW w:w="262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449"/>
        </w:trPr>
        <w:tc>
          <w:tcPr>
            <w:tcW w:w="76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Lucida Sans"/>
                <w:color w:val="000000"/>
                <w:sz w:val="18"/>
              </w:rPr>
            </w:pPr>
            <w:r>
              <w:rPr>
                <w:rFonts w:ascii="SimSun" w:eastAsia="SimSun" w:cs="Lucida Sans"/>
                <w:color w:val="000000"/>
                <w:sz w:val="18"/>
              </w:rPr>
              <w:t>绩效指标（90分）</w:t>
            </w: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Lucida Sans"/>
                <w:color w:val="000000"/>
                <w:sz w:val="18"/>
              </w:rPr>
            </w:pPr>
            <w:r>
              <w:rPr>
                <w:rFonts w:ascii="SimSun" w:eastAsia="SimSun" w:cs="Lucida Sans"/>
                <w:color w:val="000000"/>
                <w:sz w:val="18"/>
              </w:rPr>
              <w:t>一级指标</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Lucida Sans"/>
                <w:color w:val="000000"/>
                <w:sz w:val="18"/>
              </w:rPr>
            </w:pPr>
            <w:r>
              <w:rPr>
                <w:rFonts w:ascii="SimSun" w:eastAsia="SimSun" w:cs="Lucida Sans"/>
                <w:color w:val="000000"/>
                <w:sz w:val="18"/>
              </w:rPr>
              <w:t>二级指标</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Lucida Sans"/>
                <w:color w:val="000000"/>
                <w:sz w:val="18"/>
              </w:rPr>
            </w:pPr>
            <w:r>
              <w:rPr>
                <w:rFonts w:ascii="SimSun" w:eastAsia="SimSun" w:cs="Lucida Sans"/>
                <w:color w:val="000000"/>
                <w:sz w:val="18"/>
              </w:rPr>
              <w:t>三级指标</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Lucida Sans"/>
                <w:color w:val="000000"/>
                <w:sz w:val="18"/>
              </w:rPr>
            </w:pPr>
            <w:r>
              <w:rPr>
                <w:rFonts w:ascii="SimSun" w:eastAsia="SimSun" w:cs="Lucida Sans"/>
                <w:color w:val="000000"/>
                <w:sz w:val="18"/>
              </w:rPr>
              <w:t>指标性质</w:t>
            </w:r>
          </w:p>
        </w:tc>
        <w:tc>
          <w:tcPr>
            <w:tcW w:w="1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Lucida Sans"/>
                <w:color w:val="000000"/>
                <w:sz w:val="18"/>
              </w:rPr>
            </w:pPr>
            <w:r>
              <w:rPr>
                <w:rFonts w:ascii="SimSun" w:eastAsia="SimSun" w:cs="Lucida Sans"/>
                <w:color w:val="000000"/>
                <w:sz w:val="18"/>
              </w:rPr>
              <w:t>指标值</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Lucida Sans"/>
                <w:color w:val="000000"/>
                <w:sz w:val="18"/>
              </w:rPr>
            </w:pPr>
            <w:r>
              <w:rPr>
                <w:rFonts w:ascii="SimSun" w:eastAsia="SimSun" w:cs="Lucida Sans"/>
                <w:color w:val="000000"/>
                <w:sz w:val="18"/>
              </w:rPr>
              <w:t>度量单位</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Lucida Sans"/>
                <w:color w:val="000000"/>
                <w:sz w:val="18"/>
              </w:rPr>
            </w:pPr>
            <w:r>
              <w:rPr>
                <w:rFonts w:ascii="SimSun" w:eastAsia="SimSun" w:cs="Lucida Sans"/>
                <w:color w:val="000000"/>
                <w:sz w:val="18"/>
              </w:rPr>
              <w:t>完成值</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Lucida Sans"/>
                <w:color w:val="000000"/>
                <w:sz w:val="18"/>
              </w:rPr>
            </w:pPr>
            <w:r>
              <w:rPr>
                <w:rFonts w:ascii="SimSun" w:eastAsia="SimSun" w:cs="Lucida Sans"/>
                <w:color w:val="000000"/>
                <w:sz w:val="18"/>
              </w:rPr>
              <w:t>权重</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Lucida Sans"/>
                <w:color w:val="000000"/>
                <w:sz w:val="18"/>
              </w:rPr>
            </w:pPr>
            <w:r>
              <w:rPr>
                <w:rFonts w:ascii="SimSun" w:eastAsia="SimSun" w:cs="Lucida Sans"/>
                <w:color w:val="000000"/>
                <w:sz w:val="18"/>
              </w:rPr>
              <w:t>得分</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Lucida Sans"/>
                <w:color w:val="000000"/>
                <w:sz w:val="18"/>
              </w:rPr>
            </w:pPr>
            <w:r>
              <w:rPr>
                <w:rFonts w:ascii="SimSun" w:eastAsia="SimSun" w:cs="Lucida Sans"/>
                <w:color w:val="000000"/>
                <w:sz w:val="18"/>
              </w:rPr>
              <w:t>未完成原因分析</w:t>
            </w:r>
          </w:p>
        </w:tc>
      </w:tr>
      <w:tr>
        <w:trPr>
          <w:trHeight w:val="344"/>
        </w:trPr>
        <w:tc>
          <w:tcPr>
            <w:tcW w:w="76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0"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Lucida Sans"/>
                <w:color w:val="000000"/>
                <w:sz w:val="18"/>
              </w:rPr>
            </w:pPr>
            <w:r>
              <w:rPr>
                <w:rFonts w:ascii="SimSun" w:eastAsia="SimSun" w:cs="Lucida Sans"/>
                <w:color w:val="000000"/>
                <w:sz w:val="18"/>
              </w:rPr>
              <w:t>产出指标</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Lucida Sans"/>
                <w:color w:val="000000"/>
                <w:sz w:val="18"/>
              </w:rPr>
            </w:pPr>
            <w:r>
              <w:rPr>
                <w:rFonts w:ascii="SimSun" w:eastAsia="SimSun" w:cs="Lucida Sans"/>
                <w:color w:val="000000"/>
                <w:sz w:val="18"/>
              </w:rPr>
              <w:t>数量指标</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Lucida Sans"/>
                <w:color w:val="000000"/>
                <w:sz w:val="18"/>
              </w:rPr>
            </w:pPr>
            <w:r>
              <w:rPr>
                <w:rFonts w:ascii="SimSun" w:eastAsia="SimSun" w:cs="Lucida Sans"/>
                <w:color w:val="000000"/>
                <w:sz w:val="18"/>
              </w:rPr>
              <w:t>发放人数</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Lucida Sans"/>
                <w:color w:val="000000"/>
                <w:sz w:val="18"/>
              </w:rPr>
            </w:pPr>
            <w:r>
              <w:rPr>
                <w:rFonts w:ascii="SimSun" w:eastAsia="SimSun" w:cs="Lucida Sans"/>
                <w:color w:val="000000"/>
                <w:sz w:val="18"/>
              </w:rPr>
              <w:t>＝</w:t>
            </w:r>
          </w:p>
        </w:tc>
        <w:tc>
          <w:tcPr>
            <w:tcW w:w="1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Lucida Sans"/>
                <w:color w:val="000000"/>
                <w:sz w:val="18"/>
              </w:rPr>
            </w:pPr>
            <w:r>
              <w:rPr>
                <w:rFonts w:ascii="SimSun" w:eastAsia="SimSun" w:cs="Lucida Sans"/>
                <w:color w:val="000000"/>
                <w:sz w:val="18"/>
              </w:rPr>
              <w:t>8</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Lucida Sans"/>
                <w:color w:val="000000"/>
                <w:sz w:val="18"/>
              </w:rPr>
            </w:pPr>
            <w:r>
              <w:rPr>
                <w:rFonts w:ascii="SimSun" w:eastAsia="SimSun" w:cs="Lucida Sans"/>
                <w:color w:val="000000"/>
                <w:sz w:val="18"/>
              </w:rPr>
              <w:t>人</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100%</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Lucida Sans"/>
                <w:color w:val="000000"/>
                <w:sz w:val="18"/>
              </w:rPr>
            </w:pPr>
            <w:r>
              <w:rPr>
                <w:rFonts w:ascii="SimSun" w:eastAsia="SimSun" w:cs="Lucida Sans"/>
                <w:color w:val="000000"/>
                <w:sz w:val="18"/>
              </w:rPr>
              <w:t>10</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Lucida Sans"/>
                <w:color w:val="000000"/>
                <w:sz w:val="18"/>
              </w:rPr>
            </w:pPr>
            <w:r>
              <w:rPr>
                <w:rFonts w:ascii="SimSun" w:eastAsia="SimSun" w:cs="Lucida Sans"/>
                <w:color w:val="000000"/>
                <w:sz w:val="18"/>
              </w:rPr>
              <w:t>10</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344"/>
        </w:trPr>
        <w:tc>
          <w:tcPr>
            <w:tcW w:w="76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Lucida Sans"/>
                <w:color w:val="000000"/>
                <w:sz w:val="18"/>
              </w:rPr>
            </w:pPr>
            <w:r>
              <w:rPr>
                <w:rFonts w:ascii="SimSun" w:eastAsia="SimSun" w:cs="Lucida Sans"/>
                <w:color w:val="000000"/>
                <w:sz w:val="18"/>
              </w:rPr>
              <w:t>质量指标</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Lucida Sans"/>
                <w:color w:val="000000"/>
                <w:sz w:val="18"/>
              </w:rPr>
            </w:pPr>
            <w:r>
              <w:rPr>
                <w:rFonts w:ascii="SimSun" w:eastAsia="SimSun" w:cs="Lucida Sans"/>
                <w:color w:val="000000"/>
                <w:sz w:val="18"/>
              </w:rPr>
              <w:t>发放对象及数额准确率</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Lucida Sans"/>
                <w:color w:val="000000"/>
                <w:sz w:val="18"/>
              </w:rPr>
            </w:pPr>
            <w:r>
              <w:rPr>
                <w:rFonts w:ascii="SimSun" w:eastAsia="SimSun" w:cs="Lucida Sans"/>
                <w:color w:val="000000"/>
                <w:sz w:val="18"/>
              </w:rPr>
              <w:t>＝</w:t>
            </w:r>
          </w:p>
        </w:tc>
        <w:tc>
          <w:tcPr>
            <w:tcW w:w="1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Lucida Sans"/>
                <w:color w:val="000000"/>
                <w:sz w:val="18"/>
              </w:rPr>
            </w:pPr>
            <w:r>
              <w:rPr>
                <w:rFonts w:ascii="SimSun" w:eastAsia="SimSun" w:cs="Lucida Sans"/>
                <w:color w:val="000000"/>
                <w:sz w:val="18"/>
              </w:rPr>
              <w:t>100</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Lucida Sans"/>
                <w:color w:val="000000"/>
                <w:sz w:val="18"/>
              </w:rPr>
            </w:pPr>
            <w:r>
              <w:rPr>
                <w:rFonts w:ascii="SimSun" w:eastAsia="SimSun" w:cs="Lucida Sans"/>
                <w:color w:val="000000"/>
                <w:sz w:val="18"/>
              </w:rPr>
              <w:t>%</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100%</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Lucida Sans"/>
                <w:color w:val="000000"/>
                <w:sz w:val="18"/>
              </w:rPr>
            </w:pPr>
            <w:r>
              <w:rPr>
                <w:rFonts w:ascii="SimSun" w:eastAsia="SimSun" w:cs="Lucida Sans"/>
                <w:color w:val="000000"/>
                <w:sz w:val="18"/>
              </w:rPr>
              <w:t>10</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Lucida Sans"/>
                <w:color w:val="000000"/>
                <w:sz w:val="18"/>
              </w:rPr>
            </w:pPr>
            <w:r>
              <w:rPr>
                <w:rFonts w:ascii="SimSun" w:eastAsia="SimSun" w:cs="Lucida Sans"/>
                <w:color w:val="000000"/>
                <w:sz w:val="18"/>
              </w:rPr>
              <w:t>10</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344"/>
        </w:trPr>
        <w:tc>
          <w:tcPr>
            <w:tcW w:w="76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Lucida Sans"/>
                <w:color w:val="000000"/>
                <w:sz w:val="18"/>
              </w:rPr>
            </w:pPr>
            <w:r>
              <w:rPr>
                <w:rFonts w:ascii="SimSun" w:eastAsia="SimSun" w:cs="Lucida Sans"/>
                <w:color w:val="000000"/>
                <w:sz w:val="18"/>
              </w:rPr>
              <w:t>时效指标</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Lucida Sans"/>
                <w:color w:val="000000"/>
                <w:sz w:val="18"/>
              </w:rPr>
            </w:pPr>
            <w:r>
              <w:rPr>
                <w:rFonts w:ascii="SimSun" w:eastAsia="SimSun" w:cs="Lucida Sans"/>
                <w:color w:val="000000"/>
                <w:sz w:val="18"/>
              </w:rPr>
              <w:t>资金发放时间</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Lucida Sans"/>
                <w:color w:val="000000"/>
                <w:sz w:val="18"/>
              </w:rPr>
            </w:pPr>
            <w:r>
              <w:rPr>
                <w:rFonts w:ascii="SimSun" w:eastAsia="SimSun" w:cs="Lucida Sans"/>
                <w:color w:val="000000"/>
                <w:sz w:val="18"/>
              </w:rPr>
              <w:t>定性</w:t>
            </w:r>
          </w:p>
        </w:tc>
        <w:tc>
          <w:tcPr>
            <w:tcW w:w="1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Lucida Sans"/>
                <w:color w:val="000000"/>
                <w:sz w:val="18"/>
              </w:rPr>
            </w:pPr>
            <w:r>
              <w:rPr>
                <w:rFonts w:ascii="SimSun" w:eastAsia="SimSun" w:cs="Lucida Sans"/>
                <w:color w:val="000000"/>
                <w:sz w:val="18"/>
              </w:rPr>
              <w:t>春节前完成发放</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olor w:val="000000"/>
                <w:sz w:val="18"/>
              </w:rPr>
            </w:pP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100%</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Lucida Sans"/>
                <w:color w:val="000000"/>
                <w:sz w:val="18"/>
              </w:rPr>
            </w:pPr>
            <w:r>
              <w:rPr>
                <w:rFonts w:ascii="SimSun" w:eastAsia="SimSun" w:cs="Lucida Sans"/>
                <w:color w:val="000000"/>
                <w:sz w:val="18"/>
              </w:rPr>
              <w:t>20</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Lucida Sans"/>
                <w:color w:val="000000"/>
                <w:sz w:val="18"/>
              </w:rPr>
            </w:pPr>
            <w:r>
              <w:rPr>
                <w:rFonts w:ascii="SimSun" w:eastAsia="SimSun" w:cs="Lucida Sans"/>
                <w:color w:val="000000"/>
                <w:sz w:val="18"/>
              </w:rPr>
              <w:t>20</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449"/>
        </w:trPr>
        <w:tc>
          <w:tcPr>
            <w:tcW w:w="76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0"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Lucida Sans"/>
                <w:color w:val="000000"/>
                <w:sz w:val="18"/>
              </w:rPr>
            </w:pPr>
            <w:r>
              <w:rPr>
                <w:rFonts w:ascii="SimSun" w:eastAsia="SimSun" w:cs="Lucida Sans"/>
                <w:color w:val="000000"/>
                <w:sz w:val="18"/>
              </w:rPr>
              <w:t>效益指标</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Lucida Sans"/>
                <w:color w:val="000000"/>
                <w:sz w:val="18"/>
              </w:rPr>
            </w:pPr>
            <w:r>
              <w:rPr>
                <w:rFonts w:ascii="SimSun" w:eastAsia="SimSun" w:cs="Lucida Sans"/>
                <w:color w:val="000000"/>
                <w:sz w:val="18"/>
              </w:rPr>
              <w:t>社会效益指标</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Lucida Sans"/>
                <w:color w:val="000000"/>
                <w:sz w:val="18"/>
              </w:rPr>
            </w:pPr>
            <w:r>
              <w:rPr>
                <w:rFonts w:ascii="SimSun" w:eastAsia="SimSun" w:cs="Lucida Sans"/>
                <w:color w:val="000000"/>
                <w:sz w:val="18"/>
              </w:rPr>
              <w:t>传达党和政府的关心、关爱</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Lucida Sans"/>
                <w:color w:val="000000"/>
                <w:sz w:val="18"/>
              </w:rPr>
            </w:pPr>
            <w:r>
              <w:rPr>
                <w:rFonts w:ascii="SimSun" w:eastAsia="SimSun" w:cs="Lucida Sans"/>
                <w:color w:val="000000"/>
                <w:sz w:val="18"/>
              </w:rPr>
              <w:t>定性</w:t>
            </w:r>
          </w:p>
        </w:tc>
        <w:tc>
          <w:tcPr>
            <w:tcW w:w="1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Lucida Sans"/>
                <w:color w:val="000000"/>
                <w:sz w:val="18"/>
              </w:rPr>
            </w:pPr>
            <w:r>
              <w:rPr>
                <w:rFonts w:ascii="SimSun" w:eastAsia="SimSun" w:cs="Lucida Sans"/>
                <w:color w:val="000000"/>
                <w:sz w:val="18"/>
              </w:rPr>
              <w:t>有效传达</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olor w:val="000000"/>
                <w:sz w:val="18"/>
              </w:rPr>
            </w:pP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97%</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Lucida Sans"/>
                <w:color w:val="000000"/>
                <w:sz w:val="18"/>
              </w:rPr>
            </w:pPr>
            <w:r>
              <w:rPr>
                <w:rFonts w:ascii="SimSun" w:eastAsia="SimSun" w:cs="Lucida Sans"/>
                <w:color w:val="000000"/>
                <w:sz w:val="18"/>
              </w:rPr>
              <w:t>10</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Lucida Sans"/>
                <w:color w:val="000000"/>
                <w:sz w:val="18"/>
              </w:rPr>
            </w:pPr>
            <w:r>
              <w:rPr>
                <w:rFonts w:ascii="SimSun" w:eastAsia="SimSun" w:cs="Lucida Sans"/>
                <w:color w:val="000000"/>
                <w:sz w:val="18"/>
              </w:rPr>
              <w:t>10</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449"/>
        </w:trPr>
        <w:tc>
          <w:tcPr>
            <w:tcW w:w="76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Lucida Sans"/>
                <w:color w:val="000000"/>
                <w:sz w:val="18"/>
              </w:rPr>
            </w:pPr>
            <w:r>
              <w:rPr>
                <w:rFonts w:ascii="SimSun" w:eastAsia="SimSun" w:cs="Lucida Sans"/>
                <w:color w:val="000000"/>
                <w:sz w:val="18"/>
              </w:rPr>
              <w:t>可持续影响指标</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Lucida Sans"/>
                <w:color w:val="000000"/>
                <w:sz w:val="18"/>
              </w:rPr>
            </w:pPr>
            <w:r>
              <w:rPr>
                <w:rFonts w:ascii="SimSun" w:eastAsia="SimSun" w:cs="Lucida Sans"/>
                <w:color w:val="000000"/>
                <w:sz w:val="18"/>
              </w:rPr>
              <w:t>增强老同志的归属感和荣誉感</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Lucida Sans"/>
                <w:color w:val="000000"/>
                <w:sz w:val="18"/>
              </w:rPr>
            </w:pPr>
            <w:r>
              <w:rPr>
                <w:rFonts w:ascii="SimSun" w:eastAsia="SimSun" w:cs="Lucida Sans"/>
                <w:color w:val="000000"/>
                <w:sz w:val="18"/>
              </w:rPr>
              <w:t>定性</w:t>
            </w:r>
          </w:p>
        </w:tc>
        <w:tc>
          <w:tcPr>
            <w:tcW w:w="1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Lucida Sans"/>
                <w:color w:val="000000"/>
                <w:sz w:val="18"/>
              </w:rPr>
            </w:pPr>
            <w:r>
              <w:rPr>
                <w:rFonts w:ascii="SimSun" w:eastAsia="SimSun" w:cs="Lucida Sans"/>
                <w:color w:val="000000"/>
                <w:sz w:val="18"/>
              </w:rPr>
              <w:t>归属感显著增强</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olor w:val="000000"/>
                <w:sz w:val="18"/>
              </w:rPr>
            </w:pP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90%</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Lucida Sans"/>
                <w:color w:val="000000"/>
                <w:sz w:val="18"/>
              </w:rPr>
            </w:pPr>
            <w:r>
              <w:rPr>
                <w:rFonts w:ascii="SimSun" w:eastAsia="SimSun" w:cs="Lucida Sans"/>
                <w:color w:val="000000"/>
                <w:sz w:val="18"/>
              </w:rPr>
              <w:t>10</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Lucida Sans"/>
                <w:color w:val="000000"/>
                <w:sz w:val="18"/>
              </w:rPr>
            </w:pPr>
            <w:r>
              <w:rPr>
                <w:rFonts w:ascii="SimSun" w:eastAsia="SimSun" w:cs="Lucida Sans"/>
                <w:color w:val="000000"/>
                <w:sz w:val="18"/>
              </w:rPr>
              <w:t>10</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449"/>
        </w:trPr>
        <w:tc>
          <w:tcPr>
            <w:tcW w:w="76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Lucida Sans"/>
                <w:color w:val="000000"/>
                <w:sz w:val="18"/>
              </w:rPr>
            </w:pPr>
            <w:r>
              <w:rPr>
                <w:rFonts w:ascii="SimSun" w:eastAsia="SimSun" w:cs="Lucida Sans"/>
                <w:color w:val="000000"/>
                <w:sz w:val="18"/>
              </w:rPr>
              <w:t>满意度指标</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Lucida Sans"/>
                <w:color w:val="000000"/>
                <w:sz w:val="18"/>
              </w:rPr>
            </w:pPr>
            <w:r>
              <w:rPr>
                <w:rFonts w:ascii="SimSun" w:eastAsia="SimSun" w:cs="Lucida Sans"/>
                <w:color w:val="000000"/>
                <w:sz w:val="18"/>
              </w:rPr>
              <w:t>服务对象满意度指标</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Lucida Sans"/>
                <w:color w:val="000000"/>
                <w:sz w:val="18"/>
              </w:rPr>
            </w:pPr>
            <w:r>
              <w:rPr>
                <w:rFonts w:ascii="SimSun" w:eastAsia="SimSun" w:cs="Lucida Sans"/>
                <w:color w:val="000000"/>
                <w:sz w:val="18"/>
              </w:rPr>
              <w:t>慰问对象满意度</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Lucida Sans"/>
                <w:color w:val="000000"/>
                <w:sz w:val="18"/>
              </w:rPr>
            </w:pPr>
            <w:r>
              <w:rPr>
                <w:rFonts w:ascii="SimSun" w:eastAsia="SimSun" w:cs="Lucida Sans"/>
                <w:color w:val="000000"/>
                <w:sz w:val="18"/>
              </w:rPr>
              <w:t>＝</w:t>
            </w:r>
          </w:p>
        </w:tc>
        <w:tc>
          <w:tcPr>
            <w:tcW w:w="1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Lucida Sans"/>
                <w:color w:val="000000"/>
                <w:sz w:val="18"/>
              </w:rPr>
            </w:pPr>
            <w:r>
              <w:rPr>
                <w:rFonts w:ascii="SimSun" w:eastAsia="SimSun" w:cs="Lucida Sans"/>
                <w:color w:val="000000"/>
                <w:sz w:val="18"/>
              </w:rPr>
              <w:t>100</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Lucida Sans"/>
                <w:color w:val="000000"/>
                <w:sz w:val="18"/>
              </w:rPr>
            </w:pPr>
            <w:r>
              <w:rPr>
                <w:rFonts w:ascii="SimSun" w:eastAsia="SimSun" w:cs="Lucida Sans"/>
                <w:color w:val="000000"/>
                <w:sz w:val="18"/>
              </w:rPr>
              <w:t>%</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100%</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Lucida Sans"/>
                <w:color w:val="000000"/>
                <w:sz w:val="18"/>
              </w:rPr>
            </w:pPr>
            <w:r>
              <w:rPr>
                <w:rFonts w:ascii="SimSun" w:eastAsia="SimSun" w:cs="Lucida Sans"/>
                <w:color w:val="000000"/>
                <w:sz w:val="18"/>
              </w:rPr>
              <w:t>10</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Lucida Sans"/>
                <w:color w:val="000000"/>
                <w:sz w:val="18"/>
              </w:rPr>
            </w:pPr>
            <w:r>
              <w:rPr>
                <w:rFonts w:ascii="SimSun" w:eastAsia="SimSun" w:cs="Lucida Sans"/>
                <w:color w:val="000000"/>
                <w:sz w:val="18"/>
              </w:rPr>
              <w:t>10</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344"/>
        </w:trPr>
        <w:tc>
          <w:tcPr>
            <w:tcW w:w="76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13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Lucida Sans"/>
                <w:color w:val="000000"/>
                <w:sz w:val="18"/>
              </w:rPr>
            </w:pPr>
            <w:r>
              <w:rPr>
                <w:rFonts w:ascii="SimSun" w:eastAsia="SimSun" w:cs="Lucida Sans"/>
                <w:color w:val="000000"/>
                <w:sz w:val="18"/>
              </w:rPr>
              <w:t>成本指标</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Lucida Sans"/>
                <w:color w:val="000000"/>
                <w:sz w:val="18"/>
              </w:rPr>
            </w:pPr>
            <w:r>
              <w:rPr>
                <w:rFonts w:ascii="SimSun" w:eastAsia="SimSun" w:cs="Lucida Sans"/>
                <w:color w:val="000000"/>
                <w:sz w:val="18"/>
              </w:rPr>
              <w:t>经济成本指标</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Lucida Sans"/>
                <w:color w:val="000000"/>
                <w:sz w:val="18"/>
              </w:rPr>
            </w:pPr>
            <w:r>
              <w:rPr>
                <w:rFonts w:ascii="SimSun" w:eastAsia="SimSun" w:cs="Lucida Sans"/>
                <w:color w:val="000000"/>
                <w:sz w:val="18"/>
              </w:rPr>
              <w:t>发放金额</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Lucida Sans"/>
                <w:color w:val="000000"/>
                <w:sz w:val="18"/>
              </w:rPr>
            </w:pPr>
            <w:r>
              <w:rPr>
                <w:rFonts w:ascii="SimSun" w:eastAsia="SimSun" w:cs="Lucida Sans"/>
                <w:color w:val="000000"/>
                <w:sz w:val="18"/>
              </w:rPr>
              <w:t>＝</w:t>
            </w:r>
          </w:p>
        </w:tc>
        <w:tc>
          <w:tcPr>
            <w:tcW w:w="1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Lucida Sans"/>
                <w:color w:val="000000"/>
                <w:sz w:val="18"/>
              </w:rPr>
            </w:pPr>
            <w:r>
              <w:rPr>
                <w:rFonts w:ascii="SimSun" w:eastAsia="SimSun" w:cs="Lucida Sans"/>
                <w:color w:val="000000"/>
                <w:sz w:val="18"/>
              </w:rPr>
              <w:t>9000</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Lucida Sans"/>
                <w:color w:val="000000"/>
                <w:sz w:val="18"/>
              </w:rPr>
            </w:pPr>
            <w:r>
              <w:rPr>
                <w:rFonts w:ascii="SimSun" w:eastAsia="SimSun" w:cs="Lucida Sans"/>
                <w:color w:val="000000"/>
                <w:sz w:val="18"/>
              </w:rPr>
              <w:t>元</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100%</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Lucida Sans"/>
                <w:color w:val="000000"/>
                <w:sz w:val="18"/>
              </w:rPr>
            </w:pPr>
            <w:r>
              <w:rPr>
                <w:rFonts w:ascii="SimSun" w:eastAsia="SimSun" w:cs="Lucida Sans"/>
                <w:color w:val="000000"/>
                <w:sz w:val="18"/>
              </w:rPr>
              <w:t>20</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Lucida Sans"/>
                <w:color w:val="000000"/>
                <w:sz w:val="18"/>
              </w:rPr>
            </w:pPr>
            <w:r>
              <w:rPr>
                <w:rFonts w:ascii="SimSun" w:eastAsia="SimSun" w:cs="Lucida Sans"/>
                <w:color w:val="000000"/>
                <w:sz w:val="18"/>
              </w:rPr>
              <w:t>20</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284"/>
        </w:trPr>
        <w:tc>
          <w:tcPr>
            <w:tcW w:w="11205" w:type="dxa"/>
            <w:gridSpan w:val="8"/>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Lucida Sans"/>
                <w:color w:val="000000"/>
                <w:sz w:val="18"/>
              </w:rPr>
            </w:pPr>
            <w:r>
              <w:rPr>
                <w:rFonts w:ascii="SimSun" w:eastAsia="SimSun" w:cs="Lucida Sans"/>
                <w:color w:val="000000"/>
                <w:sz w:val="18"/>
              </w:rPr>
              <w:t>合计</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Lucida Sans"/>
                <w:color w:val="000000"/>
                <w:sz w:val="18"/>
              </w:rPr>
            </w:pPr>
            <w:r>
              <w:rPr>
                <w:rFonts w:ascii="SimSun" w:eastAsia="SimSun" w:cs="Lucida Sans"/>
                <w:color w:val="000000"/>
                <w:sz w:val="18"/>
              </w:rPr>
              <w:t>100</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SimSun" w:eastAsia="SimSun" w:cs="Lucida Sans"/>
                <w:color w:val="000000"/>
                <w:sz w:val="18"/>
              </w:rPr>
            </w:pPr>
            <w:r>
              <w:rPr>
                <w:rFonts w:ascii="SimSun" w:eastAsia="SimSun" w:cs="Lucida Sans"/>
                <w:color w:val="000000"/>
                <w:sz w:val="18"/>
              </w:rPr>
              <w:t>90</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SimSun" w:eastAsia="SimSun"/>
                <w:color w:val="000000"/>
                <w:sz w:val="18"/>
              </w:rPr>
            </w:pPr>
          </w:p>
        </w:tc>
      </w:tr>
      <w:tr>
        <w:trPr>
          <w:trHeight w:val="599"/>
        </w:trPr>
        <w:tc>
          <w:tcPr>
            <w:tcW w:w="76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Lucida Sans"/>
                <w:color w:val="000000"/>
                <w:sz w:val="18"/>
              </w:rPr>
            </w:pPr>
            <w:r>
              <w:rPr>
                <w:rFonts w:ascii="SimSun" w:eastAsia="SimSun" w:cs="Lucida Sans"/>
                <w:color w:val="000000"/>
                <w:sz w:val="18"/>
              </w:rPr>
              <w:t>评价结论</w:t>
            </w:r>
          </w:p>
        </w:tc>
        <w:tc>
          <w:tcPr>
            <w:tcW w:w="14175" w:type="dxa"/>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自评分为100分，通过对已离任的老会长、老活佛等宗教界代表人士进行慰问，体现党委政府对宗教界的关心、关爱，进一步发挥老会长、老活佛等宗教界代表人士在我州宗教工作中的积极作用，为全州宗教工作建言献策、发挥余热，为我州民族团结、宗教和睦做出积极贡献。</w:t>
            </w:r>
          </w:p>
        </w:tc>
      </w:tr>
      <w:tr>
        <w:trPr>
          <w:trHeight w:val="569"/>
        </w:trPr>
        <w:tc>
          <w:tcPr>
            <w:tcW w:w="76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Lucida Sans"/>
                <w:color w:val="000000"/>
                <w:sz w:val="18"/>
              </w:rPr>
            </w:pPr>
            <w:r>
              <w:rPr>
                <w:rFonts w:ascii="SimSun" w:eastAsia="SimSun" w:cs="Lucida Sans"/>
                <w:color w:val="000000"/>
                <w:sz w:val="18"/>
              </w:rPr>
              <w:t>存在问题</w:t>
            </w:r>
          </w:p>
        </w:tc>
        <w:tc>
          <w:tcPr>
            <w:tcW w:w="14175" w:type="dxa"/>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无</w:t>
            </w:r>
          </w:p>
        </w:tc>
      </w:tr>
      <w:tr>
        <w:trPr>
          <w:trHeight w:val="629"/>
        </w:trPr>
        <w:tc>
          <w:tcPr>
            <w:tcW w:w="76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Sun" w:eastAsia="SimSun" w:cs="Lucida Sans"/>
                <w:color w:val="000000"/>
                <w:sz w:val="18"/>
              </w:rPr>
            </w:pPr>
            <w:r>
              <w:rPr>
                <w:rFonts w:ascii="SimSun" w:eastAsia="SimSun" w:cs="Lucida Sans"/>
                <w:color w:val="000000"/>
                <w:sz w:val="18"/>
              </w:rPr>
              <w:t>改进措施</w:t>
            </w:r>
          </w:p>
        </w:tc>
        <w:tc>
          <w:tcPr>
            <w:tcW w:w="14175" w:type="dxa"/>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无</w:t>
            </w:r>
          </w:p>
        </w:tc>
      </w:tr>
      <w:tr>
        <w:trPr>
          <w:trHeight w:val="284"/>
        </w:trPr>
        <w:tc>
          <w:tcPr>
            <w:tcW w:w="7680" w:type="dxa"/>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hei" w:eastAsia="simhei" w:cs="Lucida Sans" w:hAnsi="simhei"/>
                <w:color w:val="000000"/>
                <w:sz w:val="18"/>
              </w:rPr>
            </w:pPr>
            <w:r>
              <w:rPr>
                <w:rFonts w:ascii="simhei" w:eastAsia="simhei" w:cs="Lucida Sans" w:hAnsi="simhei"/>
                <w:color w:val="000000"/>
                <w:sz w:val="18"/>
              </w:rPr>
              <w:t>项目负责人：</w:t>
            </w:r>
          </w:p>
        </w:tc>
        <w:tc>
          <w:tcPr>
            <w:tcW w:w="7260" w:type="dxa"/>
            <w:gridSpan w:val="6"/>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simhei" w:eastAsia="simhei" w:cs="Lucida Sans" w:hAnsi="simhei"/>
                <w:color w:val="000000"/>
                <w:sz w:val="18"/>
              </w:rPr>
            </w:pPr>
            <w:r>
              <w:rPr>
                <w:rFonts w:ascii="simhei" w:eastAsia="simhei" w:cs="Lucida Sans" w:hAnsi="simhei"/>
                <w:color w:val="000000"/>
                <w:sz w:val="18"/>
              </w:rPr>
              <w:t>财务负责人：</w:t>
            </w:r>
          </w:p>
        </w:tc>
      </w:tr>
    </w:tbl>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ascii="Times New Roman" w:eastAsia="仿宋_GB2312" w:cs="仿宋_GB2312" w:hAnsi="Times New Roman" w:hint="eastAsia"/>
          <w:b w:val="0"/>
          <w:bCs w:val="0"/>
          <w:kern w:val="0"/>
          <w:position w:val="0"/>
          <w:sz w:val="32"/>
          <w:szCs w:val="32"/>
          <w:lang w:val="en-US" w:eastAsia="zh-CN" w:bidi="ar-SA"/>
          <w:highlight w:val="auto"/>
        </w:rPr>
      </w:pPr>
    </w:p>
    <w:p>
      <w:pPr>
        <w:pStyle w:val="1"/>
        <w:keepNext/>
        <w:keepLines/>
        <w:pageBreakBefore w:val="0"/>
        <w:widowControl w:val="0"/>
        <w:suppressLineNumbers w:val="0"/>
        <w:suppressAutoHyphens w:val="0"/>
        <w:jc w:val="center"/>
      </w:pPr>
      <w:r>
        <w:rPr>
          <w:rFonts w:hint="eastAsia"/>
        </w:rPr>
        <w:t>第五部分 附表</w:t>
      </w:r>
      <w:bookmarkStart w:id="53" w:name="_Toc15396619"/>
      <w:bookmarkEnd w:id="50"/>
      <w:bookmarkEnd w:id="52"/>
    </w:p>
    <w:p>
      <w:pPr>
        <w:pStyle w:val="2"/>
        <w:keepNext/>
        <w:keepLines/>
        <w:pageBreakBefore w:val="0"/>
        <w:widowControl w:val="0"/>
        <w:suppressLineNumbers w:val="0"/>
        <w:suppressAutoHyphens w:val="0"/>
        <w:bidi w:val="0"/>
        <w:spacing w:line="415" w:lineRule="auto"/>
        <w:rPr>
          <w:rFonts w:hint="eastAsia"/>
        </w:rPr>
      </w:pPr>
      <w:r>
        <w:rPr>
          <w:rFonts w:hint="eastAsia"/>
        </w:rPr>
        <w:t>一、收入支出决算总表</w:t>
      </w:r>
      <w:bookmarkEnd w:id="53"/>
    </w:p>
    <w:p>
      <w:pPr>
        <w:pStyle w:val="2"/>
        <w:keepNext/>
        <w:keepLines/>
        <w:pageBreakBefore w:val="0"/>
        <w:widowControl w:val="0"/>
        <w:suppressLineNumbers w:val="0"/>
        <w:suppressAutoHyphens w:val="0"/>
        <w:bidi w:val="0"/>
        <w:spacing w:line="415" w:lineRule="auto"/>
        <w:rPr>
          <w:rFonts w:hint="eastAsia"/>
        </w:rPr>
      </w:pPr>
      <w:bookmarkStart w:id="54" w:name="_Toc15396620"/>
      <w:r>
        <w:rPr>
          <w:rFonts w:hint="eastAsia"/>
        </w:rPr>
        <w:t>二、收入决算表</w:t>
      </w:r>
      <w:bookmarkEnd w:id="54"/>
    </w:p>
    <w:p>
      <w:pPr>
        <w:pStyle w:val="2"/>
        <w:keepNext/>
        <w:keepLines/>
        <w:pageBreakBefore w:val="0"/>
        <w:widowControl w:val="0"/>
        <w:suppressLineNumbers w:val="0"/>
        <w:suppressAutoHyphens w:val="0"/>
        <w:bidi w:val="0"/>
        <w:spacing w:line="415" w:lineRule="auto"/>
        <w:rPr>
          <w:rFonts w:hint="eastAsia"/>
        </w:rPr>
      </w:pPr>
      <w:bookmarkStart w:id="55" w:name="_Toc15396621"/>
      <w:r>
        <w:rPr>
          <w:rFonts w:hint="eastAsia"/>
        </w:rPr>
        <w:t>三、支出决算表</w:t>
      </w:r>
      <w:bookmarkEnd w:id="55"/>
    </w:p>
    <w:p>
      <w:pPr>
        <w:pStyle w:val="2"/>
        <w:keepNext/>
        <w:keepLines/>
        <w:pageBreakBefore w:val="0"/>
        <w:widowControl w:val="0"/>
        <w:suppressLineNumbers w:val="0"/>
        <w:suppressAutoHyphens w:val="0"/>
        <w:bidi w:val="0"/>
        <w:spacing w:line="415" w:lineRule="auto"/>
        <w:rPr>
          <w:rFonts w:hint="eastAsia"/>
        </w:rPr>
      </w:pPr>
      <w:bookmarkStart w:id="56" w:name="_Toc15396622"/>
      <w:r>
        <w:rPr>
          <w:rFonts w:hint="eastAsia"/>
        </w:rPr>
        <w:t>四、财政拨款收入支出决算总表</w:t>
      </w:r>
      <w:bookmarkEnd w:id="56"/>
    </w:p>
    <w:p>
      <w:pPr>
        <w:pStyle w:val="2"/>
        <w:keepNext/>
        <w:keepLines/>
        <w:pageBreakBefore w:val="0"/>
        <w:widowControl w:val="0"/>
        <w:suppressLineNumbers w:val="0"/>
        <w:suppressAutoHyphens w:val="0"/>
        <w:bidi w:val="0"/>
        <w:spacing w:line="415" w:lineRule="auto"/>
        <w:rPr>
          <w:rFonts w:hint="eastAsia"/>
        </w:rPr>
      </w:pPr>
      <w:bookmarkStart w:id="57" w:name="_Toc15396623"/>
      <w:r>
        <w:rPr>
          <w:rFonts w:hint="eastAsia"/>
        </w:rPr>
        <w:t>五、财政拨款支出决算明细表</w:t>
      </w:r>
      <w:bookmarkStart w:id="58" w:name="_Toc15396624"/>
      <w:bookmarkEnd w:id="57"/>
    </w:p>
    <w:p>
      <w:pPr>
        <w:pStyle w:val="2"/>
        <w:keepNext/>
        <w:keepLines/>
        <w:pageBreakBefore w:val="0"/>
        <w:widowControl w:val="0"/>
        <w:suppressLineNumbers w:val="0"/>
        <w:suppressAutoHyphens w:val="0"/>
        <w:bidi w:val="0"/>
        <w:spacing w:line="415" w:lineRule="auto"/>
        <w:rPr>
          <w:rFonts w:hint="eastAsia"/>
        </w:rPr>
      </w:pPr>
      <w:r>
        <w:rPr>
          <w:rFonts w:hint="eastAsia"/>
        </w:rPr>
        <w:t>六、一般公共预算财政拨款支出决算表</w:t>
      </w:r>
      <w:bookmarkEnd w:id="58"/>
    </w:p>
    <w:p>
      <w:pPr>
        <w:pStyle w:val="2"/>
        <w:keepNext/>
        <w:keepLines/>
        <w:pageBreakBefore w:val="0"/>
        <w:widowControl w:val="0"/>
        <w:suppressLineNumbers w:val="0"/>
        <w:suppressAutoHyphens w:val="0"/>
        <w:bidi w:val="0"/>
        <w:spacing w:line="415" w:lineRule="auto"/>
        <w:rPr>
          <w:rFonts w:hint="eastAsia"/>
        </w:rPr>
      </w:pPr>
      <w:bookmarkStart w:id="59" w:name="_Toc15396625"/>
      <w:r>
        <w:rPr>
          <w:rFonts w:hint="eastAsia"/>
        </w:rPr>
        <w:t>七、一般公共预算财政拨款支出决算明细表</w:t>
      </w:r>
      <w:bookmarkEnd w:id="59"/>
    </w:p>
    <w:p>
      <w:pPr>
        <w:pStyle w:val="2"/>
        <w:keepNext/>
        <w:keepLines/>
        <w:pageBreakBefore w:val="0"/>
        <w:widowControl w:val="0"/>
        <w:suppressLineNumbers w:val="0"/>
        <w:suppressAutoHyphens w:val="0"/>
        <w:bidi w:val="0"/>
        <w:spacing w:line="415" w:lineRule="auto"/>
        <w:rPr>
          <w:rFonts w:hint="eastAsia"/>
        </w:rPr>
      </w:pPr>
      <w:bookmarkStart w:id="60" w:name="_Toc15396626"/>
      <w:r>
        <w:rPr>
          <w:rFonts w:hint="eastAsia"/>
        </w:rPr>
        <w:t>八、一般公共预算财政拨款基本支出决算表</w:t>
      </w:r>
      <w:bookmarkEnd w:id="60"/>
    </w:p>
    <w:p>
      <w:pPr>
        <w:pStyle w:val="2"/>
        <w:keepNext/>
        <w:keepLines/>
        <w:pageBreakBefore w:val="0"/>
        <w:widowControl w:val="0"/>
        <w:suppressLineNumbers w:val="0"/>
        <w:suppressAutoHyphens w:val="0"/>
        <w:bidi w:val="0"/>
        <w:spacing w:line="415" w:lineRule="auto"/>
        <w:rPr>
          <w:rFonts w:hint="eastAsia"/>
        </w:rPr>
      </w:pPr>
      <w:bookmarkStart w:id="61" w:name="_Toc15396627"/>
      <w:r>
        <w:rPr>
          <w:rFonts w:hint="eastAsia"/>
        </w:rPr>
        <w:t>九、一般公共预算财政拨款项目支出决算表</w:t>
      </w:r>
      <w:bookmarkEnd w:id="61"/>
    </w:p>
    <w:p>
      <w:pPr>
        <w:pStyle w:val="2"/>
        <w:keepNext/>
        <w:keepLines/>
        <w:pageBreakBefore w:val="0"/>
        <w:widowControl w:val="0"/>
        <w:suppressLineNumbers w:val="0"/>
        <w:suppressAutoHyphens w:val="0"/>
        <w:bidi w:val="0"/>
        <w:spacing w:line="415" w:lineRule="auto"/>
        <w:rPr>
          <w:rFonts w:hint="eastAsia"/>
        </w:rPr>
      </w:pPr>
      <w:bookmarkStart w:id="62" w:name="_Toc15396628"/>
      <w:r>
        <w:rPr>
          <w:rFonts w:hint="eastAsia"/>
        </w:rPr>
        <w:t>十、</w:t>
      </w:r>
      <w:bookmarkEnd w:id="62"/>
      <w:r>
        <w:rPr>
          <w:rFonts w:hint="eastAsia"/>
        </w:rPr>
        <w:t>政府性基金预算财政拨款收入支出决算表</w:t>
      </w:r>
    </w:p>
    <w:p>
      <w:pPr>
        <w:pStyle w:val="2"/>
        <w:keepNext/>
        <w:keepLines/>
        <w:pageBreakBefore w:val="0"/>
        <w:widowControl w:val="0"/>
        <w:suppressLineNumbers w:val="0"/>
        <w:suppressAutoHyphens w:val="0"/>
        <w:bidi w:val="0"/>
        <w:spacing w:line="415" w:lineRule="auto"/>
        <w:rPr>
          <w:rFonts w:hint="eastAsia"/>
        </w:rPr>
      </w:pPr>
      <w:bookmarkStart w:id="63" w:name="_Toc15396629"/>
      <w:r>
        <w:rPr>
          <w:rFonts w:hint="eastAsia"/>
        </w:rPr>
        <w:t>十一、</w:t>
      </w:r>
      <w:bookmarkEnd w:id="63"/>
      <w:r>
        <w:rPr>
          <w:rFonts w:hint="eastAsia"/>
        </w:rPr>
        <w:t>国有资本经营预算财政拨款收入支出决算表</w:t>
      </w:r>
    </w:p>
    <w:p>
      <w:pPr>
        <w:pStyle w:val="2"/>
        <w:keepNext/>
        <w:keepLines/>
        <w:pageBreakBefore w:val="0"/>
        <w:widowControl w:val="0"/>
        <w:suppressLineNumbers w:val="0"/>
        <w:suppressAutoHyphens w:val="0"/>
        <w:bidi w:val="0"/>
        <w:spacing w:line="415" w:lineRule="auto"/>
        <w:rPr>
          <w:rFonts w:hint="eastAsia"/>
        </w:rPr>
      </w:pPr>
      <w:bookmarkStart w:id="64" w:name="_Toc15396630"/>
      <w:r>
        <w:rPr>
          <w:rFonts w:hint="eastAsia"/>
        </w:rPr>
        <w:t>十二、</w:t>
      </w:r>
      <w:bookmarkEnd w:id="64"/>
      <w:r>
        <w:rPr>
          <w:rFonts w:hint="eastAsia"/>
        </w:rPr>
        <w:t>国有资本经营预算财政拨款支出决算表</w:t>
      </w:r>
    </w:p>
    <w:p>
      <w:pPr>
        <w:pStyle w:val="2"/>
        <w:keepNext/>
        <w:keepLines/>
        <w:pageBreakBefore w:val="0"/>
        <w:widowControl w:val="0"/>
        <w:suppressLineNumbers w:val="0"/>
        <w:suppressAutoHyphens w:val="0"/>
        <w:bidi w:val="0"/>
        <w:spacing w:line="415" w:lineRule="auto"/>
      </w:pPr>
      <w:bookmarkStart w:id="65" w:name="_Toc15396631"/>
      <w:r>
        <w:rPr>
          <w:rFonts w:hint="eastAsia"/>
        </w:rPr>
        <w:t>十三、</w:t>
      </w:r>
      <w:bookmarkEnd w:id="65"/>
      <w:r>
        <w:rPr>
          <w:rFonts w:hint="eastAsia"/>
        </w:rPr>
        <w:t>财政拨款“三公”经费支出决算表</w:t>
      </w:r>
    </w:p>
    <w:p>
      <w:pPr>
        <w:pStyle w:val="2"/>
        <w:keepNext/>
        <w:keepLines/>
        <w:pageBreakBefore w:val="0"/>
        <w:widowControl w:val="0"/>
        <w:suppressLineNumbers w:val="0"/>
        <w:suppressAutoHyphens w:val="0"/>
        <w:rPr>
          <w:rFonts w:hint="eastAsia"/>
        </w:rPr>
      </w:pPr>
      <w:r>
        <w:rPr>
          <w:rFonts w:hint="eastAsia"/>
        </w:rPr>
        <w:t>十四、州佛协预算绩效评价指标体系</w:t>
      </w:r>
    </w:p>
    <w:p>
      <w:pPr>
        <w:pStyle w:val="2"/>
        <w:rPr>
          <w:rFonts w:hint="eastAsia"/>
        </w:rPr>
      </w:pPr>
    </w:p>
    <w:sectPr>
      <w:footerReference w:type="default" r:id="rId5"/>
      <w:footerReference w:type="first" r:id="rId6"/>
      <w:pgSz w:w="11906" w:h="16838"/>
      <w:pgMar w:top="1440" w:right="1800" w:bottom="1440" w:left="1800" w:header="851" w:footer="992" w:gutter="0"/>
      <w:pgNumType w:fmt="numberInDash" w:start="1"/>
      <w:titlePg/>
      <w:docGrid w:type="lines" w:linePitch="312" w:charSpace="0"/>
    </w:sectPr>
  </w:body>
</w:document>
</file>

<file path=word/fontTable.xml><?xml version="1.0" encoding="utf-8"?>
<w:fonts xmlns:w="http://schemas.openxmlformats.org/wordprocessingml/2006/main" xmlns:r="http://schemas.openxmlformats.org/officeDocument/2006/relationships">
  <w:font w:name="Times New Roman">
    <w:altName w:val="DejaVu Sans"/>
    <w:panose1 w:val="02020603050405020304"/>
    <w:charset w:val="01"/>
    <w:family w:val="auto"/>
    <w:pitch w:val="variable"/>
    <w:sig w:usb0="00000000" w:usb1="00000000" w:usb2="00000009" w:usb3="00000000" w:csb0="400001FF" w:csb1="FFFF0000"/>
  </w:font>
  <w:font w:name="方正小标宋简体">
    <w:panose1 w:val="02000000000000000000"/>
    <w:charset w:val="86"/>
    <w:family w:val="script"/>
    <w:pitch w:val="variable"/>
    <w:sig w:usb0="A00002BF" w:usb1="184F6CFA" w:usb2="00000012" w:usb3="00000000" w:csb0="00040001" w:csb1="00000000"/>
  </w:font>
  <w:font w:name="CESI黑体-GB13000">
    <w:panose1 w:val="02000500000000000000"/>
    <w:charset w:val="86"/>
    <w:family w:val="auto"/>
    <w:pitch w:val="variable"/>
    <w:sig w:usb0="800002BF" w:usb1="38CF7CF8" w:usb2="00000016" w:usb3="00000000" w:csb0="0004000F" w:csb1="00000000"/>
  </w:font>
  <w:font w:name="黑体">
    <w:altName w:val="方正黑体_GBK"/>
    <w:panose1 w:val="02010609060101010101"/>
    <w:charset w:val="86"/>
    <w:family w:val="auto"/>
    <w:pitch w:val="variable"/>
    <w:sig w:usb0="800002BF" w:usb1="38CF7CFA" w:usb2="00000016" w:usb3="00000000" w:csb0="00040001" w:csb1="00000000"/>
  </w:font>
  <w:font w:name="Arial">
    <w:altName w:val="DejaVu Sans"/>
    <w:panose1 w:val="020B0604020202020204"/>
    <w:charset w:val="01"/>
    <w:family w:val="swiss"/>
    <w:pitch w:val="variable"/>
    <w:sig w:usb0="E0002AFF" w:usb1="C0007843" w:usb2="00000009" w:usb3="00000000" w:csb0="400001FF" w:csb1="FFFF0000"/>
  </w:font>
  <w:font w:name="仿宋_GB2312">
    <w:panose1 w:val="02010609030101010101"/>
    <w:charset w:val="86"/>
    <w:family w:val="modern"/>
    <w:pitch w:val="variable"/>
    <w:sig w:usb0="00000001" w:usb1="080E0000" w:usb2="00000000" w:usb3="00000000" w:csb0="00040000" w:csb1="00000000"/>
  </w:font>
  <w:font w:name="仿宋">
    <w:altName w:val="方正仿宋_GBK"/>
    <w:panose1 w:val="02010609060101010101"/>
    <w:charset w:val="86"/>
    <w:family w:val="modern"/>
    <w:pitch w:val="variable"/>
    <w:sig w:usb0="00000000" w:usb1="00000000" w:usb2="00000016" w:usb3="00000000" w:csb0="00040001" w:csb1="00000000"/>
  </w:font>
  <w:font w:name="楷体_GB2312">
    <w:panose1 w:val="02010609030101010101"/>
    <w:charset w:val="86"/>
    <w:family w:val="auto"/>
    <w:pitch w:val="variable"/>
    <w:sig w:usb0="00000001" w:usb1="080E0000" w:usb2="00000000" w:usb3="00000000" w:csb0="00040000" w:csb1="00000000"/>
  </w:font>
  <w:font w:name="方正小标宋_GBK">
    <w:panose1 w:val="02000000000000000000"/>
    <w:charset w:val="86"/>
    <w:family w:val="script"/>
    <w:pitch w:val="variable"/>
    <w:sig w:usb0="A00002BF" w:usb1="38CF7CFA" w:usb2="00082016" w:usb3="00000000" w:csb0="00040001" w:csb1="00000000"/>
  </w:font>
  <w:font w:name="方正楷体_GBK">
    <w:panose1 w:val="02000000000000000000"/>
    <w:charset w:val="86"/>
    <w:family w:val="script"/>
    <w:pitch w:val="variable"/>
    <w:sig w:usb0="00000001" w:usb1="08000000" w:usb2="00000000" w:usb3="00000000" w:csb0="00040000" w:csb1="00000000"/>
  </w:font>
  <w:font w:name="方正仿宋_GBK">
    <w:panose1 w:val="02000000000000000000"/>
    <w:charset w:val="86"/>
    <w:family w:val="auto"/>
    <w:pitch w:val="variable"/>
    <w:sig w:usb0="00000001" w:usb1="08000000" w:usb2="00000000" w:usb3="00000000" w:csb0="00040000" w:csb1="00000000"/>
  </w:font>
  <w:font w:name="宋体">
    <w:altName w:val="方正书宋_GBK"/>
    <w:panose1 w:val="00000000000000000000"/>
    <w:charset w:val="86"/>
    <w:family w:val="auto"/>
    <w:pitch w:val="variable"/>
    <w:sig w:usb0="00000000" w:usb1="00000000" w:usb2="00000000" w:usb3="00000000" w:csb0="00000000" w:csb1="00000000"/>
  </w:font>
  <w:font w:name="Lucida Sans">
    <w:altName w:val="仿宋_GB2312"/>
    <w:panose1 w:val="00000000000000000000"/>
    <w:charset w:val="01"/>
    <w:family w:val="auto"/>
    <w:pitch w:val="variable"/>
    <w:sig w:usb0="00000000" w:usb1="00000000" w:usb2="00000000" w:usb3="00000000" w:csb0="00000000" w:csb1="00000000"/>
  </w:font>
  <w:font w:name="微软雅黑">
    <w:altName w:val="方正黑体_GBK"/>
    <w:panose1 w:val="020B0503020204020204"/>
    <w:charset w:val="86"/>
    <w:family w:val="auto"/>
    <w:pitch w:val="variable"/>
    <w:sig w:usb0="00000000" w:usb1="00000000" w:usb2="00000016" w:usb3="00000000" w:csb0="0004001F" w:csb1="00000000"/>
  </w:font>
  <w:font w:name="SimSun">
    <w:panose1 w:val="00000000000000000000"/>
    <w:charset w:val="00"/>
    <w:family w:val="auto"/>
    <w:pitch w:val="variable"/>
    <w:sig w:usb0="00000000" w:usb1="00000000" w:usb2="00000000" w:usb3="00000000" w:csb0="00000000" w:csb1="00000000"/>
  </w:font>
  <w:font w:name="simhei">
    <w:altName w:val="DejaVu Sans"/>
    <w:panose1 w:val="00000000000000000000"/>
    <w:charset w:val="00"/>
    <w:family w:val="auto"/>
    <w:pitch w:val="variable"/>
    <w:sig w:usb0="00000000" w:usb1="00000000" w:usb2="00000000" w:usb3="00000000" w:csb0="00000000" w:csb1="00000000"/>
  </w:font>
  <w:font w:name="Cambria">
    <w:altName w:val="Noto Sans Syriac Eastern"/>
    <w:panose1 w:val="02040503050406030204"/>
    <w:charset w:val="00"/>
    <w:family w:val="roman"/>
    <w:pitch w:val="variable"/>
    <w:sig w:usb0="00000000" w:usb1="00000000" w:usb2="02000000" w:usb3="00000000" w:csb0="2000019F" w:csb1="00000000"/>
  </w:font>
  <w:font w:name="Calibri">
    <w:altName w:val="DejaVu Sans"/>
    <w:panose1 w:val="020F0502020204030204"/>
    <w:charset w:val="00"/>
    <w:family w:val="swiss"/>
    <w:pitch w:val="variable"/>
    <w:sig w:usb0="00000000" w:usb1="00000000" w:usb2="00000001" w:usb3="00000000" w:csb0="0000019F" w:csb1="00000000"/>
  </w:font>
  <w:font w:name="??">
    <w:altName w:val="仿宋_GB2312"/>
    <w:panose1 w:val="00000000000000000000"/>
    <w:charset w:val="00"/>
    <w:family w:val="roman"/>
    <w:pitch w:val="variable"/>
    <w:sig w:usb0="00000000" w:usb1="00000000" w:usb2="00000000" w:usb3="00000000" w:csb0="00000000" w:csb1="00000000"/>
  </w:font>
</w:fonts>
</file>

<file path=word/footer1.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p>
    <w:pPr>
      <w:pStyle w:val="24"/>
      <w:tabs>
        <w:tab w:val="center" w:pos="4153"/>
        <w:tab w:val="right" w:pos="8306"/>
      </w:tabs>
      <w:jc w:val="center"/>
    </w:pPr>
    <w:r>
      <w:rPr>
        <w:sz w:val="18"/>
      </w:rPr>
      <mc:AlternateContent>
        <mc:Choice Requires="wps">
          <w:drawing>
            <wp:anchor distT="0" distB="0" distL="114298" distR="114298" simplePos="0" relativeHeight="30" behindDoc="0" locked="0" layoutInCell="1" hidden="0" allowOverlap="1">
              <wp:simplePos x="0" y="0"/>
              <wp:positionH relativeFrom="margin">
                <wp:align>center</wp:align>
              </wp:positionH>
              <wp:positionV relativeFrom="paragraph">
                <wp:posOffset>0</wp:posOffset>
              </wp:positionV>
              <wp:extent cx="227914" cy="133159"/>
              <wp:effectExtent l="0" t="0" r="0" b="0"/>
              <wp:wrapNone/>
              <wp:docPr id="1" name="文本框 8"/>
              <wp:cNvGraphicFramePr>
                <a:graphicFrameLocks noChangeAspect="0"/>
              </wp:cNvGraphicFramePr>
              <a:graphic>
                <a:graphicData uri="http://schemas.microsoft.com/office/word/2010/wordprocessingShape">
                  <wps:wsp>
                    <wps:cNvSpPr/>
                    <wps:spPr>
                      <a:xfrm rot="0">
                        <a:off x="0" y="0"/>
                        <a:ext cx="227914" cy="133159"/>
                      </a:xfrm>
                      <a:prstGeom prst="rect"/>
                      <a:noFill/>
                      <a:ln w="6350" cmpd="sng" cap="flat">
                        <a:noFill/>
                        <a:prstDash val="solid"/>
                        <a:round/>
                      </a:ln>
                    </wps:spPr>
                    <wps:txbx id="2">
                      <w:txbxContent>
                        <w:p>
                          <w:pPr>
                            <w:pStyle w:val="24"/>
                            <w:tabs>
                              <w:tab w:val="center" w:pos="4153"/>
                              <w:tab w:val="right" w:pos="8306"/>
                            </w:tabs>
                          </w:pPr>
                          <w:r>
                            <w:fldChar w:fldCharType="begin"/>
                          </w:r>
                          <w:r>
                            <w:instrText xml:space="preserve"> PAGE  \* MERGEFORMAT </w:instrText>
                          </w:r>
                          <w:r>
                            <w:fldChar w:fldCharType="separate"/>
                          </w:r>
                          <w:r>
                            <w:t>- 1 -</w:t>
                          </w:r>
                          <w:r>
                            <w:fldChar w:fldCharType="end"/>
                          </w:r>
                        </w:p>
                      </w:txbxContent>
                    </wps:txbx>
                    <wps:bodyPr vert="horz" wrap="none" lIns="0" tIns="0" rIns="0" bIns="0" anchor="t" anchorCtr="0" upright="0">
                      <a:spAutoFit/>
                    </wps:bodyPr>
                  </wps:wsp>
                </a:graphicData>
              </a:graphic>
            </wp:anchor>
          </w:drawing>
        </mc:Choice>
        <mc:Fallback>
          <w:pict>
            <v:shape type="#_x0000_t202" id="文本框 8 3" o:spid="_x0000_s3" filled="f" stroked="f" strokeweight="0.5pt" style="position:absolute;margin-left:0.0pt;margin-top:0.0pt;width:17.945997pt;height:10.484998pt;z-index:30;mso-position-horizontal:center;mso-position-horizontal-relative:margin;mso-position-vertical:absolute;mso-wrap-distance-left:8.999863pt;mso-wrap-distance-right:8.999863pt;mso-wrap-style:none;">
              <v:stroke color="#000000"/>
              <v:textbox id="855" inset="0mm,0mm,0mm,0mm" o:insetmode="custom" style="layout-flow:horizontal;v-text-anchor:top;mso-fit-shape-to-text:t;">
                <w:txbxContent>
                  <w:p>
                    <w:pPr>
                      <w:pStyle w:val="24"/>
                      <w:tabs>
                        <w:tab w:val="center" w:pos="4153"/>
                        <w:tab w:val="right" w:pos="8306"/>
                      </w:tabs>
                    </w:pPr>
                    <w:r>
                      <w:fldChar w:fldCharType="begin"/>
                    </w:r>
                    <w:r>
                      <w:instrText xml:space="preserve"> PAGE  \* MERGEFORMAT </w:instrText>
                    </w:r>
                    <w:r>
                      <w:fldChar w:fldCharType="separate"/>
                    </w:r>
                    <w:r>
                      <w:t>- 1 -</w:t>
                    </w:r>
                    <w:r>
                      <w:fldChar w:fldCharType="end"/>
                    </w:r>
                  </w:p>
                </w:txbxContent>
              </v:textbox>
            </v:shape>
          </w:pict>
        </mc:Fallback>
      </mc:AlternateContent>
    </w:r>
  </w:p>
  <w:p>
    <w:pPr>
      <w:pStyle w:val="24"/>
      <w:tabs>
        <w:tab w:val="center" w:pos="4153"/>
        <w:tab w:val="right" w:pos="8306"/>
      </w:tabs>
    </w:pPr>
  </w:p>
</w:ftr>
</file>

<file path=word/footer2.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p>
    <w:pPr>
      <w:pStyle w:val="24"/>
      <w:tabs>
        <w:tab w:val="center" w:pos="4153"/>
        <w:tab w:val="right" w:pos="8306"/>
      </w:tabs>
    </w:pPr>
    <w:r>
      <w:rPr>
        <w:sz w:val="18"/>
      </w:rPr>
      <mc:AlternateContent>
        <mc:Choice Requires="wps">
          <w:drawing>
            <wp:anchor distT="0" distB="0" distL="114298" distR="114298" simplePos="0" relativeHeight="36" behindDoc="0" locked="0" layoutInCell="1" hidden="0" allowOverlap="1">
              <wp:simplePos x="0" y="0"/>
              <wp:positionH relativeFrom="margin">
                <wp:align>center</wp:align>
              </wp:positionH>
              <wp:positionV relativeFrom="paragraph">
                <wp:posOffset>0</wp:posOffset>
              </wp:positionV>
              <wp:extent cx="227914" cy="133159"/>
              <wp:effectExtent l="0" t="0" r="0" b="0"/>
              <wp:wrapNone/>
              <wp:docPr id="4" name="文本框 9"/>
              <wp:cNvGraphicFramePr>
                <a:graphicFrameLocks noChangeAspect="0"/>
              </wp:cNvGraphicFramePr>
              <a:graphic>
                <a:graphicData uri="http://schemas.microsoft.com/office/word/2010/wordprocessingShape">
                  <wps:wsp>
                    <wps:cNvSpPr/>
                    <wps:spPr>
                      <a:xfrm rot="0">
                        <a:off x="0" y="0"/>
                        <a:ext cx="227914" cy="133159"/>
                      </a:xfrm>
                      <a:prstGeom prst="rect"/>
                      <a:noFill/>
                      <a:ln w="6350" cmpd="sng" cap="flat">
                        <a:noFill/>
                        <a:prstDash val="solid"/>
                        <a:round/>
                      </a:ln>
                    </wps:spPr>
                    <wps:txbx id="5">
                      <w:txbxContent>
                        <w:p>
                          <w:pPr>
                            <w:pStyle w:val="24"/>
                            <w:tabs>
                              <w:tab w:val="center" w:pos="4153"/>
                              <w:tab w:val="right" w:pos="8306"/>
                            </w:tabs>
                          </w:pPr>
                          <w:r>
                            <w:fldChar w:fldCharType="begin"/>
                          </w:r>
                          <w:r>
                            <w:instrText xml:space="preserve"> PAGE  \* MERGEFORMAT </w:instrText>
                          </w:r>
                          <w:r>
                            <w:fldChar w:fldCharType="separate"/>
                          </w:r>
                          <w:r>
                            <w:t>- 1 -</w:t>
                          </w:r>
                          <w:r>
                            <w:fldChar w:fldCharType="end"/>
                          </w:r>
                        </w:p>
                      </w:txbxContent>
                    </wps:txbx>
                    <wps:bodyPr vert="horz" wrap="none" lIns="0" tIns="0" rIns="0" bIns="0" anchor="t" anchorCtr="0" upright="0">
                      <a:spAutoFit/>
                    </wps:bodyPr>
                  </wps:wsp>
                </a:graphicData>
              </a:graphic>
            </wp:anchor>
          </w:drawing>
        </mc:Choice>
        <mc:Fallback>
          <w:pict>
            <v:shape type="#_x0000_t202" id="文本框 9 6" o:spid="_x0000_s6" filled="f" stroked="f" strokeweight="0.5pt" style="position:absolute;margin-left:0.0pt;margin-top:0.0pt;width:17.945997pt;height:10.484998pt;z-index:36;mso-position-horizontal:center;mso-position-horizontal-relative:margin;mso-position-vertical:absolute;mso-wrap-distance-left:8.999863pt;mso-wrap-distance-right:8.999863pt;mso-wrap-style:none;">
              <v:stroke color="#000000"/>
              <v:textbox id="856" inset="0mm,0mm,0mm,0mm" o:insetmode="custom" style="layout-flow:horizontal;v-text-anchor:top;mso-fit-shape-to-text:t;">
                <w:txbxContent>
                  <w:p>
                    <w:pPr>
                      <w:pStyle w:val="24"/>
                      <w:tabs>
                        <w:tab w:val="center" w:pos="4153"/>
                        <w:tab w:val="right" w:pos="8306"/>
                      </w:tabs>
                    </w:pPr>
                    <w:r>
                      <w:fldChar w:fldCharType="begin"/>
                    </w:r>
                    <w:r>
                      <w:instrText xml:space="preserve"> PAGE  \* MERGEFORMAT </w:instrText>
                    </w:r>
                    <w:r>
                      <w:fldChar w:fldCharType="separate"/>
                    </w:r>
                    <w:r>
                      <w:t>- 1 -</w:t>
                    </w:r>
                    <w:r>
                      <w:fldChar w:fldCharType="end"/>
                    </w:r>
                  </w:p>
                </w:txbxContent>
              </v:textbox>
            </v:shape>
          </w:pict>
        </mc:Fallback>
      </mc:AlternateContent>
    </w:r>
  </w:p>
</w:ftr>
</file>

<file path=word/footer3.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p>
    <w:pPr>
      <w:pStyle w:val="24"/>
      <w:tabs>
        <w:tab w:val="center" w:pos="4153"/>
        <w:tab w:val="right" w:pos="8306"/>
      </w:tabs>
      <w:jc w:val="center"/>
    </w:pPr>
    <w:r>
      <w:rPr>
        <w:sz w:val="18"/>
      </w:rPr>
      <mc:AlternateContent>
        <mc:Choice Requires="wps">
          <w:drawing>
            <wp:anchor distT="0" distB="0" distL="114298" distR="114298" simplePos="0" relativeHeight="38" behindDoc="0" locked="0" layoutInCell="1" hidden="0" allowOverlap="1">
              <wp:simplePos x="0" y="0"/>
              <wp:positionH relativeFrom="margin">
                <wp:align>center</wp:align>
              </wp:positionH>
              <wp:positionV relativeFrom="paragraph">
                <wp:posOffset>-9795891</wp:posOffset>
              </wp:positionV>
              <wp:extent cx="227914" cy="133159"/>
              <wp:effectExtent l="0" t="0" r="0" b="0"/>
              <wp:wrapNone/>
              <wp:docPr id="7" name="文本框 10"/>
              <wp:cNvGraphicFramePr>
                <a:graphicFrameLocks noChangeAspect="0"/>
              </wp:cNvGraphicFramePr>
              <a:graphic>
                <a:graphicData uri="http://schemas.microsoft.com/office/word/2010/wordprocessingShape">
                  <wps:wsp>
                    <wps:cNvSpPr/>
                    <wps:spPr>
                      <a:xfrm rot="0">
                        <a:off x="0" y="0"/>
                        <a:ext cx="227914" cy="133159"/>
                      </a:xfrm>
                      <a:prstGeom prst="rect"/>
                      <a:noFill/>
                      <a:ln w="6350" cmpd="sng" cap="flat">
                        <a:noFill/>
                        <a:prstDash val="solid"/>
                        <a:round/>
                      </a:ln>
                    </wps:spPr>
                    <wps:txbx id="8">
                      <w:txbxContent>
                        <w:p>
                          <w:pPr>
                            <w:pStyle w:val="24"/>
                            <w:tabs>
                              <w:tab w:val="center" w:pos="4153"/>
                              <w:tab w:val="right" w:pos="8306"/>
                            </w:tabs>
                          </w:pPr>
                          <w:r>
                            <w:fldChar w:fldCharType="begin"/>
                          </w:r>
                          <w:r>
                            <w:instrText xml:space="preserve"> PAGE  \* MERGEFORMAT </w:instrText>
                          </w:r>
                          <w:r>
                            <w:fldChar w:fldCharType="separate"/>
                          </w:r>
                          <w:r>
                            <w:t>- 2 -</w:t>
                          </w:r>
                          <w:r>
                            <w:fldChar w:fldCharType="end"/>
                          </w:r>
                        </w:p>
                      </w:txbxContent>
                    </wps:txbx>
                    <wps:bodyPr vert="horz" wrap="none" lIns="0" tIns="0" rIns="0" bIns="0" anchor="t" anchorCtr="0" upright="0">
                      <a:spAutoFit/>
                    </wps:bodyPr>
                  </wps:wsp>
                </a:graphicData>
              </a:graphic>
            </wp:anchor>
          </w:drawing>
        </mc:Choice>
        <mc:Fallback>
          <w:pict>
            <v:shape type="#_x0000_t202" id="文本框 10 9" o:spid="_x0000_s9" filled="f" stroked="f" strokeweight="0.5pt" style="position:absolute;margin-left:-288.6764pt;margin-top:-771.33pt;width:17.946009pt;height:10.485009pt;z-index:38;mso-position-horizontal:center;mso-position-horizontal-relative:margin;mso-position-vertical:absolute;mso-wrap-distance-left:8.999863pt;mso-wrap-distance-right:8.999863pt;mso-wrap-style:none;">
              <v:stroke color="#000000"/>
              <v:textbox id="857" inset="0mm,0mm,0mm,0mm" o:insetmode="custom" style="layout-flow:horizontal;v-text-anchor:top;mso-fit-shape-to-text:t;">
                <w:txbxContent>
                  <w:p>
                    <w:pPr>
                      <w:pStyle w:val="24"/>
                      <w:tabs>
                        <w:tab w:val="center" w:pos="4153"/>
                        <w:tab w:val="right" w:pos="8306"/>
                      </w:tabs>
                    </w:pPr>
                    <w:r>
                      <w:fldChar w:fldCharType="begin"/>
                    </w:r>
                    <w:r>
                      <w:instrText xml:space="preserve"> PAGE  \* MERGEFORMAT </w:instrText>
                    </w:r>
                    <w:r>
                      <w:fldChar w:fldCharType="separate"/>
                    </w:r>
                    <w:r>
                      <w:t>- 2 -</w:t>
                    </w:r>
                    <w:r>
                      <w:fldChar w:fldCharType="end"/>
                    </w:r>
                  </w:p>
                </w:txbxContent>
              </v:textbox>
            </v:shape>
          </w:pict>
        </mc:Fallback>
      </mc:AlternateContent>
    </w:r>
  </w:p>
  <w:p>
    <w:pPr>
      <w:pStyle w:val="24"/>
      <w:tabs>
        <w:tab w:val="center" w:pos="4153"/>
        <w:tab w:val="right" w:pos="8306"/>
      </w:tabs>
    </w:pPr>
  </w:p>
</w:ftr>
</file>

<file path=word/footer4.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p>
    <w:pPr>
      <w:pStyle w:val="24"/>
      <w:tabs>
        <w:tab w:val="center" w:pos="4153"/>
        <w:tab w:val="right" w:pos="8306"/>
      </w:tabs>
    </w:pPr>
    <w:r>
      <w:rPr>
        <w:sz w:val="18"/>
      </w:rPr>
      <mc:AlternateContent>
        <mc:Choice Requires="wps">
          <w:drawing>
            <wp:anchor distT="0" distB="0" distL="114298" distR="114298" simplePos="0" relativeHeight="40" behindDoc="0" locked="0" layoutInCell="1" hidden="0" allowOverlap="1">
              <wp:simplePos x="0" y="0"/>
              <wp:positionH relativeFrom="margin">
                <wp:align>center</wp:align>
              </wp:positionH>
              <wp:positionV relativeFrom="paragraph">
                <wp:posOffset>0</wp:posOffset>
              </wp:positionV>
              <wp:extent cx="227914" cy="133159"/>
              <wp:effectExtent l="0" t="0" r="0" b="0"/>
              <wp:wrapNone/>
              <wp:docPr id="10" name="文本框 11"/>
              <wp:cNvGraphicFramePr>
                <a:graphicFrameLocks noChangeAspect="0"/>
              </wp:cNvGraphicFramePr>
              <a:graphic>
                <a:graphicData uri="http://schemas.microsoft.com/office/word/2010/wordprocessingShape">
                  <wps:wsp>
                    <wps:cNvSpPr/>
                    <wps:spPr>
                      <a:xfrm rot="0">
                        <a:off x="0" y="0"/>
                        <a:ext cx="227914" cy="133159"/>
                      </a:xfrm>
                      <a:prstGeom prst="rect"/>
                      <a:noFill/>
                      <a:ln w="6350" cmpd="sng" cap="flat">
                        <a:noFill/>
                        <a:prstDash val="solid"/>
                        <a:round/>
                      </a:ln>
                    </wps:spPr>
                    <wps:txbx id="11">
                      <w:txbxContent>
                        <w:p>
                          <w:pPr>
                            <w:pStyle w:val="24"/>
                            <w:tabs>
                              <w:tab w:val="center" w:pos="4153"/>
                              <w:tab w:val="right" w:pos="8306"/>
                            </w:tabs>
                          </w:pPr>
                          <w:r>
                            <w:fldChar w:fldCharType="begin"/>
                          </w:r>
                          <w:r>
                            <w:instrText xml:space="preserve"> PAGE  \* MERGEFORMAT </w:instrText>
                          </w:r>
                          <w:r>
                            <w:fldChar w:fldCharType="separate"/>
                          </w:r>
                          <w:r>
                            <w:t>- 1 -</w:t>
                          </w:r>
                          <w:r>
                            <w:fldChar w:fldCharType="end"/>
                          </w:r>
                        </w:p>
                      </w:txbxContent>
                    </wps:txbx>
                    <wps:bodyPr vert="horz" wrap="none" lIns="0" tIns="0" rIns="0" bIns="0" anchor="t" anchorCtr="0" upright="0">
                      <a:spAutoFit/>
                    </wps:bodyPr>
                  </wps:wsp>
                </a:graphicData>
              </a:graphic>
            </wp:anchor>
          </w:drawing>
        </mc:Choice>
        <mc:Fallback>
          <w:pict>
            <v:shape type="#_x0000_t202" id="文本框 11 12" o:spid="_x0000_s12" filled="f" stroked="f" strokeweight="0.5pt" style="position:absolute;margin-left:0.0pt;margin-top:0.0pt;width:17.945997pt;height:10.484998pt;z-index:40;mso-position-horizontal:center;mso-position-horizontal-relative:margin;mso-position-vertical:absolute;mso-wrap-distance-left:8.999863pt;mso-wrap-distance-right:8.999863pt;mso-wrap-style:none;">
              <v:stroke color="#000000"/>
              <v:textbox id="858" inset="0mm,0mm,0mm,0mm" o:insetmode="custom" style="layout-flow:horizontal;v-text-anchor:top;mso-fit-shape-to-text:t;">
                <w:txbxContent>
                  <w:p>
                    <w:pPr>
                      <w:pStyle w:val="24"/>
                      <w:tabs>
                        <w:tab w:val="center" w:pos="4153"/>
                        <w:tab w:val="right" w:pos="8306"/>
                      </w:tabs>
                    </w:pPr>
                    <w:r>
                      <w:fldChar w:fldCharType="begin"/>
                    </w:r>
                    <w:r>
                      <w:instrText xml:space="preserve"> PAGE  \* MERGEFORMAT </w:instrText>
                    </w:r>
                    <w:r>
                      <w:fldChar w:fldCharType="separate"/>
                    </w:r>
                    <w:r>
                      <w:t>- 1 -</w:t>
                    </w:r>
                    <w:r>
                      <w:fldChar w:fldCharType="end"/>
                    </w:r>
                  </w:p>
                </w:txbxContent>
              </v:textbox>
            </v:shape>
          </w:pict>
        </mc:Fallback>
      </mc:AlternateContent>
    </w:r>
  </w:p>
</w:ftr>
</file>

<file path=word/header1.xml><?xml version="1.0" encoding="utf-8"?>
<w:hd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p>
    <w:pPr>
      <w:pStyle w:val="25"/>
      <w:pBdr>
        <w:bottom w:val="none" w:sz="0" w:space="0" w:color="auto"/>
      </w:pBdr>
      <w:tabs>
        <w:tab w:val="center" w:pos="4153"/>
        <w:tab w:val="right" w:pos="8306"/>
      </w:tabs>
    </w:pPr>
  </w:p>
</w:hdr>
</file>

<file path=word/numbering.xml><?xml version="1.0" encoding="utf-8"?>
<w:numbering xmlns:w="http://schemas.openxmlformats.org/wordprocessingml/2006/main" xmlns:o="urn:schemas-microsoft-com:office:office" xmlns:r="http://schemas.openxmlformats.org/officeDocument/2006/relationships" xmlns:m="http://schemas.openxmlformats.org/officeDocument/2006/math" xmlns:v="urn:schemas-microsoft-com:vml" xmlns:mc="http://schemas.openxmlformats.org/markup-compatibility/2006" xmlns:w14="http://schemas.microsoft.com/office/word/2010/wordml">
  <w:abstractNum w:abstractNumId="0">
    <w:nsid w:val="9FFD1C51"/>
    <w:multiLevelType w:val="singleLevel"/>
    <w:tmpl w:val="9FFD1C51"/>
    <w:lvl w:ilvl="0">
      <w:start w:val="1"/>
      <w:numFmt w:val="chineseCounting"/>
      <w:lvlRestart w:val="0"/>
      <w:suff w:val="space"/>
      <w:lvlText w:val="第%1部分"/>
      <w:lvlJc w:val="left"/>
      <w:pPr>
        <w:ind w:left="0" w:hanging="0"/>
      </w:pPr>
      <w:rPr>
        <w:rFonts w:hint="eastAsia"/>
      </w:rPr>
    </w:lvl>
  </w:abstractNum>
  <w:abstractNum w:abstractNumId="1">
    <w:nsid w:val="FEFAF3BC"/>
    <w:multiLevelType w:val="singleLevel"/>
    <w:tmpl w:val="FEFAF3BC"/>
    <w:lvl w:ilvl="0">
      <w:start w:val="1"/>
      <w:numFmt w:val="chineseCounting"/>
      <w:lvlRestart w:val="0"/>
      <w:suff w:val="nothing"/>
      <w:lvlText w:val="%1、"/>
      <w:lvlJc w:val="left"/>
      <w:pPr>
        <w:ind w:left="0" w:hanging="0"/>
      </w:pPr>
      <w:rPr>
        <w:rFonts w:hint="eastAsia"/>
      </w:rPr>
    </w:lvl>
  </w:abstractNum>
  <w:abstractNum w:abstractNumId="2">
    <w:nsid w:val="62621CDC"/>
    <w:multiLevelType w:val="multilevel"/>
    <w:tmpl w:val="62621CDC"/>
    <w:lvl w:ilvl="0">
      <w:start w:val="1"/>
      <w:numFmt w:val="decimal"/>
      <w:lvlRestart w:val="0"/>
      <w:lvlText w:val="%1."/>
      <w:lvlJc w:val="left"/>
      <w:pPr>
        <w:ind w:left="1152" w:hanging="480"/>
      </w:pPr>
      <w:rPr>
        <w:rFonts w:hint="default"/>
      </w:rPr>
    </w:lvl>
    <w:lvl w:ilvl="1">
      <w:start w:val="1"/>
      <w:numFmt w:val="lowerLetter"/>
      <w:lvlText w:val="%2)"/>
      <w:lvlJc w:val="left"/>
      <w:pPr>
        <w:ind w:left="1512" w:hanging="420"/>
      </w:pPr>
    </w:lvl>
    <w:lvl w:ilvl="2">
      <w:start w:val="1"/>
      <w:numFmt w:val="lowerRoman"/>
      <w:lvlText w:val="%3."/>
      <w:lvlJc w:val="right"/>
      <w:pPr>
        <w:ind w:left="1932" w:hanging="420"/>
      </w:pPr>
    </w:lvl>
    <w:lvl w:ilvl="3">
      <w:start w:val="1"/>
      <w:numFmt w:val="decimal"/>
      <w:lvlText w:val="%4."/>
      <w:lvlJc w:val="left"/>
      <w:pPr>
        <w:ind w:left="2352" w:hanging="420"/>
      </w:pPr>
    </w:lvl>
    <w:lvl w:ilvl="4">
      <w:start w:val="1"/>
      <w:numFmt w:val="lowerLetter"/>
      <w:lvlText w:val="%5)"/>
      <w:lvlJc w:val="left"/>
      <w:pPr>
        <w:ind w:left="2772" w:hanging="420"/>
      </w:pPr>
    </w:lvl>
    <w:lvl w:ilvl="5">
      <w:start w:val="1"/>
      <w:numFmt w:val="lowerRoman"/>
      <w:lvlText w:val="%6."/>
      <w:lvlJc w:val="right"/>
      <w:pPr>
        <w:ind w:left="3192" w:hanging="420"/>
      </w:pPr>
    </w:lvl>
    <w:lvl w:ilvl="6">
      <w:start w:val="1"/>
      <w:numFmt w:val="decimal"/>
      <w:lvlText w:val="%7."/>
      <w:lvlJc w:val="left"/>
      <w:pPr>
        <w:ind w:left="3612" w:hanging="420"/>
      </w:pPr>
    </w:lvl>
    <w:lvl w:ilvl="7">
      <w:start w:val="1"/>
      <w:numFmt w:val="lowerLetter"/>
      <w:lvlText w:val="%8)"/>
      <w:lvlJc w:val="left"/>
      <w:pPr>
        <w:ind w:left="4032" w:hanging="420"/>
      </w:pPr>
    </w:lvl>
    <w:lvl w:ilvl="8">
      <w:start w:val="1"/>
      <w:numFmt w:val="lowerRoman"/>
      <w:lvlText w:val="%9."/>
      <w:lvlJc w:val="right"/>
      <w:pPr>
        <w:ind w:left="4452" w:hanging="420"/>
      </w:pPr>
    </w:lvl>
  </w:abstractNum>
  <w:abstractNum w:abstractNumId="3">
    <w:nsid w:val="31F9C2CA"/>
    <w:multiLevelType w:val="multilevel"/>
    <w:tmpl w:val="31F9C2CA"/>
    <w:lvl w:ilvl="0">
      <w:start w:val="1"/>
      <w:numFmt w:val="decimal"/>
      <w:lvlRestart w:val="0"/>
      <w:lvlText w:val="%1."/>
      <w:lvlJc w:val="left"/>
      <w:pPr>
        <w:ind w:left="1000" w:hanging="360"/>
      </w:pPr>
    </w:lvl>
    <w:lvl w:ilvl="1">
      <w:start w:val="1"/>
      <w:numFmt w:val="lowerLetter"/>
      <w:lvlText w:val="%2)"/>
      <w:lvlJc w:val="left"/>
      <w:pPr>
        <w:ind w:left="1480" w:hanging="420"/>
      </w:pPr>
    </w:lvl>
    <w:lvl w:ilvl="2">
      <w:start w:val="1"/>
      <w:numFmt w:val="lowerRoman"/>
      <w:lvlText w:val="%3."/>
      <w:lvlJc w:val="right"/>
      <w:pPr>
        <w:ind w:left="1900" w:hanging="420"/>
      </w:pPr>
    </w:lvl>
    <w:lvl w:ilvl="3">
      <w:start w:val="1"/>
      <w:numFmt w:val="decimal"/>
      <w:lvlText w:val="%4."/>
      <w:lvlJc w:val="left"/>
      <w:pPr>
        <w:ind w:left="2320" w:hanging="420"/>
      </w:pPr>
    </w:lvl>
    <w:lvl w:ilvl="4">
      <w:start w:val="1"/>
      <w:numFmt w:val="lowerLetter"/>
      <w:lvlText w:val="%5)"/>
      <w:lvlJc w:val="left"/>
      <w:pPr>
        <w:ind w:left="2740" w:hanging="420"/>
      </w:pPr>
    </w:lvl>
    <w:lvl w:ilvl="5">
      <w:start w:val="1"/>
      <w:numFmt w:val="lowerRoman"/>
      <w:lvlText w:val="%6."/>
      <w:lvlJc w:val="right"/>
      <w:pPr>
        <w:ind w:left="3160" w:hanging="420"/>
      </w:pPr>
    </w:lvl>
    <w:lvl w:ilvl="6">
      <w:start w:val="1"/>
      <w:numFmt w:val="decimal"/>
      <w:lvlText w:val="%7."/>
      <w:lvlJc w:val="left"/>
      <w:pPr>
        <w:ind w:left="3580" w:hanging="420"/>
      </w:pPr>
    </w:lvl>
    <w:lvl w:ilvl="7">
      <w:start w:val="1"/>
      <w:numFmt w:val="lowerLetter"/>
      <w:lvlText w:val="%8)"/>
      <w:lvlJc w:val="left"/>
      <w:pPr>
        <w:ind w:left="4000" w:hanging="420"/>
      </w:pPr>
    </w:lvl>
    <w:lvl w:ilvl="8">
      <w:start w:val="1"/>
      <w:numFmt w:val="lowerRoman"/>
      <w:lvlText w:val="%9."/>
      <w:lvlJc w:val="right"/>
      <w:pPr>
        <w:ind w:left="4420" w:hanging="420"/>
      </w:p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xmlns:o="urn:schemas-microsoft-com:office:office" xmlns:r="http://schemas.openxmlformats.org/officeDocument/2006/relationships" xmlns:m="http://schemas.openxmlformats.org/officeDocument/2006/math" xmlns:v="urn:schemas-microsoft-com:vml">
  <w:zoom w:percent="86"/>
  <w:bordersDoNotSurroundHeader/>
  <w:bordersDoNotSurroundFooter/>
  <w:documentProtection w:edit="readOnly"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ulTrailSpace/>
    <w:doNotExpandShiftReturn/>
    <w:adjustLineHeightInTable/>
    <w:compatSetting w:name="compatibilityMode" w:uri="http://schemas.microsoft.com/office/word" w:val="14"/>
  </w:compat>
</w:settings>
</file>

<file path=word/styles.xml><?xml version="1.0" encoding="utf-8"?>
<w:styles xmlns:w="http://schemas.openxmlformats.org/wordprocessingml/2006/main" xmlns:r="http://schemas.openxmlformats.org/officeDocument/2006/relationships">
  <w:docDefaults>
    <w:rPrDefault>
      <w:rPr>
        <w:rFonts w:ascii="Times New Roman" w:eastAsia="宋体" w:hAnsi="Times New Roman" w:cs="Times New Roman"/>
        <w:lang w:val="en-US" w:eastAsia="zh-CN" w:bidi="ar-SA"/>
      </w:rPr>
    </w:rPrDefault>
    <w:pPrDefault/>
  </w:docDefaults>
  <w:style w:type="paragraph" w:default="1" w:styleId="0">
    <w:name w:val="Normal"/>
    <w:next w:val="15"/>
    <w:pPr>
      <w:widowControl w:val="0"/>
      <w:jc w:val="both"/>
    </w:pPr>
    <w:rPr>
      <w:rFonts w:ascii="Times New Roman" w:eastAsia="宋体" w:cs="Times New Roman" w:hAnsi="Times New Roman"/>
      <w:kern w:val="2"/>
      <w:sz w:val="21"/>
      <w:szCs w:val="24"/>
      <w:lang w:val="en-US" w:eastAsia="zh-CN" w:bidi="ar-SA"/>
    </w:rPr>
  </w:style>
  <w:style w:type="paragraph" w:styleId="1">
    <w:name w:val="heading 1"/>
    <w:basedOn w:val="0"/>
    <w:next w:val="0"/>
    <w:link w:val="1Char"/>
    <w:pPr>
      <w:keepNext/>
      <w:keepLines/>
      <w:widowControl w:val="0"/>
      <w:spacing w:before="340" w:after="330" w:line="578" w:lineRule="auto"/>
      <w:outlineLvl w:val="0"/>
    </w:pPr>
    <w:rPr>
      <w:b/>
      <w:bCs/>
      <w:kern w:val="44"/>
      <w:sz w:val="44"/>
      <w:szCs w:val="44"/>
    </w:rPr>
  </w:style>
  <w:style w:type="character" w:customStyle="1" w:styleId="1Char">
    <w:name w:val="heading 1 Char"/>
    <w:basedOn w:val="10"/>
    <w:link w:val="1"/>
    <w:rPr>
      <w:rFonts w:ascii="Times New Roman" w:eastAsia="宋体" w:cs="Times New Roman" w:hAnsi="Times New Roman"/>
      <w:b/>
      <w:bCs/>
      <w:kern w:val="44"/>
      <w:sz w:val="44"/>
      <w:szCs w:val="44"/>
      <w:lang w:val="en-US" w:eastAsia="zh-CN" w:bidi="ar-SA"/>
    </w:rPr>
  </w:style>
  <w:style w:type="paragraph" w:styleId="2">
    <w:name w:val="heading 2"/>
    <w:basedOn w:val="0"/>
    <w:next w:val="0"/>
    <w:link w:val="2Char"/>
    <w:pPr>
      <w:keepNext/>
      <w:keepLines/>
      <w:widowControl w:val="0"/>
      <w:spacing w:before="260" w:after="260" w:line="415" w:lineRule="auto"/>
      <w:outlineLvl w:val="1"/>
    </w:pPr>
    <w:rPr>
      <w:rFonts w:ascii="Cambria" w:eastAsia="宋体" w:cs="Times New Roman" w:hAnsi="Cambria"/>
      <w:b/>
      <w:bCs/>
      <w:sz w:val="32"/>
      <w:szCs w:val="32"/>
    </w:rPr>
  </w:style>
  <w:style w:type="character" w:customStyle="1" w:styleId="2Char">
    <w:name w:val="heading 2 Char"/>
    <w:basedOn w:val="10"/>
    <w:link w:val="2"/>
    <w:rPr>
      <w:rFonts w:ascii="Cambria" w:eastAsia="宋体" w:cs="Times New Roman" w:hAnsi="Cambria"/>
      <w:b/>
      <w:bCs/>
      <w:kern w:val="2"/>
      <w:sz w:val="32"/>
      <w:szCs w:val="32"/>
      <w:lang w:val="en-US" w:eastAsia="zh-CN" w:bidi="ar-SA"/>
    </w:rPr>
  </w:style>
  <w:style w:type="paragraph" w:styleId="3">
    <w:name w:val="heading 3"/>
    <w:basedOn w:val="0"/>
    <w:next w:val="0"/>
    <w:pPr>
      <w:keepNext/>
      <w:keepLines/>
      <w:widowControl w:val="0"/>
      <w:spacing w:before="260" w:after="260" w:line="415" w:lineRule="auto"/>
      <w:outlineLvl w:val="2"/>
    </w:pPr>
    <w:rPr>
      <w:b/>
      <w:bCs/>
      <w:sz w:val="32"/>
      <w:szCs w:val="32"/>
    </w:rPr>
  </w:style>
  <w:style w:type="character" w:default="1" w:styleId="10">
    <w:name w:val="Default Paragraph Font"/>
  </w:style>
  <w:style w:type="paragraph" w:styleId="15">
    <w:name w:val="footnote text"/>
    <w:basedOn w:val="0"/>
    <w:next w:val="17"/>
    <w:pPr>
      <w:snapToGrid w:val="0"/>
      <w:jc w:val="left"/>
    </w:pPr>
    <w:rPr>
      <w:sz w:val="18"/>
      <w:szCs w:val="18"/>
    </w:rPr>
  </w:style>
  <w:style w:type="paragraph" w:styleId="16">
    <w:name w:val="Body Text Indent"/>
    <w:basedOn w:val="0"/>
    <w:next w:val="17"/>
    <w:pPr>
      <w:spacing w:after="120"/>
      <w:ind w:leftChars="200" w:left="200"/>
    </w:pPr>
    <w:rPr>
      <w:rFonts w:ascii="仿宋_GB2312" w:hAnsi="仿宋_GB2312"/>
      <w:szCs w:val="32"/>
    </w:rPr>
  </w:style>
  <w:style w:type="paragraph" w:styleId="17">
    <w:name w:val="Body Text First Indent 2"/>
    <w:basedOn w:val="16"/>
    <w:pPr>
      <w:ind w:firstLineChars="200" w:firstLine="200"/>
    </w:pPr>
  </w:style>
  <w:style w:type="paragraph" w:styleId="18">
    <w:name w:val="toc 7"/>
    <w:basedOn w:val="0"/>
    <w:next w:val="0"/>
    <w:pPr>
      <w:ind w:left="2520"/>
    </w:pPr>
  </w:style>
  <w:style w:type="paragraph" w:styleId="19">
    <w:name w:val="Body Text"/>
    <w:basedOn w:val="0"/>
    <w:pPr>
      <w:spacing w:beforeLines="30" w:before="30"/>
    </w:pPr>
    <w:rPr>
      <w:rFonts w:ascii="仿宋_GB2312" w:eastAsia="仿宋_GB2312"/>
      <w:kern w:val="0"/>
      <w:sz w:val="30"/>
    </w:rPr>
  </w:style>
  <w:style w:type="paragraph" w:styleId="20">
    <w:name w:val="toc 5"/>
    <w:basedOn w:val="0"/>
    <w:next w:val="0"/>
    <w:pPr>
      <w:ind w:left="1680"/>
    </w:pPr>
  </w:style>
  <w:style w:type="paragraph" w:styleId="21">
    <w:name w:val="toc 3"/>
    <w:basedOn w:val="0"/>
    <w:next w:val="0"/>
    <w:pPr>
      <w:tabs>
        <w:tab w:val="right" w:leader="dot" w:pos="8296"/>
      </w:tabs>
      <w:ind w:leftChars="400" w:left="400"/>
    </w:pPr>
  </w:style>
  <w:style w:type="paragraph" w:styleId="22">
    <w:name w:val="toc 8"/>
    <w:basedOn w:val="0"/>
    <w:next w:val="0"/>
    <w:pPr>
      <w:ind w:left="2940"/>
    </w:pPr>
  </w:style>
  <w:style w:type="paragraph" w:styleId="23">
    <w:name w:val="Balloon Text"/>
    <w:basedOn w:val="0"/>
    <w:rPr>
      <w:sz w:val="18"/>
      <w:szCs w:val="18"/>
    </w:rPr>
  </w:style>
  <w:style w:type="paragraph" w:styleId="24">
    <w:name w:val="footer"/>
    <w:basedOn w:val="0"/>
    <w:pPr>
      <w:tabs>
        <w:tab w:val="center" w:pos="4153"/>
        <w:tab w:val="right" w:pos="8306"/>
      </w:tabs>
      <w:snapToGrid w:val="0"/>
      <w:jc w:val="left"/>
    </w:pPr>
    <w:rPr>
      <w:rFonts w:ascii="Calibri" w:hAnsi="Calibri"/>
      <w:kern w:val="0"/>
      <w:sz w:val="18"/>
      <w:szCs w:val="18"/>
    </w:rPr>
  </w:style>
  <w:style w:type="paragraph" w:styleId="25">
    <w:name w:val="header"/>
    <w:basedOn w:val="0"/>
    <w:pPr>
      <w:pBdr>
        <w:bottom w:val="single" w:sz="6" w:space="1" w:color="auto"/>
      </w:pBdr>
      <w:tabs>
        <w:tab w:val="center" w:pos="4153"/>
        <w:tab w:val="right" w:pos="8306"/>
      </w:tabs>
      <w:snapToGrid w:val="0"/>
      <w:jc w:val="center"/>
    </w:pPr>
    <w:rPr>
      <w:rFonts w:ascii="Calibri" w:hAnsi="Calibri"/>
      <w:kern w:val="0"/>
      <w:sz w:val="18"/>
      <w:szCs w:val="18"/>
    </w:rPr>
  </w:style>
  <w:style w:type="paragraph" w:styleId="26">
    <w:name w:val="toc 1"/>
    <w:basedOn w:val="0"/>
    <w:next w:val="0"/>
    <w:pPr>
      <w:tabs>
        <w:tab w:val="right" w:leader="dot" w:pos="8296"/>
      </w:tabs>
      <w:spacing w:before="93"/>
      <w:jc w:val="center"/>
    </w:pPr>
    <w:rPr>
      <w:rFonts w:ascii="仿宋" w:eastAsia="仿宋"/>
      <w:sz w:val="28"/>
      <w:szCs w:val="28"/>
    </w:rPr>
  </w:style>
  <w:style w:type="paragraph" w:styleId="27">
    <w:name w:val="toc 4"/>
    <w:basedOn w:val="0"/>
    <w:next w:val="0"/>
    <w:pPr>
      <w:ind w:left="1260"/>
    </w:pPr>
  </w:style>
  <w:style w:type="paragraph" w:styleId="28">
    <w:name w:val="toc 6"/>
    <w:basedOn w:val="0"/>
    <w:next w:val="0"/>
    <w:pPr>
      <w:ind w:left="2100"/>
    </w:pPr>
  </w:style>
  <w:style w:type="paragraph" w:styleId="29">
    <w:name w:val="toc 2"/>
    <w:basedOn w:val="0"/>
    <w:next w:val="0"/>
    <w:pPr>
      <w:tabs>
        <w:tab w:val="right" w:leader="dot" w:pos="8296"/>
      </w:tabs>
      <w:ind w:leftChars="200" w:left="200"/>
    </w:pPr>
  </w:style>
  <w:style w:type="paragraph" w:styleId="30">
    <w:name w:val="toc 9"/>
    <w:basedOn w:val="0"/>
    <w:next w:val="0"/>
    <w:pPr>
      <w:ind w:left="3360"/>
    </w:pPr>
  </w:style>
  <w:style w:type="character" w:styleId="31">
    <w:name w:val="Strong"/>
    <w:basedOn w:val="10"/>
    <w:rPr>
      <w:b/>
    </w:rPr>
  </w:style>
  <w:style w:type="character" w:styleId="32">
    <w:name w:val="Hyperlink"/>
    <w:basedOn w:val="10"/>
    <w:rPr>
      <w:color w:val="0000FF"/>
      <w:u w:val="single"/>
    </w:rPr>
  </w:style>
  <w:style w:type="paragraph" w:customStyle="1" w:styleId="33">
    <w:name w:val="标题 5（有编号）（绿盟科技）"/>
    <w:next w:val="0"/>
    <w:pPr>
      <w:keepNext/>
      <w:keepLines/>
      <w:widowControl w:val="0"/>
      <w:spacing w:before="280" w:after="156" w:line="377" w:lineRule="auto"/>
      <w:jc w:val="left"/>
      <w:outlineLvl w:val="4"/>
    </w:pPr>
    <w:rPr>
      <w:rFonts w:ascii="Arial" w:eastAsia="黑体" w:cs="Times New Roman" w:hAnsi="Arial"/>
      <w:b/>
      <w:kern w:val="2"/>
      <w:sz w:val="24"/>
      <w:szCs w:val="28"/>
      <w:lang w:val="en-US" w:eastAsia="zh-CN" w:bidi="ar-SA"/>
    </w:rPr>
  </w:style>
  <w:style w:type="character" w:customStyle="1" w:styleId="34">
    <w:name w:val="Header Char"/>
    <w:basedOn w:val="10"/>
    <w:rPr>
      <w:rFonts w:ascii="Times New Roman" w:hAnsi="Times New Roman"/>
      <w:sz w:val="18"/>
      <w:szCs w:val="18"/>
    </w:rPr>
  </w:style>
  <w:style w:type="character" w:customStyle="1" w:styleId="35">
    <w:name w:val="Footer Char"/>
    <w:basedOn w:val="10"/>
    <w:rPr>
      <w:rFonts w:ascii="Times New Roman" w:hAnsi="Times New Roman"/>
      <w:sz w:val="18"/>
      <w:szCs w:val="18"/>
    </w:rPr>
  </w:style>
  <w:style w:type="character" w:customStyle="1" w:styleId="36">
    <w:name w:val="Body Text Char"/>
    <w:basedOn w:val="10"/>
    <w:rPr>
      <w:rFonts w:ascii="Times New Roman" w:hAnsi="Times New Roman"/>
      <w:szCs w:val="24"/>
    </w:rPr>
  </w:style>
  <w:style w:type="paragraph" w:customStyle="1" w:styleId="37">
    <w:name w:val="Default"/>
    <w:pPr>
      <w:widowControl w:val="0"/>
      <w:autoSpaceDE w:val="0"/>
      <w:autoSpaceDN w:val="0"/>
      <w:adjustRightInd w:val="0"/>
    </w:pPr>
    <w:rPr>
      <w:rFonts w:ascii="仿宋" w:eastAsia="仿宋" w:cs="仿宋"/>
      <w:color w:val="000000"/>
      <w:sz w:val="24"/>
      <w:szCs w:val="24"/>
      <w:lang w:val="en-US" w:eastAsia="zh-CN" w:bidi="ar-SA"/>
    </w:rPr>
  </w:style>
  <w:style w:type="paragraph" w:styleId="38">
    <w:name w:val="List Paragraph"/>
    <w:basedOn w:val="0"/>
    <w:pPr>
      <w:ind w:firstLineChars="200" w:firstLine="200"/>
    </w:pPr>
  </w:style>
  <w:style w:type="paragraph" w:customStyle="1" w:styleId="39">
    <w:name w:val="TOC 标题1"/>
    <w:basedOn w:val="1"/>
    <w:next w:val="0"/>
    <w:pPr>
      <w:keepNext/>
      <w:keepLines/>
      <w:widowControl/>
      <w:spacing w:before="480" w:after="0" w:line="276" w:lineRule="auto"/>
      <w:jc w:val="left"/>
      <w:outlineLvl w:val="9"/>
    </w:pPr>
    <w:rPr>
      <w:rFonts w:ascii="Cambria" w:eastAsia="宋体" w:cs="Times New Roman" w:hAnsi="Cambria"/>
      <w:color w:val="376092"/>
      <w:kern w:val="0"/>
      <w:sz w:val="28"/>
      <w:szCs w:val="28"/>
    </w:rPr>
  </w:style>
  <w:style w:type="paragraph" w:customStyle="1" w:styleId="40">
    <w:name w:val="TOC Heading"/>
    <w:basedOn w:val="1"/>
    <w:next w:val="0"/>
    <w:pPr>
      <w:keepNext/>
      <w:keepLines/>
      <w:widowControl/>
      <w:spacing w:before="480" w:after="0" w:line="276" w:lineRule="auto"/>
      <w:jc w:val="left"/>
      <w:outlineLvl w:val="9"/>
    </w:pPr>
    <w:rPr>
      <w:rFonts w:ascii="Cambria" w:eastAsia="宋体" w:cs="Times New Roman" w:hAnsi="Cambria"/>
      <w:color w:val="376092"/>
      <w:kern w:val="0"/>
      <w:sz w:val="28"/>
      <w:szCs w:val="28"/>
    </w:rPr>
  </w:style>
  <w:style w:type="paragraph" w:customStyle="1" w:styleId="41">
    <w:name w:val="四号正文"/>
    <w:basedOn w:val="0"/>
    <w:pPr>
      <w:spacing w:line="360" w:lineRule="auto"/>
    </w:pPr>
    <w:rPr>
      <w:rFonts w:ascii="??" w:eastAsia="宋体" w:hAnsi="??"/>
      <w:color w:val="000000"/>
      <w:kern w:val="0"/>
      <w:sz w:val="28"/>
      <w:szCs w:val="21"/>
      <w:lang w:val="zh-CN" w:eastAsia="zh-CN"/>
    </w:rPr>
  </w:style>
  <w:style w:type="paragraph" w:styleId="42">
    <w:name w:val="Normal (Web)"/>
    <w:basedOn w:val="0"/>
    <w:next w:val="15"/>
    <w:pPr>
      <w:keepNext w:val="0"/>
      <w:keepLines w:val="0"/>
      <w:pageBreakBefore w:val="0"/>
      <w:widowControl/>
      <w:suppressLineNumbers w:val="0"/>
      <w:pBdr>
        <w:top w:val="none" w:sz="0" w:space="0" w:color="auto"/>
        <w:left w:val="none" w:sz="0" w:space="0" w:color="auto"/>
        <w:bottom w:val="none" w:sz="0" w:space="0" w:color="auto"/>
        <w:right w:val="none" w:sz="0" w:space="0" w:color="auto"/>
      </w:pBdr>
      <w:suppressAutoHyphens w:val="0"/>
      <w:kinsoku/>
      <w:wordWrap/>
      <w:overflowPunct/>
      <w:topLinePunct w:val="0"/>
      <w:autoSpaceDE/>
      <w:autoSpaceDN/>
      <w:bidi w:val="0"/>
      <w:adjustRightInd/>
      <w:snapToGrid/>
      <w:spacing w:before="100" w:beforeAutospacing="1" w:after="100" w:afterAutospacing="1" w:line="240" w:lineRule="auto"/>
      <w:ind w:left="0" w:right="0" w:firstLine="0"/>
      <w:contextualSpacing w:val="0"/>
      <w:jc w:val="left"/>
      <w:textAlignment w:val="auto"/>
      <w:outlineLvl w:val="9"/>
    </w:pPr>
    <w:rPr>
      <w:rFonts w:ascii="宋体" w:eastAsia="宋体"/>
      <w:b w:val="0"/>
      <w:i w:val="0"/>
      <w:caps w:val="0"/>
      <w:smallCaps w:val="0"/>
      <w:strike w:val="0"/>
      <w:dstrike w:val="0"/>
      <w:snapToGrid/>
      <w:vanish w:val="0"/>
      <w:color w:val="auto"/>
      <w:spacing w:val="0"/>
      <w:w w:val="100"/>
      <w:kern w:val="0"/>
      <w:position w:val="0"/>
      <w:sz w:val="24"/>
      <w:szCs w:val="21"/>
      <w:u w:val="none" w:color="auto"/>
      <w:vertAlign w:val="baseline"/>
      <w:em w:val="none"/>
      <w:lang w:val="en-US" w:eastAsia="zh-CN"/>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header" Target="header1.xml"/><Relationship Id="rId3" Type="http://schemas.openxmlformats.org/officeDocument/2006/relationships/footer" Target="footer1.xml"/><Relationship Id="rId4" Type="http://schemas.openxmlformats.org/officeDocument/2006/relationships/footer" Target="footer2.xml"/><Relationship Id="rId5" Type="http://schemas.openxmlformats.org/officeDocument/2006/relationships/footer" Target="footer3.xml"/><Relationship Id="rId6" Type="http://schemas.openxmlformats.org/officeDocument/2006/relationships/footer" Target="footer4.xml"/><Relationship Id="rId7" Type="http://schemas.openxmlformats.org/officeDocument/2006/relationships/image" Target="media/14.bmp"/><Relationship Id="rId8" Type="http://schemas.openxmlformats.org/officeDocument/2006/relationships/chart" Target="charts/chart1.xml"/><Relationship Id="rId9" Type="http://schemas.openxmlformats.org/officeDocument/2006/relationships/chart" Target="charts/chart2.xml"/><Relationship Id="rId10" Type="http://schemas.openxmlformats.org/officeDocument/2006/relationships/image" Target="media/19.bmp"/><Relationship Id="rId11" Type="http://schemas.openxmlformats.org/officeDocument/2006/relationships/image" Target="media/22.bmp"/><Relationship Id="rId12" Type="http://schemas.openxmlformats.org/officeDocument/2006/relationships/chart" Target="charts/chart3.xml"/><Relationship Id="rId13" Type="http://schemas.openxmlformats.org/officeDocument/2006/relationships/image" Target="media/26.bmp"/><Relationship Id="rId14" Type="http://schemas.openxmlformats.org/officeDocument/2006/relationships/styles" Target="styles.xml"/><Relationship Id="rId15" Type="http://schemas.openxmlformats.org/officeDocument/2006/relationships/numbering" Target="numbering.xml"/><Relationship Id="rId16" Type="http://schemas.openxmlformats.org/officeDocument/2006/relationships/fontTable" Target="fontTable.xml"/></Relationships>
</file>

<file path=word/charts/_rels/chart1.xml.rels><?xml version="1.0" encoding="UTF-8" standalone="yes"?>
<Relationships xmlns="http://schemas.openxmlformats.org/package/2006/relationships"><Relationship Id="rId1" Type="http://schemas.openxmlformats.org/officeDocument/2006/relationships/package" Target="../embeddings/chart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chart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chart3.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400" b="0" i="0" u="none" strike="noStrike" baseline="0">
                <a:solidFill>
                  <a:srgbClr val="595959"/>
                </a:solidFill>
                <a:latin typeface="Times New Roman"/>
                <a:ea typeface="宋体"/>
                <a:cs typeface="Lucida Sans"/>
              </a:defRPr>
            </a:pPr>
            <a:r>
              <a:rPr lang="zh-CN"/>
              <a:t>收入决算结构图</a:t>
            </a:r>
          </a:p>
        </c:rich>
      </c:tx>
      <c:layout/>
      <c:overlay val="0"/>
      <c:spPr>
        <a:noFill/>
        <a:ln>
          <a:noFill/>
        </a:ln>
      </c:spPr>
    </c:title>
    <c:autoTitleDeleted val="1"/>
    <c:plotArea>
      <c:layout/>
      <c:pieChart>
        <c:varyColors val="1"/>
        <c:ser>
          <c:idx val="0"/>
          <c:order val="0"/>
          <c:spPr>
            <a:ln>
              <a:noFill/>
            </a:ln>
          </c:spPr>
          <c:dPt>
            <c:idx val="0"/>
            <c:bubble3D val="0"/>
            <c:spPr>
              <a:solidFill>
                <a:srgbClr val="4F81BD"/>
              </a:solidFill>
              <a:ln w="19050">
                <a:solidFill>
                  <a:srgbClr val="FFFFFF"/>
                </a:solidFill>
                <a:prstDash val="solid"/>
              </a:ln>
            </c:spPr>
          </c:dPt>
          <c:dPt>
            <c:idx val="1"/>
            <c:bubble3D val="0"/>
            <c:spPr>
              <a:solidFill>
                <a:srgbClr val="C0504D"/>
              </a:solidFill>
              <a:ln w="19050">
                <a:solidFill>
                  <a:srgbClr val="FFFFFF"/>
                </a:solidFill>
                <a:prstDash val="solid"/>
              </a:ln>
            </c:spPr>
          </c:dPt>
          <c:dLbls>
            <c:spPr>
              <a:noFill/>
              <a:ln>
                <a:noFill/>
              </a:ln>
            </c:spPr>
            <c:txPr>
              <a:bodyPr vert="horz"/>
              <a:lstStyle/>
              <a:p>
                <a:pPr>
                  <a:defRPr sz="900" b="0" i="0" u="none" strike="noStrike" baseline="0">
                    <a:solidFill>
                      <a:srgbClr val="404040"/>
                    </a:solidFill>
                    <a:latin typeface="Times New Roman"/>
                    <a:ea typeface="宋体"/>
                    <a:cs typeface="Lucida Sans"/>
                  </a:defRPr>
                </a:pPr>
                <a:endParaRPr lang="zh-CN"/>
              </a:p>
            </c:txPr>
            <c:numFmt formatCode="0%" sourceLinked="0"/>
            <c:dLblPos val="ctr"/>
            <c:showLegendKey val="0"/>
            <c:showVal val="0"/>
            <c:showCatName val="0"/>
            <c:showSerName val="0"/>
            <c:showPercent val="1"/>
            <c:showBubbleSize val="0"/>
            <c:showLeaderLines val="1"/>
          </c:dLbls>
          <c:cat>
            <c:strLit>
              <c:ptCount val="2"/>
              <c:pt idx="0">
                <c:v>一般公共预算财政拨款收入</c:v>
              </c:pt>
              <c:pt idx="1">
                <c:v>其他收入</c:v>
              </c:pt>
            </c:strLit>
          </c:cat>
          <c:val>
            <c:numRef>
              <c:f/>
              <c:numCache>
                <c:formatCode>General</c:formatCode>
                <c:ptCount val="2"/>
                <c:pt idx="0">
                  <c:v>377.42</c:v>
                </c:pt>
                <c:pt idx="1">
                  <c:v>26.0</c:v>
                </c:pt>
              </c:numCache>
            </c:numRef>
          </c:val>
        </c:ser>
        <c:firstSliceAng val="0"/>
      </c:pieChart>
      <c:spPr>
        <a:noFill/>
        <a:ln>
          <a:noFill/>
        </a:ln>
      </c:spPr>
    </c:plotArea>
    <c:legend>
      <c:legendPos val="b"/>
      <c:layout/>
      <c:overlay val="0"/>
      <c:spPr>
        <a:noFill/>
        <a:ln>
          <a:noFill/>
        </a:ln>
      </c:spPr>
      <c:txPr>
        <a:bodyPr/>
        <a:lstStyle/>
        <a:p>
          <a:pPr>
            <a:defRPr sz="900" b="0" i="0" u="none" strike="noStrike" baseline="0">
              <a:solidFill>
                <a:srgbClr val="595959"/>
              </a:solidFill>
              <a:latin typeface="Times New Roman"/>
              <a:ea typeface="宋体"/>
              <a:cs typeface="Lucida Sans"/>
            </a:defRPr>
          </a:pPr>
          <a:endParaRPr lang="zh-CN"/>
        </a:p>
      </c:txPr>
    </c:legend>
    <c:plotVisOnly val="1"/>
    <c:dispBlanksAs val="gap"/>
    <c:showDLblsOverMax val="0"/>
  </c:chart>
  <c:spPr>
    <a:solidFill>
      <a:srgbClr val="FFFFFF"/>
    </a:solidFill>
    <a:ln w="6350">
      <a:solidFill>
        <a:srgbClr val="D9D9D9"/>
      </a:solidFill>
      <a:prstDash val="solid"/>
    </a:ln>
  </c:spPr>
  <c:txPr>
    <a:bodyPr/>
    <a:lstStyle/>
    <a:p>
      <a:pPr>
        <a:defRPr sz="1000" b="0" i="0" u="none" strike="noStrike" baseline="0">
          <a:solidFill>
            <a:srgbClr val="000000"/>
          </a:solidFill>
          <a:latin typeface="Times New Roman"/>
          <a:ea typeface="宋体"/>
          <a:cs typeface="Lucida Sans"/>
        </a:defRPr>
      </a:pPr>
      <a:endParaRPr lang="zh-CN"/>
    </a:p>
  </c:txPr>
  <c:printSettings>
    <c:headerFooter/>
    <c:pageMargins b="0.75" l="0.7" r="0.7" t="0.75" header="0.3" footer="0.3"/>
    <c:pageSetup/>
  </c:printSettings>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400" b="0" i="0" u="none" strike="noStrike" baseline="0">
                <a:solidFill>
                  <a:srgbClr val="595959"/>
                </a:solidFill>
                <a:latin typeface="Times New Roman"/>
                <a:ea typeface="宋体"/>
                <a:cs typeface="Lucida Sans"/>
              </a:defRPr>
            </a:pPr>
            <a:r>
              <a:rPr lang="zh-CN"/>
              <a:t>支出决算结构图</a:t>
            </a:r>
          </a:p>
        </c:rich>
      </c:tx>
      <c:layout/>
      <c:overlay val="0"/>
      <c:spPr>
        <a:noFill/>
        <a:ln>
          <a:noFill/>
        </a:ln>
      </c:spPr>
    </c:title>
    <c:autoTitleDeleted val="1"/>
    <c:plotArea>
      <c:layout/>
      <c:pieChart>
        <c:varyColors val="1"/>
        <c:ser>
          <c:idx val="0"/>
          <c:order val="0"/>
          <c:spPr>
            <a:ln>
              <a:noFill/>
            </a:ln>
          </c:spPr>
          <c:dPt>
            <c:idx val="0"/>
            <c:bubble3D val="0"/>
            <c:spPr>
              <a:solidFill>
                <a:srgbClr val="4F81BD"/>
              </a:solidFill>
              <a:ln w="19050">
                <a:solidFill>
                  <a:srgbClr val="FFFFFF"/>
                </a:solidFill>
                <a:prstDash val="solid"/>
              </a:ln>
            </c:spPr>
          </c:dPt>
          <c:dPt>
            <c:idx val="1"/>
            <c:bubble3D val="0"/>
            <c:spPr>
              <a:solidFill>
                <a:srgbClr val="C0504D"/>
              </a:solidFill>
              <a:ln w="19050">
                <a:solidFill>
                  <a:srgbClr val="FFFFFF"/>
                </a:solidFill>
                <a:prstDash val="solid"/>
              </a:ln>
            </c:spPr>
          </c:dPt>
          <c:dLbls>
            <c:dLbl>
              <c:idx val="0"/>
              <c:numFmt formatCode="General" sourceLinked="0"/>
              <c:spPr>
                <a:noFill/>
                <a:ln>
                  <a:noFill/>
                </a:ln>
              </c:spPr>
              <c:txPr>
                <a:bodyPr vert="horz"/>
                <a:lstStyle/>
                <a:p>
                  <a:pPr>
                    <a:defRPr sz="1000" b="0" i="0" u="none" strike="noStrike" baseline="0">
                      <a:solidFill>
                        <a:srgbClr val="000000"/>
                      </a:solidFill>
                      <a:latin typeface="Times New Roman"/>
                      <a:ea typeface="宋体"/>
                      <a:cs typeface="Lucida Sans"/>
                    </a:defRPr>
                  </a:pPr>
                  <a:endParaRPr lang="zh-CN"/>
                </a:p>
              </c:txPr>
              <c:delete val="1"/>
            </c:dLbl>
            <c:dLbl>
              <c:idx val="1"/>
              <c:numFmt formatCode="General" sourceLinked="0"/>
              <c:spPr>
                <a:noFill/>
                <a:ln>
                  <a:noFill/>
                </a:ln>
              </c:spPr>
              <c:txPr>
                <a:bodyPr vert="horz"/>
                <a:lstStyle/>
                <a:p>
                  <a:pPr>
                    <a:defRPr sz="1000" b="0" i="0" u="none" strike="noStrike" baseline="0">
                      <a:solidFill>
                        <a:srgbClr val="000000"/>
                      </a:solidFill>
                      <a:latin typeface="Times New Roman"/>
                      <a:ea typeface="宋体"/>
                      <a:cs typeface="Lucida Sans"/>
                    </a:defRPr>
                  </a:pPr>
                  <a:endParaRPr lang="zh-CN"/>
                </a:p>
              </c:txPr>
              <c:delete val="1"/>
            </c:dLbl>
            <c:showLegendKey val="0"/>
            <c:showVal val="0"/>
            <c:showCatName val="0"/>
            <c:showSerName val="0"/>
            <c:showPercent val="0"/>
            <c:showBubbleSize val="0"/>
            <c:showLeaderLines val="0"/>
          </c:dLbls>
          <c:cat>
            <c:strLit>
              <c:ptCount val="2"/>
              <c:pt idx="0">
                <c:v>基本支出</c:v>
              </c:pt>
              <c:pt idx="1">
                <c:v>项目支出</c:v>
              </c:pt>
            </c:strLit>
          </c:cat>
          <c:val>
            <c:numRef>
              <c:f/>
              <c:numCache>
                <c:formatCode>General</c:formatCode>
                <c:ptCount val="2"/>
                <c:pt idx="0">
                  <c:v>165.9</c:v>
                </c:pt>
                <c:pt idx="1">
                  <c:v>244.93</c:v>
                </c:pt>
              </c:numCache>
            </c:numRef>
          </c:val>
        </c:ser>
        <c:firstSliceAng val="0"/>
      </c:pieChart>
      <c:spPr>
        <a:noFill/>
        <a:ln>
          <a:noFill/>
        </a:ln>
      </c:spPr>
    </c:plotArea>
    <c:legend>
      <c:legendPos val="b"/>
      <c:layout/>
      <c:overlay val="0"/>
      <c:spPr>
        <a:noFill/>
        <a:ln>
          <a:noFill/>
        </a:ln>
      </c:spPr>
      <c:txPr>
        <a:bodyPr/>
        <a:lstStyle/>
        <a:p>
          <a:pPr>
            <a:defRPr sz="900" b="0" i="0" u="none" strike="noStrike" baseline="0">
              <a:solidFill>
                <a:srgbClr val="595959"/>
              </a:solidFill>
              <a:latin typeface="Times New Roman"/>
              <a:ea typeface="宋体"/>
              <a:cs typeface="Lucida Sans"/>
            </a:defRPr>
          </a:pPr>
          <a:endParaRPr lang="zh-CN"/>
        </a:p>
      </c:txPr>
    </c:legend>
    <c:plotVisOnly val="1"/>
    <c:dispBlanksAs val="gap"/>
    <c:showDLblsOverMax val="0"/>
  </c:chart>
  <c:spPr>
    <a:solidFill>
      <a:srgbClr val="FFFFFF"/>
    </a:solidFill>
    <a:ln w="6350">
      <a:solidFill>
        <a:srgbClr val="D9D9D9"/>
      </a:solidFill>
      <a:prstDash val="solid"/>
    </a:ln>
  </c:spPr>
  <c:txPr>
    <a:bodyPr/>
    <a:lstStyle/>
    <a:p>
      <a:pPr>
        <a:defRPr sz="1000" b="0" i="0" u="none" strike="noStrike" baseline="0">
          <a:solidFill>
            <a:srgbClr val="000000"/>
          </a:solidFill>
          <a:latin typeface="Times New Roman"/>
          <a:ea typeface="宋体"/>
          <a:cs typeface="Lucida Sans"/>
        </a:defRPr>
      </a:pPr>
      <a:endParaRPr lang="zh-CN"/>
    </a:p>
  </c:txPr>
  <c:printSettings>
    <c:headerFooter/>
    <c:pageMargins b="0.75" l="0.7" r="0.7" t="0.75" header="0.3" footer="0.3"/>
    <c:pageSetup/>
  </c:printSettings>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400" b="0" i="0" u="none" strike="noStrike" baseline="0">
                <a:solidFill>
                  <a:srgbClr val="595959"/>
                </a:solidFill>
                <a:latin typeface="Times New Roman"/>
                <a:ea typeface="宋体"/>
                <a:cs typeface="Lucida Sans"/>
              </a:defRPr>
            </a:pPr>
            <a:r>
              <a:rPr lang="zh-CN"/>
              <a:t>一般公共预算财政拨款支出决算结构</a:t>
            </a:r>
          </a:p>
        </c:rich>
      </c:tx>
      <c:layout>
        <c:manualLayout>
          <c:xMode val="edge"/>
          <c:yMode val="edge"/>
          <c:x val="0.21222222"/>
          <c:y val="0.048611112"/>
        </c:manualLayout>
      </c:layout>
      <c:overlay val="0"/>
      <c:spPr>
        <a:noFill/>
        <a:ln>
          <a:noFill/>
        </a:ln>
      </c:spPr>
    </c:title>
    <c:autoTitleDeleted val="1"/>
    <c:plotArea>
      <c:layout/>
      <c:pieChart>
        <c:varyColors val="1"/>
        <c:ser>
          <c:idx val="0"/>
          <c:order val="0"/>
          <c:spPr>
            <a:ln>
              <a:noFill/>
            </a:ln>
          </c:spPr>
          <c:dPt>
            <c:idx val="0"/>
            <c:bubble3D val="0"/>
            <c:spPr>
              <a:solidFill>
                <a:srgbClr val="4F81BD"/>
              </a:solidFill>
              <a:ln w="19050">
                <a:solidFill>
                  <a:srgbClr val="FFFFFF"/>
                </a:solidFill>
                <a:prstDash val="solid"/>
              </a:ln>
            </c:spPr>
          </c:dPt>
          <c:dPt>
            <c:idx val="1"/>
            <c:bubble3D val="0"/>
            <c:spPr>
              <a:solidFill>
                <a:srgbClr val="C0504D"/>
              </a:solidFill>
              <a:ln w="19050">
                <a:solidFill>
                  <a:srgbClr val="FFFFFF"/>
                </a:solidFill>
                <a:prstDash val="solid"/>
              </a:ln>
            </c:spPr>
          </c:dPt>
          <c:dPt>
            <c:idx val="2"/>
            <c:bubble3D val="0"/>
            <c:spPr>
              <a:solidFill>
                <a:srgbClr val="9BBB59"/>
              </a:solidFill>
              <a:ln w="19050">
                <a:solidFill>
                  <a:srgbClr val="FFFFFF"/>
                </a:solidFill>
                <a:prstDash val="solid"/>
              </a:ln>
            </c:spPr>
          </c:dPt>
          <c:dPt>
            <c:idx val="3"/>
            <c:bubble3D val="0"/>
            <c:spPr>
              <a:solidFill>
                <a:srgbClr val="8064A2"/>
              </a:solidFill>
              <a:ln w="19050">
                <a:solidFill>
                  <a:srgbClr val="FFFFFF"/>
                </a:solidFill>
                <a:prstDash val="solid"/>
              </a:ln>
            </c:spPr>
          </c:dPt>
          <c:dLbls>
            <c:dLbl>
              <c:idx val="0"/>
              <c:numFmt formatCode="General" sourceLinked="0"/>
              <c:spPr>
                <a:noFill/>
                <a:ln>
                  <a:noFill/>
                </a:ln>
              </c:spPr>
              <c:txPr>
                <a:bodyPr vert="horz"/>
                <a:lstStyle/>
                <a:p>
                  <a:pPr>
                    <a:defRPr sz="1000" b="0" i="0" u="none" strike="noStrike" baseline="0">
                      <a:solidFill>
                        <a:srgbClr val="000000"/>
                      </a:solidFill>
                      <a:latin typeface="Times New Roman"/>
                      <a:ea typeface="宋体"/>
                      <a:cs typeface="Lucida Sans"/>
                    </a:defRPr>
                  </a:pPr>
                  <a:endParaRPr lang="zh-CN"/>
                </a:p>
              </c:txPr>
              <c:delete val="1"/>
            </c:dLbl>
            <c:dLbl>
              <c:idx val="1"/>
              <c:numFmt formatCode="General" sourceLinked="0"/>
              <c:spPr>
                <a:noFill/>
                <a:ln>
                  <a:noFill/>
                </a:ln>
              </c:spPr>
              <c:txPr>
                <a:bodyPr vert="horz"/>
                <a:lstStyle/>
                <a:p>
                  <a:pPr>
                    <a:defRPr sz="1000" b="0" i="0" u="none" strike="noStrike" baseline="0">
                      <a:solidFill>
                        <a:srgbClr val="000000"/>
                      </a:solidFill>
                      <a:latin typeface="Times New Roman"/>
                      <a:ea typeface="宋体"/>
                      <a:cs typeface="Lucida Sans"/>
                    </a:defRPr>
                  </a:pPr>
                  <a:endParaRPr lang="zh-CN"/>
                </a:p>
              </c:txPr>
              <c:delete val="1"/>
            </c:dLbl>
            <c:dLbl>
              <c:idx val="2"/>
              <c:numFmt formatCode="General" sourceLinked="0"/>
              <c:spPr>
                <a:noFill/>
                <a:ln>
                  <a:noFill/>
                </a:ln>
              </c:spPr>
              <c:txPr>
                <a:bodyPr vert="horz"/>
                <a:lstStyle/>
                <a:p>
                  <a:pPr>
                    <a:defRPr sz="1000" b="0" i="0" u="none" strike="noStrike" baseline="0">
                      <a:solidFill>
                        <a:srgbClr val="000000"/>
                      </a:solidFill>
                      <a:latin typeface="Times New Roman"/>
                      <a:ea typeface="宋体"/>
                      <a:cs typeface="Lucida Sans"/>
                    </a:defRPr>
                  </a:pPr>
                  <a:endParaRPr lang="zh-CN"/>
                </a:p>
              </c:txPr>
              <c:delete val="1"/>
            </c:dLbl>
            <c:dLbl>
              <c:idx val="3"/>
              <c:numFmt formatCode="General" sourceLinked="0"/>
              <c:spPr>
                <a:noFill/>
                <a:ln>
                  <a:noFill/>
                </a:ln>
              </c:spPr>
              <c:txPr>
                <a:bodyPr vert="horz"/>
                <a:lstStyle/>
                <a:p>
                  <a:pPr>
                    <a:defRPr sz="1000" b="0" i="0" u="none" strike="noStrike" baseline="0">
                      <a:solidFill>
                        <a:srgbClr val="000000"/>
                      </a:solidFill>
                      <a:latin typeface="Times New Roman"/>
                      <a:ea typeface="宋体"/>
                      <a:cs typeface="Lucida Sans"/>
                    </a:defRPr>
                  </a:pPr>
                  <a:endParaRPr lang="zh-CN"/>
                </a:p>
              </c:txPr>
              <c:delete val="1"/>
            </c:dLbl>
            <c:showLegendKey val="0"/>
            <c:showVal val="0"/>
            <c:showCatName val="0"/>
            <c:showSerName val="0"/>
            <c:showPercent val="0"/>
            <c:showBubbleSize val="0"/>
            <c:showLeaderLines val="0"/>
          </c:dLbls>
          <c:cat>
            <c:strLit>
              <c:ptCount val="4"/>
              <c:pt idx="0">
                <c:v>一般公共服务支出</c:v>
              </c:pt>
              <c:pt idx="1">
                <c:v>社会保障和就业支出</c:v>
              </c:pt>
              <c:pt idx="2">
                <c:v>卫生健康支出</c:v>
              </c:pt>
              <c:pt idx="3">
                <c:v>住房保障支出</c:v>
              </c:pt>
            </c:strLit>
          </c:cat>
          <c:val>
            <c:numRef>
              <c:f/>
              <c:numCache>
                <c:formatCode>General</c:formatCode>
                <c:ptCount val="4"/>
                <c:pt idx="0">
                  <c:v>342.84</c:v>
                </c:pt>
                <c:pt idx="1">
                  <c:v>17.05</c:v>
                </c:pt>
                <c:pt idx="2">
                  <c:v>7.25</c:v>
                </c:pt>
                <c:pt idx="3">
                  <c:v>10.28</c:v>
                </c:pt>
              </c:numCache>
            </c:numRef>
          </c:val>
        </c:ser>
        <c:firstSliceAng val="0"/>
      </c:pieChart>
      <c:spPr>
        <a:noFill/>
        <a:ln>
          <a:noFill/>
        </a:ln>
      </c:spPr>
    </c:plotArea>
    <c:legend>
      <c:legendPos val="b"/>
      <c:layout/>
      <c:overlay val="0"/>
      <c:spPr>
        <a:noFill/>
        <a:ln>
          <a:noFill/>
        </a:ln>
      </c:spPr>
      <c:txPr>
        <a:bodyPr/>
        <a:lstStyle/>
        <a:p>
          <a:pPr>
            <a:defRPr sz="900" b="0" i="0" u="none" strike="noStrike" baseline="0">
              <a:solidFill>
                <a:srgbClr val="595959"/>
              </a:solidFill>
              <a:latin typeface="Times New Roman"/>
              <a:ea typeface="宋体"/>
              <a:cs typeface="Lucida Sans"/>
            </a:defRPr>
          </a:pPr>
          <a:endParaRPr lang="zh-CN"/>
        </a:p>
      </c:txPr>
    </c:legend>
    <c:plotVisOnly val="1"/>
    <c:dispBlanksAs val="gap"/>
    <c:showDLblsOverMax val="0"/>
  </c:chart>
  <c:spPr>
    <a:solidFill>
      <a:srgbClr val="FFFFFF"/>
    </a:solidFill>
    <a:ln w="6350">
      <a:solidFill>
        <a:srgbClr val="D9D9D9"/>
      </a:solidFill>
      <a:prstDash val="solid"/>
    </a:ln>
  </c:spPr>
  <c:txPr>
    <a:bodyPr/>
    <a:lstStyle/>
    <a:p>
      <a:pPr>
        <a:defRPr sz="1000" b="0" i="0" u="none" strike="noStrike" baseline="0">
          <a:solidFill>
            <a:srgbClr val="000000"/>
          </a:solidFill>
          <a:latin typeface="Times New Roman"/>
          <a:ea typeface="宋体"/>
          <a:cs typeface="Lucida Sans"/>
        </a:defRPr>
      </a:pPr>
      <a:endParaRPr lang="zh-CN"/>
    </a:p>
  </c:txPr>
  <c:printSettings>
    <c:headerFooter/>
    <c:pageMargins b="0.75" l="0.7" r="0.7" t="0.75" header="0.3" footer="0.3"/>
    <c:pageSetup/>
  </c:printSettings>
  <c:externalData r:id="rId1">
    <c:autoUpdate val="0"/>
  </c:externalData>
</c:chartSpace>
</file>

<file path=docProps/app.xml><?xml version="1.0" encoding="utf-8"?>
<Properties xmlns="http://schemas.openxmlformats.org/officeDocument/2006/extended-properties">
  <Template>Normal.eit</Template>
  <TotalTime>184</TotalTime>
  <Application>Yozo_Office27021597764231179</Application>
  <Pages>1</Pages>
  <Words>16</Words>
  <Characters>16</Characters>
  <Lines>1</Lines>
  <Paragraphs>1</Paragraphs>
  <CharactersWithSpaces>16</CharactersWithSpaces>
  <Company>四川省财政厅</Company>
</Properties>
</file>

<file path=docProps/core.xml><?xml version="1.0" encoding="utf-8"?>
<cp:coreProperties xmlns:cp="http://schemas.openxmlformats.org/package/2006/metadata/core-properties" xmlns:dc="http://purl.org/dc/elements/1.1/" xmlns:dcterms="http://purl.org/dc/terms/" xmlns:xsi="http://www.w3.org/2001/XMLSchema-instance">
  <dc:title>四川省***</dc:title>
  <dc:creator>曹颖</dc:creator>
  <cp:lastModifiedBy>user</cp:lastModifiedBy>
  <cp:revision>32</cp:revision>
  <cp:lastPrinted>2025-08-09T09:34:00Z</cp:lastPrinted>
  <dcterms:created xsi:type="dcterms:W3CDTF">2020-08-12T01:49:00Z</dcterms:created>
  <dcterms:modified xsi:type="dcterms:W3CDTF">2026-09-04T03:02:58Z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pid="2" name="KSOProductBuildVer">
    <vt:lpwstr>2052-11.8.2.1120</vt:lpwstr>
  </property>
  <property fmtid="{D5CDD505-2E9C-101B-9397-08002B2CF9AE}" pid="3" name="ICV">
    <vt:lpwstr>04787F2533EB45DC91BCDE4AB213247F</vt:lpwstr>
  </property>
  <property fmtid="{D5CDD505-2E9C-101B-9397-08002B2CF9AE}" pid="4" name="KSOTemplateDocerSaveRecord">
    <vt:lpwstr>eyJoZGlkIjoiYzZkNDQzYTJlZGY5ZGQxNTU1ZjA3MDliODE1YjRhYzkiLCJ1c2VySWQiOiI0NDE1OTg5NTQifQ==</vt:lpwstr>
  </property>
</Properties>
</file>