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06267"/>
      <w:bookmarkStart w:id="2" w:name="_Toc15378441"/>
      <w:bookmarkStart w:id="3" w:name="_Toc15396597"/>
      <w:bookmarkStart w:id="4" w:name="_Toc15396475"/>
      <w:bookmarkStart w:id="5" w:name="_Toc15377425"/>
    </w:p>
    <w:p>
      <w:pPr>
        <w:pStyle w:val="6"/>
        <w:jc w:val="center"/>
        <w:rPr>
          <w:rFonts w:hint="eastAsia" w:asci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p>
    <w:p>
      <w:pPr>
        <w:spacing w:line="600" w:lineRule="exact"/>
        <w:jc w:val="center"/>
        <w:outlineLvl w:val="0"/>
        <w:rPr>
          <w:rFonts w:ascii="方正小标宋简体" w:hAnsi="宋体" w:eastAsia="方正小标宋简体"/>
          <w:sz w:val="72"/>
          <w:szCs w:val="72"/>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阿坝州公务服务中心部门</w:t>
      </w:r>
      <w:bookmarkStart w:id="61" w:name="_GoBack"/>
      <w:bookmarkEnd w:id="61"/>
      <w:r>
        <w:rPr>
          <w:rFonts w:hint="eastAsia" w:ascii="Times New Roman" w:eastAsia="方正小标宋简体" w:cs="Times New Roman"/>
          <w:color w:val="auto"/>
          <w:kern w:val="2"/>
          <w:sz w:val="44"/>
          <w:szCs w:val="44"/>
          <w:highlight w:val="none"/>
          <w:lang w:val="en-US" w:eastAsia="zh-CN" w:bidi="ar-SA"/>
        </w:rPr>
        <w:t>决算公开</w:t>
      </w:r>
    </w:p>
    <w:p>
      <w:pPr>
        <w:widowControl/>
        <w:jc w:val="both"/>
        <w:rPr>
          <w:rFonts w:hint="eastAsia" w:ascii="黑体" w:hAnsi="黑体" w:eastAsia="黑体"/>
          <w:sz w:val="48"/>
          <w:szCs w:val="48"/>
          <w:lang w:eastAsia="zh-CN"/>
        </w:rPr>
      </w:pPr>
    </w:p>
    <w:p>
      <w:pPr>
        <w:widowControl/>
        <w:jc w:val="center"/>
        <w:rPr>
          <w:rFonts w:hint="eastAsia" w:ascii="黑体" w:hAnsi="黑体" w:eastAsia="黑体"/>
          <w:sz w:val="48"/>
          <w:szCs w:val="48"/>
        </w:rPr>
      </w:pPr>
    </w:p>
    <w:p>
      <w:pPr>
        <w:widowControl/>
        <w:jc w:val="center"/>
        <w:rPr>
          <w:rFonts w:hint="eastAsia" w:ascii="黑体" w:hAnsi="黑体" w:eastAsia="黑体"/>
          <w:sz w:val="48"/>
          <w:szCs w:val="48"/>
        </w:rPr>
      </w:pPr>
    </w:p>
    <w:p>
      <w:pPr>
        <w:widowControl/>
        <w:jc w:val="center"/>
        <w:rPr>
          <w:rFonts w:hint="eastAsia" w:ascii="黑体" w:hAnsi="黑体" w:eastAsia="黑体"/>
          <w:sz w:val="48"/>
          <w:szCs w:val="48"/>
        </w:rPr>
      </w:pPr>
    </w:p>
    <w:p>
      <w:pPr>
        <w:widowControl/>
        <w:jc w:val="center"/>
        <w:rPr>
          <w:rFonts w:hint="eastAsia" w:ascii="黑体" w:hAnsi="黑体" w:eastAsia="黑体"/>
          <w:sz w:val="48"/>
          <w:szCs w:val="48"/>
        </w:rPr>
      </w:pPr>
    </w:p>
    <w:p>
      <w:pPr>
        <w:widowControl/>
        <w:jc w:val="center"/>
        <w:rPr>
          <w:rFonts w:hint="eastAsia" w:ascii="黑体" w:hAnsi="黑体" w:eastAsia="黑体"/>
          <w:sz w:val="48"/>
          <w:szCs w:val="48"/>
        </w:rPr>
      </w:pPr>
    </w:p>
    <w:p>
      <w:pPr>
        <w:rPr>
          <w:rFonts w:ascii="方正小标宋简体" w:hAnsi="宋体" w:eastAsia="方正小标宋简体"/>
          <w:sz w:val="36"/>
          <w:szCs w:val="36"/>
        </w:rPr>
      </w:pPr>
    </w:p>
    <w:p>
      <w:pPr>
        <w:widowControl/>
        <w:jc w:val="center"/>
        <w:rPr>
          <w:rFonts w:hint="eastAsia" w:ascii="黑体" w:hAnsi="黑体" w:eastAsia="黑体"/>
          <w:sz w:val="48"/>
          <w:szCs w:val="48"/>
        </w:rPr>
      </w:pPr>
    </w:p>
    <w:p>
      <w:pPr>
        <w:pStyle w:val="8"/>
        <w:rPr>
          <w:rFonts w:hint="eastAsia" w:ascii="黑体" w:hAnsi="黑体" w:eastAsia="黑体"/>
          <w:sz w:val="48"/>
          <w:szCs w:val="48"/>
        </w:rPr>
      </w:pPr>
    </w:p>
    <w:p>
      <w:pPr>
        <w:rPr>
          <w:rFonts w:hint="eastAsia" w:ascii="黑体" w:hAnsi="黑体" w:eastAsia="黑体"/>
          <w:sz w:val="48"/>
          <w:szCs w:val="48"/>
        </w:rPr>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pStyle w:val="8"/>
        <w:rPr>
          <w:rFonts w:hint="eastAsia"/>
        </w:rPr>
      </w:pPr>
    </w:p>
    <w:bookmarkEnd w:id="0"/>
    <w:bookmarkEnd w:id="1"/>
    <w:bookmarkEnd w:id="2"/>
    <w:bookmarkEnd w:id="3"/>
    <w:bookmarkEnd w:id="4"/>
    <w:bookmarkEnd w:id="5"/>
    <w:p>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17</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pageBreakBefore w:val="0"/>
        <w:widowControl w:val="0"/>
        <w:numPr>
          <w:ilvl w:val="0"/>
          <w:numId w:val="0"/>
        </w:numPr>
        <w:kinsoku/>
        <w:wordWrap/>
        <w:overflowPunct/>
        <w:topLinePunct w:val="0"/>
        <w:autoSpaceDE/>
        <w:autoSpaceDN/>
        <w:bidi w:val="0"/>
        <w:adjustRightInd w:val="0"/>
        <w:snapToGrid w:val="0"/>
        <w:spacing w:before="0" w:after="0" w:line="578" w:lineRule="exact"/>
        <w:ind w:firstLine="640" w:firstLineChars="200"/>
        <w:textAlignment w:val="auto"/>
        <w:rPr>
          <w:rFonts w:hint="eastAsia"/>
        </w:rPr>
      </w:pPr>
      <w:r>
        <w:rPr>
          <w:rFonts w:hint="eastAsia" w:ascii="Times New Roman" w:hAnsi="Times New Roman" w:eastAsia="黑体"/>
          <w:b w:val="0"/>
          <w:color w:val="auto"/>
          <w:highlight w:val="none"/>
          <w:lang w:eastAsia="zh-CN"/>
        </w:rPr>
        <w:t>一、部门职责</w:t>
      </w:r>
    </w:p>
    <w:p>
      <w:pPr>
        <w:pStyle w:val="4"/>
        <w:pageBreakBefore w:val="0"/>
        <w:widowControl w:val="0"/>
        <w:numPr>
          <w:ilvl w:val="0"/>
          <w:numId w:val="0"/>
        </w:numPr>
        <w:kinsoku/>
        <w:wordWrap/>
        <w:overflowPunct/>
        <w:topLinePunct w:val="0"/>
        <w:autoSpaceDE/>
        <w:autoSpaceDN/>
        <w:bidi w:val="0"/>
        <w:adjustRightInd w:val="0"/>
        <w:snapToGrid w:val="0"/>
        <w:spacing w:before="0" w:after="0" w:line="578" w:lineRule="exact"/>
        <w:ind w:firstLine="640" w:firstLineChars="200"/>
        <w:textAlignment w:val="auto"/>
        <w:rPr>
          <w:rFonts w:hint="eastAsia"/>
          <w:lang w:eastAsia="zh-CN"/>
        </w:rPr>
      </w:pPr>
      <w:r>
        <w:rPr>
          <w:rFonts w:hint="eastAsia" w:ascii="仿宋_GB2312" w:hAnsi="仿宋_GB2312" w:eastAsia="仿宋_GB2312" w:cs="仿宋_GB2312"/>
          <w:b w:val="0"/>
          <w:bCs w:val="0"/>
          <w:sz w:val="32"/>
          <w:szCs w:val="32"/>
          <w:lang w:bidi="ar-SA"/>
        </w:rPr>
        <w:t>贯彻落实党中央关于公务服务工作的方针政策和省委、州委的决策部署，在履行职责过程中坚持和加强党对公务服务工作的集中统一领导。负责重大公务活动的服务保障工作，承担州委、州政府交办的外事接待、招商引资、大型会议、活动的接待服务保障工作和州委、州政府交办的其他任务。</w:t>
      </w:r>
    </w:p>
    <w:p>
      <w:pPr>
        <w:pStyle w:val="4"/>
        <w:pageBreakBefore w:val="0"/>
        <w:widowControl w:val="0"/>
        <w:kinsoku/>
        <w:wordWrap/>
        <w:overflowPunct/>
        <w:topLinePunct w:val="0"/>
        <w:autoSpaceDE/>
        <w:autoSpaceDN/>
        <w:bidi w:val="0"/>
        <w:adjustRightInd w:val="0"/>
        <w:snapToGrid w:val="0"/>
        <w:spacing w:before="0" w:after="0" w:line="578" w:lineRule="exact"/>
        <w:ind w:firstLine="640" w:firstLineChars="200"/>
        <w:textAlignment w:val="auto"/>
        <w:rPr>
          <w:rStyle w:val="32"/>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本单位为阿坝州公务服务中心，纳入 2025 年度部门决算编制范围的独立编制机构数共 1 个，无下属二级预算单位。单位类型为公益一类事业单位，执行政府会计制度。</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 2025 年末，单位年末实有人数 5 人，比上年减少 8 人，主要原因是机构改革人员分流至州党史研究室和州外事办；年末实有退休人数为 2 人，与上年无变化；年末实有编外长聘人数为 5 人，比上年增加 1 人，主要原因是本年度新聘 1 名驾驶员。</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2"/>
      <w:bookmarkEnd w:id="13"/>
    </w:p>
    <w:p>
      <w:pPr>
        <w:spacing w:before="120" w:after="120" w:line="288" w:lineRule="auto"/>
        <w:ind w:left="0" w:firstLine="640" w:firstLineChars="200"/>
        <w:jc w:val="left"/>
      </w:pPr>
      <w:r>
        <w:rPr>
          <w:rFonts w:hint="eastAsia" w:ascii="仿宋_GB2312" w:hAnsi="仿宋_GB2312" w:eastAsia="仿宋_GB2312" w:cs="仿宋_GB2312"/>
          <w:sz w:val="32"/>
          <w:szCs w:val="32"/>
        </w:rPr>
        <w:t>2025 年度收入、支出总计均为 347.28 万元。与上年度相比，收入、支出总计各减少 350.95 万元，下降 50.37%。主要变动原因是本单位机构改革，人员分流，实施项目相应减少，导致本年度收入、支出同步减少。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仿宋" w:hAnsi="仿宋" w:eastAsia="仿宋"/>
          <w:color w:val="0000FF"/>
          <w:sz w:val="32"/>
          <w:szCs w:val="32"/>
          <w:lang w:eastAsia="zh-CN"/>
        </w:rPr>
        <w:object>
          <v:shape id="_x0000_i1025" o:spt="75" alt="olechartimg_1663559531743500_757295104" type="#_x0000_t75" style="height:207.4pt;width:357.65pt;" o:ole="t" filled="f" o:preferrelative="t" stroked="f" coordsize="21600,21600">
            <v:path/>
            <v:fill on="f" focussize="0,0"/>
            <v:stroke on="f"/>
            <v:imagedata r:id="rId10" o:title="olechartimg_1789616163214843_189147136"/>
            <o:lock v:ext="edit" aspectratio="t"/>
            <w10:wrap type="none"/>
            <w10:anchorlock/>
          </v:shape>
          <o:OLEObject Type="Embed" ProgID="Excel.Chart.8" ShapeID="_x0000_i1025" DrawAspect="Content" ObjectID="_1468075725" r:id="rId9">
            <o:LockedField>false</o:LockedField>
          </o:OLEObject>
        </w:object>
      </w:r>
    </w:p>
    <w:p>
      <w:pPr>
        <w:spacing w:line="600" w:lineRule="exact"/>
        <w:ind w:firstLine="640" w:firstLineChars="200"/>
        <w:rPr>
          <w:rFonts w:hint="eastAsia" w:eastAsia="黑体"/>
          <w:color w:val="auto"/>
          <w:sz w:val="32"/>
          <w:szCs w:val="32"/>
          <w:highlight w:val="none"/>
          <w:lang w:eastAsia="zh-CN"/>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eastAsia="黑体"/>
          <w:color w:val="auto"/>
          <w:sz w:val="32"/>
          <w:szCs w:val="32"/>
          <w:highlight w:val="none"/>
          <w:lang w:eastAsia="zh-CN"/>
        </w:rPr>
        <w:t>二</w:t>
      </w:r>
      <w:r>
        <w:rPr>
          <w:rFonts w:hint="eastAsia" w:ascii="Times New Roman" w:hAnsi="Times New Roman" w:eastAsia="黑体"/>
          <w:color w:val="auto"/>
          <w:sz w:val="32"/>
          <w:szCs w:val="32"/>
          <w:highlight w:val="none"/>
          <w:lang w:eastAsia="zh-CN"/>
        </w:rPr>
        <w:t>、收入决算情况说明</w:t>
      </w:r>
      <w:bookmarkEnd w:id="14"/>
      <w:bookmarkEnd w:id="15"/>
    </w:p>
    <w:p>
      <w:pPr>
        <w:spacing w:before="120" w:after="120" w:line="288" w:lineRule="auto"/>
        <w:ind w:left="0" w:firstLine="640" w:firstLineChars="200"/>
        <w:jc w:val="left"/>
        <w:rPr>
          <w:rFonts w:hint="eastAsia" w:ascii="仿宋_GB2312" w:hAnsi="仿宋_GB2312" w:eastAsia="仿宋_GB2312" w:cs="仿宋_GB2312"/>
          <w:sz w:val="32"/>
          <w:szCs w:val="32"/>
        </w:rPr>
      </w:pPr>
      <w:bookmarkStart w:id="16" w:name="_Toc15396605"/>
      <w:bookmarkStart w:id="17" w:name="_Toc15377207"/>
      <w:r>
        <w:rPr>
          <w:rFonts w:hint="eastAsia" w:ascii="仿宋_GB2312" w:hAnsi="仿宋_GB2312" w:eastAsia="仿宋_GB2312" w:cs="仿宋_GB2312"/>
          <w:sz w:val="32"/>
          <w:szCs w:val="32"/>
        </w:rPr>
        <w:t>2025 年度本年收入合计 347.28 万元，其中：一般公共预算财政拨款收入 347.28 万元，占 100%；政府性基金预算财政拨款收入 0 万元，占 0%；国有资本经营预算财政拨款收入 0 万元，占 0%；上级补助收入 0 万元，占 0%；事业收入 0 万元，占 0%；经营收入 0 万元，占 0%；附属单位上缴收入 0 万元，占 0%；其他收入 0 万元，占 0%。</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60288" behindDoc="0" locked="0" layoutInCell="1" allowOverlap="1">
            <wp:simplePos x="0" y="0"/>
            <wp:positionH relativeFrom="column">
              <wp:posOffset>375920</wp:posOffset>
            </wp:positionH>
            <wp:positionV relativeFrom="paragraph">
              <wp:posOffset>80645</wp:posOffset>
            </wp:positionV>
            <wp:extent cx="4231005" cy="3155950"/>
            <wp:effectExtent l="4445" t="4445" r="12700" b="2095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spacing w:line="600" w:lineRule="exact"/>
        <w:jc w:val="center"/>
        <w:rPr>
          <w:rFonts w:hint="eastAsia" w:ascii="仿宋" w:hAnsi="仿宋" w:eastAsia="仿宋"/>
          <w:sz w:val="32"/>
          <w:szCs w:val="32"/>
        </w:rPr>
      </w:pPr>
    </w:p>
    <w:p>
      <w:pPr>
        <w:spacing w:line="600" w:lineRule="exact"/>
        <w:jc w:val="center"/>
        <w:rPr>
          <w:rFonts w:hint="eastAsia" w:ascii="仿宋" w:hAnsi="仿宋" w:eastAsia="仿宋"/>
          <w:sz w:val="32"/>
          <w:szCs w:val="32"/>
        </w:rPr>
      </w:pPr>
    </w:p>
    <w:p>
      <w:pPr>
        <w:spacing w:line="600" w:lineRule="exact"/>
        <w:jc w:val="center"/>
        <w:rPr>
          <w:rFonts w:hint="eastAsia" w:ascii="仿宋" w:hAnsi="仿宋" w:eastAsia="仿宋"/>
          <w:sz w:val="32"/>
          <w:szCs w:val="32"/>
        </w:rPr>
      </w:pPr>
    </w:p>
    <w:p>
      <w:pPr>
        <w:spacing w:line="600" w:lineRule="exact"/>
        <w:jc w:val="center"/>
        <w:rPr>
          <w:rFonts w:hint="eastAsia" w:ascii="仿宋" w:hAnsi="仿宋" w:eastAsia="仿宋"/>
          <w:sz w:val="32"/>
          <w:szCs w:val="32"/>
        </w:rPr>
      </w:pPr>
      <w:r>
        <w:rPr>
          <w:rFonts w:hint="eastAsia" w:ascii="仿宋" w:hAnsi="仿宋" w:eastAsia="仿宋"/>
          <w:sz w:val="32"/>
          <w:szCs w:val="32"/>
        </w:rPr>
        <w:t>（图2：收入决算结构图）（饼状图）</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6"/>
      <w:bookmarkEnd w:id="17"/>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年度本年支出合计 347.28 万元，其中：基本支出 215.58 万元，占 62.08%；项目支出 131.70 万元，占 37.92%；上缴上级支出 0 万元，占 0%；经营支出 0 万元，占 0%；对附属单位补助支出 0 万元，占 0%。</w:t>
      </w:r>
    </w:p>
    <w:p>
      <w:pPr>
        <w:pStyle w:val="38"/>
        <w:keepNext w:val="0"/>
        <w:keepLines w:val="0"/>
        <w:pageBreakBefore w:val="0"/>
        <w:kinsoku/>
        <w:wordWrap/>
        <w:overflowPunct/>
        <w:topLinePunct w:val="0"/>
        <w:autoSpaceDE/>
        <w:autoSpaceDN/>
        <w:bidi w:val="0"/>
        <w:adjustRightInd/>
        <w:spacing w:before="0" w:beforeAutospacing="0" w:after="0" w:afterAutospacing="0" w:line="560" w:lineRule="exact"/>
        <w:ind w:left="0" w:leftChars="0" w:firstLine="480" w:firstLineChars="200"/>
        <w:rPr>
          <w:rFonts w:ascii="仿宋_GB2312" w:eastAsia="仿宋_GB2312" w:cs="仿宋_GB2312"/>
          <w:sz w:val="32"/>
          <w:szCs w:val="32"/>
        </w:rPr>
      </w:pPr>
      <w:r>
        <w:rPr>
          <w:rFonts w:hint="eastAsia" w:eastAsia="宋体"/>
          <w:lang w:eastAsia="zh-CN"/>
        </w:rPr>
        <w:pict>
          <v:shape id="_x0000_s1026" o:spid="_x0000_s1026" o:spt="75" alt="olechartimg_1725583589522887_1048671232" type="#_x0000_t75" style="position:absolute;left:0pt;margin-left:22.8pt;margin-top:9.7pt;height:142.8pt;width:334.8pt;mso-wrap-distance-bottom:0pt;mso-wrap-distance-left:9pt;mso-wrap-distance-right:9pt;mso-wrap-distance-top:0pt;z-index:251661312;mso-width-relative:page;mso-height-relative:page;" o:ole="t" filled="f" o:preferrelative="t" stroked="f" coordsize="21600,21600">
            <v:path/>
            <v:fill on="f" focussize="0,0"/>
            <v:stroke on="f"/>
            <v:imagedata r:id="rId13" o:title="olechartimg_1789611027758818_155142656"/>
            <o:lock v:ext="edit" aspectratio="t"/>
            <w10:wrap type="square"/>
          </v:shape>
          <o:OLEObject Type="Embed" ProgID="Excel.Chart.8" ShapeID="_x0000_s1026" DrawAspect="Content" ObjectID="_1468075726" r:id="rId12">
            <o:LockedField>false</o:LockedField>
          </o:OLEObject>
        </w:pict>
      </w:r>
    </w:p>
    <w:p>
      <w:pPr>
        <w:spacing w:line="600" w:lineRule="exact"/>
        <w:jc w:val="both"/>
        <w:rPr>
          <w:rFonts w:hint="eastAsia" w:ascii="仿宋" w:hAnsi="仿宋" w:eastAsia="仿宋"/>
          <w:sz w:val="32"/>
          <w:szCs w:val="32"/>
        </w:rPr>
      </w:pPr>
      <w:bookmarkStart w:id="18" w:name="_Toc15377208"/>
      <w:bookmarkStart w:id="19" w:name="_Toc15396606"/>
    </w:p>
    <w:p>
      <w:pPr>
        <w:spacing w:line="600" w:lineRule="exact"/>
        <w:jc w:val="both"/>
        <w:rPr>
          <w:rFonts w:hint="eastAsia" w:ascii="仿宋" w:hAnsi="仿宋" w:eastAsia="仿宋"/>
          <w:sz w:val="32"/>
          <w:szCs w:val="32"/>
        </w:rPr>
      </w:pPr>
    </w:p>
    <w:p>
      <w:pPr>
        <w:spacing w:line="600" w:lineRule="exact"/>
        <w:jc w:val="both"/>
        <w:rPr>
          <w:rFonts w:hint="eastAsia" w:ascii="仿宋" w:hAnsi="仿宋" w:eastAsia="仿宋"/>
          <w:sz w:val="32"/>
          <w:szCs w:val="32"/>
        </w:rPr>
      </w:pPr>
    </w:p>
    <w:p>
      <w:pPr>
        <w:spacing w:line="600" w:lineRule="exact"/>
        <w:jc w:val="both"/>
        <w:rPr>
          <w:rFonts w:hint="eastAsia" w:ascii="仿宋" w:hAnsi="仿宋" w:eastAsia="仿宋"/>
          <w:sz w:val="32"/>
          <w:szCs w:val="32"/>
        </w:rPr>
      </w:pPr>
    </w:p>
    <w:p>
      <w:pPr>
        <w:spacing w:line="600" w:lineRule="exact"/>
        <w:jc w:val="both"/>
        <w:rPr>
          <w:rFonts w:hint="eastAsia" w:ascii="仿宋" w:hAnsi="仿宋" w:eastAsia="仿宋"/>
          <w:sz w:val="32"/>
          <w:szCs w:val="32"/>
        </w:rPr>
      </w:pPr>
    </w:p>
    <w:p>
      <w:pPr>
        <w:spacing w:line="600" w:lineRule="exact"/>
        <w:ind w:firstLine="1280" w:firstLineChars="400"/>
        <w:jc w:val="both"/>
        <w:rPr>
          <w:rFonts w:hint="eastAsia" w:ascii="Times New Roman" w:hAnsi="Times New Roman" w:eastAsia="黑体"/>
          <w:color w:val="auto"/>
          <w:sz w:val="32"/>
          <w:szCs w:val="32"/>
          <w:highlight w:val="none"/>
        </w:rPr>
      </w:pPr>
      <w:r>
        <w:rPr>
          <w:rFonts w:hint="eastAsia" w:ascii="仿宋" w:hAnsi="仿宋" w:eastAsia="仿宋"/>
          <w:sz w:val="32"/>
          <w:szCs w:val="32"/>
        </w:rPr>
        <w:t>（图3：支出决算结构图）（饼状图）</w:t>
      </w:r>
    </w:p>
    <w:p>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8"/>
      <w:bookmarkEnd w:id="19"/>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年度财政拨款收入、支出总计均为 347.28 万元。与上年度相比，财政拨款收入、支出总计各减少 350.95 万元，下降 50.37%。主要变动原因是本单位机构改革，人员分流，工资及公用经费相应减少，财政拨款收入、支出同步减少。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eastAsia="zh-CN"/>
        </w:rPr>
        <w:pict>
          <v:shape id="_x0000_s1027" o:spid="_x0000_s1027" o:spt="75" alt="olechartimg_1725583713705710_1048676352" type="#_x0000_t75" style="position:absolute;left:0pt;margin-left:8.65pt;margin-top:2.1pt;height:177.8pt;width:377pt;mso-wrap-distance-bottom:0pt;mso-wrap-distance-left:9pt;mso-wrap-distance-right:9pt;mso-wrap-distance-top:0pt;z-index:251662336;mso-width-relative:page;mso-height-relative:page;" o:ole="t" filled="f" o:preferrelative="t" stroked="f" coordsize="21600,21600">
            <v:path/>
            <v:fill on="f" focussize="0,0"/>
            <v:stroke on="f"/>
            <v:imagedata r:id="rId15" o:title="olechartimg_1789611272991688_158043904"/>
            <o:lock v:ext="edit" aspectratio="t"/>
            <w10:wrap type="square"/>
          </v:shape>
          <o:OLEObject Type="Embed" ProgID="Excel.Chart.8" ShapeID="_x0000_s1027" DrawAspect="Content" ObjectID="_1468075727" r:id="rId14">
            <o:LockedField>false</o:LockedField>
          </o:OLEObject>
        </w:pict>
      </w:r>
    </w:p>
    <w:p>
      <w:pPr>
        <w:spacing w:line="600" w:lineRule="exact"/>
        <w:ind w:firstLine="640" w:firstLineChars="200"/>
        <w:outlineLvl w:val="1"/>
        <w:rPr>
          <w:rFonts w:hint="eastAsia" w:ascii="Times New Roman" w:hAnsi="Times New Roman" w:eastAsia="黑体"/>
          <w:color w:val="auto"/>
          <w:sz w:val="32"/>
          <w:szCs w:val="32"/>
          <w:highlight w:val="none"/>
        </w:rPr>
      </w:pPr>
      <w:bookmarkStart w:id="20" w:name="_Toc15396607"/>
      <w:bookmarkStart w:id="21" w:name="_Toc15377209"/>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outlineLvl w:val="1"/>
        <w:rPr>
          <w:rFonts w:hint="eastAsia" w:ascii="Times New Roman" w:hAnsi="Times New Roman" w:eastAsia="黑体"/>
          <w:color w:val="auto"/>
          <w:sz w:val="32"/>
          <w:szCs w:val="32"/>
          <w:highlight w:val="none"/>
        </w:rPr>
      </w:pPr>
    </w:p>
    <w:p>
      <w:pPr>
        <w:spacing w:line="600" w:lineRule="exact"/>
        <w:rPr>
          <w:rFonts w:hint="eastAsia" w:ascii="Times New Roman" w:hAnsi="Times New Roman" w:eastAsia="黑体"/>
          <w:color w:val="auto"/>
          <w:sz w:val="32"/>
          <w:szCs w:val="32"/>
          <w:highlight w:val="none"/>
        </w:rPr>
      </w:pPr>
      <w:r>
        <w:rPr>
          <w:rFonts w:hint="eastAsia" w:ascii="仿宋" w:hAnsi="仿宋" w:eastAsia="仿宋"/>
          <w:sz w:val="32"/>
          <w:szCs w:val="32"/>
        </w:rPr>
        <w:t>（图4：财政拨款收、支决算总计变动情况）（柱状图）</w:t>
      </w:r>
    </w:p>
    <w:p>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年度一般公共预算财政拨款支出 347.28 万元，占本年支出合计的 100%。与上年度相比，一般公共预算财政拨款支出减少 350.95 万元，下降 50.37%。主要变动原因是机构改革人员减少，工资及公用经费相应减少，项目支出同步缩减。</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仿宋_GB2312" w:hAnsi="仿宋_GB2312" w:eastAsia="仿宋_GB2312" w:cs="仿宋_GB2312"/>
          <w:sz w:val="32"/>
          <w:szCs w:val="32"/>
          <w:shd w:val="clear" w:color="auto" w:fill="FFFFFF"/>
          <w:lang w:eastAsia="zh-CN"/>
        </w:rPr>
        <w:pict>
          <v:shape id="_x0000_s1028" o:spid="_x0000_s1028" o:spt="75" alt="olechartimg_1663659424998520_765514752" type="#_x0000_t75" style="position:absolute;left:0pt;margin-left:59.55pt;margin-top:6.75pt;height:128.2pt;width:277.25pt;mso-wrap-distance-bottom:0pt;mso-wrap-distance-left:9pt;mso-wrap-distance-right:9pt;mso-wrap-distance-top:0pt;z-index:251663360;mso-width-relative:page;mso-height-relative:page;" o:ole="t" filled="f" o:preferrelative="t" stroked="f" coordsize="21600,21600">
            <v:path/>
            <v:fill on="f" focussize="0,0"/>
            <v:stroke on="f"/>
            <v:imagedata r:id="rId17" o:title="olechartimg_1789611347215705_155154176"/>
            <o:lock v:ext="edit" aspectratio="t"/>
            <w10:wrap type="square"/>
          </v:shape>
          <o:OLEObject Type="Embed" ProgID="Excel.Chart.8" ShapeID="_x0000_s1028" DrawAspect="Content" ObjectID="_1468075728" r:id="rId16">
            <o:LockedField>false</o:LockedField>
          </o:OLEObject>
        </w:pic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jc w:val="center"/>
        <w:rPr>
          <w:rFonts w:hint="eastAsia" w:ascii="仿宋" w:hAnsi="仿宋" w:eastAsia="仿宋"/>
          <w:sz w:val="32"/>
          <w:szCs w:val="32"/>
          <w:lang w:eastAsia="zh-CN"/>
        </w:rPr>
      </w:pPr>
      <w:r>
        <w:rPr>
          <w:rFonts w:hint="eastAsia" w:ascii="仿宋" w:hAnsi="仿宋" w:eastAsia="仿宋"/>
          <w:sz w:val="32"/>
          <w:szCs w:val="32"/>
        </w:rPr>
        <w:t>（图5：一般公共预算财政拨款支出决算变动情况</w:t>
      </w:r>
      <w:r>
        <w:rPr>
          <w:rFonts w:hint="eastAsia" w:ascii="仿宋" w:hAnsi="仿宋" w:eastAsia="仿宋"/>
          <w:sz w:val="32"/>
          <w:szCs w:val="32"/>
          <w:lang w:eastAsia="zh-CN"/>
        </w:rPr>
        <w:t>）</w:t>
      </w:r>
    </w:p>
    <w:p>
      <w:pPr>
        <w:spacing w:line="600" w:lineRule="exact"/>
        <w:jc w:val="center"/>
        <w:rPr>
          <w:rFonts w:hint="eastAsia"/>
        </w:rPr>
      </w:pPr>
      <w:r>
        <w:rPr>
          <w:rFonts w:hint="eastAsia" w:ascii="仿宋" w:hAnsi="仿宋" w:eastAsia="仿宋"/>
          <w:sz w:val="32"/>
          <w:szCs w:val="32"/>
        </w:rPr>
        <w:t>（柱状图）</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年度一般公共预算财政拨款支出 347.28 万元，主要用于以下方面：一般公共服务支出 315.94 万元，占 90.98%；社会保障和就业支出 16.61 万元，占 4.78%；卫生健康支出 6.17 万元，占 1.78%；住房保障支出 8.56 万元，占 2.46%。</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eastAsia="zh-CN"/>
        </w:rPr>
        <w:pict>
          <v:shape id="_x0000_s1029" o:spid="_x0000_s1029" o:spt="75" alt="olechartimg_1663662830244524_797237248" type="#_x0000_t75" style="position:absolute;left:0pt;margin-left:34.9pt;margin-top:2.85pt;height:167.9pt;width:335.85pt;mso-wrap-distance-bottom:0pt;mso-wrap-distance-left:9pt;mso-wrap-distance-right:9pt;mso-wrap-distance-top:0pt;z-index:251664384;mso-width-relative:page;mso-height-relative:page;" o:ole="t" filled="f" o:preferrelative="t" stroked="f" coordsize="21600,21600">
            <v:path/>
            <v:fill on="f" focussize="0,0"/>
            <v:stroke on="f"/>
            <v:imagedata r:id="rId19" o:title="olechartimg_1789611482535369_155151616"/>
            <o:lock v:ext="edit" aspectratio="t"/>
            <w10:wrap type="square"/>
          </v:shape>
          <o:OLEObject Type="Embed" ProgID="Excel.Chart.8" ShapeID="_x0000_s1029" DrawAspect="Content" ObjectID="_1468075729" r:id="rId18">
            <o:LockedField>false</o:LockedField>
          </o:OLEObject>
        </w:pic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rPr>
          <w:rFonts w:hint="eastAsia" w:ascii="Times New Roman" w:hAnsi="Times New Roman" w:eastAsia="楷体_GB2312" w:cs="楷体_GB2312"/>
          <w:b/>
          <w:color w:val="auto"/>
          <w:sz w:val="32"/>
          <w:szCs w:val="32"/>
          <w:highlight w:val="none"/>
        </w:rPr>
      </w:pPr>
      <w:r>
        <w:rPr>
          <w:rFonts w:hint="eastAsia" w:ascii="仿宋" w:hAnsi="仿宋" w:eastAsia="仿宋"/>
          <w:sz w:val="32"/>
          <w:szCs w:val="32"/>
        </w:rPr>
        <w:t>（图6：一般公共预算财政拨款支出决算结构）（饼状图）</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年度一般公共预算支出决算数为 347.28 万元，完成预算 100%。其中：</w:t>
      </w:r>
    </w:p>
    <w:p>
      <w:pPr>
        <w:numPr>
          <w:ilvl w:val="0"/>
          <w:numId w:val="0"/>
        </w:numPr>
        <w:spacing w:before="120" w:after="120" w:line="288"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一般公共服务（类）一般公共服务（款）其他一般公共服务支出（项）：支出决算为 315.94 万元，完成预算 100%，决算数与预算数持平。</w:t>
      </w:r>
    </w:p>
    <w:p>
      <w:pPr>
        <w:numPr>
          <w:ilvl w:val="0"/>
          <w:numId w:val="0"/>
        </w:numPr>
        <w:spacing w:before="120" w:after="120" w:line="288"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社会保障和就业（类）行政事业单位养老支出（款）机关事业单位基本养老保险缴费支出（项）：支出决算为 16.61 万元，完成预算 100%，决算数与预算数持平。</w:t>
      </w:r>
    </w:p>
    <w:p>
      <w:pPr>
        <w:numPr>
          <w:ilvl w:val="0"/>
          <w:numId w:val="0"/>
        </w:numPr>
        <w:spacing w:before="120" w:after="120" w:line="288"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卫生健康（类）行政事业单位医疗（款）事业单位医疗（项）：支出决算为 6.17 万元，完成预算 100%，决算数与预算数持平。</w:t>
      </w:r>
    </w:p>
    <w:p>
      <w:pPr>
        <w:numPr>
          <w:ilvl w:val="0"/>
          <w:numId w:val="0"/>
        </w:numPr>
        <w:spacing w:before="120" w:after="120" w:line="288" w:lineRule="auto"/>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住房保障（类）住房改革支出（款）住房公积金（项）：支出决算为 8.56 万元，完成预算 100%，决算数与预算数持平。</w:t>
      </w:r>
    </w:p>
    <w:p>
      <w:pPr>
        <w:tabs>
          <w:tab w:val="right" w:pos="8306"/>
        </w:tabs>
        <w:spacing w:line="600" w:lineRule="exact"/>
        <w:ind w:firstLine="640"/>
        <w:outlineLvl w:val="1"/>
        <w:rPr>
          <w:rStyle w:val="32"/>
          <w:rFonts w:ascii="Times New Roman" w:hAnsi="Times New Roman"/>
          <w:color w:val="auto"/>
          <w:highlight w:val="none"/>
        </w:rPr>
      </w:pPr>
      <w:bookmarkStart w:id="25" w:name="_Toc15396608"/>
      <w:bookmarkStart w:id="26"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5"/>
      <w:bookmarkEnd w:id="26"/>
      <w:r>
        <w:rPr>
          <w:rStyle w:val="32"/>
          <w:rFonts w:ascii="Times New Roman" w:hAnsi="Times New Roman" w:eastAsia="黑体"/>
          <w:b w:val="0"/>
          <w:color w:val="auto"/>
          <w:highlight w:val="none"/>
        </w:rPr>
        <w:tab/>
      </w:r>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年度一般公共预算财政拨款基本支出 215.58 万元，其中：</w:t>
      </w:r>
    </w:p>
    <w:p>
      <w:pPr>
        <w:numPr>
          <w:ilvl w:val="0"/>
          <w:numId w:val="0"/>
        </w:numPr>
        <w:spacing w:before="120" w:after="120" w:line="288"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 126.40 万元，主要包括：基本工资、津贴补贴、奖金、伙食补助费、绩效工资、机关事业单位基本养老保险缴费、职业年金缴费、其他社会保障缴费、其他工资福利支出、退休费、医疗费补助、住房公积金、其他对个人和家庭的补助支出等。其中其他工资福利支出 19.21 万元，主要为编外长聘人员的工资、保险部分。</w:t>
      </w:r>
    </w:p>
    <w:p>
      <w:pPr>
        <w:numPr>
          <w:ilvl w:val="0"/>
          <w:numId w:val="0"/>
        </w:numPr>
        <w:spacing w:before="120" w:after="120" w:line="288" w:lineRule="auto"/>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公用经费 57.85 万元，主要包括：办公费、印刷费、咨询费、手续费、水费、电费、邮电费、取暖费、物业管理费、差旅费、维修（护）费、租赁费、会议费、培训费、公务接待费、劳务费、委托业务费、工会经费、福利费、公务用车运行维护费、其他交通费、税金及附加费用、其他商品和服务支出等。其中其他商品和服务支出 5.89 万元，主要为支部组织干部观看电影费用、慰问离退休干部费用及支部开展 “双报到” 暨中秋慰问群众物资采购费用。</w:t>
      </w:r>
    </w:p>
    <w:p>
      <w:pPr>
        <w:spacing w:line="600" w:lineRule="exact"/>
        <w:ind w:firstLine="640"/>
        <w:outlineLvl w:val="1"/>
        <w:rPr>
          <w:rStyle w:val="32"/>
          <w:rFonts w:ascii="Times New Roman" w:hAnsi="Times New Roman" w:eastAsia="黑体"/>
          <w:b w:val="0"/>
          <w:color w:val="auto"/>
          <w:highlight w:val="none"/>
        </w:rPr>
      </w:pPr>
      <w:bookmarkStart w:id="27" w:name="_Toc15396609"/>
      <w:bookmarkStart w:id="28"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27"/>
      <w:bookmarkEnd w:id="2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29"/>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 年度财政拨款 “三公” 经费支出决算为 68.96 万元，完成预算 100%，较上年度减少 134.44 万元，下降 66.07%。决算数与预算数持平，主要原因是科学化制定预算，严格执行财务收支管理，厉行节约严控 “三公” 经费支出。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0"/>
    </w:p>
    <w:p>
      <w:pPr>
        <w:spacing w:before="120" w:after="120" w:line="288" w:lineRule="auto"/>
        <w:ind w:left="0" w:firstLine="640" w:firstLineChars="200"/>
        <w:jc w:val="left"/>
        <w:rPr>
          <w:rFonts w:hint="eastAsia" w:ascii="仿宋_GB2312" w:hAnsi="仿宋_GB2312" w:eastAsia="仿宋_GB2312" w:cs="仿宋_GB2312"/>
          <w:sz w:val="32"/>
          <w:szCs w:val="32"/>
        </w:rPr>
      </w:pPr>
      <w:bookmarkStart w:id="31" w:name="_Toc15377218"/>
      <w:bookmarkStart w:id="32" w:name="_Toc15396610"/>
      <w:r>
        <w:rPr>
          <w:rFonts w:hint="eastAsia" w:ascii="仿宋_GB2312" w:hAnsi="仿宋_GB2312" w:eastAsia="仿宋_GB2312" w:cs="仿宋_GB2312"/>
          <w:sz w:val="32"/>
          <w:szCs w:val="32"/>
        </w:rPr>
        <w:t>2025 年度财政拨款 “三公” 经费支出决算中，因公出国（境）费支出决算 0 万元，占 0%；公务用车购置及运行维护费支出决算 24.23 万元，占 35.14%；公务接待费支出决算 44.73 万元，占 64.86%。</w:t>
      </w:r>
    </w:p>
    <w:p>
      <w:pPr>
        <w:pStyle w:val="2"/>
        <w:rPr>
          <w:rFonts w:hint="eastAsia"/>
        </w:rPr>
      </w:pPr>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 w:hAnsi="仿宋" w:eastAsia="仿宋"/>
          <w:sz w:val="32"/>
          <w:szCs w:val="32"/>
        </w:rPr>
        <w:t>（图7：“三公”经费财政拨款支出结构）（饼状图）</w:t>
      </w:r>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 w:hAnsi="仿宋" w:eastAsia="仿宋"/>
          <w:color w:val="000000"/>
          <w:sz w:val="32"/>
          <w:szCs w:val="32"/>
          <w:lang w:eastAsia="zh-CN"/>
        </w:rPr>
        <w:pict>
          <v:shape id="_x0000_s1030" o:spid="_x0000_s1030" o:spt="75" alt="olechartimg_1663665223991526_797242368" type="#_x0000_t75" style="position:absolute;left:0pt;margin-left:7.65pt;margin-top:30.35pt;height:204.55pt;width:424.45pt;mso-wrap-distance-bottom:0pt;mso-wrap-distance-left:9pt;mso-wrap-distance-right:9pt;mso-wrap-distance-top:0pt;z-index:251665408;mso-width-relative:page;mso-height-relative:page;" o:ole="t" filled="f" o:preferrelative="t" stroked="f" coordsize="21600,21600">
            <v:path/>
            <v:fill on="f" focussize="0,0"/>
            <v:stroke on="f"/>
            <v:imagedata r:id="rId21" o:title="olechartimg_1789611604063327_158043904"/>
            <o:lock v:ext="edit" aspectratio="t"/>
            <w10:wrap type="square"/>
          </v:shape>
          <o:OLEObject Type="Embed" ProgID="Excel.Chart.8" ShapeID="_x0000_s1030" DrawAspect="Content" ObjectID="_1468075730" r:id="rId20">
            <o:LockedField>false</o:LockedField>
          </o:OLEObject>
        </w:pict>
      </w:r>
      <w:r>
        <w:rPr>
          <w:rFonts w:hint="eastAsia" w:ascii="仿宋_GB2312" w:hAnsi="仿宋_GB2312" w:eastAsia="仿宋_GB2312" w:cs="仿宋_GB2312"/>
          <w:sz w:val="32"/>
          <w:szCs w:val="32"/>
        </w:rPr>
        <w:t>具体情况如下：</w:t>
      </w:r>
    </w:p>
    <w:p>
      <w:pPr>
        <w:numPr>
          <w:ilvl w:val="0"/>
          <w:numId w:val="0"/>
        </w:numPr>
        <w:spacing w:before="120" w:after="120" w:line="288"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因公出国（境）经费支出 0 万元，完成预算 100%。全年未安排因公出国（境）团组，无相关支出。</w:t>
      </w:r>
    </w:p>
    <w:p>
      <w:pPr>
        <w:numPr>
          <w:ilvl w:val="0"/>
          <w:numId w:val="0"/>
        </w:numPr>
        <w:spacing w:before="120" w:after="120" w:line="288"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公务用车购置及运行维护费支出 24.23 万元，完成预算 100%。公务用车购置及运行维护费支出决算比上年度减少 7.18 万元，下降 22.85%。主要原因是厉行节约，严格管控公务用车运行维护支出。其中：公务用车购置支出 0 万元，全年未更新购置公务用车。截至 2025 年 12 月 31 日，单位共有公务用车 3 辆，均为其他用车，主要用于公务接待保障、日常公务出行等。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公务用车运行维护费支出 24.23 万元，主要用于公务接待保障、日常公务出行所需的公务用车燃料费、维修费、过路过桥费、保险费等支出。</w:t>
      </w:r>
    </w:p>
    <w:p>
      <w:pPr>
        <w:numPr>
          <w:ilvl w:val="0"/>
          <w:numId w:val="0"/>
        </w:numPr>
        <w:spacing w:before="120" w:after="120" w:line="288" w:lineRule="auto"/>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公务接待费支出 44.73 万元，完成预算 100%。公务接待费支出决算比上年度减少 127.26 万元，下降 73.95%。主要原因是本年度在民族团结广场 25 楼集中承接接待工作，开源节流降低接待成本。其中：国内公务接待支出 44.73 万元，主要用于执行公务、开展业务活动开支的交通费、住宿费、用餐费等。国内公务接待 111 批次，2010 人次（不包括陪同人员），共计支出 44.73 万元，具体内容包括：各类公务接待、外事接待、招商引资、大型活动接待保障等支出。</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外事接待支出 0 万元，本年度无外事接待支出。</w:t>
      </w:r>
    </w:p>
    <w:p>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1"/>
      <w:bookmarkEnd w:id="32"/>
    </w:p>
    <w:p>
      <w:pPr>
        <w:spacing w:before="120" w:after="120" w:line="288" w:lineRule="auto"/>
        <w:ind w:left="0"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2025 年度政府性基金预算财政拨款支出 0 万元，占本年支出合计的 0%。与上年度相比无变化，本年度无政府性基金预算财政拨款支出。</w:t>
      </w:r>
    </w:p>
    <w:p>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3" w:name="_Toc15396611"/>
      <w:bookmarkStart w:id="34"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3"/>
      <w:bookmarkEnd w:id="34"/>
    </w:p>
    <w:p>
      <w:pPr>
        <w:spacing w:before="120" w:after="120" w:line="288" w:lineRule="auto"/>
        <w:ind w:left="0" w:firstLine="640" w:firstLineChars="200"/>
        <w:jc w:val="left"/>
        <w:rPr>
          <w:rFonts w:hint="eastAsia" w:ascii="仿宋_GB2312" w:hAnsi="仿宋_GB2312" w:eastAsia="仿宋_GB2312" w:cs="仿宋_GB2312"/>
          <w:sz w:val="32"/>
          <w:szCs w:val="32"/>
        </w:rPr>
      </w:pPr>
      <w:bookmarkStart w:id="35" w:name="_Toc15396612"/>
      <w:bookmarkStart w:id="36" w:name="_Toc15377221"/>
      <w:r>
        <w:rPr>
          <w:rFonts w:hint="eastAsia" w:ascii="仿宋_GB2312" w:hAnsi="仿宋_GB2312" w:eastAsia="仿宋_GB2312" w:cs="仿宋_GB2312"/>
          <w:sz w:val="32"/>
          <w:szCs w:val="32"/>
        </w:rPr>
        <w:t>2025 年度国有资本经营预算财政拨款支出 0 万元，占本年支出合计的 0%。与上年度相比无变化，本年度无国有资本经营预算财政拨款支出。</w:t>
      </w:r>
    </w:p>
    <w:p>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5"/>
      <w:bookmarkEnd w:id="3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22"/>
      <w:r>
        <w:rPr>
          <w:rFonts w:hint="eastAsia" w:ascii="Times New Roman" w:hAnsi="Times New Roman" w:eastAsia="楷体_GB2312" w:cs="楷体_GB2312"/>
          <w:b/>
          <w:color w:val="auto"/>
          <w:sz w:val="32"/>
          <w:szCs w:val="32"/>
          <w:highlight w:val="none"/>
        </w:rPr>
        <w:t>（一）机关运行经费支出情况</w:t>
      </w:r>
      <w:bookmarkEnd w:id="37"/>
    </w:p>
    <w:p>
      <w:pPr>
        <w:spacing w:before="120" w:after="120" w:line="288" w:lineRule="auto"/>
        <w:ind w:left="0" w:firstLine="640" w:firstLineChars="200"/>
        <w:jc w:val="left"/>
        <w:rPr>
          <w:rFonts w:hint="eastAsia" w:ascii="仿宋_GB2312" w:hAnsi="仿宋_GB2312" w:eastAsia="仿宋_GB2312" w:cs="仿宋_GB2312"/>
          <w:sz w:val="32"/>
          <w:szCs w:val="32"/>
        </w:rPr>
      </w:pPr>
      <w:bookmarkStart w:id="38" w:name="_Toc15377223"/>
      <w:r>
        <w:rPr>
          <w:rFonts w:hint="eastAsia" w:ascii="仿宋_GB2312" w:hAnsi="仿宋_GB2312" w:eastAsia="仿宋_GB2312" w:cs="仿宋_GB2312"/>
          <w:sz w:val="32"/>
          <w:szCs w:val="32"/>
        </w:rPr>
        <w:t>2025 年度，本单位机关运行经费支出 57.85 万元，比上年度减少 18.75 万元，下降 24.48%。主要原因是机构改革人员减少，公用经费支出相应缩减，同时严格落实 “过紧日子” 要求，严控一般性支出。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38"/>
    </w:p>
    <w:p>
      <w:pPr>
        <w:spacing w:before="120" w:after="120" w:line="288" w:lineRule="auto"/>
        <w:ind w:left="0"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2025 年度，本单位政府采购支出总额 0 万元，其中：政府采购货物支出 0 万元、政府采购工程支出 0 万元、政府采购服务支出 0 万元。本年度无政府采购支出。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24"/>
      <w:r>
        <w:rPr>
          <w:rFonts w:hint="eastAsia" w:ascii="Times New Roman" w:hAnsi="Times New Roman" w:eastAsia="楷体_GB2312" w:cs="楷体_GB2312"/>
          <w:b/>
          <w:color w:val="auto"/>
          <w:sz w:val="32"/>
          <w:szCs w:val="32"/>
          <w:highlight w:val="none"/>
        </w:rPr>
        <w:t>（三）国有资产占有使用情况</w:t>
      </w:r>
      <w:bookmarkEnd w:id="39"/>
    </w:p>
    <w:p>
      <w:pPr>
        <w:spacing w:before="120" w:after="120" w:line="288" w:lineRule="auto"/>
        <w:ind w:left="0"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截至 2025 年 12 月 31 日，本单位共有车辆 3 辆，均为其他用车，主要用于公务接待保障、日常公务出行等。单价 100 万元（含）以上设备（不含车辆）0 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 2025 年度，组织对公务接待项目、公务工作经费、办公楼维修项目等 3 个项目涉及金额 131.70 万元开展了事前绩效评估，对 3 个项目编制了绩效目标，预算执行过程中，选取 3 个项目开展绩效监控。</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组织对 2025 年度一般公共预算全面开展绩效自评，形成部门预算绩效自评报告，部门预算绩效自评得分为 98 分。绩效自评综述：2025 年度，我单位严格执行预算管理相关规定，预算编制科学合理，预算执行规范高效，资金使用合规，项目绩效目标全面完成，有效保障了单位各项公务服务工作的顺利开展。</w:t>
      </w:r>
    </w:p>
    <w:p>
      <w:pPr>
        <w:pBdr>
          <w:bottom w:val="single" w:color="DEE0E3" w:sz="2" w:space="0"/>
          <w:between w:val="single" w:color="DEE0E3" w:sz="2" w:space="0"/>
        </w:pBdr>
        <w:spacing w:before="120" w:after="120" w:line="288" w:lineRule="auto"/>
        <w:ind w:left="0"/>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0" w:name="_Toc15396613"/>
      <w:bookmarkStart w:id="41"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0"/>
      <w:bookmarkEnd w:id="41"/>
    </w:p>
    <w:p>
      <w:pPr>
        <w:numPr>
          <w:ilvl w:val="0"/>
          <w:numId w:val="0"/>
        </w:numPr>
        <w:spacing w:before="120" w:after="120" w:line="288" w:lineRule="auto"/>
        <w:jc w:val="left"/>
        <w:rPr>
          <w:rFonts w:hint="eastAsia" w:ascii="仿宋_GB2312" w:hAnsi="仿宋_GB2312" w:eastAsia="仿宋_GB2312" w:cs="仿宋_GB2312"/>
          <w:sz w:val="32"/>
          <w:szCs w:val="32"/>
        </w:rPr>
      </w:pPr>
      <w:bookmarkStart w:id="42" w:name="_Toc15396614"/>
      <w:bookmarkStart w:id="43" w:name="_Toc15377226"/>
    </w:p>
    <w:p>
      <w:pPr>
        <w:pStyle w:val="17"/>
        <w:widowControl/>
        <w:spacing w:before="0" w:beforeAutospacing="0" w:after="0" w:afterAutospacing="0" w:line="576" w:lineRule="exact"/>
        <w:ind w:firstLine="640" w:firstLineChars="200"/>
        <w:rPr>
          <w:rFonts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财政拨款收入：指州级财政当年拨付的资金。 </w:t>
      </w:r>
    </w:p>
    <w:p>
      <w:pPr>
        <w:pStyle w:val="17"/>
        <w:widowControl/>
        <w:spacing w:before="0" w:beforeAutospacing="0" w:after="0" w:afterAutospacing="0"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.年初结转和结余：指以前年度尚未完成、结转到本年按有关规定继续使用的资金。 </w:t>
      </w:r>
    </w:p>
    <w:p>
      <w:pPr>
        <w:pStyle w:val="17"/>
        <w:widowControl/>
        <w:spacing w:before="0" w:beforeAutospacing="0" w:after="0" w:afterAutospacing="0" w:line="576"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.一般公共服务：行政运行（2013</w:t>
      </w:r>
      <w:r>
        <w:rPr>
          <w:rFonts w:hint="eastAsia" w:ascii="仿宋" w:hAnsi="仿宋" w:eastAsia="仿宋" w:cs="仿宋"/>
          <w:sz w:val="32"/>
          <w:szCs w:val="32"/>
          <w:lang w:val="en-US" w:eastAsia="zh-CN"/>
        </w:rPr>
        <w:t>1</w:t>
      </w:r>
      <w:r>
        <w:rPr>
          <w:rFonts w:hint="eastAsia" w:ascii="仿宋" w:hAnsi="仿宋" w:eastAsia="仿宋" w:cs="仿宋"/>
          <w:sz w:val="32"/>
          <w:szCs w:val="32"/>
        </w:rPr>
        <w:t>01）指党委办公厅（室）及相关机构事务的基本支出</w:t>
      </w:r>
      <w:r>
        <w:rPr>
          <w:rFonts w:hint="eastAsia" w:ascii="仿宋" w:hAnsi="仿宋" w:eastAsia="仿宋" w:cs="仿宋"/>
          <w:sz w:val="32"/>
          <w:szCs w:val="32"/>
          <w:lang w:eastAsia="zh-CN"/>
        </w:rPr>
        <w:t>；</w:t>
      </w:r>
      <w:r>
        <w:rPr>
          <w:rFonts w:hint="eastAsia" w:ascii="仿宋" w:hAnsi="仿宋" w:eastAsia="仿宋" w:cs="仿宋"/>
          <w:sz w:val="32"/>
          <w:szCs w:val="32"/>
        </w:rPr>
        <w:t>一般行政管理事务（2013102）指党委办公厅（室）及相关机构事务未单独设置项级科目的其他项目支出</w:t>
      </w:r>
      <w:r>
        <w:rPr>
          <w:rFonts w:hint="eastAsia" w:ascii="仿宋" w:hAnsi="仿宋" w:eastAsia="仿宋" w:cs="仿宋"/>
          <w:sz w:val="32"/>
          <w:szCs w:val="32"/>
          <w:lang w:eastAsia="zh-CN"/>
        </w:rPr>
        <w:t>；专项业务（</w:t>
      </w:r>
      <w:r>
        <w:rPr>
          <w:rFonts w:hint="eastAsia" w:ascii="仿宋" w:hAnsi="仿宋" w:eastAsia="仿宋" w:cs="仿宋"/>
          <w:sz w:val="32"/>
          <w:szCs w:val="32"/>
          <w:lang w:val="en-US" w:eastAsia="zh-CN"/>
        </w:rPr>
        <w:t>2013105）指</w:t>
      </w:r>
      <w:r>
        <w:rPr>
          <w:rFonts w:hint="eastAsia" w:ascii="仿宋" w:hAnsi="仿宋" w:eastAsia="仿宋" w:cs="仿宋"/>
          <w:sz w:val="32"/>
          <w:szCs w:val="32"/>
        </w:rPr>
        <w:t>党委办公厅（室）</w:t>
      </w:r>
      <w:r>
        <w:rPr>
          <w:rFonts w:hint="eastAsia" w:ascii="仿宋" w:hAnsi="仿宋" w:eastAsia="仿宋" w:cs="仿宋"/>
          <w:sz w:val="32"/>
          <w:szCs w:val="32"/>
          <w:lang w:eastAsia="zh-CN"/>
        </w:rPr>
        <w:t>及相关机构开展专项业务活动所发生的支出。</w:t>
      </w:r>
    </w:p>
    <w:p>
      <w:pPr>
        <w:pStyle w:val="17"/>
        <w:widowControl/>
        <w:spacing w:before="0" w:beforeAutospacing="0" w:after="0" w:afterAutospacing="0"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社会保障和就业：机关事业单位基本养老保险缴费支出（2080505）指机关事业单位实施养老保险制度由单位缴纳的基本养老保险支出</w:t>
      </w:r>
      <w:r>
        <w:rPr>
          <w:rFonts w:hint="eastAsia" w:ascii="仿宋" w:hAnsi="仿宋" w:eastAsia="仿宋" w:cs="仿宋"/>
          <w:sz w:val="32"/>
          <w:szCs w:val="32"/>
          <w:lang w:eastAsia="zh-CN"/>
        </w:rPr>
        <w:t>；</w:t>
      </w:r>
      <w:r>
        <w:rPr>
          <w:rFonts w:hint="eastAsia" w:ascii="仿宋" w:hAnsi="仿宋" w:eastAsia="仿宋" w:cs="仿宋"/>
          <w:sz w:val="32"/>
          <w:szCs w:val="32"/>
        </w:rPr>
        <w:t>机关事业单位职业年金缴费支出（2080506）指机关事业单位实施养老保险制度由单位实际缴纳的职业年金支出。</w:t>
      </w:r>
    </w:p>
    <w:p>
      <w:pPr>
        <w:pStyle w:val="17"/>
        <w:widowControl/>
        <w:spacing w:before="0" w:beforeAutospacing="0" w:after="0" w:afterAutospacing="0" w:line="576"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医疗卫生与计划生育：行政单位医疗（</w:t>
      </w:r>
      <w:r>
        <w:rPr>
          <w:rFonts w:hint="eastAsia" w:ascii="仿宋" w:hAnsi="仿宋" w:eastAsia="仿宋" w:cs="仿宋"/>
          <w:sz w:val="32"/>
          <w:szCs w:val="32"/>
          <w:lang w:val="en-US" w:eastAsia="zh-CN"/>
        </w:rPr>
        <w:t>2101101</w:t>
      </w:r>
      <w:r>
        <w:rPr>
          <w:rFonts w:hint="eastAsia" w:ascii="仿宋" w:hAnsi="仿宋" w:eastAsia="仿宋" w:cs="仿宋"/>
          <w:sz w:val="32"/>
          <w:szCs w:val="32"/>
        </w:rPr>
        <w:t>）指财政部门集中安排的行政单位基本医疗保险缴费经费，未参加医疗保险的行政单位的公费医疗经费，按国家规定享受离休人员、红军老战士待遇人员的医疗经费</w:t>
      </w:r>
      <w:r>
        <w:rPr>
          <w:rFonts w:hint="eastAsia" w:ascii="仿宋" w:hAnsi="仿宋" w:eastAsia="仿宋" w:cs="仿宋"/>
          <w:sz w:val="32"/>
          <w:szCs w:val="32"/>
          <w:lang w:eastAsia="zh-CN"/>
        </w:rPr>
        <w:t>；公务员医疗补助（</w:t>
      </w:r>
      <w:r>
        <w:rPr>
          <w:rFonts w:hint="eastAsia" w:ascii="仿宋" w:hAnsi="仿宋" w:eastAsia="仿宋" w:cs="仿宋"/>
          <w:sz w:val="32"/>
          <w:szCs w:val="32"/>
          <w:lang w:val="en-US" w:eastAsia="zh-CN"/>
        </w:rPr>
        <w:t>2101103）指财政部门安排的公务员医疗补助经费。</w:t>
      </w:r>
    </w:p>
    <w:p>
      <w:pPr>
        <w:pStyle w:val="17"/>
        <w:widowControl/>
        <w:spacing w:before="0" w:beforeAutospacing="0" w:after="0" w:afterAutospacing="0"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住房保障支出：住房公积金（2210201）指行政事业单位按人力资源和社会保障部、财政部规定的基本工资和津贴补贴以及规定比例为职工缴纳的住房公积金。</w:t>
      </w:r>
    </w:p>
    <w:p>
      <w:pPr>
        <w:pStyle w:val="17"/>
        <w:widowControl/>
        <w:spacing w:before="0" w:beforeAutospacing="0" w:after="0" w:afterAutospacing="0"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年末结转和结余：指本年度或以前年度预算安排、因客观条件发生变化无法按原计划实施，需延迟到以后年度按有关规定继续使用的资金。</w:t>
      </w:r>
    </w:p>
    <w:p>
      <w:pPr>
        <w:pStyle w:val="17"/>
        <w:widowControl/>
        <w:spacing w:before="0" w:beforeAutospacing="0" w:after="0" w:afterAutospacing="0"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基本支出：指为保障机构正常运转、完成日常工作任务而发生的人员支出和公用支出。</w:t>
      </w:r>
    </w:p>
    <w:p>
      <w:pPr>
        <w:pStyle w:val="17"/>
        <w:widowControl/>
        <w:spacing w:before="0" w:beforeAutospacing="0" w:after="0" w:afterAutospacing="0"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 xml:space="preserve">项目支出：指在基本支出之外为完成特定行政任务和事业发展目标所发生的支出。 </w:t>
      </w:r>
    </w:p>
    <w:p>
      <w:pPr>
        <w:pStyle w:val="17"/>
        <w:widowControl/>
        <w:spacing w:before="0" w:beforeAutospacing="0" w:after="0" w:afterAutospacing="0" w:line="576" w:lineRule="exact"/>
        <w:ind w:firstLine="640" w:firstLineChars="200"/>
        <w:rPr>
          <w:rFonts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pStyle w:val="17"/>
        <w:widowControl/>
        <w:spacing w:before="0" w:beforeAutospacing="0" w:after="0" w:afterAutospacing="0" w:line="576" w:lineRule="exact"/>
        <w:ind w:firstLine="640" w:firstLineChars="200"/>
        <w:rPr>
          <w:sz w:val="32"/>
          <w:szCs w:val="32"/>
          <w:shd w:val="clear" w:color="auto" w:fill="FFFFFF"/>
        </w:rPr>
      </w:pPr>
      <w:r>
        <w:rPr>
          <w:rFonts w:hint="eastAsia" w:ascii="仿宋" w:hAnsi="仿宋" w:eastAsia="仿宋" w:cs="仿宋"/>
          <w:sz w:val="32"/>
          <w:szCs w:val="32"/>
          <w:lang w:val="en-US" w:eastAsia="zh-CN"/>
        </w:rPr>
        <w:t>11.</w:t>
      </w:r>
      <w:r>
        <w:rPr>
          <w:rFonts w:hint="eastAsia" w:ascii="仿宋" w:hAnsi="仿宋" w:eastAsia="仿宋" w:cs="仿宋"/>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31"/>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Times New Roman" w:hAnsi="Times New Roman" w:eastAsia="方正小标宋简体" w:cs="Times New Roman"/>
          <w:color w:val="auto"/>
          <w:sz w:val="44"/>
          <w:szCs w:val="44"/>
          <w:lang w:eastAsia="zh-CN"/>
        </w:rPr>
      </w:pPr>
      <w:bookmarkStart w:id="44" w:name="_Toc33424713_WPSOffice_Level2"/>
      <w:r>
        <w:rPr>
          <w:rFonts w:hint="eastAsia" w:ascii="Times New Roman" w:hAnsi="Times New Roman" w:eastAsia="方正小标宋简体" w:cs="Times New Roman"/>
          <w:color w:val="auto"/>
          <w:sz w:val="44"/>
          <w:szCs w:val="44"/>
          <w:lang w:eastAsia="zh-CN"/>
        </w:rPr>
        <w:t>阿坝州公务服务中心</w:t>
      </w:r>
      <w:bookmarkEnd w:id="44"/>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color w:val="auto"/>
          <w:sz w:val="44"/>
          <w:szCs w:val="44"/>
        </w:rPr>
      </w:pPr>
      <w:bookmarkStart w:id="45" w:name="_Toc195940664_WPSOffice_Level2"/>
      <w:r>
        <w:rPr>
          <w:rFonts w:hint="eastAsia" w:eastAsia="方正小标宋简体" w:cs="Times New Roman"/>
          <w:color w:val="auto"/>
          <w:sz w:val="44"/>
          <w:szCs w:val="44"/>
          <w:lang w:val="en-US" w:eastAsia="zh-CN"/>
        </w:rPr>
        <w:t>2025年</w:t>
      </w:r>
      <w:r>
        <w:rPr>
          <w:rFonts w:hint="default" w:ascii="Times New Roman" w:hAnsi="Times New Roman" w:eastAsia="方正小标宋简体" w:cs="Times New Roman"/>
          <w:color w:val="auto"/>
          <w:sz w:val="44"/>
          <w:szCs w:val="44"/>
        </w:rPr>
        <w:t>部门</w:t>
      </w:r>
      <w:r>
        <w:rPr>
          <w:rFonts w:hint="eastAsia" w:eastAsia="方正小标宋简体" w:cs="Times New Roman"/>
          <w:color w:val="auto"/>
          <w:sz w:val="44"/>
          <w:szCs w:val="44"/>
          <w:lang w:eastAsia="zh-CN"/>
        </w:rPr>
        <w:t>预算</w:t>
      </w:r>
      <w:r>
        <w:rPr>
          <w:rFonts w:hint="default" w:ascii="Times New Roman" w:hAnsi="Times New Roman" w:eastAsia="方正小标宋简体" w:cs="Times New Roman"/>
          <w:color w:val="auto"/>
          <w:sz w:val="44"/>
          <w:szCs w:val="44"/>
        </w:rPr>
        <w:t>绩效评价报告</w:t>
      </w:r>
      <w:bookmarkEnd w:id="45"/>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z w:val="32"/>
          <w:szCs w:val="32"/>
        </w:rPr>
        <w:t>阿坝州公务服务中心为</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州委直属正县级公益一类事业单位</w:t>
      </w:r>
      <w:r>
        <w:rPr>
          <w:rFonts w:hint="eastAsia" w:ascii="仿宋_GB2312" w:hAnsi="仿宋_GB2312" w:eastAsia="仿宋_GB2312" w:cs="仿宋_GB2312"/>
          <w:sz w:val="32"/>
          <w:szCs w:val="32"/>
        </w:rPr>
        <w:t>，无内设机构及下属二级单位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下设综合科、公务服务一科、公务服务二科、公务服务三科。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负责党和国家领导人(含曾经担任)、省委、省人大、省政府、省政协副省级以上领导(含曾经担任)来州的服务保障。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按照有关规定负责和参与党中央、国务院、省委、省政府巡视、检查、督查(督导、督察)、考察、调研、考核、审计等工作组来州的服务保障。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3.</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负责外省(区、市、州)党委、政府正、副省级领导干部来州的服务保障;会同州级有关部门承担中央和国家机关各部委正、副部级领导干部、省委、省政府正、副省级领导干部来州的服务保障;参与州人大常委会办公室、州政协办公室牵头对口接待正、副部(省)级领导干部来州的服务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4.</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负责或参与外省(区、市、州)党政代表团来州考察的协调联络和服务保障。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5.</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负责我州党政代表团赴外省(州、市、区)考察的协调联络和服务保障。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6.</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负责州委、州政府交办的由州公务服务中心承担的外事接待和招商引资事项的服务保障。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7.</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按照中央八项规定和省委、省政府十项规定及其实施细则要求，负责联系协调州级有关部门及关联单位承办州委、州政府重大公务活动的服务工作。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8.</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会同州级有关部门承担州委、州政府交办的大型会议、活动的接待服务保障工作。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9.</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指导县(市)、州级部门的公务活动服务保障工作，参与拟订全州公务服务相关规定。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10.</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负责办理中办警卫局、省警卫局安排的有关在州事务。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11.</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完成州委、州政府交办的其他任务。</w:t>
      </w:r>
    </w:p>
    <w:p>
      <w:pPr>
        <w:spacing w:before="120" w:after="120" w:line="288" w:lineRule="auto"/>
        <w:ind w:left="0" w:firstLine="642" w:firstLineChars="200"/>
        <w:jc w:val="left"/>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rPr>
        <w:t>截至 2025 年末，单位编制人数 13 人，年末实有人数 5 人，退休人数 2 人，编外长聘人员 5 人</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其他</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（临聘）</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人员</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7</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人</w:t>
      </w:r>
      <w:r>
        <w:rPr>
          <w:rFonts w:hint="eastAsia" w:ascii="仿宋_GB2312" w:hAnsi="仿宋_GB2312" w:eastAsia="仿宋_GB2312" w:cs="仿宋_GB2312"/>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spacing w:before="120" w:after="120" w:line="288" w:lineRule="auto"/>
        <w:ind w:left="0" w:firstLine="642" w:firstLineChars="200"/>
        <w:jc w:val="left"/>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rPr>
        <w:t>2025 年年初预算收入 861.45 万元，调整后预算收入 347.28 万元，决算收入 347.28 万元，预算完成率 100%。</w:t>
      </w:r>
    </w:p>
    <w:p>
      <w:pPr>
        <w:spacing w:before="120" w:after="120" w:line="288" w:lineRule="auto"/>
        <w:ind w:left="0" w:firstLine="642" w:firstLineChars="200"/>
        <w:jc w:val="left"/>
        <w:rPr>
          <w:rFonts w:hint="eastAsia" w:ascii="仿宋_GB2312" w:hAnsi="仿宋_GB2312" w:eastAsia="仿宋_GB2312" w:cs="仿宋_GB2312"/>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rPr>
        <w:t>2025 年年初预算支出 763.50 万元，调整后预算支出 347.28 万元，决算支出 347.28 万元，预算完成率 100%。其中基本支出 215.58 万元，项目支出 131.70 万元。</w:t>
      </w:r>
    </w:p>
    <w:p>
      <w:pPr>
        <w:spacing w:before="120" w:after="120" w:line="288" w:lineRule="auto"/>
        <w:ind w:left="0" w:firstLine="642" w:firstLineChars="200"/>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rPr>
        <w:t>2025 年末结转和结余 0 万元，无结余分配情况。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履职效能：</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202</w:t>
      </w:r>
      <w:r>
        <w:rPr>
          <w:rFonts w:hint="eastAsia" w:ascii="Times New Roman" w:hAnsi="Times New Roman" w:cs="Times New Roman"/>
          <w:i w:val="0"/>
          <w:caps w:val="0"/>
          <w:color w:val="auto"/>
          <w:spacing w:val="0"/>
          <w:kern w:val="0"/>
          <w:sz w:val="32"/>
          <w:szCs w:val="32"/>
          <w:shd w:val="clear" w:color="auto" w:fill="FFFFFF"/>
          <w:lang w:val="en-US" w:eastAsia="zh-CN" w:bidi="ar"/>
        </w:rPr>
        <w:t>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年</w:t>
      </w:r>
      <w:r>
        <w:rPr>
          <w:rFonts w:hint="eastAsia" w:ascii="Times New Roman" w:hAnsi="Times New Roman" w:cs="Times New Roman"/>
          <w:i w:val="0"/>
          <w:caps w:val="0"/>
          <w:color w:val="auto"/>
          <w:spacing w:val="0"/>
          <w:kern w:val="0"/>
          <w:sz w:val="32"/>
          <w:szCs w:val="32"/>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在州委、州政府的坚强领导下</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和省公务服务中心的有力指导下</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，州公务服务中心认真贯彻落实</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徐芝文书记</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对公务服务</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作出的</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“强化主动服务意识，延展公务接待思维，确保公务接待既符合中央八项规定精神，又做到热情、周到、安全、细致、贴心”</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指示</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要求，围绕公务接待“1234”工作布局，</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主动谋划，积极作为，稳中求进，不断优化接待模式，深入推动公务接待提档升级，圆满完成了各项工作任务并取得较好成效。部门整体绩效指标：1.设定省部级以上接待任务≤70批次，截至202</w:t>
      </w:r>
      <w:r>
        <w:rPr>
          <w:rFonts w:hint="eastAsia" w:ascii="Times New Roman" w:hAnsi="Times New Roman" w:cs="Times New Roman"/>
          <w:i w:val="0"/>
          <w:caps w:val="0"/>
          <w:color w:val="auto"/>
          <w:spacing w:val="0"/>
          <w:kern w:val="0"/>
          <w:sz w:val="32"/>
          <w:szCs w:val="32"/>
          <w:shd w:val="clear" w:color="auto" w:fill="FFFFFF"/>
          <w:lang w:val="en-US" w:eastAsia="zh-CN" w:bidi="ar"/>
        </w:rPr>
        <w:t>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年年底共接待省部级以上</w:t>
      </w:r>
      <w:r>
        <w:rPr>
          <w:rFonts w:hint="eastAsia" w:ascii="Times New Roman" w:hAnsi="Times New Roman" w:cs="Times New Roman"/>
          <w:i w:val="0"/>
          <w:caps w:val="0"/>
          <w:color w:val="auto"/>
          <w:spacing w:val="0"/>
          <w:kern w:val="0"/>
          <w:sz w:val="32"/>
          <w:szCs w:val="32"/>
          <w:shd w:val="clear" w:color="auto" w:fill="FFFFFF"/>
          <w:lang w:val="en-US" w:eastAsia="zh-CN" w:bidi="ar"/>
        </w:rPr>
        <w:t>65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批次；</w:t>
      </w:r>
      <w:r>
        <w:rPr>
          <w:rFonts w:hint="eastAsia" w:ascii="Times New Roman" w:hAnsi="Times New Roman" w:cs="Times New Roman"/>
          <w:i w:val="0"/>
          <w:caps w:val="0"/>
          <w:color w:val="auto"/>
          <w:spacing w:val="0"/>
          <w:kern w:val="0"/>
          <w:sz w:val="32"/>
          <w:szCs w:val="32"/>
          <w:shd w:val="clear" w:color="auto" w:fill="FFFFFF"/>
          <w:lang w:val="en-US" w:eastAsia="zh-CN" w:bidi="ar"/>
        </w:rPr>
        <w:t>未</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超过</w:t>
      </w:r>
      <w:r>
        <w:rPr>
          <w:rFonts w:hint="eastAsia" w:cs="Times New Roman"/>
          <w:i w:val="0"/>
          <w:caps w:val="0"/>
          <w:color w:val="auto"/>
          <w:spacing w:val="0"/>
          <w:kern w:val="0"/>
          <w:sz w:val="32"/>
          <w:szCs w:val="32"/>
          <w:shd w:val="clear" w:color="auto" w:fill="FFFFFF"/>
          <w:lang w:val="en-US" w:eastAsia="zh-CN" w:bidi="ar"/>
        </w:rPr>
        <w:t>不扣分</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;2.设定州级公务接待质量达标率为100%，</w:t>
      </w:r>
      <w:r>
        <w:rPr>
          <w:rFonts w:hint="eastAsia" w:ascii="仿宋_GB2312" w:hAnsi="仿宋_GB2312" w:eastAsia="仿宋_GB2312" w:cs="仿宋_GB2312"/>
          <w:color w:val="000000"/>
          <w:kern w:val="2"/>
          <w:sz w:val="32"/>
          <w:szCs w:val="20"/>
          <w:lang w:val="en-US" w:eastAsia="zh-CN" w:bidi="ar-SA"/>
        </w:rPr>
        <w:t>厅级接待</w:t>
      </w:r>
      <w:r>
        <w:rPr>
          <w:rFonts w:hint="eastAsia" w:ascii="仿宋_GB2312" w:hAnsi="仿宋_GB2312" w:cs="仿宋_GB2312"/>
          <w:color w:val="000000"/>
          <w:kern w:val="2"/>
          <w:sz w:val="32"/>
          <w:szCs w:val="20"/>
          <w:lang w:val="en-US" w:eastAsia="zh-CN" w:bidi="ar-SA"/>
        </w:rPr>
        <w:t>19</w:t>
      </w:r>
      <w:r>
        <w:rPr>
          <w:rFonts w:hint="eastAsia" w:ascii="仿宋_GB2312" w:hAnsi="仿宋_GB2312" w:eastAsia="仿宋_GB2312" w:cs="仿宋_GB2312"/>
          <w:color w:val="000000"/>
          <w:kern w:val="2"/>
          <w:sz w:val="32"/>
          <w:szCs w:val="20"/>
          <w:lang w:val="en-US" w:eastAsia="zh-CN" w:bidi="ar-SA"/>
        </w:rPr>
        <w:t>批、外事接待1批、其他接待22批。在重大活动保障中，以优质服务获各级领导充分肯定，为建设民族地区高质量发展阿坝典范注入公务服务力量。</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202</w:t>
      </w:r>
      <w:r>
        <w:rPr>
          <w:rFonts w:hint="eastAsia" w:ascii="Times New Roman" w:hAnsi="Times New Roman" w:cs="Times New Roman"/>
          <w:i w:val="0"/>
          <w:caps w:val="0"/>
          <w:color w:val="auto"/>
          <w:spacing w:val="0"/>
          <w:kern w:val="0"/>
          <w:sz w:val="32"/>
          <w:szCs w:val="32"/>
          <w:shd w:val="clear" w:color="auto" w:fill="FFFFFF"/>
          <w:lang w:val="en-US" w:eastAsia="zh-CN" w:bidi="ar"/>
        </w:rPr>
        <w:t>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年无任何接待事故发生；3.设定公务接待对象满意度≥95%；设定树立州委政府良好形象树效果明显。</w:t>
      </w:r>
      <w:r>
        <w:rPr>
          <w:rFonts w:hint="eastAsia" w:cs="Times New Roman"/>
          <w:i w:val="0"/>
          <w:caps w:val="0"/>
          <w:color w:val="auto"/>
          <w:spacing w:val="0"/>
          <w:kern w:val="0"/>
          <w:sz w:val="32"/>
          <w:szCs w:val="32"/>
          <w:shd w:val="clear" w:color="auto" w:fill="FFFFFF"/>
          <w:lang w:val="en-US" w:eastAsia="zh-CN" w:bidi="ar"/>
        </w:rPr>
        <w:t>2025年</w:t>
      </w:r>
      <w:r>
        <w:rPr>
          <w:rFonts w:hint="eastAsia" w:ascii="仿宋_GB2312" w:hAnsi="仿宋_GB2312" w:eastAsia="仿宋_GB2312" w:cs="仿宋_GB2312"/>
          <w:color w:val="000000"/>
          <w:kern w:val="2"/>
          <w:sz w:val="32"/>
          <w:szCs w:val="20"/>
          <w:lang w:val="en-US" w:eastAsia="zh-CN" w:bidi="ar-SA"/>
        </w:rPr>
        <w:t>整合全州接待资源，强化州县协同，构建“纵向到底、横向到边、全覆盖无盲区”保障体系。按“1234”工作布局，扎实推进“三督四防三保障两到位”后勤方法（督点位线路行程、防寒防雨防晒防高反、保障路餐茶水卫生间，确保车队调度和陪同核控到位），实施公务服务“八个一”行动（坚定一个目标、修订一个办法、完善一套机制、健全一份档案、形成一篇大事记、做深一次督导、严守一个标准、建强一支队伍）。推行“周复盘、月小结、年中优化、全年总结”模式，实现“人人会接待、人人能接待”，服务质效持续提升</w:t>
      </w:r>
      <w:r>
        <w:rPr>
          <w:rFonts w:hint="eastAsia" w:ascii="仿宋_GB2312" w:hAnsi="仿宋_GB2312" w:cs="仿宋_GB2312"/>
          <w:color w:val="000000"/>
          <w:kern w:val="2"/>
          <w:sz w:val="32"/>
          <w:szCs w:val="20"/>
          <w:lang w:val="en-US" w:eastAsia="zh-CN" w:bidi="ar-SA"/>
        </w:rPr>
        <w:t>，</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得到各级领导的充分肯定。评价满意度超过95%；树立州委政府良好形象树效果明显。4.设定经费总支出</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861.45</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万元，实际支出</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347.28</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元，未超成本。5.项目完成时间≤12月，已在12月底之前完成支出。</w:t>
      </w:r>
    </w:p>
    <w:p>
      <w:pPr>
        <w:adjustRightInd w:val="0"/>
        <w:snapToGrid w:val="0"/>
        <w:spacing w:line="578" w:lineRule="exact"/>
        <w:ind w:firstLine="640" w:firstLineChars="200"/>
        <w:contextualSpacing/>
        <w:jc w:val="left"/>
        <w:rPr>
          <w:rFonts w:hint="eastAsia" w:ascii="仿宋_GB2312" w:hAnsi="仿宋_GB2312" w:eastAsia="仿宋_GB2312" w:cs="仿宋_GB2312"/>
          <w:b/>
          <w:bCs/>
          <w:color w:val="000000"/>
          <w:kern w:val="0"/>
          <w:szCs w:val="32"/>
          <w:shd w:val="clear" w:color="auto" w:fill="FFFFFF"/>
          <w:lang w:val="zh-CN"/>
        </w:rPr>
      </w:pP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该项指标得分=年终完成履职效果目标数量</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4</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年初目标设置总4×100%×15=</w:t>
      </w:r>
      <w:r>
        <w:rPr>
          <w:rFonts w:hint="eastAsia" w:cs="Times New Roman"/>
          <w:i w:val="0"/>
          <w:caps w:val="0"/>
          <w:color w:val="auto"/>
          <w:spacing w:val="0"/>
          <w:kern w:val="0"/>
          <w:sz w:val="32"/>
          <w:szCs w:val="32"/>
          <w:shd w:val="clear" w:color="auto" w:fill="FFFFFF"/>
          <w:lang w:val="en-US" w:eastAsia="zh-CN" w:bidi="ar"/>
        </w:rPr>
        <w:t>15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分</w:t>
      </w:r>
      <w:r>
        <w:rPr>
          <w:rFonts w:hint="default" w:ascii="Times New Roman" w:hAnsi="Times New Roman" w:eastAsia="方正仿宋_GBK" w:cs="Times New Roman"/>
          <w:b w:val="0"/>
          <w:bCs w:val="0"/>
          <w:color w:val="auto"/>
          <w:kern w:val="2"/>
          <w:sz w:val="32"/>
          <w:szCs w:val="32"/>
          <w:lang w:val="en-US" w:eastAsia="zh-CN" w:bidi="ar-SA"/>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预算管理：</w:t>
      </w:r>
      <w:r>
        <w:rPr>
          <w:rFonts w:hint="eastAsia" w:ascii="仿宋_GB2312" w:hAnsi="仿宋_GB2312" w:eastAsia="仿宋_GB2312" w:cs="仿宋_GB2312"/>
          <w:b/>
          <w:bCs/>
          <w:color w:val="000000"/>
          <w:kern w:val="0"/>
          <w:szCs w:val="32"/>
          <w:shd w:val="clear" w:color="auto" w:fill="FFFFFF"/>
          <w:lang w:val="en-US" w:eastAsia="zh-CN"/>
        </w:rPr>
        <w:t>2.</w:t>
      </w:r>
      <w:r>
        <w:rPr>
          <w:rFonts w:hint="eastAsia" w:ascii="仿宋_GB2312" w:hAnsi="仿宋_GB2312" w:eastAsia="仿宋_GB2312" w:cs="仿宋_GB2312"/>
          <w:b/>
          <w:bCs/>
          <w:color w:val="000000"/>
          <w:kern w:val="0"/>
          <w:szCs w:val="32"/>
          <w:shd w:val="clear" w:color="auto" w:fill="FFFFFF"/>
          <w:lang w:val="zh-CN"/>
        </w:rPr>
        <w:t>预算管理。</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严格按照财政部门预算编制通知明确的范围、标准等编制部门预算；人员和公用支出预算按定员定额标准编制，项目支出预算真实；按规定开展项目评审；上报预算履行集体决策程序。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财政拨款预算偏离度：财政拨款预算执行数（</w:t>
      </w:r>
      <w:r>
        <w:rPr>
          <w:rFonts w:hint="eastAsia" w:ascii="Times New Roman" w:hAnsi="Times New Roman" w:cs="Times New Roman"/>
          <w:i w:val="0"/>
          <w:caps w:val="0"/>
          <w:color w:val="auto"/>
          <w:spacing w:val="0"/>
          <w:kern w:val="0"/>
          <w:sz w:val="32"/>
          <w:szCs w:val="32"/>
          <w:shd w:val="clear" w:color="auto" w:fill="FFFFFF"/>
          <w:lang w:val="en-US" w:eastAsia="zh-CN" w:bidi="ar"/>
        </w:rPr>
        <w:t>347.28</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万元）-财政拨款年初预算数（</w:t>
      </w:r>
      <w:r>
        <w:rPr>
          <w:rFonts w:hint="eastAsia" w:ascii="Times New Roman" w:hAnsi="Times New Roman" w:cs="Times New Roman"/>
          <w:i w:val="0"/>
          <w:caps w:val="0"/>
          <w:color w:val="auto"/>
          <w:spacing w:val="0"/>
          <w:kern w:val="0"/>
          <w:sz w:val="32"/>
          <w:szCs w:val="32"/>
          <w:shd w:val="clear" w:color="auto" w:fill="FFFFFF"/>
          <w:lang w:val="en-US" w:eastAsia="zh-CN" w:bidi="ar"/>
        </w:rPr>
        <w:t>861.45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万元）÷财政拨款年初预算数（</w:t>
      </w:r>
      <w:r>
        <w:rPr>
          <w:rFonts w:hint="eastAsia" w:ascii="Times New Roman" w:hAnsi="Times New Roman" w:cs="Times New Roman"/>
          <w:i w:val="0"/>
          <w:caps w:val="0"/>
          <w:color w:val="auto"/>
          <w:spacing w:val="0"/>
          <w:kern w:val="0"/>
          <w:sz w:val="32"/>
          <w:szCs w:val="32"/>
          <w:shd w:val="clear" w:color="auto" w:fill="FFFFFF"/>
          <w:lang w:val="en-US" w:eastAsia="zh-CN" w:bidi="ar"/>
        </w:rPr>
        <w:t>861.45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万元）=</w:t>
      </w:r>
      <w:r>
        <w:rPr>
          <w:rFonts w:hint="eastAsia" w:ascii="Times New Roman" w:hAnsi="Times New Roman" w:cs="Times New Roman"/>
          <w:i w:val="0"/>
          <w:caps w:val="0"/>
          <w:color w:val="auto"/>
          <w:spacing w:val="0"/>
          <w:kern w:val="0"/>
          <w:sz w:val="32"/>
          <w:szCs w:val="32"/>
          <w:shd w:val="clear" w:color="auto" w:fill="FFFFFF"/>
          <w:lang w:val="en-US" w:eastAsia="zh-CN" w:bidi="ar"/>
        </w:rPr>
        <w:t>-59.69</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资产配置预算偏离度：资产配置预算执行数（0万元）-资产配置年初预算数（0万元）÷资产配置年初预算数0=0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政府采购预算偏离度：</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 xml:space="preserve">政府采购预算执行数（1.6万元）-政府采购年初预算数（1.6万元）÷政府采购年初预算数=0%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该项指标得分=（1-财政拨款预算偏离度-</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59.69</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%）×100%×6+（1-资产配置预算偏离度0%）×100%×3+（1-政府采购预算偏离度-0%）×100%×3=</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15.58</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，超分值，按满分计算</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。最终得分12分。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t>（2）支出执进度。</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在预算资金的执行中，</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我中心</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严格按照年初预算资金安排，科学合理的使用，使资金发挥其最大效益，按照各项工作的序时进度及时拨付</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，但还需进一步加强</w:t>
      </w:r>
      <w:r>
        <w:rPr>
          <w:rFonts w:hint="eastAsia" w:cs="Times New Roman"/>
          <w:i w:val="0"/>
          <w:caps w:val="0"/>
          <w:color w:val="auto"/>
          <w:spacing w:val="0"/>
          <w:kern w:val="0"/>
          <w:sz w:val="32"/>
          <w:szCs w:val="32"/>
          <w:shd w:val="clear" w:color="auto" w:fill="FFFFFF"/>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该项指标得分=（1至6月预算执行数</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134.71</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万元÷（部门预算数</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375.55</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×50%）×2）+（</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1至6月支出预警金额占比0×0.8-1至6月支出违规金额占比0×0.2）+（1至10月预算执行数</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209.33</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÷（部门预算数</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375.55</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×83.33%）×2）+（1-1至10月支出预警金额占比×0.8-1至10月支出违规金额占比×0.2）</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最终得分</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4.72</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t>（3）年终预算结余。</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202</w:t>
      </w:r>
      <w:r>
        <w:rPr>
          <w:rFonts w:hint="eastAsia" w:ascii="Times New Roman" w:hAnsi="Times New Roman" w:cs="Times New Roman"/>
          <w:i w:val="0"/>
          <w:caps w:val="0"/>
          <w:color w:val="auto"/>
          <w:spacing w:val="0"/>
          <w:kern w:val="0"/>
          <w:sz w:val="32"/>
          <w:szCs w:val="32"/>
          <w:shd w:val="clear" w:color="auto" w:fill="FFFFFF"/>
          <w:lang w:val="en-US" w:eastAsia="zh-CN" w:bidi="ar"/>
        </w:rPr>
        <w:t>5</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年无结余</w:t>
      </w:r>
      <w:r>
        <w:rPr>
          <w:rFonts w:hint="eastAsia" w:cs="Times New Roman"/>
          <w:i w:val="0"/>
          <w:caps w:val="0"/>
          <w:color w:val="auto"/>
          <w:spacing w:val="0"/>
          <w:kern w:val="0"/>
          <w:sz w:val="32"/>
          <w:szCs w:val="32"/>
          <w:shd w:val="clear" w:color="auto" w:fill="FFFFFF"/>
          <w:lang w:val="en-US" w:eastAsia="zh-CN" w:bidi="ar"/>
        </w:rPr>
        <w:t>结转</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资金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部门整体预算结余率：（年终部门预算注销金额合计0+年终部门预算结转金额合计0万元）÷调整后的年度部门预算数</w:t>
      </w:r>
      <w:r>
        <w:rPr>
          <w:rFonts w:hint="eastAsia" w:ascii="Times New Roman" w:hAnsi="Times New Roman" w:cs="Times New Roman"/>
          <w:i w:val="0"/>
          <w:caps w:val="0"/>
          <w:color w:val="auto"/>
          <w:spacing w:val="0"/>
          <w:kern w:val="0"/>
          <w:sz w:val="32"/>
          <w:szCs w:val="32"/>
          <w:shd w:val="clear" w:color="auto" w:fill="FFFFFF"/>
          <w:lang w:val="en-US" w:eastAsia="zh-CN" w:bidi="ar"/>
        </w:rPr>
        <w:t>347.28</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 xml:space="preserve">万元= 0%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该项指标得分=（1-部门整体预算结余率</w:t>
      </w:r>
      <w:r>
        <w:rPr>
          <w:rFonts w:hint="eastAsia" w:cs="Times New Roman"/>
          <w:i w:val="0"/>
          <w:caps w:val="0"/>
          <w:color w:val="auto"/>
          <w:spacing w:val="0"/>
          <w:kern w:val="0"/>
          <w:sz w:val="32"/>
          <w:szCs w:val="32"/>
          <w:shd w:val="clear" w:color="auto" w:fill="FFFFFF"/>
          <w:lang w:val="en-US" w:eastAsia="zh-CN" w:bidi="ar"/>
        </w:rPr>
        <w:t>0</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%）×100%×2=</w:t>
      </w:r>
      <w:r>
        <w:rPr>
          <w:rFonts w:hint="eastAsia" w:cs="Times New Roman"/>
          <w:i w:val="0"/>
          <w:caps w:val="0"/>
          <w:color w:val="auto"/>
          <w:spacing w:val="0"/>
          <w:kern w:val="0"/>
          <w:sz w:val="32"/>
          <w:szCs w:val="32"/>
          <w:shd w:val="clear" w:color="auto" w:fill="FFFFFF"/>
          <w:lang w:val="en-US" w:eastAsia="zh-CN" w:bidi="ar"/>
        </w:rPr>
        <w:t>2</w:t>
      </w:r>
      <w:r>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t>（4）严控一般性支出。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一般性支出财政拨款年初预算</w:t>
      </w:r>
      <w:r>
        <w:rPr>
          <w:rFonts w:hint="eastAsia" w:ascii="仿宋_GB2312" w:hAnsi="仿宋_GB2312" w:cs="仿宋_GB2312"/>
          <w:color w:val="000000" w:themeColor="text1"/>
          <w:sz w:val="32"/>
          <w:szCs w:val="32"/>
          <w:lang w:val="en-US" w:eastAsia="zh-CN" w:bidi="ar-SA"/>
          <w14:textFill>
            <w14:solidFill>
              <w14:schemeClr w14:val="tx1"/>
            </w14:solidFill>
          </w14:textFill>
        </w:rPr>
        <w:t>347.28</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万元</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小</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于上年</w:t>
      </w: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763.5</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万元，</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压减-416.22万元</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。一般性支出财政拨款预算执行较上年压减49.26%，得2分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一般性支出财政拨款年初预算较上年未压减，不得分；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color w:val="000000" w:themeColor="text1"/>
          <w:lang w:val="zh-CN"/>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该项指标得分=基础分值+加分值=</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0</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=2分</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财务管理</w:t>
      </w:r>
      <w:r>
        <w:rPr>
          <w:rFonts w:hint="eastAsia" w:ascii="仿宋_GB2312" w:hAnsi="仿宋_GB2312" w:eastAsia="仿宋_GB2312" w:cs="仿宋_GB2312"/>
          <w:sz w:val="32"/>
          <w:szCs w:val="32"/>
        </w:rPr>
        <w:t>：</w:t>
      </w:r>
      <w:r>
        <w:rPr>
          <w:rFonts w:hint="eastAsia" w:ascii="仿宋_GB2312" w:hAnsi="仿宋_GB2312" w:eastAsia="仿宋_GB2312" w:cs="仿宋_GB2312"/>
          <w:i w:val="0"/>
          <w:caps w:val="0"/>
          <w:color w:val="auto"/>
          <w:spacing w:val="0"/>
          <w:kern w:val="0"/>
          <w:sz w:val="32"/>
          <w:szCs w:val="32"/>
          <w:shd w:val="clear" w:color="auto" w:fill="FFFFFF"/>
          <w:lang w:val="zh-CN" w:eastAsia="zh-CN" w:bidi="ar"/>
        </w:rPr>
        <w:t>我中心在岗位设置方面，</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配备会计人员，会计、出纳等不相容岗位分离；在财务管理制度方面，根据内控要求建设涵盖预算管理、收支管理、政府采购管理、国有资产管理、合同管理等主要经济业务领域；按照分事行权、分岗设权、分级授权要求落实不相容岗位分离和定期轮岗等内部权力制衡基本举措；建立决策权、管理权、执行权和监督权“四权分立”机制；建立重大事项议事决策机制，建立健全集体研究、专家论证和技术咨询相结合的辅助决策机制；在资金规范使用方面，我中心不存在超预算或无预算安排、虚列支出、超范围超标准使用经费、违规使用“三公”经费、滥发津补贴、报销不合规等情况。故得分10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资产管理：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Times New Roman" w:hAnsi="Times New Roman" w:eastAsia="仿宋_GB2312" w:cs="Times New Roman"/>
          <w:b/>
          <w:bCs/>
          <w:i w:val="0"/>
          <w:caps w:val="0"/>
          <w:color w:val="auto"/>
          <w:spacing w:val="0"/>
          <w:kern w:val="0"/>
          <w:sz w:val="32"/>
          <w:szCs w:val="32"/>
          <w:shd w:val="clear" w:color="auto" w:fill="FFFFFF"/>
          <w:lang w:val="zh-CN" w:eastAsia="zh-CN" w:bidi="ar"/>
        </w:rPr>
      </w:pPr>
      <w:r>
        <w:rPr>
          <w:rFonts w:hint="eastAsia" w:ascii="Times New Roman" w:hAnsi="Times New Roman" w:eastAsia="仿宋_GB2312" w:cs="Times New Roman"/>
          <w:b/>
          <w:bCs/>
          <w:i w:val="0"/>
          <w:caps w:val="0"/>
          <w:color w:val="auto"/>
          <w:spacing w:val="0"/>
          <w:kern w:val="0"/>
          <w:sz w:val="32"/>
          <w:szCs w:val="32"/>
          <w:shd w:val="clear" w:color="auto" w:fill="FFFFFF"/>
          <w:lang w:val="zh-CN" w:eastAsia="zh-CN" w:bidi="ar"/>
        </w:rPr>
        <w:t>（</w:t>
      </w: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t>1）</w:t>
      </w:r>
      <w:r>
        <w:rPr>
          <w:rFonts w:hint="eastAsia" w:ascii="Times New Roman" w:hAnsi="Times New Roman" w:eastAsia="仿宋_GB2312" w:cs="Times New Roman"/>
          <w:b/>
          <w:bCs/>
          <w:i w:val="0"/>
          <w:caps w:val="0"/>
          <w:color w:val="auto"/>
          <w:spacing w:val="0"/>
          <w:kern w:val="0"/>
          <w:sz w:val="32"/>
          <w:szCs w:val="32"/>
          <w:shd w:val="clear" w:color="auto" w:fill="FFFFFF"/>
          <w:lang w:val="zh-CN" w:eastAsia="zh-CN" w:bidi="ar"/>
        </w:rPr>
        <w:t>人均资产变化率。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cs="Times New Roman"/>
          <w:i w:val="0"/>
          <w:caps w:val="0"/>
          <w:color w:val="auto"/>
          <w:spacing w:val="0"/>
          <w:kern w:val="0"/>
          <w:sz w:val="32"/>
          <w:szCs w:val="32"/>
          <w:shd w:val="clear" w:color="auto" w:fill="FFFFFF"/>
          <w:lang w:val="zh-CN" w:eastAsia="zh-CN" w:bidi="ar"/>
        </w:rPr>
      </w:pPr>
      <w:r>
        <w:rPr>
          <w:rFonts w:hint="eastAsia" w:ascii="Times New Roman" w:hAnsi="Times New Roman" w:eastAsia="仿宋_GB2312" w:cs="Times New Roman"/>
          <w:i w:val="0"/>
          <w:caps w:val="0"/>
          <w:color w:val="auto"/>
          <w:spacing w:val="0"/>
          <w:kern w:val="0"/>
          <w:sz w:val="32"/>
          <w:szCs w:val="32"/>
          <w:shd w:val="clear" w:color="auto" w:fill="FFFFFF"/>
          <w:lang w:val="zh-CN" w:eastAsia="zh-CN" w:bidi="ar"/>
        </w:rPr>
        <w:t>2024年人均占有资产=（固定资产净值905308.2元+无形资产净值9742.92元）÷年末实有人数17人=53826.5</w:t>
      </w:r>
      <w:r>
        <w:rPr>
          <w:rFonts w:hint="eastAsia" w:cs="Times New Roman"/>
          <w:i w:val="0"/>
          <w:caps w:val="0"/>
          <w:color w:val="auto"/>
          <w:spacing w:val="0"/>
          <w:kern w:val="0"/>
          <w:sz w:val="32"/>
          <w:szCs w:val="32"/>
          <w:shd w:val="clear" w:color="auto" w:fill="FFFFFF"/>
          <w:lang w:val="en-US" w:eastAsia="zh-CN" w:bidi="ar"/>
        </w:rPr>
        <w:t>4</w:t>
      </w:r>
      <w:r>
        <w:rPr>
          <w:rFonts w:hint="eastAsia" w:ascii="Times New Roman" w:hAnsi="Times New Roman" w:eastAsia="仿宋_GB2312" w:cs="Times New Roman"/>
          <w:i w:val="0"/>
          <w:caps w:val="0"/>
          <w:color w:val="auto"/>
          <w:spacing w:val="0"/>
          <w:kern w:val="0"/>
          <w:sz w:val="32"/>
          <w:szCs w:val="32"/>
          <w:shd w:val="clear" w:color="auto" w:fill="FFFFFF"/>
          <w:lang w:val="zh-CN" w:eastAsia="zh-CN" w:bidi="ar"/>
        </w:rPr>
        <w:t>元</w:t>
      </w:r>
      <w:r>
        <w:rPr>
          <w:rFonts w:hint="eastAsia" w:ascii="Times New Roman" w:hAnsi="Times New Roman" w:cs="Times New Roman"/>
          <w:i w:val="0"/>
          <w:caps w:val="0"/>
          <w:color w:val="auto"/>
          <w:spacing w:val="0"/>
          <w:kern w:val="0"/>
          <w:sz w:val="32"/>
          <w:szCs w:val="32"/>
          <w:shd w:val="clear" w:color="auto" w:fill="FFFFFF"/>
          <w:lang w:val="zh-CN" w:eastAsia="zh-CN" w:bidi="ar"/>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color w:val="000000" w:themeColor="text1"/>
          <w:lang w:val="zh-CN" w:eastAsia="zh-CN"/>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202</w:t>
      </w:r>
      <w:r>
        <w:rPr>
          <w:rFonts w:hint="eastAsia" w:ascii="Times New Roman" w:hAnsi="Times New Roman"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年人均占有资产=（固定资产净值</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686587.94</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元+无形资产净值</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7459.56</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元）÷年末实有人数</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人=</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138809.5</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元</w:t>
      </w:r>
      <w:r>
        <w:rPr>
          <w:rFonts w:hint="eastAsia" w:ascii="Times New Roman" w:hAnsi="Times New Roman"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部门人均资产变化率X：（当年单位人均占有资产</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138809.5</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-上年单位人均占有资产</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53826.54</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）÷上年单位人均占有资产</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53826.54</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157.78</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 xml:space="preserve">%。                   </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 xml:space="preserve">       </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部门人均资产变化率X为</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157.78</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%，州直行政事业单位人均资产变化率N为</w:t>
      </w:r>
      <w:r>
        <w:rPr>
          <w:rFonts w:hint="default"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-3.49</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%，则：X</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N，</w:t>
      </w:r>
      <w:r>
        <w:rPr>
          <w:rFonts w:hint="eastAsia"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不</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得分</w:t>
      </w:r>
      <w:r>
        <w:rPr>
          <w:rFonts w:hint="eastAsia"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Times New Roman" w:hAnsi="Times New Roman" w:eastAsia="仿宋_GB2312" w:cs="Times New Roman"/>
          <w:i w:val="0"/>
          <w:caps w:val="0"/>
          <w:color w:val="auto"/>
          <w:spacing w:val="0"/>
          <w:kern w:val="0"/>
          <w:sz w:val="32"/>
          <w:szCs w:val="32"/>
          <w:shd w:val="clear" w:color="auto" w:fill="FFFFFF"/>
          <w:lang w:val="zh-CN" w:eastAsia="zh-CN" w:bidi="ar"/>
        </w:rPr>
      </w:pP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部门人均资产增长率X为</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157.78</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%，同期州级财政收入增</w:t>
      </w:r>
      <w:r>
        <w:rPr>
          <w:rFonts w:hint="eastAsia" w:ascii="Times New Roman" w:hAnsi="Times New Roman" w:eastAsia="仿宋_GB2312" w:cs="Times New Roman"/>
          <w:i w:val="0"/>
          <w:caps w:val="0"/>
          <w:color w:val="auto"/>
          <w:spacing w:val="0"/>
          <w:kern w:val="0"/>
          <w:sz w:val="32"/>
          <w:szCs w:val="32"/>
          <w:shd w:val="clear" w:color="auto" w:fill="FFFFFF"/>
          <w:lang w:val="zh-CN" w:eastAsia="zh-CN" w:bidi="ar"/>
        </w:rPr>
        <w:t>长率N为-30.5%，则：X＞2N，不得分。总计</w:t>
      </w:r>
      <w:r>
        <w:rPr>
          <w:rFonts w:hint="eastAsia" w:cs="Times New Roman"/>
          <w:i w:val="0"/>
          <w:caps w:val="0"/>
          <w:color w:val="auto"/>
          <w:spacing w:val="0"/>
          <w:kern w:val="0"/>
          <w:sz w:val="32"/>
          <w:szCs w:val="32"/>
          <w:shd w:val="clear" w:color="auto" w:fill="FFFFFF"/>
          <w:lang w:val="en-US" w:eastAsia="zh-CN" w:bidi="ar"/>
        </w:rPr>
        <w:t>0</w:t>
      </w:r>
      <w:r>
        <w:rPr>
          <w:rFonts w:hint="eastAsia" w:ascii="Times New Roman" w:hAnsi="Times New Roman" w:eastAsia="仿宋_GB2312" w:cs="Times New Roman"/>
          <w:i w:val="0"/>
          <w:caps w:val="0"/>
          <w:color w:val="auto"/>
          <w:spacing w:val="0"/>
          <w:kern w:val="0"/>
          <w:sz w:val="32"/>
          <w:szCs w:val="32"/>
          <w:shd w:val="clear" w:color="auto" w:fill="FFFFFF"/>
          <w:lang w:val="zh-CN" w:eastAsia="zh-CN" w:bidi="ar"/>
        </w:rPr>
        <w:t>分</w:t>
      </w:r>
      <w:r>
        <w:rPr>
          <w:rFonts w:hint="eastAsia" w:cs="Times New Roman"/>
          <w:i w:val="0"/>
          <w:caps w:val="0"/>
          <w:color w:val="auto"/>
          <w:spacing w:val="0"/>
          <w:kern w:val="0"/>
          <w:sz w:val="32"/>
          <w:szCs w:val="32"/>
          <w:shd w:val="clear" w:color="auto" w:fill="FFFFFF"/>
          <w:lang w:val="zh-CN" w:eastAsia="zh-CN" w:bidi="ar"/>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pPr>
      <w:r>
        <w:rPr>
          <w:rFonts w:hint="eastAsia" w:cs="Times New Roman"/>
          <w:b/>
          <w:bCs/>
          <w:i w:val="0"/>
          <w:caps w:val="0"/>
          <w:color w:val="auto"/>
          <w:spacing w:val="0"/>
          <w:kern w:val="0"/>
          <w:sz w:val="32"/>
          <w:szCs w:val="32"/>
          <w:shd w:val="clear" w:color="auto" w:fill="FFFFFF"/>
          <w:lang w:val="en-US" w:eastAsia="zh-CN" w:bidi="ar"/>
        </w:rPr>
        <w:t>（</w:t>
      </w: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t>2</w:t>
      </w:r>
      <w:r>
        <w:rPr>
          <w:rFonts w:hint="eastAsia" w:cs="Times New Roman"/>
          <w:b/>
          <w:bCs/>
          <w:i w:val="0"/>
          <w:caps w:val="0"/>
          <w:color w:val="auto"/>
          <w:spacing w:val="0"/>
          <w:kern w:val="0"/>
          <w:sz w:val="32"/>
          <w:szCs w:val="32"/>
          <w:shd w:val="clear" w:color="auto" w:fill="FFFFFF"/>
          <w:lang w:val="en-US" w:eastAsia="zh-CN" w:bidi="ar"/>
        </w:rPr>
        <w:t>）</w:t>
      </w:r>
      <w:r>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t>资产利用率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办公家具原值0.32万元÷办公家具原值28.2万元×100%=1.13%。办公家具超最低使用年限资产利用率X为1.13%，州直行政事业单位平均值N为</w:t>
      </w:r>
      <w:r>
        <w:rPr>
          <w:rFonts w:hint="default"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12.93</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%，则：X≤0.6N，得0.3分。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部门办公设备超最低使用年限资产利用率=超最低使用年限的办公设备原值22.39万元÷办公设备原值34.99万×100%=63.99%。办公设备超最低使用年限资产利用率为63.99%，州直行政事业单位办公设备资产利用率平均值N为</w:t>
      </w:r>
      <w:r>
        <w:rPr>
          <w:rFonts w:hint="default"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53.14</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%，则：X＞N，得1.5分。总计得分1.8分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ascii="仿宋_GB2312" w:hAnsi="仿宋_GB2312" w:eastAsia="仿宋_GB2312" w:cs="仿宋_GB2312"/>
          <w:b/>
          <w:bCs/>
          <w:sz w:val="32"/>
          <w:szCs w:val="32"/>
        </w:rPr>
      </w:pPr>
      <w:r>
        <w:rPr>
          <w:rFonts w:hint="eastAsia" w:cs="Times New Roman"/>
          <w:b/>
          <w:bCs/>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ascii="Times New Roman" w:hAnsi="Times New Roman" w:eastAsia="仿宋_GB2312" w:cs="Times New Roman"/>
          <w:b/>
          <w:bCs/>
          <w:i w:val="0"/>
          <w:caps w:val="0"/>
          <w:color w:val="000000" w:themeColor="text1"/>
          <w:spacing w:val="0"/>
          <w:kern w:val="0"/>
          <w:sz w:val="32"/>
          <w:szCs w:val="32"/>
          <w:shd w:val="clear" w:color="auto" w:fill="FFFFFF"/>
          <w:lang w:val="en-US" w:eastAsia="zh-CN" w:bidi="ar"/>
          <w14:textFill>
            <w14:solidFill>
              <w14:schemeClr w14:val="tx1"/>
            </w14:solidFill>
          </w14:textFill>
        </w:rPr>
        <w:t>3</w:t>
      </w:r>
      <w:r>
        <w:rPr>
          <w:rFonts w:hint="eastAsia" w:cs="Times New Roman"/>
          <w:b/>
          <w:bCs/>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b/>
          <w:bCs/>
          <w:i w:val="0"/>
          <w:caps w:val="0"/>
          <w:color w:val="000000" w:themeColor="text1"/>
          <w:spacing w:val="0"/>
          <w:kern w:val="0"/>
          <w:sz w:val="32"/>
          <w:szCs w:val="32"/>
          <w:shd w:val="clear" w:color="auto" w:fill="FFFFFF"/>
          <w:lang w:val="en-US" w:eastAsia="zh-CN" w:bidi="ar"/>
          <w14:textFill>
            <w14:solidFill>
              <w14:schemeClr w14:val="tx1"/>
            </w14:solidFill>
          </w14:textFill>
        </w:rPr>
        <w:t>资产盘活率</w:t>
      </w:r>
      <w:r>
        <w:rPr>
          <w:rFonts w:hint="eastAsia" w:cs="Times New Roman"/>
          <w:b/>
          <w:bCs/>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两年均无闲置资产，该项指标得3分。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eastAsia="楷体_GB2312"/>
          <w:color w:val="000000" w:themeColor="text1"/>
          <w:kern w:val="0"/>
          <w:szCs w:val="32"/>
          <w:shd w:val="clear" w:color="auto" w:fill="FFFFFF"/>
          <w:lang w:val="zh-CN"/>
          <w14:textFill>
            <w14:solidFill>
              <w14:schemeClr w14:val="tx1"/>
            </w14:solidFill>
          </w14:textFill>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采购管理：</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我中心</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202</w:t>
      </w:r>
      <w:r>
        <w:rPr>
          <w:rFonts w:hint="eastAsia" w:ascii="Times New Roman" w:hAnsi="Times New Roman"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5</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年</w:t>
      </w:r>
      <w:r>
        <w:rPr>
          <w:rFonts w:hint="eastAsia"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公务用车保险</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预算</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1.6</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万元，发布时预留采购份额专门面向中小企业采购，得3分；按法定采购方式和程序实施采购；按采购文件确定事项签订政府采购合同，按规定公告、备案政府采购合同；最终以</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1.6</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万元签订采购合同，结余</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0</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万元。得3分。总计得分6分</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常年项目绩效分析。</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该类项目总数</w:t>
      </w:r>
      <w:r>
        <w:rPr>
          <w:rFonts w:hint="default" w:ascii="Times New Roman" w:hAnsi="Times New Roman" w:eastAsia="仿宋_GB2312" w:cs="Times New Roman"/>
          <w:i w:val="0"/>
          <w:caps w:val="0"/>
          <w:color w:val="000000" w:themeColor="text1"/>
          <w:spacing w:val="0"/>
          <w:kern w:val="0"/>
          <w:sz w:val="32"/>
          <w:szCs w:val="32"/>
          <w:shd w:val="clear" w:color="auto" w:fill="FFFFFF"/>
          <w:lang w:val="en"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个，涉及预算总金额</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201.94</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万元，1</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1</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月预算执行总体进度为</w:t>
      </w:r>
      <w:r>
        <w:rPr>
          <w:rFonts w:hint="default" w:ascii="Times New Roman" w:hAnsi="Times New Roman" w:eastAsia="仿宋_GB2312" w:cs="Times New Roman"/>
          <w:i w:val="0"/>
          <w:caps w:val="0"/>
          <w:color w:val="000000" w:themeColor="text1"/>
          <w:spacing w:val="0"/>
          <w:kern w:val="0"/>
          <w:sz w:val="32"/>
          <w:szCs w:val="32"/>
          <w:shd w:val="clear" w:color="auto" w:fill="FFFFFF"/>
          <w:lang w:val="en" w:eastAsia="zh-CN" w:bidi="ar"/>
          <w14:textFill>
            <w14:solidFill>
              <w14:schemeClr w14:val="tx1"/>
            </w14:solidFill>
          </w14:textFill>
        </w:rPr>
        <w:t>100</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%，其中：预算结余率大于</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10%</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的项目共计</w:t>
      </w:r>
      <w:r>
        <w:rPr>
          <w:rFonts w:hint="default" w:ascii="Times New Roman" w:hAnsi="Times New Roman" w:eastAsia="仿宋_GB2312" w:cs="Times New Roman"/>
          <w:i w:val="0"/>
          <w:caps w:val="0"/>
          <w:color w:val="000000" w:themeColor="text1"/>
          <w:spacing w:val="0"/>
          <w:kern w:val="0"/>
          <w:sz w:val="32"/>
          <w:szCs w:val="32"/>
          <w:shd w:val="clear" w:color="auto" w:fill="FFFFFF"/>
          <w:lang w:val="en" w:eastAsia="zh-CN" w:bidi="ar"/>
          <w14:textFill>
            <w14:solidFill>
              <w14:schemeClr w14:val="tx1"/>
            </w14:solidFill>
          </w14:textFill>
        </w:rPr>
        <w:t>0</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阶段</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一次性</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项目绩效分析。</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该类项目总数</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3</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个，涉及预算总金额</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204.86</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万元，1</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1</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月预算执行总体进度为</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100</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%，其中：预算结余率大于</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10%</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的项目共计</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0</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b/>
          <w:bCs/>
          <w:color w:val="000000" w:themeColor="text1"/>
          <w:kern w:val="0"/>
          <w:sz w:val="32"/>
          <w:szCs w:val="32"/>
          <w:highlight w:val="none"/>
          <w:shd w:val="clear" w:color="auto" w:fill="FFFFFF"/>
          <w:lang w:val="zh-CN"/>
          <w14:textFill>
            <w14:solidFill>
              <w14:schemeClr w14:val="tx1"/>
            </w14:solidFill>
          </w14:textFill>
        </w:rPr>
        <w:t>项目决策。</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在决策程序方面</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,按规定履行评估论证、申报程序;</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在目标设置方面</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,按照中心实际情况科学合理、规范完整、量化细化、与预算相匹配的设置目标;在项目入库方面,都在规定时间内完成.总计得分</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12</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分</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2.项目执行</w:t>
      </w:r>
      <w:r>
        <w:rPr>
          <w:rFonts w:hint="eastAsia"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t>。</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在项目执行中</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,严格按照部门预算项目绩效目标设置的执行,没有与之不符的.项目都得以实施,没有进行项目调整,项目执行进度达</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100</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eastAsia"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。总计得分</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12</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分</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t>目标实现。</w:t>
      </w:r>
      <w:r>
        <w:rPr>
          <w:rFonts w:hint="eastAsia" w:ascii="Times New Roman" w:hAnsi="Times New Roman" w:eastAsia="仿宋_GB2312"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我中心预算项目绩效目标设置数量指标，</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其中公务接待工作经费中设置数量指标批次小于等于100批次</w:t>
      </w:r>
      <w:r>
        <w:rPr>
          <w:rFonts w:hint="default" w:ascii="Times New Roman" w:hAnsi="Times New Roman" w:eastAsia="仿宋_GB2312"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w:t>
      </w:r>
      <w:r>
        <w:rPr>
          <w:rFonts w:hint="eastAsia" w:cs="Times New Roman"/>
          <w:i w:val="0"/>
          <w:caps w:val="0"/>
          <w:color w:val="000000" w:themeColor="text1"/>
          <w:spacing w:val="0"/>
          <w:kern w:val="0"/>
          <w:sz w:val="32"/>
          <w:szCs w:val="32"/>
          <w:shd w:val="clear" w:color="auto" w:fill="FFFFFF"/>
          <w:lang w:val="zh-CN" w:eastAsia="zh-CN" w:bidi="ar"/>
          <w14:textFill>
            <w14:solidFill>
              <w14:schemeClr w14:val="tx1"/>
            </w14:solidFill>
          </w14:textFill>
        </w:rPr>
        <w:t>但最终统计接待批次为</w:t>
      </w:r>
      <w:r>
        <w:rPr>
          <w:rFonts w:hint="eastAsia" w:cs="Times New Roman"/>
          <w:i w:val="0"/>
          <w:caps w:val="0"/>
          <w:color w:val="000000" w:themeColor="text1"/>
          <w:spacing w:val="0"/>
          <w:kern w:val="0"/>
          <w:sz w:val="32"/>
          <w:szCs w:val="32"/>
          <w:shd w:val="clear" w:color="auto" w:fill="FFFFFF"/>
          <w:lang w:val="en-US" w:eastAsia="zh-CN" w:bidi="ar"/>
          <w14:textFill>
            <w14:solidFill>
              <w14:schemeClr w14:val="tx1"/>
            </w14:solidFill>
          </w14:textFill>
        </w:rPr>
        <w:t>110批次，绩效目标实现偏离度为10%。故扣2.33分，总计得分8.67分。</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eastAsia="楷体_GB2312"/>
          <w:b/>
          <w:bCs/>
          <w:color w:val="000000"/>
          <w:kern w:val="0"/>
          <w:sz w:val="32"/>
          <w:szCs w:val="32"/>
          <w:shd w:val="clear" w:color="auto" w:fill="FFFFFF"/>
          <w:lang w:val="zh-CN"/>
        </w:rPr>
        <w:t>（三）</w:t>
      </w:r>
      <w:r>
        <w:rPr>
          <w:rFonts w:eastAsia="楷体_GB2312"/>
          <w:b/>
          <w:bCs/>
          <w:sz w:val="32"/>
          <w:szCs w:val="32"/>
          <w:lang w:val="zh-CN"/>
        </w:rPr>
        <w:t>绩效结果应用情况。</w:t>
      </w:r>
      <w:r>
        <w:rPr>
          <w:rFonts w:hint="eastAsia" w:ascii="Times New Roman" w:hAnsi="Times New Roman" w:eastAsia="仿宋_GB2312" w:cs="Times New Roman"/>
          <w:i w:val="0"/>
          <w:caps w:val="0"/>
          <w:color w:val="auto"/>
          <w:spacing w:val="0"/>
          <w:kern w:val="0"/>
          <w:sz w:val="32"/>
          <w:szCs w:val="32"/>
          <w:shd w:val="clear" w:color="auto" w:fill="FFFFFF"/>
          <w:lang w:val="zh-CN" w:eastAsia="zh-CN" w:bidi="ar"/>
        </w:rPr>
        <w:t>本中心资金支出符合国家财经法规和财务管理制度以及有关项目资金管理办法的规定，资金的拨付有完整的审批过程和手续，项目的支出按规定经过评估论证，支出符合部门预算批复的用途，资金使用无截留、挤占、挪用、虚列支出等情况。</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eastAsia" w:eastAsia="楷体_GB2312" w:cs="Times New Roman"/>
          <w:b/>
          <w:bCs/>
          <w:color w:val="auto"/>
          <w:kern w:val="0"/>
          <w:sz w:val="32"/>
          <w:szCs w:val="32"/>
          <w:highlight w:val="none"/>
          <w:shd w:val="clear" w:color="auto" w:fill="FFFFFF"/>
          <w:lang w:val="zh-CN" w:eastAsia="zh-CN"/>
        </w:rPr>
      </w:pPr>
      <w:bookmarkStart w:id="46" w:name="_Hlk110546638"/>
      <w:r>
        <w:rPr>
          <w:rFonts w:hint="default" w:ascii="Times New Roman" w:hAnsi="Times New Roman" w:eastAsia="楷体_GB2312" w:cs="Times New Roman"/>
          <w:b/>
          <w:bCs/>
          <w:color w:val="auto"/>
          <w:kern w:val="0"/>
          <w:sz w:val="32"/>
          <w:szCs w:val="32"/>
          <w:highlight w:val="none"/>
          <w:shd w:val="clear" w:color="auto" w:fill="FFFFFF"/>
          <w:lang w:val="zh-CN" w:eastAsia="zh-CN"/>
        </w:rPr>
        <w:t>（一）评价结论</w:t>
      </w:r>
      <w:r>
        <w:rPr>
          <w:rFonts w:hint="eastAsia" w:eastAsia="楷体_GB2312" w:cs="Times New Roman"/>
          <w:b/>
          <w:bCs/>
          <w:color w:val="auto"/>
          <w:kern w:val="0"/>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2025年部门整体支出绩效评价指标总分值100分，自评89.19分，无扣分项。一</w:t>
      </w: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是</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预算管理模块支出执行进度、严控一般性支出等方面还需进一步加强，扣4.28分；</w:t>
      </w: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二是</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bidi="ar"/>
        </w:rPr>
        <w:t>机构改革，人员减少人均资产变化率低，扣3分；三是办公家具</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超最低使用年限资产利用率低，扣1.2分；</w:t>
      </w: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四是</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目标实现模块，公务接待工作经费数量指标偏离度为8%，扣分2.33分；</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both"/>
        <w:textAlignment w:val="auto"/>
        <w:outlineLvl w:val="9"/>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（二）存在问题</w:t>
      </w:r>
      <w:r>
        <w:rPr>
          <w:rFonts w:hint="eastAsia" w:eastAsia="楷体_GB2312" w:cs="Times New Roman"/>
          <w:b/>
          <w:bCs/>
          <w:color w:val="auto"/>
          <w:kern w:val="0"/>
          <w:sz w:val="32"/>
          <w:szCs w:val="32"/>
          <w:highlight w:val="none"/>
          <w:shd w:val="clear" w:color="auto" w:fill="FFFFFF"/>
          <w:lang w:val="zh-CN" w:eastAsia="zh-CN"/>
        </w:rPr>
        <w:t>。</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我中心严格按照预算执行及绩效管理相关要求，强化责任主体意识，积极采取有效措施，不断优化支出结构，不断提升预算执行管理水平。经费支付进度虽较2024年有所改善，但经费支付进度还是不太理想，还有提升的空间。还有就是因接待批次量多量少没有定数，估计起来困难，导致绩效指标量化还不精准。</w:t>
      </w:r>
    </w:p>
    <w:p>
      <w:pPr>
        <w:keepNext w:val="0"/>
        <w:keepLines w:val="0"/>
        <w:pageBreakBefore w:val="0"/>
        <w:widowControl/>
        <w:kinsoku/>
        <w:wordWrap/>
        <w:overflowPunct/>
        <w:topLinePunct w:val="0"/>
        <w:autoSpaceDE/>
        <w:autoSpaceDN/>
        <w:bidi w:val="0"/>
        <w:adjustRightInd/>
        <w:snapToGrid/>
        <w:spacing w:line="480" w:lineRule="exact"/>
        <w:ind w:firstLine="634"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楷体" w:cs="Times New Roman"/>
          <w:b/>
          <w:color w:val="auto"/>
          <w:spacing w:val="-2"/>
          <w:kern w:val="0"/>
          <w:sz w:val="32"/>
          <w:szCs w:val="32"/>
        </w:rPr>
        <w:t>（三）改进建议</w:t>
      </w:r>
      <w:r>
        <w:rPr>
          <w:rFonts w:hint="eastAsia" w:eastAsia="楷体" w:cs="Times New Roman"/>
          <w:b/>
          <w:color w:val="auto"/>
          <w:spacing w:val="-2"/>
          <w:kern w:val="0"/>
          <w:sz w:val="32"/>
          <w:szCs w:val="32"/>
          <w:lang w:eastAsia="zh-CN"/>
        </w:rPr>
        <w:t>。</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细化预算指标，提高预算科学性。预算编制前根据年度内单位可预见的工作任务，确定单位年度预算目标，细化预算指标，科学合理编制部门预算，推进预算编制科学化、准确化。年度预算编制后，根据实际情况，定期做好预算执行分析，掌握预算执行进度进度，纠正偏差，力争完成年度目标任务，也为下一次科学、准确地编制部门预算积累经验。</w:t>
      </w:r>
      <w:bookmarkEnd w:id="46"/>
    </w:p>
    <w:p>
      <w:pPr>
        <w:spacing w:line="578" w:lineRule="exact"/>
        <w:ind w:firstLine="640" w:firstLineChars="200"/>
        <w:jc w:val="left"/>
        <w:rPr>
          <w:rFonts w:hint="eastAsia" w:ascii="仿宋_GB2312" w:hAnsi="仿宋_GB2312" w:eastAsia="仿宋_GB2312" w:cs="仿宋_GB2312"/>
          <w:color w:val="000000"/>
          <w:kern w:val="0"/>
          <w:sz w:val="32"/>
          <w:szCs w:val="32"/>
          <w:shd w:val="clear" w:color="auto" w:fill="FFFFFF"/>
        </w:rPr>
      </w:pPr>
    </w:p>
    <w:p>
      <w:pPr>
        <w:spacing w:line="578"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附表：1.</w:t>
      </w:r>
      <w:r>
        <w:rPr>
          <w:rFonts w:hint="eastAsia" w:ascii="仿宋_GB2312" w:hAnsi="仿宋_GB2312" w:eastAsia="仿宋_GB2312" w:cs="仿宋_GB2312"/>
          <w:sz w:val="32"/>
          <w:szCs w:val="32"/>
        </w:rPr>
        <w:t>部门预算绩效自评打分表</w:t>
      </w:r>
    </w:p>
    <w:p>
      <w:pPr>
        <w:spacing w:line="578" w:lineRule="exact"/>
        <w:ind w:firstLine="1600" w:firstLineChars="500"/>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000000"/>
          <w:kern w:val="0"/>
          <w:sz w:val="32"/>
          <w:szCs w:val="32"/>
          <w:shd w:val="clear" w:color="auto" w:fill="FFFFFF"/>
        </w:rPr>
        <w:t>部门整体支出绩效目标完成情况自评表</w:t>
      </w:r>
    </w:p>
    <w:p>
      <w:pPr>
        <w:spacing w:line="578" w:lineRule="exact"/>
        <w:ind w:firstLine="1600" w:firstLineChars="5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sz w:val="32"/>
          <w:szCs w:val="32"/>
        </w:rPr>
        <w:t>部门预算项目支出绩效评价表（2025年度）</w:t>
      </w:r>
    </w:p>
    <w:p>
      <w:pPr>
        <w:spacing w:line="578" w:lineRule="exact"/>
        <w:jc w:val="left"/>
        <w:rPr>
          <w:rFonts w:eastAsia="黑体"/>
        </w:rPr>
      </w:pPr>
    </w:p>
    <w:p>
      <w:pPr>
        <w:spacing w:line="578" w:lineRule="exact"/>
        <w:jc w:val="left"/>
        <w:rPr>
          <w:rFonts w:eastAsia="黑体"/>
        </w:rPr>
      </w:pPr>
    </w:p>
    <w:p>
      <w:pPr>
        <w:spacing w:line="578" w:lineRule="exact"/>
        <w:jc w:val="left"/>
        <w:rPr>
          <w:rFonts w:eastAsia="黑体"/>
        </w:rPr>
      </w:pPr>
    </w:p>
    <w:p>
      <w:pPr>
        <w:pStyle w:val="2"/>
        <w:rPr>
          <w:rFonts w:eastAsia="黑体"/>
        </w:rPr>
      </w:pPr>
    </w:p>
    <w:tbl>
      <w:tblPr>
        <w:tblStyle w:val="18"/>
        <w:tblW w:w="90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726"/>
        <w:gridCol w:w="1190"/>
        <w:gridCol w:w="590"/>
        <w:gridCol w:w="3958"/>
        <w:gridCol w:w="1035"/>
        <w:gridCol w:w="8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750" w:type="dxa"/>
            <w:tcBorders>
              <w:top w:val="nil"/>
              <w:left w:val="nil"/>
              <w:bottom w:val="nil"/>
              <w:right w:val="nil"/>
            </w:tcBorders>
            <w:shd w:val="clear" w:color="auto" w:fill="auto"/>
            <w:noWrap/>
            <w:vAlign w:val="center"/>
          </w:tcPr>
          <w:p>
            <w:pPr>
              <w:keepNext w:val="0"/>
              <w:keepLines w:val="0"/>
              <w:widowControl/>
              <w:suppressLineNumbers w:val="0"/>
              <w:ind w:firstLine="0" w:firstLineChars="0"/>
              <w:jc w:val="left"/>
              <w:textAlignment w:val="center"/>
              <w:rPr>
                <w:rFonts w:hint="default" w:ascii="黑体" w:hAnsi="宋体" w:eastAsia="黑体" w:cs="黑体"/>
                <w:i w:val="0"/>
                <w:iCs w:val="0"/>
                <w:color w:val="000000"/>
                <w:sz w:val="20"/>
                <w:szCs w:val="20"/>
                <w:u w:val="none"/>
                <w:lang w:val="en-US"/>
              </w:rPr>
            </w:pPr>
            <w:r>
              <w:rPr>
                <w:rFonts w:hint="eastAsia" w:ascii="黑体" w:hAnsi="宋体" w:eastAsia="黑体" w:cs="黑体"/>
                <w:i w:val="0"/>
                <w:iCs w:val="0"/>
                <w:color w:val="000000"/>
                <w:kern w:val="0"/>
                <w:sz w:val="20"/>
                <w:szCs w:val="20"/>
                <w:u w:val="none"/>
                <w:lang w:val="en-US" w:eastAsia="zh-CN" w:bidi="ar"/>
              </w:rPr>
              <w:t>附表1</w:t>
            </w:r>
          </w:p>
        </w:tc>
        <w:tc>
          <w:tcPr>
            <w:tcW w:w="765" w:type="dxa"/>
            <w:tcBorders>
              <w:top w:val="nil"/>
              <w:left w:val="nil"/>
              <w:bottom w:val="nil"/>
              <w:right w:val="nil"/>
            </w:tcBorders>
            <w:shd w:val="clear" w:color="auto" w:fill="auto"/>
            <w:vAlign w:val="center"/>
          </w:tcPr>
          <w:p>
            <w:pPr>
              <w:keepNext w:val="0"/>
              <w:keepLines w:val="0"/>
              <w:widowControl/>
              <w:suppressLineNumbers w:val="0"/>
              <w:ind w:firstLine="0" w:firstLineChars="0"/>
              <w:jc w:val="left"/>
              <w:textAlignment w:val="center"/>
              <w:rPr>
                <w:rFonts w:hint="eastAsia" w:ascii="黑体" w:hAnsi="宋体" w:eastAsia="黑体" w:cs="黑体"/>
                <w:i w:val="0"/>
                <w:iCs w:val="0"/>
                <w:color w:val="000000"/>
                <w:sz w:val="20"/>
                <w:szCs w:val="20"/>
                <w:u w:val="none"/>
              </w:rPr>
            </w:pPr>
          </w:p>
        </w:tc>
        <w:tc>
          <w:tcPr>
            <w:tcW w:w="2249" w:type="dxa"/>
            <w:tcBorders>
              <w:top w:val="nil"/>
              <w:left w:val="nil"/>
              <w:bottom w:val="nil"/>
              <w:right w:val="nil"/>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782" w:type="dxa"/>
            <w:tcBorders>
              <w:top w:val="nil"/>
              <w:left w:val="nil"/>
              <w:bottom w:val="nil"/>
              <w:right w:val="nil"/>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6240" w:type="dxa"/>
            <w:tcBorders>
              <w:top w:val="nil"/>
              <w:left w:val="nil"/>
              <w:bottom w:val="nil"/>
              <w:right w:val="nil"/>
            </w:tcBorders>
            <w:shd w:val="clear" w:color="auto" w:fill="auto"/>
            <w:vAlign w:val="center"/>
          </w:tcPr>
          <w:p>
            <w:pPr>
              <w:ind w:firstLine="0" w:firstLineChars="0"/>
              <w:rPr>
                <w:rFonts w:hint="eastAsia" w:ascii="宋体" w:hAnsi="宋体" w:eastAsia="宋体" w:cs="宋体"/>
                <w:i w:val="0"/>
                <w:iCs w:val="0"/>
                <w:color w:val="000000"/>
                <w:sz w:val="16"/>
                <w:szCs w:val="16"/>
                <w:u w:val="none"/>
              </w:rPr>
            </w:pPr>
          </w:p>
        </w:tc>
        <w:tc>
          <w:tcPr>
            <w:tcW w:w="2700" w:type="dxa"/>
            <w:gridSpan w:val="2"/>
            <w:tcBorders>
              <w:top w:val="nil"/>
              <w:left w:val="nil"/>
              <w:bottom w:val="nil"/>
              <w:right w:val="nil"/>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3486" w:type="dxa"/>
            <w:gridSpan w:val="7"/>
            <w:tcBorders>
              <w:top w:val="nil"/>
              <w:left w:val="nil"/>
              <w:bottom w:val="nil"/>
              <w:right w:val="nil"/>
            </w:tcBorders>
            <w:shd w:val="clear" w:color="auto" w:fill="auto"/>
            <w:vAlign w:val="center"/>
          </w:tcPr>
          <w:p>
            <w:pPr>
              <w:keepNext w:val="0"/>
              <w:keepLines w:val="0"/>
              <w:widowControl/>
              <w:suppressLineNumbers w:val="0"/>
              <w:ind w:firstLine="0" w:firstLineChars="0"/>
              <w:jc w:val="center"/>
              <w:textAlignment w:val="center"/>
              <w:rPr>
                <w:rFonts w:ascii="方正小标宋简体" w:hAnsi="方正小标宋简体" w:eastAsia="方正小标宋简体" w:cs="方正小标宋简体"/>
                <w:i w:val="0"/>
                <w:iCs w:val="0"/>
                <w:color w:val="000000"/>
                <w:sz w:val="48"/>
                <w:szCs w:val="48"/>
                <w:u w:val="none"/>
              </w:rPr>
            </w:pPr>
            <w:r>
              <w:rPr>
                <w:rFonts w:hint="eastAsia" w:ascii="方正小标宋简体" w:hAnsi="方正小标宋简体" w:eastAsia="方正小标宋简体" w:cs="方正小标宋简体"/>
                <w:i w:val="0"/>
                <w:iCs w:val="0"/>
                <w:color w:val="000000"/>
                <w:kern w:val="0"/>
                <w:sz w:val="48"/>
                <w:szCs w:val="48"/>
                <w:u w:val="none"/>
                <w:lang w:val="en-US" w:eastAsia="zh-CN" w:bidi="ar"/>
              </w:rPr>
              <w:t>部门预算绩效自评打分表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指标分值</w:t>
            </w:r>
          </w:p>
        </w:tc>
        <w:tc>
          <w:tcPr>
            <w:tcW w:w="6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6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黑体" w:hAnsi="宋体" w:eastAsia="黑体" w:cs="黑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黑体" w:hAnsi="宋体" w:eastAsia="黑体" w:cs="黑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总体绩效</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（65分）</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履职效能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（15分）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公务接待履职效果</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6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整体绩效指标：1.设定省部级以上接待任务≤70批次，截至2025年年底共接待省部级以上65批次；未超过不扣分;2.设定州级公务接待质量达标率为100%，2025年无任何接待事故发生；3.设定公务接待对象满意度≥95%；设定树立州委政府良好形象树效果明显。得到各级领导的充分肯定。评价满意度超过95%；树立州委政府良好形象树效果明显。4.设定经费总支出≤375.55万元，实际支出347.28万元，未超成本。5.项目完成时间≤12月，已在12月底之前完成支出。该项指标得分=年终完成履职效果目标数量4÷年初目标设置总4×100%×15=15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正常运转履职效果</w:t>
            </w: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6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公务服务履职效果</w:t>
            </w: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6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办公楼维修履职效果</w:t>
            </w: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6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6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预算管理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（25分）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预算编制质量</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1.财政拨款预算偏离度：|财政拨款预算执行数（697.42万元）-财政拨款年初预算数（856.29万元）|÷财政拨款年初预算数（856.29万元）=-18.55%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2.资产配置预算偏离度：|资产配置预算执行数（0万元）-资产配置年初预算数（0万元）|÷资产配置年初预算数0=0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3.政府采购预算偏离度：|政府采购预算执行数（1.6万元）-政府采购年初预算数（1.6万元）|÷政府采购年初预算数=0%  该项指标得分=（1-财政拨款预算偏离度-18.55%）×100%×6+（1-资产配置预算偏离度0%）×100%×3+（1-政府采购预算偏离度-0%）×100%×3=13.11，超分值，按满分计算</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支出执行进度</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至6月预算执行数281.8万元÷（部门预算数856.29×50%）×2）+（1-1至6月支出预警金额占比0×0.8-1至6月支出违规金额占比0×0.2）+（1至10月预算执行数499.57÷（部门预算数856.29×83.33%）×2）+（1-1至10月支出预警金额占比×0.8-1至10月支出违规金额占比×0.2）=4.72</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预算年终结余</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部门整体预算结余率：（年终部门预算注销金额合计0+年终部门预算结转金额合计0万元）÷调整后的年度部门预算数697.42万元= 0%                                     该项指标得分=（1-部门整体预算结余率0%×100%×2=2分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严控一般性支出</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该项指标得分=基础分值+加分值 =2+0=2分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一般性支出财政拨款年初预算347.28万元小于上年763.5万元，压减-416.22万元。一般性支出财政拨款预算执行较上年压减49.26%，得2分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财务管理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财务管理制度</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部门已制定内部财务管理制度等制度机制的，得2分。财务管理制度得到落实，得2分。总计得分4分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财务岗位设置</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根据内控要求制定《廉政风险点及防控措施》、《关键岗位责任制》等制度，合理设置财务工作岗位，明确职责权限，并严格实行不相容岗位分离的，得2分。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资金使用规范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我中心不存在超预算或无预算安排、虚列支出、超范围超标准使用经费、违规使用“三公”经费、滥发津补贴、报销不合规等情况，得4分。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资产管理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人均资产变化率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2024年人均占有资产=（固定资产净值905308.2元+无形资产净值9742.92元）÷年末实有人数17人=53826.54元。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2025年人均占有资产=（固定资产净值686587.94元+无形资产净值7459.56元）÷年末实有人数5人=138809.5元。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部门人均资产变化率X：（当年单位人均占有资产138809.5-上年单位人均占有资产53826.54）÷上年单位人均占有资产53826.54=157.78%。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部门人均资产变化率X为157.78%，州直行政事业单位人均资产变化率N为-3.49%，则：X＞N，不得分。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部门人均资产增长率X为157.78%，同期州级财政收入增长率N为-30.5%，则：X＞2N，不得分。总计0分。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资产利用率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办公家具超最低使用年限资产利用率=超最低使用年限的办公家具原值0.32万元÷办公家具原值28.2万元×100%=1.13%。办公家具超最低使用年限资产利用率X为1.13%，州直行政事业单位平均值N为12.93%，则：X≤0.6N，得0.3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办公设备超最低使用年限资产利用率=超最低使用年限的办公设备原值22.39万元÷办公设备原值34.99万×100%=63.99%。办公设备超最低使用年限资产利用率为63.99%，州直行政事业单位办公设备资产利用率平均值N为53.14%，则：X＞N，得1.5分。总计得分1.8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总体绩效</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（65分）</w:t>
            </w: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资产盘活率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两年均无闲置资产，该项指标得3分。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（6分）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支持中小企业发展</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办公设备采购预算1.6万元，发布时预留采购份额专门面向中小企业采购，得3分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采购执行率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该项指标得分=当年政府采购实际支付总金额1.6万元÷（当年政府采购总预算数1.6万元-当年已完成采购项目节约金额0万元）×100%×3=3分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（35分）</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（12分）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该项指标得分=4-部门未履行事前评估程序的部门预算阶段项目（含一次性项目）数量0÷部门预算阶段项目（含一次性项目）总数3×100%×4=4分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目标设置</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该项指标得分=4-绩效目标与计划期内的任务量、预算安排不相匹配的部门预算阶段项目（含一次性项目）数量0÷部门预算阶段项目（含一次性项目）总数3×100%×4=4分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项目入库</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该项指标得分=4-规定时间未入财政库部门预算阶段项目（含一次性项目）数量0÷最终安排部门预算阶段项目（含一次性项目）总数3×100%×4=4分。规定时间以当年9月30日为准。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项目执行</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（12分）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执行同向</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该项指标得分=4-实际列支内容与绩效目标设置方向不相符的部门预算阶段项目（含一次性项目）数量0÷部门预算阶段项目（含一次性项目）总数4×100%×4=4分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项目调整</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该项指标得分=4-应采取未采取收回预算、调整目标等处置措施的部门预算阶段项目（含一次性项目）数量0÷应采取收回预算、调整目标等处置措施的部门预算阶段项目（含一次性项目）总数0×100%×4=4分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执行结果</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该项指标得分=预算结余率小于10%的常年项目数量2÷部门预算常年项目总数2×100%×2+预算结余率小于10%的一次性项目和阶段项目数量1÷部门预算一次性项目和阶段项目总数1×100%×2=4分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目标实现</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（11分）</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该项指标得分=完成绩效目标数量指标的部门预算阶段项目（含一次性项目）数量2÷部门预算阶段项目（含一次性项目）总数3×100%×4=3.67分。</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目标偏离</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离度=|（绩效指标实际完成值接待批次108-设定预期指标值）100÷设定预期指标值100|=8%。该项指标得分=已完成预期指标值的数量指标中偏离度在30%内的指标个数1÷已完成预期指标值的数量指标个数2×100%×4=2分。部门预算阶段项目（含一次性项目）绩效目标实际完成值偏离预期指标30%以上（含30%）的，不计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实现效果</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该项指标得分=完成绩效目标效益指标的部门预算阶段项目（含一次性项目）数量3÷部门预算阶段项目（含一次性项目）总数3×100%×3=3分</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0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预算绩效存在问题</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依据评价年度人大监督、巡视巡察、审计监督、财会监督等结果以及评价指标体系涉及的履职效果、预算管理、财务管理、资产管理、采购管理、项目绩效等方面出现的问题，每有一个问题点扣1分，扣完为止。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30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被评价部门配合度</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评价工作开展过程中，被评价对象拖延推诿、提交资料不及时等拒不配合评价工作的，每发现一次扣1分，扣完为止。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b/>
                <w:bCs/>
                <w:i w:val="0"/>
                <w:iCs w:val="0"/>
                <w:color w:val="000000"/>
                <w:sz w:val="24"/>
                <w:szCs w:val="24"/>
                <w:u w:val="none"/>
              </w:rPr>
            </w:pPr>
          </w:p>
        </w:tc>
        <w:tc>
          <w:tcPr>
            <w:tcW w:w="100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89.19</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eastAsia" w:ascii="宋体" w:hAnsi="宋体" w:eastAsia="宋体" w:cs="宋体"/>
                <w:i w:val="0"/>
                <w:iCs w:val="0"/>
                <w:color w:val="000000"/>
                <w:sz w:val="24"/>
                <w:szCs w:val="24"/>
                <w:u w:val="none"/>
              </w:rPr>
            </w:pPr>
          </w:p>
        </w:tc>
      </w:tr>
    </w:tbl>
    <w:p/>
    <w:p>
      <w:pPr>
        <w:spacing w:line="578" w:lineRule="exact"/>
        <w:jc w:val="left"/>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
      <w:pPr>
        <w:spacing w:line="578" w:lineRule="exact"/>
        <w:jc w:val="left"/>
        <w:rPr>
          <w:rFonts w:hint="eastAsia" w:eastAsia="黑体"/>
          <w:lang w:val="en-US" w:eastAsia="zh-CN"/>
        </w:rPr>
      </w:pPr>
      <w:r>
        <w:rPr>
          <w:rFonts w:eastAsia="黑体"/>
        </w:rPr>
        <w:t>附表</w:t>
      </w:r>
      <w:r>
        <w:rPr>
          <w:rFonts w:hint="eastAsia" w:eastAsia="黑体"/>
          <w:lang w:val="en-US" w:eastAsia="zh-CN"/>
        </w:rPr>
        <w:t>2</w:t>
      </w:r>
    </w:p>
    <w:tbl>
      <w:tblPr>
        <w:tblStyle w:val="18"/>
        <w:tblW w:w="10036" w:type="dxa"/>
        <w:tblInd w:w="-16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8"/>
        <w:gridCol w:w="978"/>
        <w:gridCol w:w="1357"/>
        <w:gridCol w:w="1857"/>
        <w:gridCol w:w="1178"/>
        <w:gridCol w:w="965"/>
        <w:gridCol w:w="910"/>
        <w:gridCol w:w="858"/>
        <w:gridCol w:w="1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0036" w:type="dxa"/>
            <w:gridSpan w:val="9"/>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2025年度部门整体支出绩效目标完成情况自评表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7143" w:type="dxa"/>
            <w:gridSpan w:val="6"/>
            <w:tcBorders>
              <w:top w:val="nil"/>
              <w:left w:val="nil"/>
              <w:bottom w:val="nil"/>
              <w:right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部门名称：州公务服务中心</w:t>
            </w:r>
          </w:p>
        </w:tc>
        <w:tc>
          <w:tcPr>
            <w:tcW w:w="910" w:type="dxa"/>
            <w:tcBorders>
              <w:top w:val="nil"/>
              <w:left w:val="nil"/>
              <w:bottom w:val="nil"/>
              <w:right w:val="nil"/>
            </w:tcBorders>
            <w:shd w:val="clear" w:color="auto" w:fill="auto"/>
            <w:vAlign w:val="center"/>
          </w:tcPr>
          <w:p>
            <w:pPr>
              <w:rPr>
                <w:rFonts w:hint="eastAsia" w:ascii="simhei" w:hAnsi="simhei" w:eastAsia="simhei" w:cs="simhei"/>
                <w:i w:val="0"/>
                <w:iCs w:val="0"/>
                <w:color w:val="000000"/>
                <w:sz w:val="18"/>
                <w:szCs w:val="18"/>
                <w:u w:val="none"/>
              </w:rPr>
            </w:pPr>
          </w:p>
        </w:tc>
        <w:tc>
          <w:tcPr>
            <w:tcW w:w="858" w:type="dxa"/>
            <w:tcBorders>
              <w:top w:val="nil"/>
              <w:left w:val="nil"/>
              <w:bottom w:val="nil"/>
              <w:right w:val="nil"/>
            </w:tcBorders>
            <w:shd w:val="clear" w:color="auto" w:fill="auto"/>
            <w:vAlign w:val="center"/>
          </w:tcPr>
          <w:p>
            <w:pPr>
              <w:rPr>
                <w:rFonts w:hint="default" w:ascii="simhei" w:hAnsi="simhei" w:eastAsia="simhei" w:cs="simhei"/>
                <w:i w:val="0"/>
                <w:iCs w:val="0"/>
                <w:color w:val="000000"/>
                <w:sz w:val="18"/>
                <w:szCs w:val="18"/>
                <w:u w:val="none"/>
              </w:rPr>
            </w:pPr>
          </w:p>
        </w:tc>
        <w:tc>
          <w:tcPr>
            <w:tcW w:w="1125" w:type="dxa"/>
            <w:tcBorders>
              <w:top w:val="nil"/>
              <w:left w:val="nil"/>
              <w:bottom w:val="nil"/>
              <w:right w:val="nil"/>
            </w:tcBorders>
            <w:shd w:val="clear" w:color="auto" w:fill="auto"/>
            <w:vAlign w:val="bottom"/>
          </w:tcPr>
          <w:p>
            <w:pPr>
              <w:keepNext w:val="0"/>
              <w:keepLines w:val="0"/>
              <w:widowControl/>
              <w:suppressLineNumbers w:val="0"/>
              <w:jc w:val="right"/>
              <w:textAlignment w:val="bottom"/>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财政拨款</w:t>
            </w:r>
          </w:p>
        </w:tc>
        <w:tc>
          <w:tcPr>
            <w:tcW w:w="1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3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861.45</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861.45</w:t>
            </w:r>
          </w:p>
        </w:tc>
        <w:tc>
          <w:tcPr>
            <w:tcW w:w="1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3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支出预算</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861.45</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861.45</w:t>
            </w:r>
          </w:p>
        </w:tc>
        <w:tc>
          <w:tcPr>
            <w:tcW w:w="1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3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68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按照既定的“1234”工作布局，持续深化“公务接待由事务向政务转型升级”，更加优质高效保障110批次以内的政务接待任务，使公务服务部门真正成为讲好阿坝故事、传递阿坝声音、树立阿坝形象的重要窗口。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00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管理效率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3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指标参考值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三年均值</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2022</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财政拨款预算偏离度</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-6.33%</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-6.33%</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-33.07%</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单位收入统筹度</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预算年终结余率</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0.82%</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26.2万元</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26.2万元</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rPr>
        <w:tc>
          <w:tcPr>
            <w:tcW w:w="100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履职效能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小于等于12月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接待批次</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小于等于110批次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公务接待质量达标率</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等于100%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接待经费同比下降</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小于等于5%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30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树立州委政府良好形象</w:t>
            </w:r>
          </w:p>
        </w:tc>
        <w:tc>
          <w:tcPr>
            <w:tcW w:w="38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效果明显</w:t>
            </w:r>
          </w:p>
        </w:tc>
      </w:tr>
    </w:tbl>
    <w:p>
      <w:pPr>
        <w:pStyle w:val="22"/>
        <w:spacing w:before="0" w:after="0" w:line="578" w:lineRule="exact"/>
      </w:pPr>
    </w:p>
    <w:p>
      <w:pPr>
        <w:pStyle w:val="15"/>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rPr>
          <w:rFonts w:hint="eastAsia" w:ascii="Times New Roman" w:hAnsi="Times New Roman" w:cs="Times New Roman"/>
          <w:sz w:val="32"/>
          <w:szCs w:val="32"/>
          <w:highlight w:val="yellow"/>
          <w:lang w:val="zh-CN" w:eastAsia="zh-CN"/>
        </w:rPr>
      </w:pPr>
    </w:p>
    <w:p>
      <w:pPr>
        <w:pStyle w:val="2"/>
        <w:rPr>
          <w:rFonts w:hint="eastAsia" w:ascii="Times New Roman" w:hAnsi="Times New Roman" w:cs="Times New Roman"/>
          <w:sz w:val="32"/>
          <w:szCs w:val="32"/>
          <w:highlight w:val="yellow"/>
          <w:lang w:val="zh-CN" w:eastAsia="zh-CN"/>
        </w:rPr>
      </w:pPr>
    </w:p>
    <w:p>
      <w:pPr>
        <w:rPr>
          <w:rFonts w:hint="eastAsia" w:ascii="Times New Roman" w:hAnsi="Times New Roman" w:cs="Times New Roman"/>
          <w:sz w:val="32"/>
          <w:szCs w:val="32"/>
          <w:highlight w:val="yellow"/>
          <w:lang w:val="zh-CN" w:eastAsia="zh-CN"/>
        </w:rPr>
      </w:pPr>
    </w:p>
    <w:p>
      <w:pPr>
        <w:pStyle w:val="2"/>
        <w:rPr>
          <w:rFonts w:hint="eastAsia"/>
          <w:lang w:val="zh-CN" w:eastAsia="zh-CN"/>
        </w:rPr>
      </w:pPr>
    </w:p>
    <w:tbl>
      <w:tblPr>
        <w:tblStyle w:val="1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0"/>
        <w:gridCol w:w="1177"/>
        <w:gridCol w:w="1171"/>
        <w:gridCol w:w="1317"/>
        <w:gridCol w:w="521"/>
        <w:gridCol w:w="1025"/>
        <w:gridCol w:w="447"/>
        <w:gridCol w:w="946"/>
        <w:gridCol w:w="505"/>
        <w:gridCol w:w="486"/>
        <w:gridCol w:w="25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775"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C0C0C0"/>
                <w:sz w:val="20"/>
                <w:szCs w:val="20"/>
                <w:u w:val="none"/>
                <w:lang w:val="en-US"/>
              </w:rPr>
            </w:pPr>
            <w:r>
              <w:rPr>
                <w:rFonts w:hint="eastAsia" w:ascii="宋体" w:hAnsi="宋体" w:eastAsia="宋体" w:cs="宋体"/>
                <w:i w:val="0"/>
                <w:iCs w:val="0"/>
                <w:color w:val="C0C0C0"/>
                <w:kern w:val="0"/>
                <w:sz w:val="20"/>
                <w:szCs w:val="20"/>
                <w:u w:val="none"/>
                <w:lang w:val="en-US" w:eastAsia="zh-CN" w:bidi="ar"/>
              </w:rPr>
              <w:t>附表3</w:t>
            </w:r>
          </w:p>
        </w:tc>
        <w:tc>
          <w:tcPr>
            <w:tcW w:w="52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289"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557"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51320021T000000179961-公共服务工作经费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高质量完成符合要求的公务接待工作，有效保障公务人员出差需求</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资金到位情况，公共服务工作经费到位资金27.2万元；二是资金管理情况，该项目资金实行专款专用，资金使用规范，严格执行差旅费的管理办法，资金转付严格按照财务审批程序进行，会计核算结果真实、准确；三是资金使用情况，严格按照《阿坝州州直机关差旅费管理办法》、《阿坝州财政局关于报销差旅费会议费有关事项的补充通知》规定报销差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出差人次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接待服务合格率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合规审查通过率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资金支付及时性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根据支付及时率评级：好、一般、差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好</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保障州级政务活动高效运转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高、中、低</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经费总支出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27.2万元</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项目负责人：董伟</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财务负责人：余贵雄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51320021T000000179966-公务接待工作经费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按照既定的“1234”工作布局，持续深化“公务接待由事务向政务转型升级”，更加优质高效保障110批次以内的政务接待任务，使公务服务部门真正成为讲好阿坝故事、传递阿坝声音、树立阿坝形象的重要窗口。</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资金到位情况，公务接待工作经费年初预算380万元,调整后实际到位44.73万元；二是资金管理情况，该项目资金实行专款专用，资金使用规范，严格执行相关财务管理制度，资金转付严格按照财务审批程序进行，会计核算结果真实、准确；三是资金使用情况，该资金使用符合中央八项规定精神，省委、省政府十项规定和有关公务接待法规，符合有关财经制度规定，符合州委、州政府工作大局和部门年度工作计划。公务接待工作经费到位及时，支出合法合规、及时，审批程序符合有关财经规定，不存在挪用、挤占、截留和虚列支出等情况，不存在超标准开支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接待批次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110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费用结算及时率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因今年接待多在其他县市，根据属地管理原则，其他县市结算接待费较多，我中心结算接待费较少，所以警卫接待经费按季度支付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树立州委政府良好形象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效果明显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效果明显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提升阿坝州政务形象认知度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效果显著</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促进政务接待规范化水平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经费总支出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44.73万元</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rPr>
            </w:pPr>
            <w:r>
              <w:rPr>
                <w:rFonts w:hint="default" w:ascii="微软雅黑" w:hAnsi="微软雅黑" w:eastAsia="微软雅黑" w:cs="微软雅黑"/>
                <w:i w:val="0"/>
                <w:iCs w:val="0"/>
                <w:color w:val="000000"/>
                <w:kern w:val="0"/>
                <w:sz w:val="18"/>
                <w:szCs w:val="18"/>
                <w:u w:val="none"/>
                <w:lang w:val="en-US" w:eastAsia="zh-CN" w:bidi="ar"/>
              </w:rPr>
              <w:t>因从2025年8月起民族团结广场25楼集中开展接待工作，故节约成本，接待费相应减少。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项目负责人：董伟</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财务负责人：余贵雄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51320023T000008803485-机关食堂运行经费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为保障职工食堂正常运转，提升职工生活水平，确保良好的机关食堂运营秩序。</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资金到位情况，机关食堂运行经费到位资金0.4万元；二是资金管理情况，该项目资金实行专款专用，资金使用规范。支出合法合规、及时，审批程序符合有关财经规定，不存在挪用、挤占、截留和虚列支出等情况，不存在超标准开支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符合相关规定</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合规</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合规审查通过率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资金支付及时性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根据支付及时率评级：好、一般、差</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好</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资金实际支出率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90%以上</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经费总支出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4000元</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成本节约率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项目负责人：尼玛</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财务负责人：余贵雄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51320025T000013434292-赴阿坝州调研暨出席国资国企托底性帮扶阿坝州县域项目集中签约仪式后勤保障经费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做好后勤保障工作，确保国资国企托底性帮扶阿坝州县域项目暨"中省国企阿坝行"活动有力有序开展。</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资金到位情况，赴阿坝州调研暨出席国资国企托底性帮扶阿坝州县域项目集中签约仪式后勤保障经费到位资金2.3万元；二是资金管理情况，该项目资金实行专款专用，资金使用规范。支出合法合规、及时，审批程序符合有关财经规定，不存在挪用、挤占、截留和虚列支出等情况，不存在超标准开支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符合相关规定</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合规</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资金支付及时性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及时支付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支付及时</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提高事务向政务转型升级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树立州委政府良好形象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效果明显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效果明显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95%以上</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经费总支出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2.3万元</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项目负责人：张兰</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财务负责人：余贵雄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51320026T000014184190-民族团结广场食堂专项经费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州公务服务中心部门</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州公务服务中心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为保障民族团结广场食堂正常运转，需民族团结广场食堂专项经费60万元。此笔经费专项用于食堂设备采购、物资采购、厨师团队聘请等支出</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资金到位情况，民族团结广场食堂专项经费到位资金2.3万元；二是资金管理情况，该项目于2025年8月底开始实施，为节约成本计划在民族团结广场25楼开展集中接待。资金实行专款专用，资金使用规范。支出合法合规、及时，审批程序符合有关财经规定，不存在挪用、挤占、截留和虚列支出等情况，不存在超标准开支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59.76</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59.76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59.76</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59.76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符合相关规定</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合规</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资金支付及时性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及时支付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支付及时</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因项目实施前期单位机构改革班子成员配备不齐，无法正常开展“三重一大”适宜，经请示上级单位同意后年底统一支付经费。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有效保障食堂正常运转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有效保障食堂正常运转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有效保障食堂正常运转</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资金实际支付率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95%以上</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95%以上</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经费总支出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59.76万元</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项目负责人：董伟</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财务负责人：余贵雄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10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10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10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10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7"/>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eastAsia="仿宋_GB2312" w:cs="仿宋_GB2312"/>
          <w:b w:val="0"/>
          <w:bCs w:val="0"/>
          <w:kern w:val="0"/>
          <w:position w:val="0"/>
          <w:sz w:val="32"/>
          <w:szCs w:val="32"/>
          <w:highlight w:val="none"/>
          <w:lang w:val="en-US" w:eastAsia="zh-CN" w:bidi="ar-SA"/>
        </w:rPr>
        <w:t xml:space="preserve"> 本单位2025年度无专项预算项目</w:t>
      </w:r>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3"/>
      <w:bookmarkEnd w:id="47"/>
      <w:bookmarkStart w:id="48"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imhei">
    <w:altName w:val="仿宋"/>
    <w:panose1 w:val="00000000000000000000"/>
    <w:charset w:val="00"/>
    <w:family w:val="auto"/>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67D809C"/>
    <w:rsid w:val="281408E2"/>
    <w:rsid w:val="29FD04D3"/>
    <w:rsid w:val="2BFF7BC6"/>
    <w:rsid w:val="2C8A61B5"/>
    <w:rsid w:val="2D2E01CF"/>
    <w:rsid w:val="2DF04E50"/>
    <w:rsid w:val="2DFF9722"/>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5B2885"/>
    <w:rsid w:val="BF7F09AC"/>
    <w:rsid w:val="BFD475C3"/>
    <w:rsid w:val="BFDE5EA6"/>
    <w:rsid w:val="CF6FC6F3"/>
    <w:rsid w:val="CFD3D3D7"/>
    <w:rsid w:val="CFDF1009"/>
    <w:rsid w:val="D7D7B16A"/>
    <w:rsid w:val="D8D6DB89"/>
    <w:rsid w:val="DB6F4CAB"/>
    <w:rsid w:val="DB777682"/>
    <w:rsid w:val="DD1FB521"/>
    <w:rsid w:val="DDEFAF9B"/>
    <w:rsid w:val="DEFBFEAE"/>
    <w:rsid w:val="DF1F3B80"/>
    <w:rsid w:val="DF6F9789"/>
    <w:rsid w:val="DFFFA9E8"/>
    <w:rsid w:val="E5F4E9DC"/>
    <w:rsid w:val="E70FE695"/>
    <w:rsid w:val="ECFED1BC"/>
    <w:rsid w:val="ED1D69BB"/>
    <w:rsid w:val="ED7FD312"/>
    <w:rsid w:val="EF53993F"/>
    <w:rsid w:val="EF6FD633"/>
    <w:rsid w:val="EFBFB2F4"/>
    <w:rsid w:val="EFBFFA21"/>
    <w:rsid w:val="EFFC738F"/>
    <w:rsid w:val="F2BEBCB8"/>
    <w:rsid w:val="F36FB518"/>
    <w:rsid w:val="F3DE1A04"/>
    <w:rsid w:val="F3F722E5"/>
    <w:rsid w:val="F5BFDC50"/>
    <w:rsid w:val="FA5F1E70"/>
    <w:rsid w:val="FA5FDB97"/>
    <w:rsid w:val="FB7F486A"/>
    <w:rsid w:val="FBFF5B2E"/>
    <w:rsid w:val="FD7FFE2B"/>
    <w:rsid w:val="FDEE196B"/>
    <w:rsid w:val="FDFE6575"/>
    <w:rsid w:val="FEDFDDC2"/>
    <w:rsid w:val="FEED32F6"/>
    <w:rsid w:val="FEF781DD"/>
    <w:rsid w:val="FEFF39FC"/>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rPr>
      <w:kern w:val="0"/>
      <w:sz w:val="20"/>
      <w:szCs w:val="21"/>
    </w:r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customStyle="1" w:styleId="8">
    <w:name w:val="Body Text First Indent 21"/>
    <w:basedOn w:val="7"/>
    <w:next w:val="1"/>
    <w:qFormat/>
    <w:uiPriority w:val="0"/>
    <w:pPr>
      <w:ind w:firstLine="420"/>
    </w:pPr>
    <w:rPr>
      <w:rFonts w:eastAsia="宋体"/>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next w:val="1"/>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100" w:beforeAutospacing="1" w:after="100" w:afterAutospacing="1"/>
      <w:jc w:val="left"/>
    </w:pPr>
    <w:rPr>
      <w:kern w:val="0"/>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普通(网站) Char"/>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6.png"/><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oleObject" Target="embeddings/oleObject5.bin"/><Relationship Id="rId17" Type="http://schemas.openxmlformats.org/officeDocument/2006/relationships/image" Target="media/image4.png"/><Relationship Id="rId16" Type="http://schemas.openxmlformats.org/officeDocument/2006/relationships/oleObject" Target="embeddings/oleObject4.bin"/><Relationship Id="rId15" Type="http://schemas.openxmlformats.org/officeDocument/2006/relationships/image" Target="media/image3.png"/><Relationship Id="rId14" Type="http://schemas.openxmlformats.org/officeDocument/2006/relationships/oleObject" Target="embeddings/oleObject3.bin"/><Relationship Id="rId13" Type="http://schemas.openxmlformats.org/officeDocument/2006/relationships/image" Target="media/image2.png"/><Relationship Id="rId12" Type="http://schemas.openxmlformats.org/officeDocument/2006/relationships/oleObject" Target="embeddings/oleObject2.bin"/><Relationship Id="rId11" Type="http://schemas.openxmlformats.org/officeDocument/2006/relationships/chart" Target="charts/chart1.xml"/><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explosion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697.42</c:v>
                </c:pt>
                <c:pt idx="7">
                  <c:v>0.82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2164190304668"/>
          <c:y val="0.25271629778672"/>
          <c:w val="0.333333333333333"/>
          <c:h val="0.74124748490945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41</Pages>
  <Words>1299</Words>
  <Characters>7410</Characters>
  <Lines>61</Lines>
  <Paragraphs>17</Paragraphs>
  <TotalTime>1</TotalTime>
  <ScaleCrop>false</ScaleCrop>
  <LinksUpToDate>false</LinksUpToDate>
  <CharactersWithSpaces>8692</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user</cp:lastModifiedBy>
  <cp:lastPrinted>2026-08-04T17:27:00Z</cp:lastPrinted>
  <dcterms:modified xsi:type="dcterms:W3CDTF">2026-09-17T11:48:50Z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39836003DEF6F73B7454AB6A2395A5C6_43</vt:lpwstr>
  </property>
  <property fmtid="{D5CDD505-2E9C-101B-9397-08002B2CF9AE}" pid="4" name="KSOTemplateDocerSaveRecord">
    <vt:lpwstr>eyJoZGlkIjoiZjViMDk3OGYyYmM3ZWZmYmY0Yjk0YzZhMzU1Mjg3NjQifQ==</vt:lpwstr>
  </property>
</Properties>
</file>