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7AC18">
      <w:pPr>
        <w:spacing w:line="600" w:lineRule="exact"/>
        <w:jc w:val="center"/>
        <w:outlineLvl w:val="0"/>
        <w:rPr>
          <w:rFonts w:ascii="方正小标宋简体" w:hAnsi="宋体" w:eastAsia="方正小标宋简体"/>
          <w:color w:val="000000"/>
          <w:sz w:val="72"/>
          <w:szCs w:val="72"/>
        </w:rPr>
      </w:pPr>
      <w:bookmarkStart w:id="0" w:name="_Toc15306267"/>
    </w:p>
    <w:p w14:paraId="7DE08E47">
      <w:pPr>
        <w:spacing w:line="600" w:lineRule="exact"/>
        <w:jc w:val="center"/>
        <w:outlineLvl w:val="0"/>
        <w:rPr>
          <w:rFonts w:ascii="方正小标宋简体" w:hAnsi="宋体" w:eastAsia="方正小标宋简体"/>
          <w:color w:val="000000"/>
          <w:sz w:val="72"/>
          <w:szCs w:val="72"/>
        </w:rPr>
      </w:pPr>
    </w:p>
    <w:p w14:paraId="27C34B3C">
      <w:pPr>
        <w:spacing w:line="600" w:lineRule="exact"/>
        <w:jc w:val="center"/>
        <w:outlineLvl w:val="0"/>
        <w:rPr>
          <w:rFonts w:ascii="方正小标宋简体" w:hAnsi="宋体" w:eastAsia="方正小标宋简体"/>
          <w:color w:val="000000"/>
          <w:sz w:val="72"/>
          <w:szCs w:val="72"/>
        </w:rPr>
      </w:pPr>
    </w:p>
    <w:p w14:paraId="309A6DA3">
      <w:pPr>
        <w:jc w:val="center"/>
        <w:rPr>
          <w:rFonts w:ascii="黑体" w:hAnsi="黑体" w:eastAsia="黑体"/>
          <w:sz w:val="72"/>
          <w:szCs w:val="72"/>
        </w:rPr>
      </w:pPr>
      <w:bookmarkStart w:id="1" w:name="_Toc15377425"/>
      <w:bookmarkStart w:id="2" w:name="_Toc15396597"/>
      <w:bookmarkStart w:id="3" w:name="_Toc15378441"/>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32EA52B4">
      <w:pPr>
        <w:jc w:val="center"/>
        <w:rPr>
          <w:rFonts w:ascii="方正小标宋简体" w:eastAsia="方正小标宋简体"/>
          <w:sz w:val="72"/>
          <w:szCs w:val="72"/>
        </w:rPr>
      </w:pPr>
      <w:bookmarkStart w:id="6" w:name="_Toc15396598"/>
      <w:bookmarkStart w:id="7" w:name="_Toc15377426"/>
      <w:bookmarkStart w:id="8" w:name="_Toc15377194"/>
      <w:bookmarkStart w:id="9" w:name="_Toc15396476"/>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人民政府驻北京联络处</w:t>
      </w:r>
      <w:r>
        <w:rPr>
          <w:rFonts w:hint="eastAsia" w:ascii="方正小标宋简体" w:eastAsia="方正小标宋简体"/>
          <w:sz w:val="72"/>
          <w:szCs w:val="72"/>
        </w:rPr>
        <w:t>部门决算</w:t>
      </w:r>
      <w:bookmarkEnd w:id="6"/>
      <w:bookmarkEnd w:id="7"/>
      <w:bookmarkEnd w:id="8"/>
      <w:bookmarkEnd w:id="9"/>
      <w:bookmarkEnd w:id="10"/>
      <w:bookmarkEnd w:id="11"/>
    </w:p>
    <w:p w14:paraId="1B1CE839">
      <w:pPr>
        <w:widowControl/>
        <w:jc w:val="center"/>
        <w:rPr>
          <w:rFonts w:ascii="方正小标宋简体" w:hAnsi="宋体" w:eastAsia="方正小标宋简体"/>
          <w:color w:val="000000"/>
          <w:sz w:val="36"/>
          <w:szCs w:val="36"/>
        </w:rPr>
      </w:pPr>
    </w:p>
    <w:p w14:paraId="53CD1103">
      <w:pPr>
        <w:rPr>
          <w:rFonts w:ascii="方正小标宋简体" w:hAnsi="宋体" w:eastAsia="方正小标宋简体"/>
          <w:sz w:val="36"/>
          <w:szCs w:val="36"/>
        </w:rPr>
      </w:pPr>
    </w:p>
    <w:p w14:paraId="08618D8F">
      <w:pPr>
        <w:rPr>
          <w:rFonts w:ascii="方正小标宋简体" w:hAnsi="宋体" w:eastAsia="方正小标宋简体"/>
          <w:sz w:val="36"/>
          <w:szCs w:val="36"/>
        </w:rPr>
      </w:pPr>
    </w:p>
    <w:p w14:paraId="4686802E">
      <w:pPr>
        <w:rPr>
          <w:rFonts w:ascii="方正小标宋简体" w:hAnsi="宋体" w:eastAsia="方正小标宋简体"/>
          <w:sz w:val="36"/>
          <w:szCs w:val="36"/>
        </w:rPr>
      </w:pPr>
    </w:p>
    <w:p w14:paraId="2D354212">
      <w:pPr>
        <w:rPr>
          <w:rFonts w:ascii="方正小标宋简体" w:hAnsi="宋体" w:eastAsia="方正小标宋简体"/>
          <w:sz w:val="36"/>
          <w:szCs w:val="36"/>
        </w:rPr>
      </w:pPr>
    </w:p>
    <w:p w14:paraId="7B7328E1">
      <w:pPr>
        <w:rPr>
          <w:rFonts w:ascii="方正小标宋简体" w:hAnsi="宋体" w:eastAsia="方正小标宋简体"/>
          <w:sz w:val="36"/>
          <w:szCs w:val="36"/>
        </w:rPr>
      </w:pPr>
    </w:p>
    <w:p w14:paraId="384B4161">
      <w:pPr>
        <w:rPr>
          <w:rFonts w:ascii="方正小标宋简体" w:hAnsi="宋体" w:eastAsia="方正小标宋简体"/>
          <w:sz w:val="36"/>
          <w:szCs w:val="36"/>
        </w:rPr>
      </w:pPr>
    </w:p>
    <w:p w14:paraId="3328BC35">
      <w:pPr>
        <w:rPr>
          <w:rFonts w:ascii="方正小标宋简体" w:hAnsi="宋体" w:eastAsia="方正小标宋简体"/>
          <w:sz w:val="36"/>
          <w:szCs w:val="36"/>
        </w:rPr>
      </w:pPr>
    </w:p>
    <w:p w14:paraId="27B49C2F">
      <w:pPr>
        <w:rPr>
          <w:rFonts w:ascii="方正小标宋简体" w:hAnsi="宋体" w:eastAsia="方正小标宋简体"/>
          <w:sz w:val="36"/>
          <w:szCs w:val="36"/>
        </w:rPr>
      </w:pPr>
    </w:p>
    <w:p w14:paraId="7351059C">
      <w:pPr>
        <w:rPr>
          <w:rFonts w:ascii="方正小标宋简体" w:hAnsi="宋体" w:eastAsia="方正小标宋简体"/>
          <w:sz w:val="36"/>
          <w:szCs w:val="36"/>
        </w:rPr>
      </w:pPr>
    </w:p>
    <w:p w14:paraId="60B5D856">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6911C1DC">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6D65F5A9">
      <w:pPr>
        <w:widowControl/>
        <w:jc w:val="center"/>
        <w:rPr>
          <w:rFonts w:ascii="方正小标宋简体" w:hAnsi="宋体" w:eastAsia="方正小标宋简体"/>
          <w:color w:val="000000"/>
          <w:sz w:val="36"/>
          <w:szCs w:val="36"/>
        </w:rPr>
      </w:pPr>
    </w:p>
    <w:p w14:paraId="1AFD6037">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5DD1018">
      <w:pPr>
        <w:pStyle w:val="19"/>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24</w:t>
      </w:r>
      <w:r>
        <w:rPr>
          <w:rFonts w:hint="eastAsia" w:hAnsiTheme="minorHAnsi"/>
          <w:b w:val="0"/>
          <w:bCs w:val="0"/>
          <w:sz w:val="24"/>
          <w:szCs w:val="24"/>
        </w:rPr>
        <w:t xml:space="preserve"> 日</w:t>
      </w:r>
    </w:p>
    <w:p w14:paraId="3F551C14">
      <w:pPr>
        <w:pStyle w:val="19"/>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4C0086BD">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13371710">
      <w:pPr>
        <w:pStyle w:val="14"/>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1DB57353">
      <w:pPr>
        <w:pStyle w:val="14"/>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14:paraId="1036FFFB">
      <w:pPr>
        <w:pStyle w:val="22"/>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9</w:t>
      </w:r>
      <w:r>
        <w:fldChar w:fldCharType="end"/>
      </w:r>
    </w:p>
    <w:p w14:paraId="54404C3D">
      <w:pPr>
        <w:pStyle w:val="19"/>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9</w:t>
      </w:r>
      <w:r>
        <w:fldChar w:fldCharType="end"/>
      </w:r>
    </w:p>
    <w:p w14:paraId="09501614">
      <w:pPr>
        <w:pStyle w:val="22"/>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9</w:t>
      </w:r>
      <w:r>
        <w:fldChar w:fldCharType="end"/>
      </w:r>
    </w:p>
    <w:p w14:paraId="0FA09437">
      <w:pPr>
        <w:pStyle w:val="22"/>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14:paraId="42C19C03">
      <w:pPr>
        <w:pStyle w:val="22"/>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10</w:t>
      </w:r>
      <w:r>
        <w:fldChar w:fldCharType="end"/>
      </w:r>
    </w:p>
    <w:p w14:paraId="1C88109C">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11</w:t>
      </w:r>
      <w:r>
        <w:fldChar w:fldCharType="end"/>
      </w:r>
    </w:p>
    <w:p w14:paraId="1B72CCCC">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11</w:t>
      </w:r>
      <w:r>
        <w:fldChar w:fldCharType="end"/>
      </w:r>
    </w:p>
    <w:p w14:paraId="6C5181C4">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11</w:t>
      </w:r>
      <w:r>
        <w:fldChar w:fldCharType="end"/>
      </w:r>
    </w:p>
    <w:p w14:paraId="59AAFC3A">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12</w:t>
      </w:r>
      <w:r>
        <w:fldChar w:fldCharType="end"/>
      </w:r>
    </w:p>
    <w:p w14:paraId="09B95ED2">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13</w:t>
      </w:r>
      <w:r>
        <w:fldChar w:fldCharType="end"/>
      </w:r>
    </w:p>
    <w:p w14:paraId="49D0B8EE">
      <w:pPr>
        <w:pStyle w:val="22"/>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14</w:t>
      </w:r>
      <w:r>
        <w:fldChar w:fldCharType="end"/>
      </w:r>
    </w:p>
    <w:p w14:paraId="768B98A9">
      <w:pPr>
        <w:pStyle w:val="22"/>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15</w:t>
      </w:r>
      <w:r>
        <w:fldChar w:fldCharType="end"/>
      </w:r>
    </w:p>
    <w:p w14:paraId="247523A5">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15</w:t>
      </w:r>
      <w:r>
        <w:fldChar w:fldCharType="end"/>
      </w:r>
    </w:p>
    <w:p w14:paraId="2209CEF3">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15</w:t>
      </w:r>
      <w:r>
        <w:fldChar w:fldCharType="end"/>
      </w:r>
    </w:p>
    <w:p w14:paraId="1122D66E">
      <w:pPr>
        <w:pStyle w:val="22"/>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17</w:t>
      </w:r>
      <w:r>
        <w:fldChar w:fldCharType="end"/>
      </w:r>
    </w:p>
    <w:p w14:paraId="7CE2DC4E">
      <w:pPr>
        <w:pStyle w:val="22"/>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17</w:t>
      </w:r>
    </w:p>
    <w:p w14:paraId="19F74A2B">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18</w:t>
      </w:r>
      <w:r>
        <w:fldChar w:fldCharType="end"/>
      </w:r>
    </w:p>
    <w:p w14:paraId="2059C9BA">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18</w:t>
      </w:r>
      <w:r>
        <w:fldChar w:fldCharType="end"/>
      </w:r>
    </w:p>
    <w:p w14:paraId="648225B6">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18</w:t>
      </w:r>
      <w:r>
        <w:fldChar w:fldCharType="end"/>
      </w:r>
    </w:p>
    <w:p w14:paraId="1F62888B">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18</w:t>
      </w:r>
      <w:r>
        <w:fldChar w:fldCharType="end"/>
      </w:r>
    </w:p>
    <w:p w14:paraId="0F87652D">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19</w:t>
      </w:r>
      <w:r>
        <w:fldChar w:fldCharType="end"/>
      </w:r>
    </w:p>
    <w:p w14:paraId="012A94D2">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21</w:t>
      </w:r>
    </w:p>
    <w:p w14:paraId="797B4DFF">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24</w:t>
      </w:r>
    </w:p>
    <w:p w14:paraId="567C3F76">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24</w:t>
      </w:r>
    </w:p>
    <w:p w14:paraId="64F16A1E">
      <w:pPr>
        <w:pStyle w:val="19"/>
        <w:tabs>
          <w:tab w:val="right" w:leader="dot" w:pos="8296"/>
        </w:tabs>
        <w:rPr>
          <w:rFonts w:hint="default" w:hAnsiTheme="minorHAnsi" w:eastAsiaTheme="minorEastAsia" w:cstheme="minorBidi"/>
          <w:b w:val="0"/>
          <w:bCs w:val="0"/>
          <w:caps w:val="0"/>
          <w:sz w:val="21"/>
          <w:szCs w:val="22"/>
          <w:lang w:val="en-US"/>
        </w:rPr>
      </w:pPr>
      <w:r>
        <w:rPr>
          <w:rFonts w:hint="eastAsia" w:ascii="方正小标宋简体" w:hAnsi="黑体" w:eastAsia="方正小标宋简体" w:cs="黑体"/>
          <w:lang w:val="en-US" w:eastAsia="zh-CN"/>
        </w:rPr>
        <w:t>阿坝州政府驻北京联络处</w:t>
      </w:r>
      <w:r>
        <w:rPr>
          <w:rFonts w:ascii="方正小标宋简体" w:hAnsi="黑体" w:eastAsia="方正小标宋简体" w:cs="黑体"/>
        </w:rPr>
        <w:t>2020年部门整体支出绩效评价报告</w:t>
      </w:r>
      <w:r>
        <w:tab/>
      </w:r>
      <w:r>
        <w:rPr>
          <w:rFonts w:hint="eastAsia"/>
          <w:lang w:val="en-US" w:eastAsia="zh-CN"/>
        </w:rPr>
        <w:t>24</w:t>
      </w:r>
    </w:p>
    <w:p w14:paraId="7B0E5883">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32</w:t>
      </w:r>
    </w:p>
    <w:p w14:paraId="7D481166">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32</w:t>
      </w:r>
    </w:p>
    <w:p w14:paraId="0C9A6384">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32</w:t>
      </w:r>
    </w:p>
    <w:p w14:paraId="698CEC62">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32</w:t>
      </w:r>
    </w:p>
    <w:p w14:paraId="35E66E10">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32</w:t>
      </w:r>
    </w:p>
    <w:p w14:paraId="56CF27A0">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32</w:t>
      </w:r>
    </w:p>
    <w:p w14:paraId="53B55FBC">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32</w:t>
      </w:r>
    </w:p>
    <w:p w14:paraId="4A05670C">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32</w:t>
      </w:r>
    </w:p>
    <w:p w14:paraId="0F6002F2">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32</w:t>
      </w:r>
    </w:p>
    <w:p w14:paraId="48B8FBA6">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32</w:t>
      </w:r>
    </w:p>
    <w:p w14:paraId="43B420A6">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32</w:t>
      </w:r>
    </w:p>
    <w:p w14:paraId="1EB0D60D">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32</w:t>
      </w:r>
    </w:p>
    <w:p w14:paraId="4A2C2BFE">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32</w:t>
      </w:r>
    </w:p>
    <w:p w14:paraId="642E703B">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32</w:t>
      </w:r>
    </w:p>
    <w:p w14:paraId="0751D845">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32</w:t>
      </w:r>
    </w:p>
    <w:p w14:paraId="01806585">
      <w:r>
        <w:rPr>
          <w:rFonts w:asciiTheme="minorHAnsi" w:eastAsiaTheme="minorHAnsi"/>
          <w:b/>
          <w:bCs/>
          <w:caps/>
          <w:sz w:val="20"/>
          <w:szCs w:val="20"/>
        </w:rPr>
        <w:fldChar w:fldCharType="end"/>
      </w:r>
    </w:p>
    <w:p w14:paraId="614310B5">
      <w:pPr>
        <w:widowControl/>
        <w:spacing w:line="440" w:lineRule="exact"/>
        <w:jc w:val="left"/>
        <w:rPr>
          <w:rFonts w:hint="eastAsia" w:ascii="仿宋" w:hAnsi="仿宋" w:eastAsia="仿宋"/>
          <w:bCs/>
          <w:kern w:val="44"/>
          <w:sz w:val="24"/>
          <w:lang w:eastAsia="zh-CN"/>
        </w:rPr>
      </w:pPr>
      <w:bookmarkStart w:id="12" w:name="_Toc15396599"/>
      <w:bookmarkStart w:id="13" w:name="_Toc15377196"/>
      <w:r>
        <w:rPr>
          <w:rFonts w:ascii="仿宋" w:hAnsi="仿宋" w:eastAsia="仿宋"/>
          <w:b/>
          <w:sz w:val="24"/>
        </w:rPr>
        <w:br w:type="page"/>
      </w:r>
    </w:p>
    <w:p w14:paraId="59BBE189">
      <w:pPr>
        <w:pStyle w:val="2"/>
        <w:jc w:val="center"/>
        <w:rPr>
          <w:rStyle w:val="28"/>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14:paraId="73F8E0CB">
      <w:pPr>
        <w:widowControl/>
        <w:jc w:val="left"/>
        <w:rPr>
          <w:rFonts w:ascii="黑体" w:eastAsia="黑体"/>
          <w:color w:val="000000"/>
          <w:sz w:val="32"/>
          <w:szCs w:val="32"/>
        </w:rPr>
      </w:pPr>
    </w:p>
    <w:p w14:paraId="1348EA66">
      <w:pPr>
        <w:pStyle w:val="3"/>
        <w:rPr>
          <w:rStyle w:val="29"/>
          <w:rFonts w:ascii="仿宋" w:hAnsi="仿宋" w:eastAsia="仿宋"/>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6"/>
      <w:bookmarkEnd w:id="17"/>
      <w:bookmarkEnd w:id="18"/>
      <w:bookmarkEnd w:id="19"/>
    </w:p>
    <w:p w14:paraId="1959AC4E">
      <w:pPr>
        <w:pStyle w:val="12"/>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2A490884">
      <w:pPr>
        <w:pStyle w:val="12"/>
        <w:adjustRightInd w:val="0"/>
        <w:snapToGrid w:val="0"/>
        <w:spacing w:before="93" w:line="600" w:lineRule="exact"/>
        <w:ind w:firstLine="672" w:firstLineChars="210"/>
        <w:outlineLvl w:val="2"/>
        <w:rPr>
          <w:rFonts w:eastAsia="仿宋_GB2312"/>
          <w:sz w:val="32"/>
          <w:szCs w:val="32"/>
        </w:rPr>
      </w:pPr>
      <w:bookmarkStart w:id="24" w:name="_Toc79163854"/>
      <w:bookmarkStart w:id="25" w:name="_Toc15377199"/>
      <w:bookmarkStart w:id="26" w:name="_Toc15378446"/>
      <w:bookmarkStart w:id="27" w:name="_Toc79163604"/>
      <w:r>
        <w:rPr>
          <w:rFonts w:eastAsia="仿宋_GB2312"/>
          <w:sz w:val="32"/>
          <w:szCs w:val="32"/>
        </w:rPr>
        <w:t>州政府驻北京联络处的主要职责是：在州委、州政府的领导下积极做好在驻地及其周边地区的政务联络、商会指导服务、机要电报、政务服务</w:t>
      </w:r>
      <w:r>
        <w:rPr>
          <w:rFonts w:hint="eastAsia"/>
          <w:sz w:val="32"/>
          <w:szCs w:val="32"/>
          <w:lang w:eastAsia="zh-CN"/>
        </w:rPr>
        <w:t>，</w:t>
      </w:r>
      <w:r>
        <w:rPr>
          <w:rFonts w:hint="eastAsia"/>
          <w:sz w:val="32"/>
          <w:szCs w:val="32"/>
          <w:lang w:val="en-US" w:eastAsia="zh-CN"/>
        </w:rPr>
        <w:t>党建</w:t>
      </w:r>
      <w:r>
        <w:rPr>
          <w:rFonts w:eastAsia="仿宋_GB2312"/>
          <w:sz w:val="32"/>
          <w:szCs w:val="32"/>
        </w:rPr>
        <w:t>等工作，协助各相关部门做好社会管理、区域合作、招商引资、宣传推介、信访维稳、政务接待</w:t>
      </w:r>
      <w:r>
        <w:rPr>
          <w:rFonts w:hint="eastAsia"/>
          <w:sz w:val="32"/>
          <w:szCs w:val="32"/>
          <w:lang w:eastAsia="zh-CN"/>
        </w:rPr>
        <w:t>、</w:t>
      </w:r>
      <w:r>
        <w:rPr>
          <w:rFonts w:hint="eastAsia"/>
          <w:sz w:val="32"/>
          <w:szCs w:val="32"/>
          <w:lang w:val="en-US" w:eastAsia="zh-CN"/>
        </w:rPr>
        <w:t>农民工服务</w:t>
      </w:r>
      <w:r>
        <w:rPr>
          <w:rFonts w:eastAsia="仿宋_GB2312"/>
          <w:sz w:val="32"/>
          <w:szCs w:val="32"/>
        </w:rPr>
        <w:t>等工作。</w:t>
      </w:r>
    </w:p>
    <w:p w14:paraId="6E3AD763">
      <w:pPr>
        <w:pStyle w:val="12"/>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119A0226">
      <w:pPr>
        <w:keepNext w:val="0"/>
        <w:keepLines w:val="0"/>
        <w:pageBreakBefore w:val="0"/>
        <w:widowControl w:val="0"/>
        <w:numPr>
          <w:ilvl w:val="0"/>
          <w:numId w:val="1"/>
        </w:numPr>
        <w:kinsoku/>
        <w:overflowPunct/>
        <w:autoSpaceDE/>
        <w:autoSpaceDN/>
        <w:adjustRightInd/>
        <w:snapToGrid/>
        <w:spacing w:line="576" w:lineRule="exact"/>
        <w:ind w:firstLine="640"/>
        <w:jc w:val="left"/>
        <w:rPr>
          <w:rFonts w:hint="eastAsia" w:ascii="Times New Roman" w:hAnsi="Times New Roman" w:eastAsia="仿宋_GB2312" w:cs="Times New Roman"/>
          <w:b w:val="0"/>
          <w:bCs w:val="0"/>
          <w:sz w:val="32"/>
          <w:szCs w:val="32"/>
          <w:lang w:bidi="ar-SA"/>
        </w:rPr>
      </w:pPr>
      <w:r>
        <w:rPr>
          <w:rFonts w:hint="eastAsia" w:ascii="Times New Roman" w:hAnsi="Times New Roman" w:eastAsia="仿宋_GB2312" w:cs="Times New Roman"/>
          <w:b/>
          <w:bCs/>
          <w:sz w:val="32"/>
          <w:szCs w:val="32"/>
          <w:lang w:bidi="ar-SA"/>
        </w:rPr>
        <w:t>强化党建，坚持使命担当。</w:t>
      </w:r>
      <w:r>
        <w:rPr>
          <w:rFonts w:hint="eastAsia" w:ascii="Times New Roman" w:hAnsi="Times New Roman" w:eastAsia="仿宋_GB2312" w:cs="Times New Roman"/>
          <w:sz w:val="32"/>
          <w:szCs w:val="32"/>
          <w:lang w:bidi="ar-SA"/>
        </w:rPr>
        <w:t>2020年，驻</w:t>
      </w:r>
      <w:r>
        <w:rPr>
          <w:rFonts w:hint="eastAsia" w:eastAsia="仿宋_GB2312" w:cs="Times New Roman"/>
          <w:sz w:val="32"/>
          <w:szCs w:val="32"/>
          <w:lang w:val="en-US" w:eastAsia="zh-CN" w:bidi="ar-SA"/>
        </w:rPr>
        <w:t>京处</w:t>
      </w:r>
      <w:r>
        <w:rPr>
          <w:rFonts w:hint="eastAsia" w:ascii="Times New Roman" w:hAnsi="Times New Roman" w:eastAsia="仿宋_GB2312" w:cs="Times New Roman"/>
          <w:sz w:val="32"/>
          <w:szCs w:val="32"/>
          <w:lang w:bidi="ar-SA"/>
        </w:rPr>
        <w:t>继续坚持以“不忘初心、牢记使命”主题教育和“两学一做”学习教育常态化制度化为载体，以强化问题整改落实为契机，不断加强党的政治建设、思想建设、组织建设、作风建设和纪律建设。</w:t>
      </w:r>
      <w:r>
        <w:rPr>
          <w:rFonts w:hint="eastAsia" w:ascii="Times New Roman" w:hAnsi="Times New Roman" w:eastAsia="仿宋_GB2312" w:cs="Times New Roman"/>
          <w:b w:val="0"/>
          <w:bCs w:val="0"/>
          <w:sz w:val="32"/>
          <w:szCs w:val="32"/>
          <w:lang w:bidi="ar-SA"/>
        </w:rPr>
        <w:t>继续以主题教育为载体不断强化政治建设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继续落实意识形态工作责任为抓手强化思想建设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进一步找准着力点坚持抓好组织建设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强化关键点持续深化作风建设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继续找准结合点推进廉政建设。</w:t>
      </w:r>
    </w:p>
    <w:p w14:paraId="1D16C648">
      <w:pPr>
        <w:keepNext w:val="0"/>
        <w:keepLines w:val="0"/>
        <w:pageBreakBefore w:val="0"/>
        <w:widowControl w:val="0"/>
        <w:numPr>
          <w:ilvl w:val="0"/>
          <w:numId w:val="1"/>
        </w:numPr>
        <w:kinsoku/>
        <w:overflowPunct/>
        <w:autoSpaceDE/>
        <w:autoSpaceDN/>
        <w:adjustRightInd/>
        <w:snapToGrid/>
        <w:spacing w:line="576" w:lineRule="exact"/>
        <w:ind w:firstLine="640"/>
        <w:jc w:val="left"/>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筑牢防线</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当好驻外信访维稳“消防员”</w:t>
      </w:r>
      <w:r>
        <w:rPr>
          <w:rFonts w:hint="eastAsia" w:ascii="Times New Roman" w:hAnsi="Times New Roman" w:eastAsia="仿宋_GB2312" w:cs="Times New Roman"/>
          <w:sz w:val="32"/>
          <w:szCs w:val="32"/>
          <w:lang w:bidi="ar-SA"/>
        </w:rPr>
        <w:t>。</w:t>
      </w:r>
      <w:r>
        <w:rPr>
          <w:rFonts w:hint="eastAsia" w:ascii="Times New Roman" w:hAnsi="Times New Roman" w:eastAsia="仿宋_GB2312" w:cs="Times New Roman"/>
          <w:b/>
          <w:bCs/>
          <w:sz w:val="32"/>
          <w:szCs w:val="32"/>
          <w:lang w:bidi="ar-SA"/>
        </w:rPr>
        <w:t>一是进一步健全和完善信访维稳工作机制。</w:t>
      </w:r>
      <w:r>
        <w:rPr>
          <w:rFonts w:hint="eastAsia" w:ascii="Times New Roman" w:hAnsi="Times New Roman" w:eastAsia="仿宋_GB2312" w:cs="Times New Roman"/>
          <w:sz w:val="32"/>
          <w:szCs w:val="32"/>
          <w:lang w:bidi="ar-SA"/>
        </w:rPr>
        <w:t>通过不断的工作实践和经验总结，州</w:t>
      </w:r>
      <w:r>
        <w:rPr>
          <w:rFonts w:hint="eastAsia" w:eastAsia="仿宋_GB2312" w:cs="Times New Roman"/>
          <w:sz w:val="32"/>
          <w:szCs w:val="32"/>
          <w:lang w:val="en-US" w:eastAsia="zh-CN" w:bidi="ar-SA"/>
        </w:rPr>
        <w:t>驻京处</w:t>
      </w:r>
      <w:r>
        <w:rPr>
          <w:rFonts w:hint="eastAsia" w:ascii="Times New Roman" w:hAnsi="Times New Roman" w:eastAsia="仿宋_GB2312" w:cs="Times New Roman"/>
          <w:sz w:val="32"/>
          <w:szCs w:val="32"/>
          <w:lang w:bidi="ar-SA"/>
        </w:rPr>
        <w:t>信访维稳工作领导小组逐步形成了以州政府驻</w:t>
      </w:r>
      <w:r>
        <w:rPr>
          <w:rFonts w:hint="eastAsia" w:eastAsia="仿宋_GB2312" w:cs="Times New Roman"/>
          <w:sz w:val="32"/>
          <w:szCs w:val="32"/>
          <w:lang w:val="en-US" w:eastAsia="zh-CN" w:bidi="ar-SA"/>
        </w:rPr>
        <w:t>京联络处</w:t>
      </w:r>
      <w:r>
        <w:rPr>
          <w:rFonts w:hint="eastAsia" w:ascii="Times New Roman" w:hAnsi="Times New Roman" w:eastAsia="仿宋_GB2312" w:cs="Times New Roman"/>
          <w:sz w:val="32"/>
          <w:szCs w:val="32"/>
          <w:lang w:bidi="ar-SA"/>
        </w:rPr>
        <w:t>为中枢、各县（市）驻蓉办事处（信访稳控组）为基础、成都阿坝商会等社会组织为辅助的整体联动机制，建立健全了《阿坝州驻外信访稳控工作领导小组工作管理制度》等工作制度，协同配合州信访联席办建立完善《进一步健全驻京驻蓉劝返接回工作方案》，进一步确保驻外信访维稳工作组织有力、开展有序。</w:t>
      </w:r>
      <w:r>
        <w:rPr>
          <w:rFonts w:hint="eastAsia" w:ascii="Times New Roman" w:hAnsi="Times New Roman" w:eastAsia="仿宋_GB2312" w:cs="Times New Roman"/>
          <w:b/>
          <w:bCs/>
          <w:sz w:val="32"/>
          <w:szCs w:val="32"/>
          <w:lang w:bidi="ar-SA"/>
        </w:rPr>
        <w:t>二是强化信访维稳工作责任落实。</w:t>
      </w:r>
      <w:r>
        <w:rPr>
          <w:rFonts w:hint="eastAsia" w:ascii="Times New Roman" w:hAnsi="Times New Roman" w:eastAsia="仿宋_GB2312" w:cs="Times New Roman"/>
          <w:sz w:val="32"/>
          <w:szCs w:val="32"/>
          <w:lang w:bidi="ar-SA"/>
        </w:rPr>
        <w:t>坚持按照“属地管理、分级负责，谁主管、谁负责，依法、及时、就地解决问题与疏导教育相结合”的工作原则，层层压实主要领导牵头、分管领导和职能科室、成员单位的责任，加强对省委省政府信访接待点的值班值守和督查督办工作，把压力传导到基层、把责任落实到人头，倒逼责任落实。</w:t>
      </w:r>
      <w:r>
        <w:rPr>
          <w:rFonts w:hint="eastAsia" w:ascii="Times New Roman" w:hAnsi="Times New Roman" w:eastAsia="仿宋_GB2312" w:cs="Times New Roman"/>
          <w:b/>
          <w:bCs/>
          <w:sz w:val="32"/>
          <w:szCs w:val="32"/>
          <w:lang w:bidi="ar-SA"/>
        </w:rPr>
        <w:t>三是进一步改进信访维稳工作方法。</w:t>
      </w:r>
      <w:r>
        <w:rPr>
          <w:rFonts w:hint="eastAsia" w:ascii="Times New Roman" w:hAnsi="Times New Roman" w:eastAsia="仿宋_GB2312" w:cs="Times New Roman"/>
          <w:sz w:val="32"/>
          <w:szCs w:val="32"/>
          <w:lang w:bidi="ar-SA"/>
        </w:rPr>
        <w:t>在做好政策法规宣传、矛盾纠纷排查、疏导安抚劝返、涉访群体跟踪、登记督查考核等工作的同时，积极加强与省、州、县（市）信访部门、司法机关、执法部门和商会等社会组织的协作配合，强化矛盾纠纷排查和化解力度；</w:t>
      </w:r>
      <w:r>
        <w:rPr>
          <w:rFonts w:hint="eastAsia" w:ascii="Times New Roman" w:hAnsi="Times New Roman" w:eastAsia="仿宋_GB2312" w:cs="Times New Roman"/>
          <w:b/>
          <w:bCs/>
          <w:sz w:val="32"/>
          <w:szCs w:val="32"/>
          <w:lang w:bidi="ar-SA"/>
        </w:rPr>
        <w:t>四是进一步加强信访维稳工作的研判。</w:t>
      </w:r>
      <w:r>
        <w:rPr>
          <w:rFonts w:hint="eastAsia" w:ascii="Times New Roman" w:hAnsi="Times New Roman" w:eastAsia="仿宋_GB2312" w:cs="Times New Roman"/>
          <w:sz w:val="32"/>
          <w:szCs w:val="32"/>
          <w:lang w:bidi="ar-SA"/>
        </w:rPr>
        <w:t>做好法律宣传、跟踪劝返和矛盾化解工作。重点统筹做好全国两会、省“两会”、党的十九届</w:t>
      </w:r>
      <w:r>
        <w:rPr>
          <w:rFonts w:hint="eastAsia" w:eastAsia="仿宋_GB2312" w:cs="Times New Roman"/>
          <w:sz w:val="32"/>
          <w:szCs w:val="32"/>
          <w:lang w:val="en-US" w:eastAsia="zh-CN" w:bidi="ar-SA"/>
        </w:rPr>
        <w:t>历次</w:t>
      </w:r>
      <w:bookmarkStart w:id="161" w:name="_GoBack"/>
      <w:bookmarkEnd w:id="161"/>
      <w:r>
        <w:rPr>
          <w:rFonts w:hint="eastAsia" w:ascii="Times New Roman" w:hAnsi="Times New Roman" w:eastAsia="仿宋_GB2312" w:cs="Times New Roman"/>
          <w:sz w:val="32"/>
          <w:szCs w:val="32"/>
          <w:lang w:bidi="ar-SA"/>
        </w:rPr>
        <w:t>全会等重点节会期间的信访维稳工作。进一步发挥我办“人民满意窗口”作用，得到了群众的信任。</w:t>
      </w:r>
    </w:p>
    <w:p w14:paraId="6E601666">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（三）拓展外延</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当好政务联络</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“办事员”。一是强化纵向对接。</w:t>
      </w:r>
      <w:r>
        <w:rPr>
          <w:rFonts w:hint="eastAsia" w:ascii="Times New Roman" w:hAnsi="Times New Roman" w:eastAsia="仿宋_GB2312" w:cs="Times New Roman"/>
          <w:sz w:val="32"/>
          <w:szCs w:val="32"/>
          <w:lang w:bidi="ar-SA"/>
        </w:rPr>
        <w:t>主动加强与国家部委局和省级部门的对接联络，为我州各项事业发展积极争取政策支持和项目牵线落地，高质量完成了全国两会、省“两会”等重大节会服务工作，积极参与州委、州政府领导到国家民委、交通运输部、农业农村部、林业和草原局等部委汇报工作、争取政策中，加强工作联络协调，确保有效衔接。</w:t>
      </w:r>
      <w:r>
        <w:rPr>
          <w:rFonts w:hint="eastAsia" w:ascii="Times New Roman" w:hAnsi="Times New Roman" w:eastAsia="仿宋_GB2312" w:cs="Times New Roman"/>
          <w:b/>
          <w:bCs/>
          <w:sz w:val="32"/>
          <w:szCs w:val="32"/>
          <w:lang w:bidi="ar-SA"/>
        </w:rPr>
        <w:t>二是强化横向交流。</w:t>
      </w:r>
      <w:r>
        <w:rPr>
          <w:rFonts w:hint="eastAsia" w:ascii="Times New Roman" w:hAnsi="Times New Roman" w:eastAsia="仿宋_GB2312" w:cs="Times New Roman"/>
          <w:sz w:val="32"/>
          <w:szCs w:val="32"/>
          <w:lang w:bidi="ar-SA"/>
        </w:rPr>
        <w:t>以驻京、驻蓉机构为桥梁，加强与全国各省（市）和省内各市（州）的交往互动、经验交流，密切我州在政治、经济各项事业方面的对外交流合作和友好往来。</w:t>
      </w:r>
      <w:r>
        <w:rPr>
          <w:rFonts w:hint="eastAsia" w:ascii="Times New Roman" w:hAnsi="Times New Roman" w:eastAsia="仿宋_GB2312" w:cs="Times New Roman"/>
          <w:b/>
          <w:bCs/>
          <w:sz w:val="32"/>
          <w:szCs w:val="32"/>
          <w:lang w:bidi="ar-SA"/>
        </w:rPr>
        <w:t>三是强化跨界联系。</w:t>
      </w:r>
      <w:r>
        <w:rPr>
          <w:rFonts w:hint="eastAsia" w:ascii="Times New Roman" w:hAnsi="Times New Roman" w:eastAsia="仿宋_GB2312" w:cs="Times New Roman"/>
          <w:sz w:val="32"/>
          <w:szCs w:val="32"/>
          <w:lang w:bidi="ar-SA"/>
        </w:rPr>
        <w:t>逐步加强与文化艺术、科学技术、社会科学、经济、工商、农业、教育、医药卫生等界别的联系，力争为我州发展汇聚各方优势资源。</w:t>
      </w:r>
      <w:r>
        <w:rPr>
          <w:rFonts w:hint="eastAsia" w:ascii="Times New Roman" w:hAnsi="Times New Roman" w:eastAsia="仿宋_GB2312" w:cs="Times New Roman"/>
          <w:b/>
          <w:bCs/>
          <w:sz w:val="32"/>
          <w:szCs w:val="32"/>
          <w:lang w:bidi="ar-SA"/>
        </w:rPr>
        <w:t>四是强化商会服务指导。</w:t>
      </w:r>
      <w:r>
        <w:rPr>
          <w:rFonts w:hint="eastAsia" w:ascii="Times New Roman" w:hAnsi="Times New Roman" w:eastAsia="仿宋_GB2312" w:cs="Times New Roman"/>
          <w:sz w:val="32"/>
          <w:szCs w:val="32"/>
          <w:lang w:bidi="ar-SA"/>
        </w:rPr>
        <w:t>加强对阿坝州籍在外商会、在外企业的服务指导工作，切实维护州籍企业合法权益。</w:t>
      </w:r>
      <w:r>
        <w:rPr>
          <w:rFonts w:hint="eastAsia" w:ascii="Times New Roman" w:hAnsi="Times New Roman" w:eastAsia="仿宋_GB2312" w:cs="Times New Roman"/>
          <w:b/>
          <w:bCs/>
          <w:sz w:val="32"/>
          <w:szCs w:val="32"/>
          <w:lang w:bidi="ar-SA"/>
        </w:rPr>
        <w:t>五是强化政务联络。</w:t>
      </w:r>
      <w:r>
        <w:rPr>
          <w:rFonts w:hint="eastAsia" w:ascii="Times New Roman" w:hAnsi="Times New Roman" w:eastAsia="仿宋_GB2312" w:cs="Times New Roman"/>
          <w:sz w:val="32"/>
          <w:szCs w:val="32"/>
          <w:lang w:bidi="ar-SA"/>
        </w:rPr>
        <w:t>严格按照公务接待管理办法和厉行节约要求，认真做好州委、州政府和州公务服务中心通知在成都地区的机场迎送、车辆保障、食宿安排等公务联络接待工作，高质量做好了川甘青三省交界地区五州边际协作会议等重要公务接待任务，订购机票共1</w:t>
      </w:r>
      <w:r>
        <w:rPr>
          <w:rFonts w:ascii="Times New Roman" w:hAnsi="Times New Roman" w:eastAsia="仿宋_GB2312" w:cs="Times New Roman"/>
          <w:sz w:val="32"/>
          <w:szCs w:val="32"/>
          <w:lang w:bidi="ar-SA"/>
        </w:rPr>
        <w:t>3</w:t>
      </w:r>
      <w:r>
        <w:rPr>
          <w:rFonts w:hint="eastAsia" w:ascii="Times New Roman" w:hAnsi="Times New Roman" w:eastAsia="仿宋_GB2312" w:cs="Times New Roman"/>
          <w:sz w:val="32"/>
          <w:szCs w:val="32"/>
          <w:lang w:bidi="ar-SA"/>
        </w:rPr>
        <w:t>9份。</w:t>
      </w:r>
    </w:p>
    <w:p w14:paraId="2B62F998">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（四）</w:t>
      </w:r>
      <w:r>
        <w:rPr>
          <w:rFonts w:ascii="Times New Roman" w:hAnsi="Times New Roman" w:eastAsia="仿宋_GB2312" w:cs="Times New Roman"/>
          <w:b/>
          <w:bCs/>
          <w:sz w:val="32"/>
          <w:szCs w:val="32"/>
          <w:lang w:bidi="ar-SA"/>
        </w:rPr>
        <w:t>强</w:t>
      </w:r>
      <w:r>
        <w:rPr>
          <w:rFonts w:hint="eastAsia" w:ascii="Times New Roman" w:hAnsi="Times New Roman" w:eastAsia="仿宋_GB2312" w:cs="Times New Roman"/>
          <w:b/>
          <w:bCs/>
          <w:sz w:val="32"/>
          <w:szCs w:val="32"/>
          <w:lang w:bidi="ar-SA"/>
        </w:rPr>
        <w:t>力推动</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当好区域经济协作</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“宣传员”。一是加强本州优势资源宣传力度。</w:t>
      </w:r>
      <w:r>
        <w:rPr>
          <w:rFonts w:hint="eastAsia" w:ascii="Times New Roman" w:hAnsi="Times New Roman" w:eastAsia="仿宋_GB2312" w:cs="Times New Roman"/>
          <w:sz w:val="32"/>
          <w:szCs w:val="32"/>
          <w:lang w:bidi="ar-SA"/>
        </w:rPr>
        <w:t>积极与州商务和经济合作局等部门的沟通，及时了解掌握我州全域旅游文化类项目、旅游类项目，净土阿坝项目，绿色工业项目及各县（市）招商引资规划和招商引资政策，加大宣传推介力度，发放宣传资料、图册、光盘、电子影音文件60余份。</w:t>
      </w:r>
      <w:r>
        <w:rPr>
          <w:rFonts w:hint="eastAsia" w:ascii="Times New Roman" w:hAnsi="Times New Roman" w:eastAsia="仿宋_GB2312" w:cs="Times New Roman"/>
          <w:b/>
          <w:bCs/>
          <w:sz w:val="32"/>
          <w:szCs w:val="32"/>
          <w:lang w:bidi="ar-SA"/>
        </w:rPr>
        <w:t>二是加强引进项目跟踪服务力度。</w:t>
      </w:r>
      <w:r>
        <w:rPr>
          <w:rFonts w:hint="eastAsia" w:ascii="Times New Roman" w:hAnsi="Times New Roman" w:eastAsia="仿宋_GB2312" w:cs="Times New Roman"/>
          <w:sz w:val="32"/>
          <w:szCs w:val="32"/>
          <w:lang w:bidi="ar-SA"/>
        </w:rPr>
        <w:t>以论坛、推介会为契机推进招商活动，主动配合省、州、县相关部门做好招商洽谈会等重要招商引资活动。加大对已引进项目的跟踪服务力度，由我办引进的天津市华科通用航空有限公司在马尔康市投资计划5亿元的商住综合体，一期项目已投资2.5亿元。</w:t>
      </w:r>
      <w:r>
        <w:rPr>
          <w:rFonts w:hint="eastAsia" w:ascii="Times New Roman" w:hAnsi="Times New Roman" w:eastAsia="仿宋_GB2312" w:cs="Times New Roman"/>
          <w:b/>
          <w:bCs/>
          <w:sz w:val="32"/>
          <w:szCs w:val="32"/>
          <w:lang w:bidi="ar-SA"/>
        </w:rPr>
        <w:t>三是加强重大招商活动推介力度。</w:t>
      </w:r>
      <w:r>
        <w:rPr>
          <w:rFonts w:hint="eastAsia" w:ascii="Times New Roman" w:hAnsi="Times New Roman" w:eastAsia="仿宋_GB2312" w:cs="Times New Roman"/>
          <w:sz w:val="32"/>
          <w:szCs w:val="32"/>
          <w:lang w:bidi="ar-SA"/>
        </w:rPr>
        <w:t>加强与北京各省市驻京机构商务协会的联系，加强与中关村绿色科技扶贫创新产业联盟的联系，积极探索中介招商。积极拜访四川世纪新亚环保科技有限公司、国投太平洋投资管理（北京）有限公司成都运营中心等对阿坝州有兴趣和投资意向的企业。</w:t>
      </w:r>
      <w:r>
        <w:rPr>
          <w:rFonts w:hint="eastAsia" w:ascii="Times New Roman" w:hAnsi="Times New Roman" w:eastAsia="仿宋_GB2312" w:cs="Times New Roman"/>
          <w:b/>
          <w:bCs/>
          <w:sz w:val="32"/>
          <w:szCs w:val="32"/>
          <w:lang w:bidi="ar-SA"/>
        </w:rPr>
        <w:t>四是着力加强与阿坝州籍在京、在蓉商会和企业的联系、指导和服务工作。</w:t>
      </w:r>
      <w:r>
        <w:rPr>
          <w:rFonts w:hint="eastAsia" w:ascii="Times New Roman" w:hAnsi="Times New Roman" w:eastAsia="仿宋_GB2312" w:cs="Times New Roman"/>
          <w:sz w:val="32"/>
          <w:szCs w:val="32"/>
          <w:lang w:bidi="ar-SA"/>
        </w:rPr>
        <w:t>建立阿坝产品推广工作群，通过走访、电话、微信等联系四川裕长东建筑工程有限公司（汶川注册）、阿坝州藏羌醇酒业有限公司、茂县天膳高山农业科技有限公司等企业，了解他们复工复产情况，并帮助他们推广微店、网点，发布川货出川大宗采购信息等。</w:t>
      </w:r>
    </w:p>
    <w:p w14:paraId="35094E73">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（五）</w:t>
      </w:r>
      <w:r>
        <w:rPr>
          <w:rFonts w:ascii="Times New Roman" w:hAnsi="Times New Roman" w:eastAsia="仿宋_GB2312" w:cs="Times New Roman"/>
          <w:b/>
          <w:bCs/>
          <w:sz w:val="32"/>
          <w:szCs w:val="32"/>
          <w:lang w:bidi="ar-SA"/>
        </w:rPr>
        <w:t>收集</w:t>
      </w:r>
      <w:r>
        <w:rPr>
          <w:rFonts w:hint="eastAsia" w:ascii="Times New Roman" w:hAnsi="Times New Roman" w:eastAsia="仿宋_GB2312" w:cs="Times New Roman"/>
          <w:b/>
          <w:bCs/>
          <w:sz w:val="32"/>
          <w:szCs w:val="32"/>
          <w:lang w:bidi="ar-SA"/>
        </w:rPr>
        <w:t>信息</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当好机要收发</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“情报员”。</w:t>
      </w:r>
      <w:r>
        <w:rPr>
          <w:rFonts w:hint="eastAsia" w:ascii="Times New Roman" w:hAnsi="Times New Roman" w:eastAsia="仿宋_GB2312" w:cs="Times New Roman"/>
          <w:b w:val="0"/>
          <w:bCs w:val="0"/>
          <w:sz w:val="32"/>
          <w:szCs w:val="32"/>
          <w:lang w:bidi="ar-SA"/>
        </w:rPr>
        <w:t>突出“安全”，做好机要密码工作</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突出“时效”，做好信息工作。</w:t>
      </w:r>
      <w:r>
        <w:rPr>
          <w:rFonts w:hint="eastAsia" w:ascii="Times New Roman" w:hAnsi="Times New Roman" w:eastAsia="仿宋_GB2312" w:cs="Times New Roman"/>
          <w:sz w:val="32"/>
          <w:szCs w:val="32"/>
          <w:lang w:bidi="ar-SA"/>
        </w:rPr>
        <w:t>不断拓宽信息渠道，加强联系沟通，及时收集掌握政策性、经济性、发展性、民生性信息，为州委、州政府决策部署提供参考依据。</w:t>
      </w:r>
    </w:p>
    <w:p w14:paraId="6029D4DF">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（六）积极参与</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当好社会公共服务</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“管理员”。</w:t>
      </w:r>
      <w:r>
        <w:rPr>
          <w:rFonts w:hint="eastAsia" w:ascii="Times New Roman" w:hAnsi="Times New Roman" w:eastAsia="仿宋_GB2312" w:cs="Times New Roman"/>
          <w:sz w:val="32"/>
          <w:szCs w:val="32"/>
          <w:lang w:bidi="ar-SA"/>
        </w:rPr>
        <w:t>按照州委全力应对新冠肺炎疫情，统筹抓好疫情防控和经济社会发展工作部署，尽心尽力为我州藉农民工服好务，收集403家企业农民工岗位需求1604个。成立北京农民工党群工作服务站，制定详细的工作职责，从农民工子女入学，医疗、法律维权几个方面进行详细介绍，做好保障工作。做好用工信息收集，推送四川医疗卫生、民生保障、生活服务及交通物流网络专场招聘会和四川2020年春风行动暨就业援助月网络招聘会信息，收集成都、北京用工信息等。</w:t>
      </w:r>
    </w:p>
    <w:p w14:paraId="015070F1">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（七）围绕中心</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当好服务大局</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“服务员”。一是认真开展“两联一进”群众工作全覆盖和驻村帮扶工作。</w:t>
      </w:r>
      <w:r>
        <w:rPr>
          <w:rFonts w:hint="eastAsia" w:ascii="Times New Roman" w:hAnsi="Times New Roman" w:eastAsia="仿宋_GB2312" w:cs="Times New Roman"/>
          <w:sz w:val="32"/>
          <w:szCs w:val="32"/>
          <w:lang w:bidi="ar-SA"/>
        </w:rPr>
        <w:t>按照“两联一进”群众工作全覆盖工作要求，我办县处级领导干部带头，深入扎康农舍，与包联对象面对面、心贴心，向寺庙僧侣宣传政策法规，引导他们爱国爱教、持戒守法，向贫困群众了解诉求解决困难，鼓励他们树立信心、克服困难共同努力早日脱贫致富，让包联对象明白“惠从何来、恩向谁报”。持续加大对若尔盖县麦溪乡幕村的帮扶力度，在帮扶该村通过国家验收摘掉贫困村“帽子”的同时，继续解决资金帮助该村提升幸福指数和增强基层阵地建设。</w:t>
      </w:r>
      <w:r>
        <w:rPr>
          <w:rFonts w:hint="eastAsia" w:ascii="Times New Roman" w:hAnsi="Times New Roman" w:eastAsia="仿宋_GB2312" w:cs="Times New Roman"/>
          <w:b/>
          <w:bCs/>
          <w:sz w:val="32"/>
          <w:szCs w:val="32"/>
          <w:lang w:bidi="ar-SA"/>
        </w:rPr>
        <w:t>二是升级软硬件拓展服务范围做好政务服务工作。</w:t>
      </w:r>
      <w:r>
        <w:rPr>
          <w:rFonts w:hint="eastAsia" w:ascii="Times New Roman" w:hAnsi="Times New Roman" w:eastAsia="仿宋_GB2312" w:cs="Times New Roman"/>
          <w:sz w:val="32"/>
          <w:szCs w:val="32"/>
          <w:lang w:bidi="ar-SA"/>
        </w:rPr>
        <w:t>不断升级软硬件，提升政务服务能力，为州级领导和州直各部门在京、在蓉开展公务活动做好会务报到、材料转递、机票代购、车辆保障等服务工作，承办州委、州政府和州直部门在我办召开的各类会议</w:t>
      </w:r>
      <w:r>
        <w:rPr>
          <w:rFonts w:ascii="Times New Roman" w:hAnsi="Times New Roman" w:eastAsia="仿宋_GB2312" w:cs="Times New Roman"/>
          <w:sz w:val="32"/>
          <w:szCs w:val="32"/>
          <w:lang w:bidi="ar-SA"/>
        </w:rPr>
        <w:t>30</w:t>
      </w:r>
      <w:r>
        <w:rPr>
          <w:rFonts w:hint="eastAsia" w:ascii="Times New Roman" w:hAnsi="Times New Roman" w:eastAsia="仿宋_GB2312" w:cs="Times New Roman"/>
          <w:sz w:val="32"/>
          <w:szCs w:val="32"/>
          <w:lang w:bidi="ar-SA"/>
        </w:rPr>
        <w:t>余场次，并全力做好州委、州政府交办的各项事务性工作。</w:t>
      </w:r>
    </w:p>
    <w:p w14:paraId="42187AF0">
      <w:pPr>
        <w:pStyle w:val="12"/>
        <w:adjustRightInd w:val="0"/>
        <w:snapToGrid w:val="0"/>
        <w:spacing w:before="93" w:line="600" w:lineRule="exact"/>
        <w:ind w:firstLine="672" w:firstLineChars="210"/>
        <w:outlineLvl w:val="2"/>
        <w:rPr>
          <w:rFonts w:hint="eastAsia" w:ascii="仿宋" w:hAnsi="仿宋" w:eastAsia="仿宋"/>
          <w:bCs/>
          <w:color w:val="000000"/>
          <w:sz w:val="32"/>
          <w:szCs w:val="32"/>
        </w:rPr>
      </w:pPr>
    </w:p>
    <w:p w14:paraId="5297FAA4">
      <w:pPr>
        <w:pStyle w:val="3"/>
        <w:rPr>
          <w:rStyle w:val="29"/>
          <w:b w:val="0"/>
          <w:bCs w:val="0"/>
        </w:rPr>
      </w:pPr>
      <w:bookmarkStart w:id="28" w:name="_Toc79163605"/>
      <w:bookmarkStart w:id="29" w:name="_Toc15377200"/>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8"/>
      <w:bookmarkEnd w:id="29"/>
      <w:bookmarkEnd w:id="30"/>
      <w:bookmarkEnd w:id="31"/>
    </w:p>
    <w:p w14:paraId="05BFD3C7">
      <w:pPr>
        <w:ind w:firstLine="800" w:firstLineChars="250"/>
        <w:rPr>
          <w:rFonts w:ascii="仿宋" w:hAnsi="仿宋" w:eastAsia="仿宋"/>
          <w:sz w:val="32"/>
          <w:szCs w:val="32"/>
        </w:rPr>
      </w:pPr>
      <w:r>
        <w:rPr>
          <w:rFonts w:hint="eastAsia" w:ascii="仿宋" w:hAnsi="仿宋" w:eastAsia="仿宋"/>
          <w:sz w:val="32"/>
          <w:szCs w:val="32"/>
          <w:lang w:val="en-US" w:eastAsia="zh-CN"/>
        </w:rPr>
        <w:t>四川省阿坝州人民政府驻北京联络处无</w:t>
      </w:r>
      <w:r>
        <w:rPr>
          <w:rFonts w:hint="eastAsia" w:ascii="仿宋" w:hAnsi="仿宋" w:eastAsia="仿宋"/>
          <w:sz w:val="32"/>
          <w:szCs w:val="32"/>
        </w:rPr>
        <w:t>下属二级单位。</w:t>
      </w:r>
    </w:p>
    <w:p w14:paraId="74E36ADC">
      <w:pPr>
        <w:widowControl/>
        <w:jc w:val="left"/>
        <w:rPr>
          <w:rFonts w:ascii="仿宋" w:hAnsi="仿宋" w:eastAsia="仿宋"/>
          <w:color w:val="000000"/>
          <w:kern w:val="0"/>
          <w:sz w:val="32"/>
          <w:szCs w:val="32"/>
        </w:rPr>
      </w:pPr>
    </w:p>
    <w:p w14:paraId="0A754360">
      <w:pPr>
        <w:pStyle w:val="2"/>
        <w:ind w:right="440"/>
        <w:jc w:val="right"/>
        <w:rPr>
          <w:rStyle w:val="28"/>
          <w:rFonts w:ascii="黑体" w:hAnsi="黑体" w:eastAsia="黑体"/>
          <w:b w:val="0"/>
          <w:bCs w:val="0"/>
        </w:rPr>
      </w:pPr>
      <w:bookmarkStart w:id="32" w:name="_Toc15377204"/>
      <w:bookmarkStart w:id="33" w:name="_Toc79163859"/>
      <w:bookmarkStart w:id="34" w:name="_Toc15396602"/>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8"/>
          <w:rFonts w:ascii="黑体" w:hAnsi="黑体" w:eastAsia="黑体"/>
          <w:b w:val="0"/>
          <w:bCs w:val="0"/>
        </w:rPr>
        <w:t>2020</w:t>
      </w:r>
      <w:r>
        <w:rPr>
          <w:rStyle w:val="28"/>
          <w:rFonts w:hint="eastAsia" w:ascii="黑体" w:hAnsi="黑体" w:eastAsia="黑体"/>
          <w:b w:val="0"/>
          <w:bCs w:val="0"/>
        </w:rPr>
        <w:t>年度部门决算情况说明</w:t>
      </w:r>
      <w:bookmarkEnd w:id="32"/>
      <w:bookmarkEnd w:id="33"/>
      <w:bookmarkEnd w:id="34"/>
      <w:bookmarkEnd w:id="35"/>
    </w:p>
    <w:p w14:paraId="2B5CCAE4"/>
    <w:p w14:paraId="54525E22">
      <w:pPr>
        <w:pStyle w:val="39"/>
        <w:numPr>
          <w:ilvl w:val="0"/>
          <w:numId w:val="2"/>
        </w:numPr>
        <w:spacing w:line="600" w:lineRule="exact"/>
        <w:ind w:firstLineChars="0"/>
        <w:outlineLvl w:val="1"/>
        <w:rPr>
          <w:rStyle w:val="29"/>
          <w:rFonts w:ascii="黑体" w:hAnsi="黑体" w:eastAsia="黑体"/>
          <w:b w:val="0"/>
        </w:rPr>
      </w:pPr>
      <w:bookmarkStart w:id="36" w:name="_Toc15396603"/>
      <w:bookmarkStart w:id="37" w:name="_Toc15377205"/>
      <w:bookmarkStart w:id="38" w:name="_Toc79163860"/>
      <w:bookmarkStart w:id="39" w:name="_Toc79163610"/>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36"/>
      <w:bookmarkEnd w:id="37"/>
      <w:bookmarkEnd w:id="38"/>
      <w:bookmarkEnd w:id="39"/>
    </w:p>
    <w:p w14:paraId="3C14DA67">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1095.85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293.18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2019年有北京维修工程款585.03万元,2020年由于疫情原因该工程未完成，仅支付297.68万元，剩余资金超两个会计年度财政收回。</w:t>
      </w:r>
    </w:p>
    <w:p w14:paraId="4EEFDC26">
      <w:pPr>
        <w:spacing w:line="600" w:lineRule="exact"/>
        <w:ind w:firstLine="480" w:firstLineChars="200"/>
        <w:rPr>
          <w:rFonts w:hint="eastAsia" w:ascii="仿宋_GB2312" w:eastAsia="仿宋_GB2312" w:cs="宋体"/>
          <w:kern w:val="0"/>
          <w:sz w:val="24"/>
          <w:lang w:eastAsia="zh-CN" w:bidi="ar-SA"/>
        </w:rPr>
      </w:pPr>
      <w:r>
        <w:rPr>
          <w:rFonts w:hint="eastAsia" w:ascii="仿宋_GB2312" w:eastAsia="仿宋_GB2312" w:cs="宋体"/>
          <w:kern w:val="0"/>
          <w:sz w:val="24"/>
          <w:lang w:eastAsia="zh-CN" w:bidi="ar-SA"/>
        </w:rPr>
        <w:drawing>
          <wp:anchor distT="0" distB="0" distL="114300" distR="114300" simplePos="0" relativeHeight="251659264" behindDoc="0" locked="0" layoutInCell="1" allowOverlap="1">
            <wp:simplePos x="0" y="0"/>
            <wp:positionH relativeFrom="column">
              <wp:posOffset>213995</wp:posOffset>
            </wp:positionH>
            <wp:positionV relativeFrom="paragraph">
              <wp:posOffset>40005</wp:posOffset>
            </wp:positionV>
            <wp:extent cx="4784725" cy="2915285"/>
            <wp:effectExtent l="4445" t="5080" r="11430" b="1333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E8D2685">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251B9ED6">
      <w:pPr>
        <w:spacing w:line="600" w:lineRule="exact"/>
        <w:ind w:firstLine="640" w:firstLineChars="200"/>
        <w:jc w:val="left"/>
        <w:rPr>
          <w:rFonts w:ascii="仿宋_GB2312" w:eastAsia="仿宋_GB2312"/>
          <w:color w:val="000000"/>
          <w:sz w:val="32"/>
          <w:szCs w:val="32"/>
        </w:rPr>
      </w:pPr>
    </w:p>
    <w:p w14:paraId="65F2168F">
      <w:pPr>
        <w:pStyle w:val="39"/>
        <w:numPr>
          <w:ilvl w:val="0"/>
          <w:numId w:val="2"/>
        </w:numPr>
        <w:spacing w:line="600" w:lineRule="exact"/>
        <w:ind w:firstLineChars="0"/>
        <w:outlineLvl w:val="1"/>
        <w:rPr>
          <w:rStyle w:val="29"/>
          <w:rFonts w:ascii="黑体" w:hAnsi="黑体" w:eastAsia="黑体"/>
          <w:b w:val="0"/>
        </w:rPr>
      </w:pPr>
      <w:bookmarkStart w:id="40" w:name="_Toc15377206"/>
      <w:bookmarkStart w:id="41" w:name="_Toc79163611"/>
      <w:bookmarkStart w:id="42" w:name="_Toc79163861"/>
      <w:bookmarkStart w:id="43"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40"/>
      <w:bookmarkEnd w:id="41"/>
      <w:bookmarkEnd w:id="42"/>
      <w:bookmarkEnd w:id="43"/>
    </w:p>
    <w:p w14:paraId="6F6DCA5B">
      <w:pPr>
        <w:spacing w:line="600" w:lineRule="exact"/>
        <w:ind w:firstLine="640" w:firstLineChars="200"/>
        <w:rPr>
          <w:rFonts w:ascii="仿宋" w:hAnsi="仿宋" w:eastAsia="仿宋"/>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559.86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559.86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 xml:space="preserve">           </w:t>
      </w:r>
    </w:p>
    <w:p w14:paraId="03A2392E">
      <w:pPr>
        <w:spacing w:line="600" w:lineRule="exact"/>
        <w:ind w:firstLine="640" w:firstLineChars="200"/>
        <w:rPr>
          <w:rFonts w:hint="eastAsia" w:ascii="仿宋" w:hAnsi="仿宋" w:eastAsia="仿宋"/>
          <w:color w:val="000000"/>
          <w:sz w:val="32"/>
          <w:szCs w:val="32"/>
        </w:rPr>
      </w:pPr>
    </w:p>
    <w:p w14:paraId="35DFD421">
      <w:pPr>
        <w:spacing w:line="600" w:lineRule="exact"/>
        <w:ind w:firstLine="640" w:firstLineChars="200"/>
        <w:rPr>
          <w:rFonts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738505</wp:posOffset>
            </wp:positionH>
            <wp:positionV relativeFrom="paragraph">
              <wp:posOffset>52705</wp:posOffset>
            </wp:positionV>
            <wp:extent cx="3785870" cy="2427605"/>
            <wp:effectExtent l="4445" t="4445" r="19685" b="635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1CA58950">
      <w:pPr>
        <w:spacing w:line="600" w:lineRule="exact"/>
        <w:ind w:firstLine="640" w:firstLineChars="200"/>
        <w:rPr>
          <w:rFonts w:ascii="仿宋_GB2312" w:eastAsia="仿宋_GB2312"/>
          <w:color w:val="FF0000"/>
          <w:sz w:val="32"/>
          <w:szCs w:val="32"/>
        </w:rPr>
      </w:pPr>
    </w:p>
    <w:p w14:paraId="1649375A">
      <w:pPr>
        <w:pStyle w:val="39"/>
        <w:numPr>
          <w:ilvl w:val="0"/>
          <w:numId w:val="2"/>
        </w:numPr>
        <w:spacing w:line="600" w:lineRule="exact"/>
        <w:ind w:firstLineChars="0"/>
        <w:outlineLvl w:val="1"/>
        <w:rPr>
          <w:rStyle w:val="29"/>
          <w:rFonts w:ascii="黑体" w:hAnsi="黑体" w:eastAsia="黑体"/>
          <w:b w:val="0"/>
        </w:rPr>
      </w:pPr>
      <w:bookmarkStart w:id="44" w:name="_Toc79163862"/>
      <w:bookmarkStart w:id="45" w:name="_Toc15377207"/>
      <w:bookmarkStart w:id="46" w:name="_Toc79163612"/>
      <w:bookmarkStart w:id="47"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44"/>
      <w:bookmarkEnd w:id="45"/>
      <w:bookmarkEnd w:id="46"/>
      <w:bookmarkEnd w:id="47"/>
    </w:p>
    <w:p w14:paraId="7E3F47E3">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996.92</w:t>
      </w:r>
      <w:r>
        <w:rPr>
          <w:rFonts w:hint="eastAsia" w:ascii="仿宋_GB2312" w:eastAsia="仿宋_GB2312"/>
          <w:sz w:val="32"/>
          <w:szCs w:val="32"/>
        </w:rPr>
        <w:t>万元，其中：基本支出</w:t>
      </w:r>
      <w:r>
        <w:rPr>
          <w:rFonts w:hint="eastAsia" w:ascii="仿宋_GB2312" w:eastAsia="仿宋_GB2312"/>
          <w:sz w:val="32"/>
          <w:szCs w:val="32"/>
          <w:lang w:val="en-US" w:eastAsia="zh-CN"/>
        </w:rPr>
        <w:t>699.24</w:t>
      </w:r>
      <w:r>
        <w:rPr>
          <w:rFonts w:hint="eastAsia" w:ascii="仿宋_GB2312" w:eastAsia="仿宋_GB2312"/>
          <w:sz w:val="32"/>
          <w:szCs w:val="32"/>
        </w:rPr>
        <w:t>万元，占</w:t>
      </w:r>
      <w:r>
        <w:rPr>
          <w:rFonts w:hint="eastAsia" w:ascii="仿宋_GB2312" w:eastAsia="仿宋_GB2312"/>
          <w:sz w:val="32"/>
          <w:szCs w:val="32"/>
          <w:lang w:val="en-US" w:eastAsia="zh-CN"/>
        </w:rPr>
        <w:t>70.14</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297.68</w:t>
      </w:r>
      <w:r>
        <w:rPr>
          <w:rFonts w:hint="eastAsia" w:ascii="仿宋_GB2312" w:eastAsia="仿宋_GB2312"/>
          <w:sz w:val="32"/>
          <w:szCs w:val="32"/>
        </w:rPr>
        <w:t>万元，占</w:t>
      </w:r>
      <w:r>
        <w:rPr>
          <w:rFonts w:hint="eastAsia" w:ascii="仿宋_GB2312" w:eastAsia="仿宋_GB2312"/>
          <w:sz w:val="32"/>
          <w:szCs w:val="32"/>
          <w:lang w:val="en-US" w:eastAsia="zh-CN"/>
        </w:rPr>
        <w:t>29.86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2863A0F">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14:paraId="5391BC05">
      <w:pPr>
        <w:spacing w:line="600" w:lineRule="exact"/>
        <w:rPr>
          <w:rFonts w:ascii="仿宋" w:hAnsi="仿宋" w:eastAsia="仿宋"/>
          <w:color w:val="000000"/>
          <w:sz w:val="32"/>
          <w:szCs w:val="32"/>
        </w:rPr>
      </w:pPr>
      <w:r>
        <w:rPr>
          <w:rFonts w:hint="eastAsia" w:ascii="仿宋" w:hAnsi="仿宋" w:eastAsia="仿宋"/>
          <w:color w:val="000000"/>
          <w:sz w:val="32"/>
          <w:szCs w:val="32"/>
          <w:shd w:val="pct10" w:color="auto" w:fill="FFFFFF"/>
          <w:lang w:eastAsia="zh-CN"/>
        </w:rPr>
        <w:drawing>
          <wp:anchor distT="0" distB="0" distL="114300" distR="114300" simplePos="0" relativeHeight="251660288" behindDoc="0" locked="0" layoutInCell="1" allowOverlap="1">
            <wp:simplePos x="0" y="0"/>
            <wp:positionH relativeFrom="column">
              <wp:posOffset>420370</wp:posOffset>
            </wp:positionH>
            <wp:positionV relativeFrom="paragraph">
              <wp:posOffset>-899795</wp:posOffset>
            </wp:positionV>
            <wp:extent cx="4241165" cy="2723515"/>
            <wp:effectExtent l="4445" t="5080" r="21590"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shd w:val="pct10" w:color="auto" w:fill="FFFFFF"/>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7D7C07F8">
      <w:pPr>
        <w:spacing w:line="600" w:lineRule="exact"/>
        <w:ind w:firstLine="640" w:firstLineChars="200"/>
        <w:rPr>
          <w:rFonts w:ascii="仿宋_GB2312" w:eastAsia="仿宋_GB2312"/>
          <w:color w:val="FF0000"/>
          <w:sz w:val="32"/>
          <w:szCs w:val="32"/>
        </w:rPr>
      </w:pPr>
    </w:p>
    <w:p w14:paraId="102C2AFD">
      <w:pPr>
        <w:spacing w:line="600" w:lineRule="exact"/>
        <w:ind w:firstLine="640" w:firstLineChars="200"/>
        <w:outlineLvl w:val="1"/>
        <w:rPr>
          <w:rStyle w:val="29"/>
          <w:rFonts w:ascii="黑体" w:hAnsi="黑体" w:eastAsia="黑体"/>
          <w:b w:val="0"/>
        </w:rPr>
      </w:pPr>
      <w:bookmarkStart w:id="48" w:name="_Toc15377208"/>
      <w:bookmarkStart w:id="49" w:name="_Toc15396606"/>
      <w:bookmarkStart w:id="50" w:name="_Toc79163863"/>
      <w:bookmarkStart w:id="51" w:name="_Toc7916361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48"/>
      <w:bookmarkEnd w:id="49"/>
      <w:bookmarkEnd w:id="50"/>
      <w:bookmarkEnd w:id="51"/>
    </w:p>
    <w:p w14:paraId="1167356B">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1095.85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w:t>
      </w:r>
      <w:r>
        <w:rPr>
          <w:rFonts w:hint="eastAsia" w:ascii="仿宋" w:hAnsi="仿宋" w:eastAsia="仿宋"/>
          <w:color w:val="000000"/>
          <w:sz w:val="32"/>
          <w:szCs w:val="32"/>
          <w:lang w:val="en-US" w:eastAsia="zh-CN"/>
        </w:rPr>
        <w:t>各</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293.18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2019年有北京维修工程款585.03万元,2020年由于疫情原因该工程未完成，仅支付297.68万元，剩余资金超两年财政收回。</w:t>
      </w:r>
    </w:p>
    <w:p w14:paraId="180FEF36">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1A9823B7">
      <w:pPr>
        <w:spacing w:line="600" w:lineRule="exact"/>
        <w:ind w:firstLine="640"/>
        <w:rPr>
          <w:rFonts w:ascii="仿宋" w:hAnsi="仿宋" w:eastAsia="仿宋"/>
          <w:b/>
          <w:color w:val="00B050"/>
          <w:sz w:val="32"/>
          <w:szCs w:val="32"/>
        </w:rPr>
      </w:pPr>
    </w:p>
    <w:p w14:paraId="2CC66D87">
      <w:pPr>
        <w:spacing w:line="600" w:lineRule="exact"/>
        <w:ind w:firstLine="640" w:firstLineChars="200"/>
        <w:outlineLvl w:val="1"/>
        <w:rPr>
          <w:rStyle w:val="29"/>
          <w:rFonts w:ascii="黑体" w:hAnsi="黑体" w:eastAsia="黑体"/>
          <w:b w:val="0"/>
        </w:rPr>
      </w:pPr>
      <w:bookmarkStart w:id="52" w:name="_Toc15396607"/>
      <w:bookmarkStart w:id="53" w:name="_Toc79163614"/>
      <w:bookmarkStart w:id="54" w:name="_Toc15377209"/>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52"/>
      <w:bookmarkEnd w:id="53"/>
      <w:bookmarkEnd w:id="54"/>
      <w:bookmarkEnd w:id="55"/>
    </w:p>
    <w:p w14:paraId="1B4F03C7">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14:paraId="15B4FC16">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996.91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342.21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52.27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1、2019年有北京维修工程款585.03万元为年底拨付未支付,2020年该工程动工支付297.68万元进度款，2、人员新增3人，减少1人，人员晋级晋档等原因导致人员经费增加。</w:t>
      </w:r>
    </w:p>
    <w:p w14:paraId="2AA80D4A">
      <w:pPr>
        <w:spacing w:line="600" w:lineRule="exact"/>
        <w:ind w:firstLine="480" w:firstLineChars="200"/>
        <w:rPr>
          <w:rFonts w:ascii="仿宋" w:hAnsi="仿宋" w:eastAsia="仿宋"/>
          <w:color w:val="000000"/>
          <w:sz w:val="32"/>
          <w:szCs w:val="32"/>
        </w:rPr>
      </w:pPr>
      <w:r>
        <w:rPr>
          <w:rFonts w:hint="eastAsia" w:ascii="仿宋_GB2312" w:eastAsia="仿宋_GB2312" w:cs="宋体"/>
          <w:kern w:val="0"/>
          <w:sz w:val="24"/>
          <w:lang w:eastAsia="zh-CN" w:bidi="ar-SA"/>
        </w:rPr>
        <w:drawing>
          <wp:anchor distT="0" distB="0" distL="114300" distR="114300" simplePos="0" relativeHeight="251662336" behindDoc="0" locked="0" layoutInCell="1" allowOverlap="1">
            <wp:simplePos x="0" y="0"/>
            <wp:positionH relativeFrom="column">
              <wp:posOffset>528955</wp:posOffset>
            </wp:positionH>
            <wp:positionV relativeFrom="paragraph">
              <wp:posOffset>165735</wp:posOffset>
            </wp:positionV>
            <wp:extent cx="4565650" cy="2686685"/>
            <wp:effectExtent l="4445" t="4445" r="20955" b="1397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E9C0730">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07E78DCA">
      <w:pPr>
        <w:spacing w:line="600" w:lineRule="exact"/>
        <w:ind w:firstLine="640" w:firstLineChars="200"/>
        <w:rPr>
          <w:rFonts w:ascii="仿宋" w:hAnsi="仿宋" w:eastAsia="仿宋"/>
          <w:color w:val="000000"/>
          <w:sz w:val="32"/>
          <w:szCs w:val="32"/>
        </w:rPr>
      </w:pPr>
    </w:p>
    <w:p w14:paraId="79492955">
      <w:pPr>
        <w:spacing w:line="600" w:lineRule="exact"/>
        <w:ind w:firstLine="643"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14:paraId="1FB62AB2">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996.92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922.54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92.54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34.31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13.67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1.37</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2.65</w:t>
      </w:r>
      <w:r>
        <w:rPr>
          <w:rFonts w:ascii="仿宋" w:hAnsi="仿宋" w:eastAsia="仿宋"/>
          <w:color w:val="000000"/>
          <w:sz w:val="32"/>
          <w:szCs w:val="32"/>
        </w:rPr>
        <w:t>%</w:t>
      </w:r>
      <w:r>
        <w:rPr>
          <w:rFonts w:hint="eastAsia" w:ascii="仿宋" w:hAnsi="仿宋" w:eastAsia="仿宋"/>
          <w:color w:val="000000"/>
          <w:sz w:val="32"/>
          <w:szCs w:val="32"/>
        </w:rPr>
        <w:t>。</w:t>
      </w:r>
    </w:p>
    <w:p w14:paraId="1D9AE0BE">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106680</wp:posOffset>
            </wp:positionH>
            <wp:positionV relativeFrom="paragraph">
              <wp:posOffset>138430</wp:posOffset>
            </wp:positionV>
            <wp:extent cx="4993005" cy="3914140"/>
            <wp:effectExtent l="4445" t="4445" r="12700" b="571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69A1E95C">
      <w:pPr>
        <w:spacing w:line="600" w:lineRule="exact"/>
        <w:ind w:firstLine="640" w:firstLineChars="200"/>
        <w:rPr>
          <w:rFonts w:ascii="仿宋" w:hAnsi="仿宋" w:eastAsia="仿宋"/>
          <w:color w:val="000000"/>
          <w:sz w:val="32"/>
          <w:szCs w:val="32"/>
        </w:rPr>
      </w:pPr>
    </w:p>
    <w:p w14:paraId="4F503F35">
      <w:pPr>
        <w:spacing w:line="600" w:lineRule="exact"/>
        <w:ind w:firstLine="643"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14:paraId="1A3A3AB8">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1094.92</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4952508D">
      <w:pPr>
        <w:numPr>
          <w:ilvl w:val="0"/>
          <w:numId w:val="3"/>
        </w:num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一般公共服务（</w:t>
      </w:r>
      <w:r>
        <w:rPr>
          <w:rStyle w:val="26"/>
          <w:rFonts w:hint="eastAsia" w:ascii="仿宋" w:hAnsi="仿宋" w:eastAsia="仿宋"/>
          <w:bCs/>
          <w:color w:val="000000"/>
          <w:sz w:val="32"/>
          <w:szCs w:val="32"/>
          <w:lang w:val="en-US" w:eastAsia="zh-CN"/>
        </w:rPr>
        <w:t>201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政府办公厅（室）及相关机构</w:t>
      </w:r>
      <w:r>
        <w:rPr>
          <w:rStyle w:val="26"/>
          <w:rFonts w:hint="eastAsia" w:ascii="仿宋" w:hAnsi="仿宋" w:eastAsia="仿宋"/>
          <w:bCs/>
          <w:color w:val="000000"/>
          <w:sz w:val="32"/>
          <w:szCs w:val="32"/>
        </w:rPr>
        <w:t>（款）</w:t>
      </w:r>
      <w:r>
        <w:rPr>
          <w:rStyle w:val="26"/>
          <w:rFonts w:hint="eastAsia" w:ascii="仿宋" w:hAnsi="仿宋" w:eastAsia="仿宋"/>
          <w:bCs/>
          <w:color w:val="000000"/>
          <w:sz w:val="32"/>
          <w:szCs w:val="32"/>
          <w:lang w:val="en-US" w:eastAsia="zh-CN"/>
        </w:rPr>
        <w:t>行政运行</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624.86</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1D9483DF">
      <w:pPr>
        <w:numPr>
          <w:ilvl w:val="0"/>
          <w:numId w:val="3"/>
        </w:num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一般公共服务（</w:t>
      </w:r>
      <w:r>
        <w:rPr>
          <w:rStyle w:val="26"/>
          <w:rFonts w:hint="eastAsia" w:ascii="仿宋" w:hAnsi="仿宋" w:eastAsia="仿宋"/>
          <w:bCs/>
          <w:color w:val="000000"/>
          <w:sz w:val="32"/>
          <w:szCs w:val="32"/>
          <w:lang w:val="en-US" w:eastAsia="zh-CN"/>
        </w:rPr>
        <w:t>201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政府办公厅（室）及相关机构</w:t>
      </w:r>
      <w:r>
        <w:rPr>
          <w:rStyle w:val="26"/>
          <w:rFonts w:hint="eastAsia" w:ascii="仿宋" w:hAnsi="仿宋" w:eastAsia="仿宋"/>
          <w:bCs/>
          <w:color w:val="000000"/>
          <w:sz w:val="32"/>
          <w:szCs w:val="32"/>
        </w:rPr>
        <w:t>（款）</w:t>
      </w:r>
      <w:r>
        <w:rPr>
          <w:rStyle w:val="26"/>
          <w:rFonts w:hint="eastAsia" w:ascii="仿宋" w:hAnsi="仿宋" w:eastAsia="仿宋"/>
          <w:bCs/>
          <w:color w:val="000000"/>
          <w:sz w:val="32"/>
          <w:szCs w:val="32"/>
          <w:lang w:val="en-US" w:eastAsia="zh-CN"/>
        </w:rPr>
        <w:t>一般行政管理事务</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02</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297.68</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032E943A">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社会保障和就业（</w:t>
      </w:r>
      <w:r>
        <w:rPr>
          <w:rStyle w:val="26"/>
          <w:rFonts w:hint="eastAsia" w:ascii="仿宋" w:hAnsi="仿宋" w:eastAsia="仿宋"/>
          <w:bCs/>
          <w:color w:val="000000"/>
          <w:sz w:val="32"/>
          <w:szCs w:val="32"/>
          <w:lang w:val="en-US" w:eastAsia="zh-CN"/>
        </w:rPr>
        <w:t>208</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行政事业单位养老支出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机关事业单位基本养老保险缴费支出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22.88</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52168769">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社会保障和就业（</w:t>
      </w:r>
      <w:r>
        <w:rPr>
          <w:rStyle w:val="26"/>
          <w:rFonts w:hint="eastAsia" w:ascii="仿宋" w:hAnsi="仿宋" w:eastAsia="仿宋"/>
          <w:bCs/>
          <w:color w:val="000000"/>
          <w:sz w:val="32"/>
          <w:szCs w:val="32"/>
          <w:lang w:val="en-US" w:eastAsia="zh-CN"/>
        </w:rPr>
        <w:t>208</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行政事业单位养老支出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机关事业单位职业年金缴费支出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06</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11.43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78E1906E">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210</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11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12.23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62FD06FE">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210</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11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公务员医疗补助</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03</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1.44</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1B69AF19">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
          <w:bCs w:val="0"/>
          <w:color w:val="000000"/>
          <w:sz w:val="32"/>
          <w:szCs w:val="32"/>
          <w:lang w:val="en-US" w:eastAsia="zh-CN"/>
        </w:rPr>
        <w:t>住房保障支出（221）住房改革支出（02）住房公积金（01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26.4</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14:paraId="7A691718">
      <w:pPr>
        <w:tabs>
          <w:tab w:val="right" w:pos="8306"/>
        </w:tabs>
        <w:spacing w:line="600" w:lineRule="exact"/>
        <w:ind w:firstLine="640"/>
        <w:outlineLvl w:val="1"/>
        <w:rPr>
          <w:rFonts w:hint="eastAsia" w:ascii="黑体" w:eastAsia="黑体"/>
          <w:color w:val="000000"/>
          <w:sz w:val="32"/>
          <w:szCs w:val="32"/>
        </w:rPr>
      </w:pPr>
      <w:bookmarkStart w:id="68" w:name="_Toc15377214"/>
      <w:bookmarkStart w:id="69" w:name="_Toc79163868"/>
      <w:bookmarkStart w:id="70" w:name="_Toc15396608"/>
      <w:bookmarkStart w:id="71" w:name="_Toc79163618"/>
    </w:p>
    <w:p w14:paraId="680C3976">
      <w:pPr>
        <w:tabs>
          <w:tab w:val="right" w:pos="8306"/>
        </w:tabs>
        <w:spacing w:line="600" w:lineRule="exact"/>
        <w:ind w:firstLine="64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68"/>
      <w:bookmarkEnd w:id="69"/>
      <w:bookmarkEnd w:id="70"/>
      <w:bookmarkEnd w:id="71"/>
      <w:r>
        <w:rPr>
          <w:rStyle w:val="29"/>
          <w:rFonts w:ascii="黑体" w:hAnsi="黑体" w:eastAsia="黑体"/>
          <w:b w:val="0"/>
        </w:rPr>
        <w:tab/>
      </w:r>
    </w:p>
    <w:p w14:paraId="186E1461">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699.24</w:t>
      </w:r>
      <w:r>
        <w:rPr>
          <w:rFonts w:hint="eastAsia" w:ascii="仿宋" w:hAnsi="仿宋" w:eastAsia="仿宋"/>
          <w:color w:val="000000"/>
          <w:sz w:val="32"/>
          <w:szCs w:val="32"/>
        </w:rPr>
        <w:t>万元，其中：</w:t>
      </w:r>
    </w:p>
    <w:p w14:paraId="69784278">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455.09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79.81万元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114.9万元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26.52万元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17.88万元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22.88万元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11.43万元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职工基本医疗保险缴费1223万元、公务员医疗补助缴费1.44万元、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2.18万元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26.4万元、医疗费2.41万元、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43.4万元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15.52万元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38.56万元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37.26万元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2.02万元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0.25万元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244.14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12.95万元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0.73万元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2.02万元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0.13万元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0.22万元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2.67万元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10.89万元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2.7万元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1.57万元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44.48万元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0.72万元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97.76万元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0.59万元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1.18万元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2.77万元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51.39万元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5.72万元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2.73万元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1.08万元</w:t>
      </w:r>
      <w:r>
        <w:rPr>
          <w:rFonts w:hint="eastAsia" w:ascii="仿宋" w:hAnsi="仿宋" w:eastAsia="仿宋"/>
          <w:color w:val="000000"/>
          <w:sz w:val="32"/>
          <w:szCs w:val="32"/>
        </w:rPr>
        <w:t>。</w:t>
      </w:r>
    </w:p>
    <w:p w14:paraId="0DE78D27">
      <w:pPr>
        <w:spacing w:line="600" w:lineRule="exact"/>
        <w:ind w:firstLine="640"/>
        <w:rPr>
          <w:rFonts w:ascii="仿宋" w:hAnsi="仿宋" w:eastAsia="仿宋"/>
          <w:b/>
          <w:color w:val="FF0000"/>
          <w:sz w:val="32"/>
          <w:szCs w:val="32"/>
        </w:rPr>
      </w:pPr>
    </w:p>
    <w:p w14:paraId="16A11491">
      <w:pPr>
        <w:spacing w:line="600" w:lineRule="exact"/>
        <w:ind w:firstLine="640"/>
        <w:outlineLvl w:val="1"/>
        <w:rPr>
          <w:rStyle w:val="29"/>
          <w:rFonts w:ascii="黑体" w:hAnsi="黑体" w:eastAsia="黑体"/>
          <w:b w:val="0"/>
        </w:rPr>
      </w:pPr>
      <w:bookmarkStart w:id="72" w:name="_Toc79163619"/>
      <w:bookmarkStart w:id="73" w:name="_Toc15377215"/>
      <w:bookmarkStart w:id="74" w:name="_Toc15396609"/>
      <w:bookmarkStart w:id="75" w:name="_Toc7916386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72"/>
      <w:bookmarkEnd w:id="73"/>
      <w:bookmarkEnd w:id="74"/>
      <w:bookmarkEnd w:id="75"/>
    </w:p>
    <w:p w14:paraId="22A8330B">
      <w:pPr>
        <w:spacing w:line="600" w:lineRule="exact"/>
        <w:ind w:firstLine="640"/>
        <w:outlineLvl w:val="2"/>
        <w:rPr>
          <w:rFonts w:ascii="仿宋" w:hAnsi="仿宋" w:eastAsia="仿宋"/>
          <w:b/>
          <w:color w:val="000000"/>
          <w:sz w:val="32"/>
          <w:szCs w:val="32"/>
        </w:rPr>
      </w:pPr>
      <w:bookmarkStart w:id="76" w:name="_Toc79163620"/>
      <w:bookmarkStart w:id="77" w:name="_Toc79163870"/>
      <w:bookmarkStart w:id="78" w:name="_Toc15377216"/>
      <w:r>
        <w:rPr>
          <w:rFonts w:hint="eastAsia" w:ascii="仿宋" w:hAnsi="仿宋" w:eastAsia="仿宋"/>
          <w:b/>
          <w:color w:val="000000"/>
          <w:sz w:val="32"/>
          <w:szCs w:val="32"/>
        </w:rPr>
        <w:t>（一）“三公”经费财政拨款支出决算总体情况说明</w:t>
      </w:r>
      <w:bookmarkEnd w:id="76"/>
      <w:bookmarkEnd w:id="77"/>
      <w:bookmarkEnd w:id="78"/>
    </w:p>
    <w:p w14:paraId="6947A1C9">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52.57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56B7C704">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14:paraId="2511A29F">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51.39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97.76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2.24</w:t>
      </w:r>
      <w:r>
        <w:rPr>
          <w:rFonts w:ascii="仿宋" w:hAnsi="仿宋" w:eastAsia="仿宋"/>
          <w:color w:val="000000"/>
          <w:sz w:val="32"/>
          <w:szCs w:val="32"/>
        </w:rPr>
        <w:t>%</w:t>
      </w:r>
      <w:r>
        <w:rPr>
          <w:rFonts w:hint="eastAsia" w:ascii="仿宋" w:hAnsi="仿宋" w:eastAsia="仿宋"/>
          <w:color w:val="000000"/>
          <w:sz w:val="32"/>
          <w:szCs w:val="32"/>
        </w:rPr>
        <w:t>。具体情况如下：</w:t>
      </w:r>
    </w:p>
    <w:p w14:paraId="2228E91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820420</wp:posOffset>
            </wp:positionH>
            <wp:positionV relativeFrom="paragraph">
              <wp:posOffset>22860</wp:posOffset>
            </wp:positionV>
            <wp:extent cx="3928110" cy="3267710"/>
            <wp:effectExtent l="4445" t="5080" r="10795" b="2286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2CEED550">
      <w:pPr>
        <w:spacing w:line="600" w:lineRule="exact"/>
        <w:ind w:firstLine="640"/>
        <w:rPr>
          <w:rFonts w:ascii="仿宋_GB2312" w:eastAsia="仿宋_GB2312"/>
          <w:b/>
          <w:color w:val="000000"/>
          <w:sz w:val="32"/>
          <w:szCs w:val="32"/>
        </w:rPr>
      </w:pPr>
    </w:p>
    <w:p w14:paraId="5BA4930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9无增减变动</w:t>
      </w:r>
      <w:r>
        <w:rPr>
          <w:rFonts w:hint="eastAsia" w:ascii="仿宋_GB2312" w:eastAsia="仿宋_GB2312"/>
          <w:color w:val="000000"/>
          <w:sz w:val="32"/>
          <w:szCs w:val="32"/>
        </w:rPr>
        <w:t>。</w:t>
      </w:r>
    </w:p>
    <w:p w14:paraId="01AD6615">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51.39</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6.68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14.94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有两台车辆使用年限长，行驶公里数分别都已超过40多万公里，维修维护支出今年明显增多</w:t>
      </w:r>
      <w:r>
        <w:rPr>
          <w:rFonts w:hint="eastAsia" w:ascii="仿宋_GB2312" w:eastAsia="仿宋_GB2312"/>
          <w:color w:val="000000"/>
          <w:sz w:val="32"/>
          <w:szCs w:val="32"/>
        </w:rPr>
        <w:t>。</w:t>
      </w:r>
    </w:p>
    <w:p w14:paraId="4FB5DB94">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14:paraId="29887058">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51.39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w:t>
      </w:r>
      <w:r>
        <w:rPr>
          <w:rFonts w:hint="eastAsia" w:ascii="Times New Roman" w:hAnsi="Times New Roman" w:eastAsia="仿宋_GB2312" w:cs="Times New Roman"/>
          <w:sz w:val="32"/>
          <w:szCs w:val="32"/>
          <w:lang w:bidi="ar-SA"/>
        </w:rPr>
        <w:t>好州委、州政府和州公务服务中心通知在</w:t>
      </w:r>
      <w:r>
        <w:rPr>
          <w:rFonts w:hint="eastAsia" w:eastAsia="仿宋_GB2312" w:cs="Times New Roman"/>
          <w:sz w:val="32"/>
          <w:szCs w:val="32"/>
          <w:lang w:val="en-US" w:eastAsia="zh-CN" w:bidi="ar-SA"/>
        </w:rPr>
        <w:t>北京地区、</w:t>
      </w:r>
      <w:r>
        <w:rPr>
          <w:rFonts w:hint="eastAsia" w:ascii="Times New Roman" w:hAnsi="Times New Roman" w:eastAsia="仿宋_GB2312" w:cs="Times New Roman"/>
          <w:sz w:val="32"/>
          <w:szCs w:val="32"/>
          <w:lang w:bidi="ar-SA"/>
        </w:rPr>
        <w:t>成都地区的机场迎送、车辆保障等公务联络工作</w:t>
      </w:r>
      <w:r>
        <w:rPr>
          <w:rFonts w:hint="eastAsia" w:ascii="仿宋_GB2312" w:eastAsia="仿宋_GB2312"/>
          <w:color w:val="000000"/>
          <w:sz w:val="32"/>
          <w:szCs w:val="32"/>
          <w:lang w:val="en-US" w:eastAsia="zh-CN"/>
        </w:rPr>
        <w:t>、信访维稳工作、机要件收发工作、招商引资、</w:t>
      </w:r>
      <w:r>
        <w:rPr>
          <w:rFonts w:hint="eastAsia" w:ascii="Times New Roman" w:hAnsi="Times New Roman" w:eastAsia="仿宋_GB2312" w:cs="Times New Roman"/>
          <w:b w:val="0"/>
          <w:bCs w:val="0"/>
          <w:sz w:val="32"/>
          <w:szCs w:val="32"/>
          <w:lang w:bidi="ar-SA"/>
        </w:rPr>
        <w:t>重大招商活动推介</w:t>
      </w:r>
      <w:r>
        <w:rPr>
          <w:rFonts w:hint="eastAsia" w:ascii="仿宋_GB2312" w:eastAsia="仿宋_GB2312"/>
          <w:color w:val="000000"/>
          <w:sz w:val="32"/>
          <w:szCs w:val="32"/>
          <w:lang w:val="en-US" w:eastAsia="zh-CN"/>
        </w:rPr>
        <w:t>工作、日常办公出差</w:t>
      </w:r>
      <w:r>
        <w:rPr>
          <w:rFonts w:hint="eastAsia" w:ascii="仿宋_GB2312" w:eastAsia="仿宋_GB2312"/>
          <w:color w:val="000000"/>
          <w:sz w:val="32"/>
          <w:szCs w:val="32"/>
        </w:rPr>
        <w:t>等所需的公务用车燃料费、维修费、过路过桥费、保险费等支出。</w:t>
      </w:r>
    </w:p>
    <w:p w14:paraId="61B43475">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各部门严格按照疫情要求防范风险，减少接待交流等工作</w:t>
      </w:r>
      <w:r>
        <w:rPr>
          <w:rFonts w:hint="eastAsia" w:ascii="仿宋_GB2312" w:eastAsia="仿宋_GB2312"/>
          <w:color w:val="000000"/>
          <w:sz w:val="32"/>
          <w:szCs w:val="32"/>
        </w:rPr>
        <w:t>。</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1.18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政务联络和招商引资等方面，以及州内各各大型活动的后勤保障工作中产生的费用</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83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第二届四川帮扶产品北京推介会代表团用餐0.05万元；川甘青水源涵养区生态保护和高质量发展协商研讨会后勤保障工作用餐支出0.20元；全球文化产业促进交流会全球文化产业集团董事长接待支出0.12元；驻京接待信访工作组、交通部、国家发改委政务联络后勤保障支出餐费0.34元；全国藏区工作会后勤保障餐费支出0.25元</w:t>
      </w:r>
      <w:r>
        <w:rPr>
          <w:rFonts w:hint="eastAsia" w:ascii="仿宋_GB2312" w:eastAsia="仿宋_GB2312"/>
          <w:color w:val="000000"/>
          <w:sz w:val="32"/>
          <w:szCs w:val="32"/>
        </w:rPr>
        <w:t>。</w:t>
      </w:r>
    </w:p>
    <w:p w14:paraId="1D8865A3">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2" w:name="_Toc79163872"/>
      <w:bookmarkStart w:id="83" w:name="_Toc15396610"/>
      <w:bookmarkStart w:id="84" w:name="_Toc15377218"/>
      <w:bookmarkStart w:id="85" w:name="_Toc79163622"/>
      <w:r>
        <w:rPr>
          <w:rFonts w:hint="eastAsia" w:ascii="仿宋_GB2312" w:eastAsia="仿宋_GB2312"/>
          <w:color w:val="000000"/>
          <w:sz w:val="32"/>
          <w:szCs w:val="32"/>
          <w:lang w:eastAsia="zh-CN"/>
        </w:rPr>
        <w:t>。</w:t>
      </w:r>
    </w:p>
    <w:p w14:paraId="4D76CFF5">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82"/>
      <w:bookmarkEnd w:id="83"/>
      <w:bookmarkEnd w:id="84"/>
      <w:bookmarkEnd w:id="85"/>
    </w:p>
    <w:p w14:paraId="3644D864">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AE6427E">
      <w:pPr>
        <w:spacing w:line="600" w:lineRule="exact"/>
        <w:ind w:firstLine="640"/>
        <w:rPr>
          <w:rFonts w:ascii="仿宋_GB2312" w:eastAsia="仿宋_GB2312"/>
          <w:color w:val="000000"/>
          <w:sz w:val="32"/>
          <w:szCs w:val="32"/>
        </w:rPr>
      </w:pPr>
    </w:p>
    <w:p w14:paraId="09F38072">
      <w:pPr>
        <w:numPr>
          <w:ilvl w:val="0"/>
          <w:numId w:val="4"/>
        </w:numPr>
        <w:spacing w:line="600" w:lineRule="exact"/>
        <w:ind w:firstLine="640"/>
        <w:outlineLvl w:val="1"/>
        <w:rPr>
          <w:rStyle w:val="29"/>
          <w:rFonts w:ascii="黑体" w:hAnsi="黑体" w:eastAsia="黑体"/>
          <w:b w:val="0"/>
        </w:rPr>
      </w:pPr>
      <w:bookmarkStart w:id="86" w:name="_Toc15377219"/>
      <w:bookmarkStart w:id="87" w:name="_Toc79163873"/>
      <w:bookmarkStart w:id="88" w:name="_Toc79163623"/>
      <w:bookmarkStart w:id="89" w:name="_Toc15396611"/>
      <w:r>
        <w:rPr>
          <w:rStyle w:val="29"/>
          <w:rFonts w:hint="eastAsia" w:ascii="黑体" w:hAnsi="黑体" w:eastAsia="黑体"/>
          <w:b w:val="0"/>
        </w:rPr>
        <w:t>国有资本经营预算支出决算情况说明</w:t>
      </w:r>
      <w:bookmarkEnd w:id="86"/>
      <w:bookmarkEnd w:id="87"/>
      <w:bookmarkEnd w:id="88"/>
      <w:bookmarkEnd w:id="89"/>
    </w:p>
    <w:p w14:paraId="3E68849C">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65B2402">
      <w:pPr>
        <w:spacing w:line="580" w:lineRule="exact"/>
        <w:jc w:val="center"/>
        <w:rPr>
          <w:rFonts w:ascii="方正小标宋简体" w:hAnsi="方正小标宋简体" w:eastAsia="方正小标宋简体" w:cs="方正小标宋简体"/>
          <w:sz w:val="44"/>
          <w:szCs w:val="44"/>
        </w:rPr>
      </w:pPr>
    </w:p>
    <w:p w14:paraId="0A394057">
      <w:pPr>
        <w:spacing w:line="600" w:lineRule="exact"/>
        <w:ind w:firstLine="800" w:firstLineChars="250"/>
        <w:outlineLvl w:val="1"/>
        <w:rPr>
          <w:rStyle w:val="29"/>
          <w:rFonts w:ascii="黑体" w:hAnsi="黑体" w:eastAsia="黑体"/>
        </w:rPr>
      </w:pPr>
      <w:bookmarkStart w:id="90" w:name="_Toc15377221"/>
      <w:bookmarkStart w:id="91" w:name="_Toc79163624"/>
      <w:bookmarkStart w:id="92" w:name="_Toc79163874"/>
      <w:bookmarkStart w:id="93"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90"/>
      <w:bookmarkEnd w:id="91"/>
      <w:bookmarkEnd w:id="92"/>
      <w:bookmarkEnd w:id="93"/>
    </w:p>
    <w:p w14:paraId="5E04F1B3">
      <w:pPr>
        <w:spacing w:line="600" w:lineRule="exact"/>
        <w:ind w:firstLine="643"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14:paraId="6DBF7553">
      <w:pPr>
        <w:spacing w:line="600" w:lineRule="exact"/>
        <w:ind w:firstLine="640" w:firstLineChars="200"/>
        <w:rPr>
          <w:rFonts w:hint="default" w:ascii="仿宋_GB2312" w:eastAsia="仿宋_GB2312"/>
          <w:color w:val="000000"/>
          <w:sz w:val="32"/>
          <w:szCs w:val="32"/>
          <w:highlight w:val="none"/>
          <w:lang w:val="en-US" w:eastAsia="zh-CN"/>
        </w:rPr>
      </w:pPr>
      <w:r>
        <w:rPr>
          <w:rFonts w:ascii="仿宋_GB2312" w:eastAsia="仿宋_GB2312"/>
          <w:color w:val="000000"/>
          <w:sz w:val="32"/>
          <w:szCs w:val="32"/>
          <w:highlight w:val="none"/>
        </w:rPr>
        <w:t>2020</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阿坝州人民政府驻北京联络处</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244.15</w:t>
      </w:r>
      <w:r>
        <w:rPr>
          <w:rFonts w:hint="eastAsia" w:ascii="仿宋_GB2312" w:eastAsia="仿宋_GB2312"/>
          <w:color w:val="000000"/>
          <w:sz w:val="32"/>
          <w:szCs w:val="32"/>
          <w:highlight w:val="none"/>
        </w:rPr>
        <w:t>万元，比</w:t>
      </w:r>
      <w:r>
        <w:rPr>
          <w:rFonts w:ascii="仿宋_GB2312" w:eastAsia="仿宋_GB2312"/>
          <w:color w:val="000000"/>
          <w:sz w:val="32"/>
          <w:szCs w:val="32"/>
          <w:highlight w:val="none"/>
        </w:rPr>
        <w:t>2019</w:t>
      </w:r>
      <w:r>
        <w:rPr>
          <w:rFonts w:hint="eastAsia" w:ascii="仿宋_GB2312" w:eastAsia="仿宋_GB2312"/>
          <w:color w:val="000000"/>
          <w:sz w:val="32"/>
          <w:szCs w:val="32"/>
          <w:highlight w:val="none"/>
        </w:rPr>
        <w:t>年减少</w:t>
      </w:r>
      <w:r>
        <w:rPr>
          <w:rFonts w:hint="eastAsia" w:ascii="仿宋_GB2312" w:eastAsia="仿宋_GB2312"/>
          <w:color w:val="000000"/>
          <w:sz w:val="32"/>
          <w:szCs w:val="32"/>
          <w:highlight w:val="none"/>
          <w:lang w:val="en-US" w:eastAsia="zh-CN"/>
        </w:rPr>
        <w:t>64.32</w:t>
      </w:r>
      <w:r>
        <w:rPr>
          <w:rFonts w:hint="eastAsia" w:ascii="仿宋_GB2312" w:eastAsia="仿宋_GB2312"/>
          <w:color w:val="000000"/>
          <w:sz w:val="32"/>
          <w:szCs w:val="32"/>
          <w:highlight w:val="none"/>
        </w:rPr>
        <w:t>万元，下降</w:t>
      </w:r>
      <w:r>
        <w:rPr>
          <w:rFonts w:hint="eastAsia" w:ascii="仿宋_GB2312" w:eastAsia="仿宋_GB2312"/>
          <w:color w:val="000000"/>
          <w:sz w:val="32"/>
          <w:szCs w:val="32"/>
          <w:highlight w:val="none"/>
          <w:lang w:val="en-US" w:eastAsia="zh-CN"/>
        </w:rPr>
        <w:t>20.83</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。主要原因是</w:t>
      </w:r>
      <w:r>
        <w:rPr>
          <w:rFonts w:hint="eastAsia" w:ascii="仿宋_GB2312" w:eastAsia="仿宋_GB2312"/>
          <w:color w:val="000000"/>
          <w:sz w:val="32"/>
          <w:szCs w:val="32"/>
          <w:highlight w:val="none"/>
          <w:lang w:val="en-US" w:eastAsia="zh-CN"/>
        </w:rPr>
        <w:t>疫情防控很多工作简化处理，各项公用经费开支下降。</w:t>
      </w:r>
    </w:p>
    <w:p w14:paraId="4B6D076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79163626"/>
      <w:bookmarkStart w:id="99" w:name="_Toc15377223"/>
      <w:r>
        <w:rPr>
          <w:rFonts w:hint="eastAsia" w:ascii="仿宋" w:hAnsi="仿宋" w:eastAsia="仿宋"/>
          <w:b/>
          <w:color w:val="000000"/>
          <w:sz w:val="32"/>
          <w:szCs w:val="32"/>
        </w:rPr>
        <w:t>（二）政府采购支出情况</w:t>
      </w:r>
      <w:bookmarkEnd w:id="97"/>
      <w:bookmarkEnd w:id="98"/>
      <w:bookmarkEnd w:id="99"/>
    </w:p>
    <w:p w14:paraId="40D1BD80">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阿坝州人民政府驻北京联络处</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北京值班电话购买0.2万元；成都办公区购买红外测温门0.88万元</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14:paraId="5C53B27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14:paraId="023DA7CC">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阿坝州人民政府驻北京联络处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val="en-US" w:eastAsia="zh-CN"/>
        </w:rPr>
        <w:t>单位在阿坝州成都北京等地进行政务联络、招商引资、信访维稳等工作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0E3F98EC">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14:paraId="751A9DC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根据预算绩效管理要求，本部门无专项预算项目，因此未组织开展项目支出绩效评价。</w:t>
      </w:r>
    </w:p>
    <w:p w14:paraId="28A5641F">
      <w:pPr>
        <w:keepNext w:val="0"/>
        <w:keepLines w:val="0"/>
        <w:pageBreakBefore w:val="0"/>
        <w:widowControl/>
        <w:kinsoku/>
        <w:wordWrap/>
        <w:overflowPunct/>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val="en-US" w:eastAsia="zh-CN"/>
        </w:rPr>
        <w:t>未安排专项项目</w:t>
      </w:r>
      <w:r>
        <w:rPr>
          <w:rFonts w:hint="eastAsia" w:ascii="仿宋_GB2312" w:hAnsi="仿宋_GB2312" w:eastAsia="仿宋_GB2312" w:cs="仿宋_GB2312"/>
          <w:sz w:val="32"/>
          <w:szCs w:val="32"/>
        </w:rPr>
        <w:t>，未组织开展项目支出绩效评价</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北京办公区维修改造款于2019年底安排预算经费，且由于疫情的影响至今还未竣工结算，所以未对该项目进行绩效评价</w:t>
      </w:r>
      <w:r>
        <w:rPr>
          <w:rFonts w:hint="eastAsia" w:ascii="仿宋_GB2312" w:hAnsi="仿宋_GB2312" w:eastAsia="仿宋_GB2312" w:cs="仿宋_GB2312"/>
          <w:color w:val="000000"/>
          <w:kern w:val="0"/>
          <w:sz w:val="32"/>
          <w:szCs w:val="32"/>
          <w:lang w:val="zh-CN"/>
        </w:rPr>
        <w:t>）</w:t>
      </w:r>
    </w:p>
    <w:p w14:paraId="316CF10A">
      <w:pPr>
        <w:widowControl/>
        <w:adjustRightInd w:val="0"/>
        <w:snapToGrid w:val="0"/>
        <w:spacing w:line="580" w:lineRule="exact"/>
        <w:ind w:firstLine="640" w:firstLineChars="200"/>
        <w:contextualSpacing/>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本单位预算</w:t>
      </w:r>
      <w:r>
        <w:rPr>
          <w:rFonts w:hint="eastAsia" w:ascii="仿宋_GB2312" w:hAnsi="仿宋_GB2312" w:eastAsia="仿宋_GB2312" w:cs="仿宋_GB2312"/>
          <w:color w:val="000000"/>
          <w:kern w:val="0"/>
          <w:sz w:val="32"/>
          <w:szCs w:val="32"/>
          <w:lang w:val="zh-CN"/>
        </w:rPr>
        <w:t>按照州级部门预算编制通知和有关要求，</w:t>
      </w:r>
      <w:r>
        <w:rPr>
          <w:rFonts w:hint="eastAsia" w:ascii="仿宋_GB2312" w:hAnsi="仿宋_GB2312" w:eastAsia="仿宋_GB2312" w:cs="仿宋_GB2312"/>
          <w:color w:val="000000"/>
          <w:kern w:val="0"/>
          <w:sz w:val="32"/>
          <w:szCs w:val="32"/>
          <w:lang w:val="en-US" w:eastAsia="zh-CN"/>
        </w:rPr>
        <w:t>按照我单位的职能职责</w:t>
      </w:r>
      <w:r>
        <w:rPr>
          <w:rFonts w:hint="eastAsia" w:ascii="仿宋_GB2312" w:hAnsi="仿宋_GB2312" w:eastAsia="仿宋_GB2312" w:cs="仿宋_GB2312"/>
          <w:color w:val="000000"/>
          <w:kern w:val="0"/>
          <w:sz w:val="32"/>
          <w:szCs w:val="32"/>
          <w:lang w:val="zh-CN"/>
        </w:rPr>
        <w:t>按时完成</w:t>
      </w:r>
      <w:r>
        <w:rPr>
          <w:rFonts w:hint="eastAsia" w:ascii="仿宋_GB2312" w:hAnsi="仿宋_GB2312" w:eastAsia="仿宋_GB2312" w:cs="仿宋_GB2312"/>
          <w:color w:val="000000"/>
          <w:kern w:val="0"/>
          <w:sz w:val="32"/>
          <w:szCs w:val="32"/>
          <w:lang w:val="en-US" w:eastAsia="zh-CN"/>
        </w:rPr>
        <w:t>各项目标任务，做好</w:t>
      </w:r>
      <w:r>
        <w:rPr>
          <w:rFonts w:hint="eastAsia" w:ascii="仿宋_GB2312" w:hAnsi="仿宋_GB2312" w:eastAsia="仿宋_GB2312" w:cs="仿宋_GB2312"/>
          <w:sz w:val="32"/>
          <w:szCs w:val="32"/>
        </w:rPr>
        <w:t>好社会管理、区域合作、招商引资、宣传推介、信访维稳、政务接待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机要保障</w:t>
      </w:r>
      <w:r>
        <w:rPr>
          <w:rFonts w:hint="eastAsia" w:ascii="仿宋_GB2312" w:hAnsi="仿宋_GB2312" w:eastAsia="仿宋_GB2312" w:cs="仿宋_GB2312"/>
          <w:sz w:val="32"/>
          <w:szCs w:val="32"/>
        </w:rPr>
        <w:t>等工作。</w:t>
      </w:r>
      <w:r>
        <w:rPr>
          <w:rFonts w:hint="eastAsia" w:ascii="仿宋_GB2312" w:hAnsi="仿宋_GB2312" w:eastAsia="仿宋_GB2312" w:cs="仿宋_GB2312"/>
          <w:color w:val="000000"/>
          <w:kern w:val="0"/>
          <w:sz w:val="32"/>
          <w:szCs w:val="32"/>
          <w:lang w:val="zh-CN"/>
        </w:rPr>
        <w:t>按要求完成预算编制质量、绩效目标填报等</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但是还存在财</w:t>
      </w:r>
      <w:r>
        <w:rPr>
          <w:rFonts w:hint="eastAsia" w:ascii="仿宋_GB2312" w:hAnsi="仿宋_GB2312" w:eastAsia="仿宋_GB2312" w:cs="仿宋_GB2312"/>
          <w:sz w:val="32"/>
          <w:szCs w:val="32"/>
          <w:lang w:val="zh-CN" w:eastAsia="zh-CN"/>
        </w:rPr>
        <w:t>政</w:t>
      </w:r>
      <w:r>
        <w:rPr>
          <w:rFonts w:hint="eastAsia" w:ascii="仿宋_GB2312" w:hAnsi="仿宋_GB2312" w:eastAsia="仿宋_GB2312" w:cs="仿宋_GB2312"/>
          <w:sz w:val="32"/>
          <w:szCs w:val="32"/>
          <w:lang w:val="zh-CN"/>
        </w:rPr>
        <w:t>预算</w:t>
      </w:r>
      <w:r>
        <w:rPr>
          <w:rFonts w:hint="eastAsia" w:ascii="仿宋_GB2312" w:hAnsi="仿宋_GB2312" w:eastAsia="仿宋_GB2312" w:cs="仿宋_GB2312"/>
          <w:sz w:val="32"/>
          <w:szCs w:val="32"/>
          <w:lang w:val="en-US" w:eastAsia="zh-CN"/>
        </w:rPr>
        <w:t>编制不够精确，特别经济分类科目，要结合单位实际产生的费用项来编制预算。内控制度执行力度不够强，加强内控的执行；</w:t>
      </w:r>
    </w:p>
    <w:p w14:paraId="36C3A09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当年</w:t>
      </w:r>
      <w:r>
        <w:rPr>
          <w:rFonts w:hint="eastAsia" w:ascii="仿宋_GB2312" w:hAnsi="仿宋_GB2312" w:eastAsia="仿宋_GB2312" w:cs="仿宋_GB2312"/>
          <w:sz w:val="32"/>
          <w:szCs w:val="32"/>
        </w:rPr>
        <w:t>无专项预算项目，因此未组织开展项目支出绩效评价。</w:t>
      </w:r>
    </w:p>
    <w:p w14:paraId="284CECC4">
      <w:pPr>
        <w:spacing w:line="580" w:lineRule="exact"/>
        <w:ind w:firstLine="640" w:firstLineChars="200"/>
        <w:rPr>
          <w:rFonts w:hint="eastAsia" w:ascii="仿宋_GB2312" w:hAnsi="仿宋_GB2312" w:eastAsia="仿宋_GB2312" w:cs="仿宋_GB2312"/>
          <w:sz w:val="32"/>
          <w:szCs w:val="32"/>
        </w:rPr>
      </w:pPr>
    </w:p>
    <w:p w14:paraId="58391F18">
      <w:pPr>
        <w:spacing w:line="580" w:lineRule="exact"/>
        <w:ind w:firstLine="640" w:firstLineChars="200"/>
        <w:rPr>
          <w:rFonts w:hint="eastAsia" w:ascii="仿宋_GB2312" w:hAnsi="仿宋_GB2312" w:eastAsia="仿宋_GB2312" w:cs="仿宋_GB2312"/>
          <w:sz w:val="32"/>
          <w:szCs w:val="32"/>
        </w:rPr>
      </w:pPr>
    </w:p>
    <w:p w14:paraId="17E9F5D6">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反映</w:t>
      </w:r>
      <w:r>
        <w:rPr>
          <w:rFonts w:hint="eastAsia" w:ascii="仿宋_GB2312" w:hAnsi="仿宋_GB2312" w:eastAsia="仿宋_GB2312" w:cs="仿宋_GB2312"/>
          <w:sz w:val="32"/>
          <w:szCs w:val="32"/>
          <w:lang w:val="en-US" w:eastAsia="zh-CN"/>
        </w:rPr>
        <w:t>预算项目绩效，</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北京办公区维修改造款2019年安排预算经费，且由于疫情的影响至今还未竣工结算，所以未对该项目进行绩效评价。</w:t>
      </w:r>
    </w:p>
    <w:p w14:paraId="2469E79E">
      <w:pPr>
        <w:spacing w:line="580" w:lineRule="exact"/>
        <w:ind w:firstLine="640" w:firstLineChars="200"/>
        <w:rPr>
          <w:rFonts w:hint="eastAsia" w:ascii="仿宋_GB2312" w:hAnsi="仿宋_GB2312" w:eastAsia="仿宋_GB2312" w:cs="仿宋_GB2312"/>
          <w:sz w:val="32"/>
          <w:szCs w:val="32"/>
        </w:rPr>
      </w:pPr>
    </w:p>
    <w:p w14:paraId="353FE7D5">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1EDC7C2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阿坝藏族羌族自治州人民政府驻北京联络处</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1BE70FAA">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070E8DF">
      <w:pPr>
        <w:numPr>
          <w:ilvl w:val="0"/>
          <w:numId w:val="5"/>
        </w:numPr>
        <w:spacing w:line="600" w:lineRule="exact"/>
        <w:ind w:firstLine="660" w:firstLineChars="150"/>
        <w:jc w:val="center"/>
        <w:outlineLvl w:val="0"/>
        <w:rPr>
          <w:rStyle w:val="28"/>
          <w:rFonts w:ascii="黑体" w:hAnsi="黑体" w:eastAsia="黑体"/>
          <w:b w:val="0"/>
        </w:rPr>
      </w:pPr>
      <w:bookmarkStart w:id="105" w:name="_Toc15396613"/>
      <w:bookmarkStart w:id="106" w:name="_Toc15377225"/>
      <w:bookmarkStart w:id="107" w:name="_Toc79163879"/>
      <w:bookmarkStart w:id="108" w:name="_Toc79163629"/>
      <w:r>
        <w:rPr>
          <w:rFonts w:hint="eastAsia" w:ascii="黑体" w:hAnsi="黑体" w:eastAsia="黑体"/>
          <w:color w:val="000000"/>
          <w:sz w:val="44"/>
          <w:szCs w:val="44"/>
        </w:rPr>
        <w:t>名</w:t>
      </w:r>
      <w:r>
        <w:rPr>
          <w:rStyle w:val="28"/>
          <w:rFonts w:hint="eastAsia" w:ascii="黑体" w:hAnsi="黑体" w:eastAsia="黑体"/>
          <w:b w:val="0"/>
        </w:rPr>
        <w:t>词解释</w:t>
      </w:r>
      <w:bookmarkEnd w:id="105"/>
      <w:bookmarkEnd w:id="106"/>
      <w:bookmarkEnd w:id="107"/>
      <w:bookmarkEnd w:id="108"/>
    </w:p>
    <w:p w14:paraId="4561C06B">
      <w:pPr>
        <w:spacing w:line="600" w:lineRule="exact"/>
        <w:jc w:val="left"/>
        <w:rPr>
          <w:rFonts w:ascii="宋体"/>
          <w:b/>
          <w:color w:val="000000"/>
          <w:sz w:val="44"/>
          <w:szCs w:val="44"/>
        </w:rPr>
      </w:pPr>
    </w:p>
    <w:p w14:paraId="70242336">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94047CA">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C45ED8D">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305FC59C">
      <w:pPr>
        <w:pStyle w:val="38"/>
        <w:spacing w:line="560" w:lineRule="exact"/>
        <w:ind w:left="638" w:leftChars="304" w:firstLine="0" w:firstLineChars="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0155B2FB">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07798B0">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2E4165D3">
      <w:pPr>
        <w:numPr>
          <w:ilvl w:val="0"/>
          <w:numId w:val="3"/>
        </w:numPr>
        <w:spacing w:line="600" w:lineRule="exact"/>
        <w:ind w:left="0" w:leftChars="0"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F003002">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14:paraId="1AB0744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反映行政单位（包括实行公务员管理的事业单位）未单独设置项及科目的其他项目支出</w:t>
      </w:r>
      <w:r>
        <w:rPr>
          <w:rFonts w:hint="eastAsia" w:ascii="仿宋_GB2312" w:eastAsia="仿宋_GB2312"/>
          <w:color w:val="000000"/>
          <w:sz w:val="32"/>
          <w:szCs w:val="32"/>
        </w:rPr>
        <w:t>。</w:t>
      </w:r>
    </w:p>
    <w:p w14:paraId="528B0E33">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反映机关事业单位实施养老保险制度由单位缴纳的养老保险支出</w:t>
      </w:r>
      <w:r>
        <w:rPr>
          <w:rFonts w:hint="eastAsia" w:ascii="仿宋_GB2312" w:eastAsia="仿宋_GB2312"/>
          <w:color w:val="000000"/>
          <w:sz w:val="32"/>
          <w:szCs w:val="32"/>
        </w:rPr>
        <w:t>。</w:t>
      </w:r>
    </w:p>
    <w:p w14:paraId="42191A9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14:paraId="76F1DA1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反映财政部门安排的行政单位（包括实行公务员管理的事业单位）基本医疗保险缴费经费，未参加医疗保险的行政单位的公费医疗金凤，按国家规定享受离休人员、红军老战士待遇人员的医疗经费</w:t>
      </w:r>
      <w:r>
        <w:rPr>
          <w:rFonts w:hint="eastAsia" w:ascii="仿宋_GB2312" w:eastAsia="仿宋_GB2312"/>
          <w:color w:val="000000"/>
          <w:sz w:val="32"/>
          <w:szCs w:val="32"/>
        </w:rPr>
        <w:t>。</w:t>
      </w:r>
    </w:p>
    <w:p w14:paraId="518D9CA7">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反映财政部门安排的公务员（包括实行公务员管理的事业单位）医疗补助经费</w:t>
      </w:r>
      <w:r>
        <w:rPr>
          <w:rFonts w:hint="eastAsia" w:ascii="仿宋_GB2312" w:eastAsia="仿宋_GB2312"/>
          <w:color w:val="000000"/>
          <w:sz w:val="32"/>
          <w:szCs w:val="32"/>
        </w:rPr>
        <w:t>。</w:t>
      </w:r>
    </w:p>
    <w:p w14:paraId="745259FD">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hint="eastAsia" w:ascii="仿宋_GB2312" w:eastAsia="仿宋_GB2312"/>
          <w:color w:val="000000"/>
          <w:sz w:val="32"/>
          <w:szCs w:val="32"/>
          <w:lang w:val="en-US" w:eastAsia="zh-CN"/>
        </w:rPr>
        <w:t>住房保障支出（221）住房改革支出（02）住房公积金（01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反映行政事业单位按人力资源和社会保障部、财政部规定的基本工资和津贴补贴以及规定比列为职工缴纳的住房公积金</w:t>
      </w:r>
      <w:r>
        <w:rPr>
          <w:rFonts w:hint="eastAsia" w:ascii="仿宋_GB2312" w:eastAsia="仿宋_GB2312"/>
          <w:color w:val="000000"/>
          <w:sz w:val="32"/>
          <w:szCs w:val="32"/>
        </w:rPr>
        <w:t>。</w:t>
      </w:r>
    </w:p>
    <w:p w14:paraId="72F58B95">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14:paraId="0955CC4E">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709A2476">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08217CF">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5E3D7526">
      <w:pPr>
        <w:pStyle w:val="3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FF23E2">
      <w:pPr>
        <w:pStyle w:val="3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6F59D11">
      <w:pPr>
        <w:pStyle w:val="38"/>
        <w:spacing w:line="560" w:lineRule="exact"/>
        <w:ind w:firstLine="640" w:firstLineChars="200"/>
        <w:rPr>
          <w:rFonts w:ascii="仿宋_GB2312" w:eastAsia="仿宋_GB2312" w:cs="黑体"/>
          <w:sz w:val="32"/>
          <w:szCs w:val="32"/>
        </w:rPr>
      </w:pPr>
    </w:p>
    <w:p w14:paraId="6D77B36E">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w:t>
      </w:r>
      <w:r>
        <w:rPr>
          <w:rFonts w:hint="eastAsia" w:ascii="仿宋" w:hAnsi="仿宋" w:eastAsia="仿宋"/>
          <w:b/>
          <w:color w:val="000000"/>
          <w:sz w:val="32"/>
          <w:szCs w:val="32"/>
          <w:lang w:val="en-US" w:eastAsia="zh-CN"/>
        </w:rPr>
        <w:t>本</w:t>
      </w:r>
      <w:r>
        <w:rPr>
          <w:rFonts w:hint="eastAsia" w:ascii="仿宋" w:hAnsi="仿宋" w:eastAsia="仿宋"/>
          <w:b/>
          <w:color w:val="000000"/>
          <w:sz w:val="32"/>
          <w:szCs w:val="32"/>
        </w:rPr>
        <w:t>部门实际列支情况罗列，并根据本部门职责职能增减名词解释内容。）</w:t>
      </w:r>
    </w:p>
    <w:p w14:paraId="5FA5A013">
      <w:pPr>
        <w:spacing w:line="600" w:lineRule="exact"/>
        <w:jc w:val="center"/>
        <w:outlineLvl w:val="0"/>
        <w:rPr>
          <w:rStyle w:val="28"/>
          <w:rFonts w:hint="eastAsia" w:ascii="黑体" w:hAnsi="黑体" w:eastAsia="黑体" w:cs="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s="黑体"/>
          <w:color w:val="000000"/>
          <w:sz w:val="44"/>
          <w:szCs w:val="44"/>
        </w:rPr>
        <w:t>第</w:t>
      </w:r>
      <w:r>
        <w:rPr>
          <w:rStyle w:val="28"/>
          <w:rFonts w:hint="eastAsia" w:ascii="黑体" w:hAnsi="黑体" w:eastAsia="黑体" w:cs="黑体"/>
          <w:b w:val="0"/>
        </w:rPr>
        <w:t>四部分 附件</w:t>
      </w:r>
      <w:bookmarkEnd w:id="110"/>
      <w:bookmarkEnd w:id="111"/>
      <w:bookmarkEnd w:id="112"/>
    </w:p>
    <w:p w14:paraId="0383EDC4">
      <w:pPr>
        <w:spacing w:line="600" w:lineRule="exact"/>
        <w:jc w:val="left"/>
        <w:outlineLvl w:val="0"/>
        <w:rPr>
          <w:rFonts w:hint="eastAsia" w:ascii="黑体" w:hAnsi="黑体" w:eastAsia="黑体" w:cs="黑体"/>
          <w:sz w:val="32"/>
          <w:szCs w:val="32"/>
        </w:rPr>
      </w:pPr>
      <w:bookmarkStart w:id="113" w:name="_Toc79163881"/>
      <w:bookmarkStart w:id="114" w:name="_Toc79163631"/>
      <w:r>
        <w:rPr>
          <w:rFonts w:hint="eastAsia" w:ascii="黑体" w:hAnsi="黑体" w:eastAsia="黑体" w:cs="黑体"/>
          <w:sz w:val="32"/>
          <w:szCs w:val="32"/>
        </w:rPr>
        <w:t>附件1</w:t>
      </w:r>
      <w:bookmarkEnd w:id="113"/>
      <w:bookmarkEnd w:id="114"/>
    </w:p>
    <w:p w14:paraId="0D6F37F2">
      <w:pPr>
        <w:spacing w:line="580" w:lineRule="exact"/>
        <w:jc w:val="center"/>
        <w:rPr>
          <w:rFonts w:hint="eastAsia" w:ascii="仿宋_GB2312" w:hAnsi="仿宋_GB2312" w:eastAsia="仿宋_GB2312" w:cs="仿宋_GB2312"/>
          <w:sz w:val="44"/>
          <w:szCs w:val="44"/>
        </w:rPr>
      </w:pPr>
    </w:p>
    <w:p w14:paraId="2AF5A4DB">
      <w:pPr>
        <w:widowControl/>
        <w:spacing w:line="700" w:lineRule="exact"/>
        <w:jc w:val="center"/>
        <w:rPr>
          <w:rFonts w:hint="eastAsia" w:ascii="仿宋_GB2312" w:hAnsi="仿宋_GB2312" w:eastAsia="仿宋_GB2312" w:cs="仿宋_GB2312"/>
          <w:sz w:val="44"/>
          <w:szCs w:val="44"/>
        </w:rPr>
      </w:pPr>
      <w:bookmarkStart w:id="115" w:name="_Toc79163632"/>
      <w:bookmarkStart w:id="116" w:name="_Toc79163882"/>
      <w:r>
        <w:rPr>
          <w:rFonts w:hint="eastAsia" w:ascii="仿宋_GB2312" w:hAnsi="仿宋_GB2312" w:eastAsia="仿宋_GB2312" w:cs="仿宋_GB2312"/>
          <w:sz w:val="44"/>
          <w:szCs w:val="44"/>
          <w:lang w:eastAsia="zh-CN"/>
        </w:rPr>
        <w:t>阿坝藏族羌族自治州人民政府驻</w:t>
      </w:r>
      <w:r>
        <w:rPr>
          <w:rFonts w:hint="eastAsia" w:ascii="仿宋_GB2312" w:hAnsi="仿宋_GB2312" w:eastAsia="仿宋_GB2312" w:cs="仿宋_GB2312"/>
          <w:sz w:val="44"/>
          <w:szCs w:val="44"/>
          <w:lang w:val="en-US" w:eastAsia="zh-CN"/>
        </w:rPr>
        <w:t>北京联络处</w:t>
      </w:r>
      <w:r>
        <w:rPr>
          <w:rFonts w:hint="eastAsia" w:ascii="仿宋_GB2312" w:hAnsi="仿宋_GB2312" w:eastAsia="仿宋_GB2312" w:cs="仿宋_GB2312"/>
          <w:sz w:val="44"/>
          <w:szCs w:val="44"/>
        </w:rPr>
        <w:t>202</w:t>
      </w:r>
      <w:r>
        <w:rPr>
          <w:rFonts w:hint="eastAsia" w:ascii="仿宋_GB2312" w:hAnsi="仿宋_GB2312" w:eastAsia="仿宋_GB2312" w:cs="仿宋_GB2312"/>
          <w:sz w:val="44"/>
          <w:szCs w:val="44"/>
          <w:lang w:val="en-US" w:eastAsia="zh-CN"/>
        </w:rPr>
        <w:t>0</w:t>
      </w:r>
      <w:r>
        <w:rPr>
          <w:rFonts w:hint="eastAsia" w:ascii="仿宋_GB2312" w:hAnsi="仿宋_GB2312" w:eastAsia="仿宋_GB2312" w:cs="仿宋_GB2312"/>
          <w:sz w:val="44"/>
          <w:szCs w:val="44"/>
        </w:rPr>
        <w:t>年部门整体支出绩效评价报告</w:t>
      </w:r>
      <w:bookmarkEnd w:id="115"/>
      <w:bookmarkEnd w:id="116"/>
    </w:p>
    <w:p w14:paraId="2BF63974">
      <w:pPr>
        <w:widowControl/>
        <w:adjustRightInd w:val="0"/>
        <w:snapToGrid w:val="0"/>
        <w:spacing w:line="580" w:lineRule="exact"/>
        <w:ind w:firstLine="480" w:firstLineChars="200"/>
        <w:contextualSpacing/>
        <w:jc w:val="left"/>
        <w:rPr>
          <w:rFonts w:hint="eastAsia" w:ascii="仿宋_GB2312" w:hAnsi="仿宋_GB2312" w:eastAsia="仿宋_GB2312" w:cs="仿宋_GB2312"/>
          <w:color w:val="000000"/>
          <w:kern w:val="0"/>
          <w:sz w:val="24"/>
          <w:szCs w:val="32"/>
          <w:shd w:val="clear" w:color="auto" w:fill="FFFFFF"/>
        </w:rPr>
      </w:pPr>
    </w:p>
    <w:p w14:paraId="7B380F90">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14:paraId="7891660F">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14:paraId="6117F0D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p>
    <w:p w14:paraId="53641318">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阿坝州人民政府驻</w:t>
      </w:r>
      <w:r>
        <w:rPr>
          <w:rFonts w:hint="eastAsia" w:ascii="仿宋_GB2312" w:hAnsi="仿宋_GB2312" w:eastAsia="仿宋_GB2312" w:cs="仿宋_GB2312"/>
          <w:color w:val="000000"/>
          <w:kern w:val="0"/>
          <w:sz w:val="32"/>
          <w:szCs w:val="32"/>
          <w:shd w:val="clear" w:color="auto" w:fill="FFFFFF"/>
          <w:lang w:val="en-US" w:eastAsia="zh-CN"/>
        </w:rPr>
        <w:t>北京联络处</w:t>
      </w:r>
      <w:r>
        <w:rPr>
          <w:rFonts w:hint="eastAsia" w:ascii="仿宋_GB2312" w:hAnsi="仿宋_GB2312" w:eastAsia="仿宋_GB2312" w:cs="仿宋_GB2312"/>
          <w:color w:val="000000"/>
          <w:kern w:val="0"/>
          <w:sz w:val="32"/>
          <w:szCs w:val="32"/>
          <w:shd w:val="clear" w:color="auto" w:fill="FFFFFF"/>
          <w:lang w:val="zh-CN"/>
        </w:rPr>
        <w:t>所属一级预算单位，单位性质为 参照公务员法管理事业单位</w:t>
      </w:r>
      <w:r>
        <w:rPr>
          <w:rFonts w:hint="eastAsia" w:ascii="仿宋_GB2312" w:hAnsi="仿宋_GB2312" w:eastAsia="仿宋_GB2312" w:cs="仿宋_GB2312"/>
          <w:color w:val="000000"/>
          <w:kern w:val="0"/>
          <w:sz w:val="32"/>
          <w:szCs w:val="32"/>
          <w:shd w:val="clear" w:color="auto" w:fill="FFFFFF"/>
          <w:lang w:val="zh-CN" w:eastAsia="zh-CN"/>
        </w:rPr>
        <w:t>。下设</w:t>
      </w:r>
      <w:r>
        <w:rPr>
          <w:rFonts w:hint="eastAsia" w:ascii="仿宋_GB2312" w:hAnsi="仿宋_GB2312" w:eastAsia="仿宋_GB2312" w:cs="仿宋_GB2312"/>
          <w:color w:val="000000"/>
          <w:kern w:val="0"/>
          <w:sz w:val="32"/>
          <w:szCs w:val="32"/>
          <w:shd w:val="clear" w:color="auto" w:fill="FFFFFF"/>
          <w:lang w:val="en-US" w:eastAsia="zh-CN"/>
        </w:rPr>
        <w:t>5个职能科室分别为：综合科、政务联络科、经济联络科、信访合作科、成都联络科。</w:t>
      </w:r>
    </w:p>
    <w:p w14:paraId="0BC30CBA">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p>
    <w:p w14:paraId="7EE5F32E">
      <w:pPr>
        <w:widowControl/>
        <w:numPr>
          <w:ilvl w:val="0"/>
          <w:numId w:val="6"/>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14:paraId="5FEDA815">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 xml:space="preserve">在州委、州政府的领导下积极做好在驻地及其周边地区的政务联络、商会指导服务、机要电报、政务服务等工作，协助各相关部门做好社会管理、区域合作、招商引资、宣传推介、信访维稳、政务接待等工作。 </w:t>
      </w:r>
    </w:p>
    <w:p w14:paraId="2AFC476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深化拓展政务联络：负责加强与国家部委局、省级部门和各市（州）的联系联络，为我州发展争取政策、项目、资金支持，加强与文化艺术、科学技术、社会科学、经济、工商、农业、教育、医药卫生等界别的广泛联系；负责我州州级领导、州直部门和各县（市）在京开展工作期间的政务服务工作；负责办理我州在北京市和环渤海经济区内的政务接待工作；参与北京市城市社会管理及城市民族工作，协助处理涉及我州群众的应急突发事件，为在京的阿坝州籍群众服好务。</w:t>
      </w:r>
    </w:p>
    <w:p w14:paraId="44927642">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加强经济协作任务，协助好我州以北京为中心覆盖环渤海经济区的招商引资工作，并随时了解驻地区域的经济发展动向，协助做好我州在北京市和环渤海经济区内的旅游宣传等推介工作；做好阿坝州籍商会的“联系、协调、指导、服务”工作，并通过阿坝州籍商会平台广泛联系阿坝籍民营企业，主动为阿坝籍企业的生产、经营和发展排忧解难。</w:t>
      </w:r>
    </w:p>
    <w:p w14:paraId="0859F356">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加强做好信访维稳，负责协助州信访局和各县（市）信访维稳部门做好驻地及周边地区信访维稳工作；承担驻外信访稳控工作领导小组办公室职能职责；负责我州在驻地及周边地区务工人员的服务保障相关工作。</w:t>
      </w:r>
    </w:p>
    <w:p w14:paraId="432FA6E1">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4.负责做好我州在成都及其周边地区的政务联络、商会指导服务、机要电报、政务服务等工作，协助各职能部门做好社会管理、区域合作、招商引资、宣传推介、信访维稳、政务接待等工作。</w:t>
      </w:r>
    </w:p>
    <w:p w14:paraId="7D552A4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5.承办机关党建、人事财务、机构编制、教育培训、机关效能建设、督查督办、目标管理、绩效管理等工作；股则机关文电、会务、固定资产管理、公务用车、保密、档案、印鉴管理工作；负责机关和带关的离退休人员管理服务等工作。</w:t>
      </w:r>
    </w:p>
    <w:p w14:paraId="4865E60A">
      <w:pPr>
        <w:widowControl/>
        <w:numPr>
          <w:ilvl w:val="0"/>
          <w:numId w:val="6"/>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人员概况。</w:t>
      </w:r>
    </w:p>
    <w:p w14:paraId="3FF44829">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总编制21名，其中：参照公务员法管理人员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名。在职人员总数1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名，离休人员1名。</w:t>
      </w:r>
    </w:p>
    <w:p w14:paraId="16AEE41F">
      <w:pPr>
        <w:widowControl/>
        <w:numPr>
          <w:ilvl w:val="0"/>
          <w:numId w:val="0"/>
        </w:numPr>
        <w:adjustRightInd w:val="0"/>
        <w:snapToGrid w:val="0"/>
        <w:spacing w:line="580" w:lineRule="exact"/>
        <w:ind w:leftChars="200"/>
        <w:contextualSpacing/>
        <w:jc w:val="left"/>
        <w:rPr>
          <w:rFonts w:hint="eastAsia" w:ascii="仿宋_GB2312" w:hAnsi="仿宋_GB2312" w:eastAsia="仿宋_GB2312" w:cs="仿宋_GB2312"/>
          <w:color w:val="000000"/>
          <w:kern w:val="0"/>
          <w:sz w:val="32"/>
          <w:szCs w:val="32"/>
          <w:shd w:val="clear" w:color="auto" w:fill="FFFFFF"/>
          <w:lang w:val="zh-CN"/>
        </w:rPr>
      </w:pPr>
    </w:p>
    <w:p w14:paraId="4C83501D">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zh-CN"/>
        </w:rPr>
      </w:pPr>
    </w:p>
    <w:p w14:paraId="4F7CB291">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14:paraId="7C6D0007">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14:paraId="0D0BD677">
      <w:pPr>
        <w:pStyle w:val="43"/>
        <w:spacing w:before="0" w:line="360" w:lineRule="auto"/>
        <w:ind w:firstLine="320" w:firstLineChars="100"/>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2020年</w:t>
      </w:r>
      <w:r>
        <w:rPr>
          <w:rFonts w:hint="eastAsia" w:ascii="仿宋_GB2312" w:hAnsi="仿宋_GB2312" w:eastAsia="仿宋_GB2312" w:cs="仿宋_GB2312"/>
          <w:color w:val="000000"/>
          <w:kern w:val="0"/>
          <w:sz w:val="32"/>
          <w:szCs w:val="32"/>
          <w:shd w:val="clear" w:color="auto" w:fill="FFFFFF"/>
          <w:lang w:val="zh-CN" w:eastAsia="zh-CN" w:bidi="ar-SA"/>
        </w:rPr>
        <w:t>收入包括：一般公共预算拨款收入</w:t>
      </w:r>
      <w:r>
        <w:rPr>
          <w:rFonts w:hint="eastAsia" w:ascii="仿宋_GB2312" w:hAnsi="仿宋_GB2312" w:eastAsia="仿宋_GB2312" w:cs="仿宋_GB2312"/>
          <w:color w:val="000000"/>
          <w:kern w:val="0"/>
          <w:sz w:val="32"/>
          <w:szCs w:val="32"/>
          <w:shd w:val="clear" w:color="auto" w:fill="FFFFFF"/>
          <w:lang w:val="en-US" w:eastAsia="zh-CN" w:bidi="ar-SA"/>
        </w:rPr>
        <w:t>559.86</w:t>
      </w:r>
      <w:r>
        <w:rPr>
          <w:rFonts w:hint="eastAsia" w:ascii="仿宋_GB2312" w:hAnsi="仿宋_GB2312" w:eastAsia="仿宋_GB2312" w:cs="仿宋_GB2312"/>
          <w:color w:val="000000"/>
          <w:kern w:val="0"/>
          <w:sz w:val="32"/>
          <w:szCs w:val="32"/>
          <w:shd w:val="clear" w:color="auto" w:fill="FFFFFF"/>
          <w:lang w:val="zh-CN" w:eastAsia="zh-CN" w:bidi="ar-SA"/>
        </w:rPr>
        <w:t>万元，事业收入0万元，其他收入0万元，上年结转</w:t>
      </w:r>
      <w:r>
        <w:rPr>
          <w:rFonts w:hint="eastAsia" w:ascii="仿宋_GB2312" w:hAnsi="仿宋_GB2312" w:eastAsia="仿宋_GB2312" w:cs="仿宋_GB2312"/>
          <w:color w:val="000000"/>
          <w:kern w:val="0"/>
          <w:sz w:val="32"/>
          <w:szCs w:val="32"/>
          <w:shd w:val="clear" w:color="auto" w:fill="FFFFFF"/>
          <w:lang w:val="en-US" w:eastAsia="zh-CN" w:bidi="ar-SA"/>
        </w:rPr>
        <w:t>535.99</w:t>
      </w:r>
      <w:r>
        <w:rPr>
          <w:rFonts w:hint="eastAsia" w:ascii="仿宋_GB2312" w:hAnsi="仿宋_GB2312" w:eastAsia="仿宋_GB2312" w:cs="仿宋_GB2312"/>
          <w:color w:val="000000"/>
          <w:kern w:val="0"/>
          <w:sz w:val="32"/>
          <w:szCs w:val="32"/>
          <w:shd w:val="clear" w:color="auto" w:fill="FFFFFF"/>
          <w:lang w:val="zh-CN" w:eastAsia="zh-CN" w:bidi="ar-SA"/>
        </w:rPr>
        <w:t>万元（</w:t>
      </w:r>
      <w:r>
        <w:rPr>
          <w:rFonts w:hint="eastAsia" w:ascii="仿宋_GB2312" w:hAnsi="仿宋_GB2312" w:eastAsia="仿宋_GB2312" w:cs="仿宋_GB2312"/>
          <w:color w:val="000000"/>
          <w:kern w:val="0"/>
          <w:sz w:val="32"/>
          <w:szCs w:val="32"/>
          <w:shd w:val="clear" w:color="auto" w:fill="FFFFFF"/>
          <w:lang w:val="en-US" w:eastAsia="zh-CN" w:bidi="ar-SA"/>
        </w:rPr>
        <w:t>北京维修改造工程款；历年结余等</w:t>
      </w:r>
      <w:r>
        <w:rPr>
          <w:rFonts w:hint="eastAsia" w:ascii="仿宋_GB2312" w:hAnsi="仿宋_GB2312" w:eastAsia="仿宋_GB2312" w:cs="仿宋_GB2312"/>
          <w:color w:val="000000"/>
          <w:kern w:val="0"/>
          <w:sz w:val="32"/>
          <w:szCs w:val="32"/>
          <w:shd w:val="clear" w:color="auto" w:fill="FFFFFF"/>
          <w:lang w:val="zh-CN" w:eastAsia="zh-CN" w:bidi="ar-SA"/>
        </w:rPr>
        <w:t>）；</w:t>
      </w:r>
      <w:r>
        <w:rPr>
          <w:rFonts w:hint="eastAsia" w:ascii="仿宋_GB2312" w:hAnsi="仿宋_GB2312" w:eastAsia="仿宋_GB2312" w:cs="仿宋_GB2312"/>
          <w:color w:val="000000"/>
          <w:kern w:val="0"/>
          <w:sz w:val="32"/>
          <w:szCs w:val="32"/>
          <w:shd w:val="clear" w:color="auto" w:fill="FFFFFF"/>
          <w:lang w:val="en-US" w:eastAsia="zh-CN" w:bidi="ar-SA"/>
        </w:rPr>
        <w:t>收入</w:t>
      </w:r>
      <w:r>
        <w:rPr>
          <w:rFonts w:hint="eastAsia" w:ascii="仿宋_GB2312" w:hAnsi="仿宋_GB2312" w:eastAsia="仿宋_GB2312" w:cs="仿宋_GB2312"/>
          <w:color w:val="000000"/>
          <w:kern w:val="0"/>
          <w:sz w:val="32"/>
          <w:szCs w:val="32"/>
          <w:shd w:val="clear" w:color="auto" w:fill="FFFFFF"/>
          <w:lang w:val="zh-CN" w:eastAsia="zh-CN" w:bidi="ar-SA"/>
        </w:rPr>
        <w:t>包括：一般公共服务支出</w:t>
      </w:r>
      <w:r>
        <w:rPr>
          <w:rFonts w:hint="eastAsia" w:ascii="仿宋_GB2312" w:hAnsi="仿宋_GB2312" w:eastAsia="仿宋_GB2312" w:cs="仿宋_GB2312"/>
          <w:color w:val="000000"/>
          <w:kern w:val="0"/>
          <w:sz w:val="32"/>
          <w:szCs w:val="32"/>
          <w:shd w:val="clear" w:color="auto" w:fill="FFFFFF"/>
          <w:lang w:val="en-US" w:eastAsia="zh-CN" w:bidi="ar-SA"/>
        </w:rPr>
        <w:t>1021.48</w:t>
      </w:r>
      <w:r>
        <w:rPr>
          <w:rFonts w:hint="eastAsia" w:ascii="仿宋_GB2312" w:hAnsi="仿宋_GB2312" w:eastAsia="仿宋_GB2312" w:cs="仿宋_GB2312"/>
          <w:color w:val="000000"/>
          <w:kern w:val="0"/>
          <w:sz w:val="32"/>
          <w:szCs w:val="32"/>
          <w:shd w:val="clear" w:color="auto" w:fill="FFFFFF"/>
          <w:lang w:val="zh-CN" w:eastAsia="zh-CN" w:bidi="ar-SA"/>
        </w:rPr>
        <w:t>元，社会保障和就业支出</w:t>
      </w:r>
      <w:r>
        <w:rPr>
          <w:rFonts w:hint="eastAsia" w:ascii="仿宋_GB2312" w:hAnsi="仿宋_GB2312" w:eastAsia="仿宋_GB2312" w:cs="仿宋_GB2312"/>
          <w:color w:val="000000"/>
          <w:kern w:val="0"/>
          <w:sz w:val="32"/>
          <w:szCs w:val="32"/>
          <w:shd w:val="clear" w:color="auto" w:fill="FFFFFF"/>
          <w:lang w:val="en-US" w:eastAsia="zh-CN" w:bidi="ar-SA"/>
        </w:rPr>
        <w:t>34.31</w:t>
      </w:r>
      <w:r>
        <w:rPr>
          <w:rFonts w:hint="eastAsia" w:ascii="仿宋_GB2312" w:hAnsi="仿宋_GB2312" w:eastAsia="仿宋_GB2312" w:cs="仿宋_GB2312"/>
          <w:color w:val="000000"/>
          <w:kern w:val="0"/>
          <w:sz w:val="32"/>
          <w:szCs w:val="32"/>
          <w:shd w:val="clear" w:color="auto" w:fill="FFFFFF"/>
          <w:lang w:val="zh-CN" w:eastAsia="zh-CN" w:bidi="ar-SA"/>
        </w:rPr>
        <w:t>万元，医疗卫生与计划生育支出</w:t>
      </w:r>
      <w:r>
        <w:rPr>
          <w:rFonts w:hint="eastAsia" w:ascii="仿宋_GB2312" w:hAnsi="仿宋_GB2312" w:eastAsia="仿宋_GB2312" w:cs="仿宋_GB2312"/>
          <w:color w:val="000000"/>
          <w:kern w:val="0"/>
          <w:sz w:val="32"/>
          <w:szCs w:val="32"/>
          <w:shd w:val="clear" w:color="auto" w:fill="FFFFFF"/>
          <w:lang w:val="en-US" w:eastAsia="zh-CN" w:bidi="ar-SA"/>
        </w:rPr>
        <w:t>13.66</w:t>
      </w:r>
      <w:r>
        <w:rPr>
          <w:rFonts w:hint="eastAsia" w:ascii="仿宋_GB2312" w:hAnsi="仿宋_GB2312" w:eastAsia="仿宋_GB2312" w:cs="仿宋_GB2312"/>
          <w:color w:val="000000"/>
          <w:kern w:val="0"/>
          <w:sz w:val="32"/>
          <w:szCs w:val="32"/>
          <w:shd w:val="clear" w:color="auto" w:fill="FFFFFF"/>
          <w:lang w:val="zh-CN" w:eastAsia="zh-CN" w:bidi="ar-SA"/>
        </w:rPr>
        <w:t>万元，住房保障支出</w:t>
      </w:r>
      <w:r>
        <w:rPr>
          <w:rFonts w:hint="eastAsia" w:ascii="仿宋_GB2312" w:hAnsi="仿宋_GB2312" w:eastAsia="仿宋_GB2312" w:cs="仿宋_GB2312"/>
          <w:color w:val="000000"/>
          <w:kern w:val="0"/>
          <w:sz w:val="32"/>
          <w:szCs w:val="32"/>
          <w:shd w:val="clear" w:color="auto" w:fill="FFFFFF"/>
          <w:lang w:val="en-US" w:eastAsia="zh-CN" w:bidi="ar-SA"/>
        </w:rPr>
        <w:t>26.40</w:t>
      </w:r>
      <w:r>
        <w:rPr>
          <w:rFonts w:hint="eastAsia" w:ascii="仿宋_GB2312" w:hAnsi="仿宋_GB2312" w:eastAsia="仿宋_GB2312" w:cs="仿宋_GB2312"/>
          <w:color w:val="000000"/>
          <w:kern w:val="0"/>
          <w:sz w:val="32"/>
          <w:szCs w:val="32"/>
          <w:shd w:val="clear" w:color="auto" w:fill="FFFFFF"/>
          <w:lang w:val="zh-CN" w:eastAsia="zh-CN" w:bidi="ar-SA"/>
        </w:rPr>
        <w:t>万元。</w:t>
      </w:r>
    </w:p>
    <w:p w14:paraId="18737796">
      <w:pPr>
        <w:widowControl/>
        <w:numPr>
          <w:ilvl w:val="0"/>
          <w:numId w:val="7"/>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部门财政资金支出情况。</w:t>
      </w:r>
    </w:p>
    <w:p w14:paraId="4A5EC58A">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2020年全年</w:t>
      </w:r>
      <w:r>
        <w:rPr>
          <w:rFonts w:hint="eastAsia" w:ascii="仿宋_GB2312" w:hAnsi="仿宋_GB2312" w:eastAsia="仿宋_GB2312" w:cs="仿宋_GB2312"/>
          <w:color w:val="000000"/>
          <w:kern w:val="0"/>
          <w:sz w:val="32"/>
          <w:szCs w:val="32"/>
          <w:shd w:val="clear" w:color="auto" w:fill="FFFFFF"/>
          <w:lang w:val="zh-CN" w:eastAsia="zh-CN" w:bidi="ar-SA"/>
        </w:rPr>
        <w:t>财政拨款支出数为</w:t>
      </w:r>
      <w:r>
        <w:rPr>
          <w:rFonts w:hint="eastAsia" w:ascii="仿宋_GB2312" w:hAnsi="仿宋_GB2312" w:eastAsia="仿宋_GB2312" w:cs="仿宋_GB2312"/>
          <w:color w:val="000000"/>
          <w:kern w:val="0"/>
          <w:sz w:val="32"/>
          <w:szCs w:val="32"/>
          <w:shd w:val="clear" w:color="auto" w:fill="FFFFFF"/>
          <w:lang w:val="en-US" w:eastAsia="zh-CN" w:bidi="ar-SA"/>
        </w:rPr>
        <w:t>996.91万</w:t>
      </w:r>
      <w:r>
        <w:rPr>
          <w:rFonts w:hint="eastAsia" w:ascii="仿宋_GB2312" w:hAnsi="仿宋_GB2312" w:eastAsia="仿宋_GB2312" w:cs="仿宋_GB2312"/>
          <w:color w:val="000000"/>
          <w:kern w:val="0"/>
          <w:sz w:val="32"/>
          <w:szCs w:val="32"/>
          <w:shd w:val="clear" w:color="auto" w:fill="FFFFFF"/>
          <w:lang w:val="zh-CN" w:eastAsia="zh-CN" w:bidi="ar-SA"/>
        </w:rPr>
        <w:t>元，其中：2010301  行政运行</w:t>
      </w:r>
      <w:r>
        <w:rPr>
          <w:rFonts w:hint="eastAsia" w:ascii="仿宋_GB2312" w:hAnsi="仿宋_GB2312" w:eastAsia="仿宋_GB2312" w:cs="仿宋_GB2312"/>
          <w:color w:val="000000"/>
          <w:kern w:val="0"/>
          <w:sz w:val="32"/>
          <w:szCs w:val="32"/>
          <w:shd w:val="clear" w:color="auto" w:fill="FFFFFF"/>
          <w:lang w:val="en-US" w:eastAsia="zh-CN" w:bidi="ar-SA"/>
        </w:rPr>
        <w:t>624.86万</w:t>
      </w:r>
      <w:r>
        <w:rPr>
          <w:rFonts w:hint="eastAsia" w:ascii="仿宋_GB2312" w:hAnsi="仿宋_GB2312" w:eastAsia="仿宋_GB2312" w:cs="仿宋_GB2312"/>
          <w:color w:val="000000"/>
          <w:kern w:val="0"/>
          <w:sz w:val="32"/>
          <w:szCs w:val="32"/>
          <w:shd w:val="clear" w:color="auto" w:fill="FFFFFF"/>
          <w:lang w:val="zh-CN" w:eastAsia="zh-CN" w:bidi="ar-SA"/>
        </w:rPr>
        <w:t>元；</w:t>
      </w:r>
      <w:r>
        <w:rPr>
          <w:rFonts w:hint="eastAsia" w:ascii="仿宋_GB2312" w:hAnsi="仿宋_GB2312" w:eastAsia="仿宋_GB2312" w:cs="仿宋_GB2312"/>
          <w:color w:val="000000"/>
          <w:kern w:val="0"/>
          <w:sz w:val="32"/>
          <w:szCs w:val="32"/>
          <w:shd w:val="clear" w:color="auto" w:fill="FFFFFF"/>
          <w:lang w:val="en-US" w:eastAsia="zh-CN" w:bidi="ar-SA"/>
        </w:rPr>
        <w:t>2010302  一般行政事务管理支出 297.68万元（上年结转北京维修改造工程款）；</w:t>
      </w:r>
      <w:r>
        <w:rPr>
          <w:rFonts w:hint="eastAsia" w:ascii="仿宋_GB2312" w:hAnsi="仿宋_GB2312" w:eastAsia="仿宋_GB2312" w:cs="仿宋_GB2312"/>
          <w:color w:val="000000"/>
          <w:kern w:val="0"/>
          <w:sz w:val="32"/>
          <w:szCs w:val="32"/>
          <w:shd w:val="clear" w:color="auto" w:fill="FFFFFF"/>
          <w:lang w:val="zh-CN" w:eastAsia="zh-CN" w:bidi="ar-SA"/>
        </w:rPr>
        <w:t xml:space="preserve"> 2080505机关事业单位基本养老保险缴费支出</w:t>
      </w:r>
      <w:r>
        <w:rPr>
          <w:rFonts w:hint="eastAsia" w:ascii="仿宋_GB2312" w:hAnsi="仿宋_GB2312" w:eastAsia="仿宋_GB2312" w:cs="仿宋_GB2312"/>
          <w:color w:val="000000"/>
          <w:kern w:val="0"/>
          <w:sz w:val="32"/>
          <w:szCs w:val="32"/>
          <w:shd w:val="clear" w:color="auto" w:fill="FFFFFF"/>
          <w:lang w:val="en-US" w:eastAsia="zh-CN" w:bidi="ar-SA"/>
        </w:rPr>
        <w:t>22.88万</w:t>
      </w:r>
      <w:r>
        <w:rPr>
          <w:rFonts w:hint="eastAsia" w:ascii="仿宋_GB2312" w:hAnsi="仿宋_GB2312" w:eastAsia="仿宋_GB2312" w:cs="仿宋_GB2312"/>
          <w:color w:val="000000"/>
          <w:kern w:val="0"/>
          <w:sz w:val="32"/>
          <w:szCs w:val="32"/>
          <w:shd w:val="clear" w:color="auto" w:fill="FFFFFF"/>
          <w:lang w:val="zh-CN" w:eastAsia="zh-CN" w:bidi="ar-SA"/>
        </w:rPr>
        <w:t>元；2080506机关事业单位职业年金缴费支出</w:t>
      </w:r>
      <w:r>
        <w:rPr>
          <w:rFonts w:hint="eastAsia" w:ascii="仿宋_GB2312" w:hAnsi="仿宋_GB2312" w:eastAsia="仿宋_GB2312" w:cs="仿宋_GB2312"/>
          <w:color w:val="000000"/>
          <w:kern w:val="0"/>
          <w:sz w:val="32"/>
          <w:szCs w:val="32"/>
          <w:shd w:val="clear" w:color="auto" w:fill="FFFFFF"/>
          <w:lang w:val="en-US" w:eastAsia="zh-CN" w:bidi="ar-SA"/>
        </w:rPr>
        <w:t>11.43万</w:t>
      </w:r>
      <w:r>
        <w:rPr>
          <w:rFonts w:hint="eastAsia" w:ascii="仿宋_GB2312" w:hAnsi="仿宋_GB2312" w:eastAsia="仿宋_GB2312" w:cs="仿宋_GB2312"/>
          <w:color w:val="000000"/>
          <w:kern w:val="0"/>
          <w:sz w:val="32"/>
          <w:szCs w:val="32"/>
          <w:shd w:val="clear" w:color="auto" w:fill="FFFFFF"/>
          <w:lang w:val="zh-CN" w:eastAsia="zh-CN" w:bidi="ar-SA"/>
        </w:rPr>
        <w:t>元；2101101行政单位医疗</w:t>
      </w:r>
      <w:r>
        <w:rPr>
          <w:rFonts w:hint="eastAsia" w:ascii="仿宋_GB2312" w:hAnsi="仿宋_GB2312" w:eastAsia="仿宋_GB2312" w:cs="仿宋_GB2312"/>
          <w:color w:val="000000"/>
          <w:kern w:val="0"/>
          <w:sz w:val="32"/>
          <w:szCs w:val="32"/>
          <w:shd w:val="clear" w:color="auto" w:fill="FFFFFF"/>
          <w:lang w:val="en-US" w:eastAsia="zh-CN" w:bidi="ar-SA"/>
        </w:rPr>
        <w:t>12.23万</w:t>
      </w:r>
      <w:r>
        <w:rPr>
          <w:rFonts w:hint="eastAsia" w:ascii="仿宋_GB2312" w:hAnsi="仿宋_GB2312" w:eastAsia="仿宋_GB2312" w:cs="仿宋_GB2312"/>
          <w:color w:val="000000"/>
          <w:kern w:val="0"/>
          <w:sz w:val="32"/>
          <w:szCs w:val="32"/>
          <w:shd w:val="clear" w:color="auto" w:fill="FFFFFF"/>
          <w:lang w:val="zh-CN" w:eastAsia="zh-CN" w:bidi="ar-SA"/>
        </w:rPr>
        <w:t>元；2101103行政单位医疗</w:t>
      </w:r>
      <w:r>
        <w:rPr>
          <w:rFonts w:hint="eastAsia" w:ascii="仿宋_GB2312" w:hAnsi="仿宋_GB2312" w:eastAsia="仿宋_GB2312" w:cs="仿宋_GB2312"/>
          <w:color w:val="000000"/>
          <w:kern w:val="0"/>
          <w:sz w:val="32"/>
          <w:szCs w:val="32"/>
          <w:shd w:val="clear" w:color="auto" w:fill="FFFFFF"/>
          <w:lang w:val="en-US" w:eastAsia="zh-CN" w:bidi="ar-SA"/>
        </w:rPr>
        <w:t>1.44万</w:t>
      </w:r>
      <w:r>
        <w:rPr>
          <w:rFonts w:hint="eastAsia" w:ascii="仿宋_GB2312" w:hAnsi="仿宋_GB2312" w:eastAsia="仿宋_GB2312" w:cs="仿宋_GB2312"/>
          <w:color w:val="000000"/>
          <w:kern w:val="0"/>
          <w:sz w:val="32"/>
          <w:szCs w:val="32"/>
          <w:shd w:val="clear" w:color="auto" w:fill="FFFFFF"/>
          <w:lang w:val="zh-CN" w:eastAsia="zh-CN" w:bidi="ar-SA"/>
        </w:rPr>
        <w:t>元；2210201住房公积金</w:t>
      </w:r>
      <w:r>
        <w:rPr>
          <w:rFonts w:hint="eastAsia" w:ascii="仿宋_GB2312" w:hAnsi="仿宋_GB2312" w:eastAsia="仿宋_GB2312" w:cs="仿宋_GB2312"/>
          <w:color w:val="000000"/>
          <w:kern w:val="0"/>
          <w:sz w:val="32"/>
          <w:szCs w:val="32"/>
          <w:shd w:val="clear" w:color="auto" w:fill="FFFFFF"/>
          <w:lang w:val="en-US" w:eastAsia="zh-CN" w:bidi="ar-SA"/>
        </w:rPr>
        <w:t>26.40万</w:t>
      </w:r>
      <w:r>
        <w:rPr>
          <w:rFonts w:hint="eastAsia" w:ascii="仿宋_GB2312" w:hAnsi="仿宋_GB2312" w:eastAsia="仿宋_GB2312" w:cs="仿宋_GB2312"/>
          <w:color w:val="000000"/>
          <w:kern w:val="0"/>
          <w:sz w:val="32"/>
          <w:szCs w:val="32"/>
          <w:shd w:val="clear" w:color="auto" w:fill="FFFFFF"/>
          <w:lang w:val="zh-CN" w:eastAsia="zh-CN" w:bidi="ar-SA"/>
        </w:rPr>
        <w:t>元。</w:t>
      </w:r>
    </w:p>
    <w:p w14:paraId="00D7DFFD">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zh-CN"/>
        </w:rPr>
      </w:pPr>
    </w:p>
    <w:p w14:paraId="5C6D8E78">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三、部门整体预算绩效管理情况（根据适用指标体系进行调整</w:t>
      </w:r>
      <w:r>
        <w:rPr>
          <w:rFonts w:hint="eastAsia" w:ascii="仿宋_GB2312" w:hAnsi="仿宋_GB2312" w:eastAsia="仿宋_GB2312" w:cs="仿宋_GB2312"/>
          <w:color w:val="000000"/>
          <w:kern w:val="0"/>
          <w:sz w:val="32"/>
          <w:szCs w:val="32"/>
          <w:shd w:val="clear" w:color="auto" w:fill="FFFFFF"/>
          <w:lang w:eastAsia="zh-CN"/>
        </w:rPr>
        <w:t>，涉及到有专项预算的部门，专项预算项目自评报告根据要求另行单独报送</w:t>
      </w:r>
      <w:r>
        <w:rPr>
          <w:rFonts w:hint="eastAsia" w:ascii="仿宋_GB2312" w:hAnsi="仿宋_GB2312" w:eastAsia="仿宋_GB2312" w:cs="仿宋_GB2312"/>
          <w:color w:val="000000"/>
          <w:kern w:val="0"/>
          <w:sz w:val="32"/>
          <w:szCs w:val="32"/>
          <w:shd w:val="clear" w:color="auto" w:fill="FFFFFF"/>
        </w:rPr>
        <w:t>）</w:t>
      </w:r>
    </w:p>
    <w:p w14:paraId="16964DA9">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14:paraId="5FC4D78F">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包括部门绩效目标制定</w:t>
      </w:r>
    </w:p>
    <w:p w14:paraId="050B758C">
      <w:pPr>
        <w:keepNext w:val="0"/>
        <w:keepLines w:val="0"/>
        <w:pageBreakBefore w:val="0"/>
        <w:widowControl/>
        <w:kinsoku/>
        <w:wordWrap/>
        <w:overflowPunct/>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rPr>
        <w:t>我单位按照州级部门预算编制通知和有关要求，</w:t>
      </w:r>
      <w:r>
        <w:rPr>
          <w:rFonts w:hint="eastAsia" w:ascii="仿宋_GB2312" w:hAnsi="仿宋_GB2312" w:eastAsia="仿宋_GB2312" w:cs="仿宋_GB2312"/>
          <w:color w:val="000000"/>
          <w:kern w:val="0"/>
          <w:sz w:val="32"/>
          <w:szCs w:val="32"/>
          <w:lang w:val="en-US" w:eastAsia="zh-CN"/>
        </w:rPr>
        <w:t>按照我单位的职能职责</w:t>
      </w:r>
      <w:r>
        <w:rPr>
          <w:rFonts w:hint="eastAsia" w:ascii="仿宋_GB2312" w:hAnsi="仿宋_GB2312" w:eastAsia="仿宋_GB2312" w:cs="仿宋_GB2312"/>
          <w:color w:val="000000"/>
          <w:kern w:val="0"/>
          <w:sz w:val="32"/>
          <w:szCs w:val="32"/>
          <w:lang w:val="zh-CN"/>
        </w:rPr>
        <w:t>按时完成</w:t>
      </w:r>
      <w:r>
        <w:rPr>
          <w:rFonts w:hint="eastAsia" w:ascii="仿宋_GB2312" w:hAnsi="仿宋_GB2312" w:eastAsia="仿宋_GB2312" w:cs="仿宋_GB2312"/>
          <w:color w:val="000000"/>
          <w:kern w:val="0"/>
          <w:sz w:val="32"/>
          <w:szCs w:val="32"/>
          <w:lang w:val="en-US" w:eastAsia="zh-CN"/>
        </w:rPr>
        <w:t>各项目标任务，做好</w:t>
      </w:r>
      <w:r>
        <w:rPr>
          <w:rFonts w:hint="eastAsia" w:ascii="仿宋_GB2312" w:hAnsi="仿宋_GB2312" w:eastAsia="仿宋_GB2312" w:cs="仿宋_GB2312"/>
          <w:sz w:val="32"/>
          <w:szCs w:val="32"/>
        </w:rPr>
        <w:t>好社会管理、区域合作、招商引资、宣传推介、信访维稳、政务接待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机要保障</w:t>
      </w:r>
      <w:r>
        <w:rPr>
          <w:rFonts w:hint="eastAsia" w:ascii="仿宋_GB2312" w:hAnsi="仿宋_GB2312" w:eastAsia="仿宋_GB2312" w:cs="仿宋_GB2312"/>
          <w:sz w:val="32"/>
          <w:szCs w:val="32"/>
        </w:rPr>
        <w:t>等工作。</w:t>
      </w:r>
      <w:r>
        <w:rPr>
          <w:rFonts w:hint="eastAsia" w:ascii="仿宋_GB2312" w:hAnsi="仿宋_GB2312" w:eastAsia="仿宋_GB2312" w:cs="仿宋_GB2312"/>
          <w:color w:val="000000"/>
          <w:kern w:val="0"/>
          <w:sz w:val="32"/>
          <w:szCs w:val="32"/>
          <w:lang w:val="zh-CN"/>
        </w:rPr>
        <w:t>按要求完成预算编制质量、绩效目标填报等。（</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北京办公区维修改造款由于疫情的影响至今还未竣工结算</w:t>
      </w:r>
      <w:r>
        <w:rPr>
          <w:rFonts w:hint="eastAsia" w:ascii="仿宋_GB2312" w:hAnsi="仿宋_GB2312" w:eastAsia="仿宋_GB2312" w:cs="仿宋_GB2312"/>
          <w:color w:val="000000"/>
          <w:kern w:val="0"/>
          <w:sz w:val="32"/>
          <w:szCs w:val="32"/>
          <w:lang w:val="zh-CN"/>
        </w:rPr>
        <w:t>）</w:t>
      </w:r>
    </w:p>
    <w:p w14:paraId="24C92C2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目标实现</w:t>
      </w:r>
    </w:p>
    <w:p w14:paraId="3C127435">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实现</w:t>
      </w:r>
      <w:r>
        <w:rPr>
          <w:rFonts w:hint="eastAsia" w:ascii="仿宋_GB2312" w:hAnsi="仿宋_GB2312" w:eastAsia="仿宋_GB2312" w:cs="仿宋_GB2312"/>
          <w:color w:val="000000"/>
          <w:kern w:val="0"/>
          <w:sz w:val="32"/>
          <w:szCs w:val="32"/>
          <w:shd w:val="clear" w:color="auto" w:fill="FFFFFF"/>
          <w:lang w:val="zh-CN"/>
        </w:rPr>
        <w:t>充分发挥驻地在外的地理和区位优势，改变原来单一的服务工作为融合联络、协调、服务、处置等多元化相融合的政务联络服务机制，主动加强与国家部委局和省级部门的对接联系，为我州向上争取政策和项目牵好线。</w:t>
      </w:r>
    </w:p>
    <w:p w14:paraId="18E0BABE">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预算编制准确</w:t>
      </w:r>
    </w:p>
    <w:p w14:paraId="1681E6C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加强预算的编审，结合上年预算支出情况和本年的实际工作安排各项预算，该方面有待加强； </w:t>
      </w:r>
    </w:p>
    <w:p w14:paraId="1153920C">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支出控制</w:t>
      </w:r>
    </w:p>
    <w:p w14:paraId="5DD6985D">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严格按照实报实销，及时办理各事项、及时支付；本着厉行节约的原则开展各项相关工作；</w:t>
      </w:r>
    </w:p>
    <w:p w14:paraId="33DF61EC">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预算动态调整</w:t>
      </w:r>
    </w:p>
    <w:p w14:paraId="5D55A8F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我单位本年截止目前无预算调整，本着时刻监控预算执行的原则，对单位预算的执行和联系临时性或突发性事件调整本单位预算；</w:t>
      </w:r>
    </w:p>
    <w:p w14:paraId="24618E94">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执行进度</w:t>
      </w:r>
    </w:p>
    <w:p w14:paraId="0CCC78E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2020年预算当年预算执行进度为100%，结余资金为北京办公区维修改造款由于疫情的影响截止目前还未竣工结算；6月20日我单位的预算执行进度为52.17%。</w:t>
      </w:r>
    </w:p>
    <w:p w14:paraId="56CA9DBB">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预算完成情况</w:t>
      </w:r>
    </w:p>
    <w:p w14:paraId="206075DA">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2020年当年安排预算按编制和实际支出百分之百完成，结余资金为北京办公区维修改造款由于疫情的影响截止目前还未竣工结算；</w:t>
      </w:r>
    </w:p>
    <w:p w14:paraId="362B4EFA">
      <w:pPr>
        <w:pStyle w:val="10"/>
        <w:bidi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rPr>
        <w:t>我单位截止目前无</w:t>
      </w:r>
      <w:r>
        <w:rPr>
          <w:rFonts w:hint="eastAsia" w:ascii="仿宋_GB2312" w:hAnsi="仿宋_GB2312" w:eastAsia="仿宋_GB2312" w:cs="仿宋_GB2312"/>
          <w:color w:val="000000"/>
          <w:kern w:val="0"/>
          <w:sz w:val="32"/>
          <w:szCs w:val="32"/>
          <w:shd w:val="clear" w:color="auto" w:fill="FFFFFF"/>
          <w:lang w:val="zh-CN"/>
        </w:rPr>
        <w:t>违规记录等。</w:t>
      </w:r>
    </w:p>
    <w:p w14:paraId="1F943AEA">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14:paraId="27AF6C54">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lang w:val="en-US" w:eastAsia="zh-CN"/>
        </w:rPr>
        <w:t>我单位针对本次开展的</w:t>
      </w:r>
      <w:r>
        <w:rPr>
          <w:rFonts w:hint="eastAsia" w:ascii="仿宋_GB2312" w:hAnsi="仿宋_GB2312" w:eastAsia="仿宋_GB2312" w:cs="仿宋_GB2312"/>
          <w:color w:val="000000"/>
          <w:kern w:val="0"/>
          <w:sz w:val="32"/>
          <w:szCs w:val="32"/>
          <w:shd w:val="clear" w:color="auto" w:fill="FFFFFF"/>
          <w:lang w:val="zh-CN"/>
        </w:rPr>
        <w:t>绩效自评</w:t>
      </w:r>
      <w:r>
        <w:rPr>
          <w:rFonts w:hint="eastAsia" w:ascii="仿宋_GB2312" w:hAnsi="仿宋_GB2312" w:eastAsia="仿宋_GB2312" w:cs="仿宋_GB2312"/>
          <w:color w:val="000000"/>
          <w:kern w:val="0"/>
          <w:sz w:val="32"/>
          <w:szCs w:val="32"/>
          <w:shd w:val="clear" w:color="auto" w:fill="FFFFFF"/>
          <w:lang w:val="en-US" w:eastAsia="zh-CN"/>
        </w:rPr>
        <w:t>在我单位办公区公示栏进行了公开</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并针对本次检查，力争下一年的预算编制中加强编制科目的运用，并加强项目绩效的监管；</w:t>
      </w:r>
    </w:p>
    <w:p w14:paraId="346AF254">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7C483FFE">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14:paraId="5D062E75">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我单位2020年支出绩效评价为85.11分（单位涉及项目总分为90分，单位自评得分为76.6分(76.6/90)*100)</w:t>
      </w:r>
      <w:r>
        <w:rPr>
          <w:rFonts w:hint="eastAsia" w:ascii="仿宋_GB2312" w:hAnsi="仿宋_GB2312" w:eastAsia="仿宋_GB2312" w:cs="仿宋_GB2312"/>
          <w:color w:val="000000"/>
          <w:kern w:val="0"/>
          <w:sz w:val="32"/>
          <w:szCs w:val="32"/>
          <w:lang w:val="zh-CN"/>
        </w:rPr>
        <w:t>。</w:t>
      </w:r>
    </w:p>
    <w:p w14:paraId="00D2FCEF">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14:paraId="6EDB0858">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lang w:val="en-US" w:eastAsia="zh-CN"/>
        </w:rPr>
        <w:t>财</w:t>
      </w:r>
      <w:r>
        <w:rPr>
          <w:rFonts w:hint="eastAsia" w:ascii="仿宋_GB2312" w:hAnsi="仿宋_GB2312" w:eastAsia="仿宋_GB2312" w:cs="仿宋_GB2312"/>
          <w:color w:val="000000"/>
          <w:kern w:val="0"/>
          <w:sz w:val="32"/>
          <w:szCs w:val="32"/>
          <w:lang w:val="zh-CN" w:eastAsia="zh-CN"/>
        </w:rPr>
        <w:t>政</w:t>
      </w:r>
      <w:r>
        <w:rPr>
          <w:rFonts w:hint="eastAsia" w:ascii="仿宋_GB2312" w:hAnsi="仿宋_GB2312" w:eastAsia="仿宋_GB2312" w:cs="仿宋_GB2312"/>
          <w:color w:val="000000"/>
          <w:kern w:val="0"/>
          <w:sz w:val="32"/>
          <w:szCs w:val="32"/>
          <w:lang w:val="zh-CN"/>
        </w:rPr>
        <w:t>预算</w:t>
      </w:r>
      <w:r>
        <w:rPr>
          <w:rFonts w:hint="eastAsia" w:ascii="仿宋_GB2312" w:hAnsi="仿宋_GB2312" w:eastAsia="仿宋_GB2312" w:cs="仿宋_GB2312"/>
          <w:color w:val="000000"/>
          <w:kern w:val="0"/>
          <w:sz w:val="32"/>
          <w:szCs w:val="32"/>
          <w:lang w:val="en-US" w:eastAsia="zh-CN"/>
        </w:rPr>
        <w:t>编制不够精确，特别经济分类科目，要结合单位实际产生的费用项来编制预算。内控制度执行力度不够强，加强内控的执行；</w:t>
      </w:r>
    </w:p>
    <w:p w14:paraId="3C74CAE9">
      <w:pPr>
        <w:widowControl/>
        <w:numPr>
          <w:ilvl w:val="0"/>
          <w:numId w:val="7"/>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14:paraId="06A97C80">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rPr>
        <w:t>按要求结合实际科学编制预算；加快加强业务知识、财政政策的学习，做好及时进行账务处理；在资金安全合规的情况下加快预算执行力度；强化单位内部（各部门、各人员）对内控制度的执行力。</w:t>
      </w:r>
    </w:p>
    <w:p w14:paraId="3A9906CF">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lang w:val="en-US" w:eastAsia="zh-CN"/>
        </w:rPr>
      </w:pPr>
    </w:p>
    <w:p w14:paraId="10D5066D">
      <w:pPr>
        <w:keepNext w:val="0"/>
        <w:keepLines w:val="0"/>
        <w:pageBreakBefore w:val="0"/>
        <w:widowControl/>
        <w:kinsoku/>
        <w:wordWrap w:val="0"/>
        <w:overflowPunct/>
        <w:topLinePunct w:val="0"/>
        <w:autoSpaceDE/>
        <w:autoSpaceDN/>
        <w:adjustRightInd w:val="0"/>
        <w:snapToGrid w:val="0"/>
        <w:spacing w:line="580" w:lineRule="exact"/>
        <w:jc w:val="righ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阿坝藏族羌族自治州人民政府驻北京联络处  </w:t>
      </w:r>
    </w:p>
    <w:p w14:paraId="2F5F45B1">
      <w:pPr>
        <w:widowControl/>
        <w:numPr>
          <w:ilvl w:val="0"/>
          <w:numId w:val="0"/>
        </w:numPr>
        <w:adjustRightInd w:val="0"/>
        <w:snapToGrid w:val="0"/>
        <w:spacing w:line="580" w:lineRule="exact"/>
        <w:ind w:firstLine="5760" w:firstLineChars="18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 xml:space="preserve">2021年6月24日       </w:t>
      </w:r>
    </w:p>
    <w:p w14:paraId="2A5CA275">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3D306836">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33C57B2C">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11362118">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26F8F569">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04351A62">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530315F8">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03121226">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3DF606A1">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4D004538">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6CD558B1">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5A58F2AE">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0514B141">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14:paraId="49A34EFD">
      <w:pPr>
        <w:widowControl/>
        <w:jc w:val="left"/>
        <w:rPr>
          <w:rStyle w:val="28"/>
          <w:rFonts w:hint="eastAsia" w:ascii="黑体" w:hAnsi="黑体" w:eastAsia="黑体"/>
          <w:b w:val="0"/>
          <w:lang w:eastAsia="zh-CN"/>
        </w:rPr>
      </w:pPr>
    </w:p>
    <w:p w14:paraId="29486ABE">
      <w:pPr>
        <w:spacing w:line="240" w:lineRule="auto"/>
        <w:jc w:val="center"/>
        <w:outlineLvl w:val="0"/>
        <w:rPr>
          <w:rFonts w:hint="eastAsia" w:ascii="黑体" w:hAnsi="黑体" w:eastAsia="黑体"/>
          <w:color w:val="000000"/>
          <w:sz w:val="44"/>
          <w:szCs w:val="44"/>
          <w:lang w:eastAsia="zh-CN"/>
        </w:rPr>
      </w:pPr>
      <w:bookmarkStart w:id="117" w:name="_Toc79163885"/>
      <w:bookmarkStart w:id="118" w:name="_Toc15396618"/>
      <w:bookmarkStart w:id="119" w:name="_Toc79163635"/>
      <w:r>
        <w:rPr>
          <w:rFonts w:hint="eastAsia" w:ascii="黑体" w:hAnsi="黑体" w:eastAsia="黑体"/>
          <w:color w:val="000000"/>
          <w:sz w:val="44"/>
          <w:szCs w:val="44"/>
          <w:lang w:eastAsia="zh-CN"/>
        </w:rPr>
        <w:drawing>
          <wp:inline distT="0" distB="0" distL="114300" distR="114300">
            <wp:extent cx="8021320" cy="5676265"/>
            <wp:effectExtent l="0" t="0" r="635" b="17780"/>
            <wp:docPr id="1" name="图片 1"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1"/>
                    <pic:cNvPicPr>
                      <a:picLocks noChangeAspect="1"/>
                    </pic:cNvPicPr>
                  </pic:nvPicPr>
                  <pic:blipFill>
                    <a:blip r:embed="rId12"/>
                    <a:stretch>
                      <a:fillRect/>
                    </a:stretch>
                  </pic:blipFill>
                  <pic:spPr>
                    <a:xfrm rot="16200000">
                      <a:off x="0" y="0"/>
                      <a:ext cx="8021320" cy="5676265"/>
                    </a:xfrm>
                    <a:prstGeom prst="rect">
                      <a:avLst/>
                    </a:prstGeom>
                  </pic:spPr>
                </pic:pic>
              </a:graphicData>
            </a:graphic>
          </wp:inline>
        </w:drawing>
      </w:r>
    </w:p>
    <w:p w14:paraId="7890D6BD">
      <w:pPr>
        <w:tabs>
          <w:tab w:val="left" w:pos="3481"/>
        </w:tabs>
        <w:spacing w:line="240" w:lineRule="auto"/>
        <w:jc w:val="left"/>
        <w:outlineLvl w:val="0"/>
        <w:rPr>
          <w:rFonts w:hint="eastAsia" w:ascii="黑体" w:hAnsi="黑体" w:eastAsia="黑体"/>
          <w:color w:val="000000"/>
          <w:sz w:val="44"/>
          <w:szCs w:val="44"/>
          <w:lang w:eastAsia="zh-CN"/>
        </w:rPr>
      </w:pPr>
      <w:r>
        <w:rPr>
          <w:rFonts w:hint="eastAsia" w:ascii="黑体" w:hAnsi="黑体" w:eastAsia="黑体"/>
          <w:color w:val="000000"/>
          <w:sz w:val="44"/>
          <w:szCs w:val="44"/>
          <w:lang w:eastAsia="zh-CN"/>
        </w:rPr>
        <w:drawing>
          <wp:inline distT="0" distB="0" distL="114300" distR="114300">
            <wp:extent cx="8695055" cy="6120765"/>
            <wp:effectExtent l="0" t="0" r="13335" b="10795"/>
            <wp:docPr id="6" name="图片 6"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
                    <pic:cNvPicPr>
                      <a:picLocks noChangeAspect="1"/>
                    </pic:cNvPicPr>
                  </pic:nvPicPr>
                  <pic:blipFill>
                    <a:blip r:embed="rId13"/>
                    <a:stretch>
                      <a:fillRect/>
                    </a:stretch>
                  </pic:blipFill>
                  <pic:spPr>
                    <a:xfrm rot="16200000">
                      <a:off x="0" y="0"/>
                      <a:ext cx="8695055" cy="6120765"/>
                    </a:xfrm>
                    <a:prstGeom prst="rect">
                      <a:avLst/>
                    </a:prstGeom>
                  </pic:spPr>
                </pic:pic>
              </a:graphicData>
            </a:graphic>
          </wp:inline>
        </w:drawing>
      </w:r>
    </w:p>
    <w:p w14:paraId="668FF5A9">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9"/>
      <w:bookmarkEnd w:id="117"/>
      <w:bookmarkEnd w:id="118"/>
      <w:bookmarkEnd w:id="119"/>
    </w:p>
    <w:p w14:paraId="40DB06D3">
      <w:pPr>
        <w:pStyle w:val="3"/>
        <w:rPr>
          <w:rFonts w:ascii="仿宋" w:hAnsi="仿宋" w:eastAsia="仿宋"/>
          <w:color w:val="000000"/>
        </w:rPr>
      </w:pPr>
      <w:bookmarkStart w:id="120" w:name="_Toc79163636"/>
      <w:bookmarkStart w:id="121" w:name="_Toc79163886"/>
      <w:bookmarkStart w:id="122"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120"/>
      <w:bookmarkEnd w:id="121"/>
      <w:bookmarkEnd w:id="122"/>
    </w:p>
    <w:p w14:paraId="108F9A08">
      <w:pPr>
        <w:pStyle w:val="3"/>
        <w:rPr>
          <w:rFonts w:ascii="仿宋" w:hAnsi="仿宋" w:eastAsia="仿宋"/>
          <w:color w:val="000000"/>
        </w:rPr>
      </w:pPr>
      <w:bookmarkStart w:id="123" w:name="_Toc15396620"/>
      <w:bookmarkStart w:id="124" w:name="_Toc79163887"/>
      <w:bookmarkStart w:id="125"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123"/>
      <w:bookmarkEnd w:id="124"/>
      <w:bookmarkEnd w:id="125"/>
    </w:p>
    <w:p w14:paraId="421E4C9E">
      <w:pPr>
        <w:pStyle w:val="3"/>
        <w:rPr>
          <w:rFonts w:ascii="仿宋" w:hAnsi="仿宋" w:eastAsia="仿宋"/>
          <w:color w:val="000000"/>
        </w:rPr>
      </w:pPr>
      <w:bookmarkStart w:id="126" w:name="_Toc79163888"/>
      <w:bookmarkStart w:id="127" w:name="_Toc15396621"/>
      <w:bookmarkStart w:id="128" w:name="_Toc7916363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26"/>
      <w:bookmarkEnd w:id="127"/>
      <w:bookmarkEnd w:id="128"/>
    </w:p>
    <w:p w14:paraId="61F299E3">
      <w:pPr>
        <w:pStyle w:val="3"/>
        <w:rPr>
          <w:rFonts w:ascii="仿宋" w:hAnsi="仿宋" w:eastAsia="仿宋"/>
          <w:b w:val="0"/>
          <w:color w:val="000000"/>
        </w:rPr>
      </w:pPr>
      <w:bookmarkStart w:id="129" w:name="_Toc79163639"/>
      <w:bookmarkStart w:id="130" w:name="_Toc79163889"/>
      <w:bookmarkStart w:id="131"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29"/>
      <w:bookmarkEnd w:id="130"/>
      <w:bookmarkEnd w:id="131"/>
    </w:p>
    <w:p w14:paraId="1DA05792">
      <w:pPr>
        <w:pStyle w:val="3"/>
        <w:rPr>
          <w:rStyle w:val="29"/>
          <w:rFonts w:ascii="仿宋" w:hAnsi="仿宋" w:eastAsia="仿宋"/>
          <w:b w:val="0"/>
          <w:bCs w:val="0"/>
        </w:rPr>
      </w:pPr>
      <w:bookmarkStart w:id="132" w:name="_Toc79163890"/>
      <w:bookmarkStart w:id="133" w:name="_Toc79163640"/>
      <w:bookmarkStart w:id="13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32"/>
      <w:bookmarkEnd w:id="133"/>
      <w:bookmarkEnd w:id="134"/>
      <w:bookmarkStart w:id="135" w:name="_Toc15396624"/>
    </w:p>
    <w:p w14:paraId="5F13F37D">
      <w:pPr>
        <w:pStyle w:val="3"/>
        <w:rPr>
          <w:rFonts w:ascii="仿宋" w:hAnsi="仿宋" w:eastAsia="仿宋"/>
          <w:color w:val="000000"/>
        </w:rPr>
      </w:pPr>
      <w:bookmarkStart w:id="136" w:name="_Toc79163641"/>
      <w:bookmarkStart w:id="137"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35"/>
      <w:bookmarkEnd w:id="136"/>
      <w:bookmarkEnd w:id="137"/>
    </w:p>
    <w:p w14:paraId="518F52CA">
      <w:pPr>
        <w:pStyle w:val="3"/>
        <w:rPr>
          <w:rFonts w:ascii="仿宋" w:hAnsi="仿宋" w:eastAsia="仿宋"/>
          <w:color w:val="000000"/>
        </w:rPr>
      </w:pPr>
      <w:bookmarkStart w:id="138" w:name="_Toc79163892"/>
      <w:bookmarkStart w:id="139" w:name="_Toc15396625"/>
      <w:bookmarkStart w:id="140"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38"/>
      <w:bookmarkEnd w:id="139"/>
      <w:bookmarkEnd w:id="140"/>
    </w:p>
    <w:p w14:paraId="0DD1E649">
      <w:pPr>
        <w:pStyle w:val="3"/>
        <w:rPr>
          <w:rFonts w:ascii="仿宋" w:hAnsi="仿宋" w:eastAsia="仿宋"/>
          <w:color w:val="000000"/>
        </w:rPr>
      </w:pPr>
      <w:bookmarkStart w:id="141" w:name="_Toc79163893"/>
      <w:bookmarkStart w:id="142" w:name="_Toc79163643"/>
      <w:bookmarkStart w:id="143"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41"/>
      <w:bookmarkEnd w:id="142"/>
      <w:bookmarkEnd w:id="143"/>
    </w:p>
    <w:p w14:paraId="5404F125">
      <w:pPr>
        <w:pStyle w:val="3"/>
        <w:rPr>
          <w:rFonts w:ascii="仿宋" w:hAnsi="仿宋" w:eastAsia="仿宋"/>
          <w:color w:val="000000"/>
        </w:rPr>
      </w:pPr>
      <w:bookmarkStart w:id="144" w:name="_Toc79163894"/>
      <w:bookmarkStart w:id="145" w:name="_Toc15396627"/>
      <w:bookmarkStart w:id="146"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44"/>
      <w:bookmarkEnd w:id="145"/>
      <w:bookmarkEnd w:id="146"/>
    </w:p>
    <w:p w14:paraId="3B414216">
      <w:pPr>
        <w:pStyle w:val="3"/>
        <w:rPr>
          <w:rFonts w:ascii="仿宋" w:hAnsi="仿宋" w:eastAsia="仿宋"/>
          <w:color w:val="000000"/>
        </w:rPr>
      </w:pPr>
      <w:bookmarkStart w:id="147" w:name="_Toc79163895"/>
      <w:bookmarkStart w:id="148" w:name="_Toc79163645"/>
      <w:bookmarkStart w:id="14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47"/>
      <w:bookmarkEnd w:id="148"/>
      <w:bookmarkEnd w:id="149"/>
    </w:p>
    <w:p w14:paraId="445EF7C1">
      <w:pPr>
        <w:pStyle w:val="3"/>
        <w:rPr>
          <w:rFonts w:ascii="仿宋" w:hAnsi="仿宋" w:eastAsia="仿宋"/>
          <w:color w:val="000000"/>
        </w:rPr>
      </w:pPr>
      <w:bookmarkStart w:id="150" w:name="_Toc15396629"/>
      <w:bookmarkStart w:id="151" w:name="_Toc79163646"/>
      <w:bookmarkStart w:id="152" w:name="_Toc7916389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50"/>
      <w:bookmarkEnd w:id="151"/>
      <w:bookmarkEnd w:id="152"/>
    </w:p>
    <w:p w14:paraId="3D5DCA2A">
      <w:pPr>
        <w:pStyle w:val="3"/>
        <w:rPr>
          <w:rFonts w:ascii="仿宋" w:hAnsi="仿宋" w:eastAsia="仿宋"/>
          <w:color w:val="000000"/>
        </w:rPr>
      </w:pPr>
      <w:bookmarkStart w:id="153" w:name="_Toc15396630"/>
      <w:bookmarkStart w:id="154" w:name="_Toc79163897"/>
      <w:bookmarkStart w:id="155" w:name="_Toc7916364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53"/>
      <w:bookmarkEnd w:id="154"/>
      <w:bookmarkEnd w:id="155"/>
    </w:p>
    <w:p w14:paraId="638DA4BD">
      <w:pPr>
        <w:pStyle w:val="3"/>
        <w:rPr>
          <w:rStyle w:val="29"/>
          <w:rFonts w:ascii="仿宋" w:hAnsi="仿宋" w:eastAsia="仿宋"/>
          <w:b w:val="0"/>
          <w:bCs w:val="0"/>
        </w:rPr>
      </w:pPr>
      <w:bookmarkStart w:id="156" w:name="_Toc79163898"/>
      <w:bookmarkStart w:id="157" w:name="_Toc79163648"/>
      <w:bookmarkStart w:id="158"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56"/>
      <w:bookmarkEnd w:id="157"/>
      <w:bookmarkEnd w:id="158"/>
    </w:p>
    <w:p w14:paraId="01D10D28">
      <w:pPr>
        <w:pStyle w:val="3"/>
        <w:rPr>
          <w:rStyle w:val="29"/>
          <w:rFonts w:ascii="仿宋" w:hAnsi="仿宋" w:eastAsia="仿宋"/>
          <w:b w:val="0"/>
          <w:bCs w:val="0"/>
        </w:rPr>
      </w:pPr>
      <w:bookmarkStart w:id="159" w:name="_Toc79163649"/>
      <w:bookmarkStart w:id="160" w:name="_Toc79163899"/>
      <w:r>
        <w:rPr>
          <w:rStyle w:val="29"/>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25971">
    <w:pPr>
      <w:pStyle w:val="17"/>
      <w:jc w:val="center"/>
    </w:pPr>
    <w:r>
      <w:fldChar w:fldCharType="begin"/>
    </w:r>
    <w:r>
      <w:instrText xml:space="preserve">PAGE   \* MERGEFORMAT</w:instrText>
    </w:r>
    <w:r>
      <w:fldChar w:fldCharType="separate"/>
    </w:r>
    <w:r>
      <w:rPr>
        <w:lang w:val="zh-CN"/>
      </w:rPr>
      <w:t>3</w:t>
    </w:r>
    <w:r>
      <w:fldChar w:fldCharType="end"/>
    </w:r>
  </w:p>
  <w:p w14:paraId="5B939627">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38948">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070EDAF"/>
    <w:multiLevelType w:val="singleLevel"/>
    <w:tmpl w:val="F070EDAF"/>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6AD9F69"/>
    <w:multiLevelType w:val="singleLevel"/>
    <w:tmpl w:val="26AD9F69"/>
    <w:lvl w:ilvl="0" w:tentative="0">
      <w:start w:val="1"/>
      <w:numFmt w:val="chineseCounting"/>
      <w:suff w:val="nothing"/>
      <w:lvlText w:val="%1、"/>
      <w:lvlJc w:val="left"/>
      <w:rPr>
        <w:rFonts w:hint="eastAsia"/>
      </w:rPr>
    </w:lvl>
  </w:abstractNum>
  <w:abstractNum w:abstractNumId="5">
    <w:nsid w:val="362CBBF2"/>
    <w:multiLevelType w:val="singleLevel"/>
    <w:tmpl w:val="362CBBF2"/>
    <w:lvl w:ilvl="0" w:tentative="0">
      <w:start w:val="2"/>
      <w:numFmt w:val="chineseCounting"/>
      <w:suff w:val="nothing"/>
      <w:lvlText w:val="（%1）"/>
      <w:lvlJc w:val="left"/>
      <w:rPr>
        <w:rFonts w:hint="eastAsia"/>
      </w:rPr>
    </w:lvl>
  </w:abstractNum>
  <w:abstractNum w:abstractNumId="6">
    <w:nsid w:val="4F2E2E9C"/>
    <w:multiLevelType w:val="singleLevel"/>
    <w:tmpl w:val="4F2E2E9C"/>
    <w:lvl w:ilvl="0" w:tentative="0">
      <w:start w:val="1"/>
      <w:numFmt w:val="decimal"/>
      <w:lvlText w:val="%1."/>
      <w:lvlJc w:val="left"/>
      <w:pPr>
        <w:tabs>
          <w:tab w:val="left" w:pos="312"/>
        </w:tabs>
      </w:p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1FC4116"/>
    <w:rsid w:val="01FE58EB"/>
    <w:rsid w:val="06F733B8"/>
    <w:rsid w:val="0A2032A3"/>
    <w:rsid w:val="0A7114AF"/>
    <w:rsid w:val="0B95176A"/>
    <w:rsid w:val="0C7E1DA4"/>
    <w:rsid w:val="0C9012CE"/>
    <w:rsid w:val="0CE02976"/>
    <w:rsid w:val="10C055FF"/>
    <w:rsid w:val="118107EC"/>
    <w:rsid w:val="14F23A44"/>
    <w:rsid w:val="15615907"/>
    <w:rsid w:val="16BB723D"/>
    <w:rsid w:val="17546281"/>
    <w:rsid w:val="180D0C34"/>
    <w:rsid w:val="19ED2E23"/>
    <w:rsid w:val="1A5F10D7"/>
    <w:rsid w:val="1D155CEE"/>
    <w:rsid w:val="2172388F"/>
    <w:rsid w:val="240371BF"/>
    <w:rsid w:val="27407887"/>
    <w:rsid w:val="299070DF"/>
    <w:rsid w:val="29FD04D3"/>
    <w:rsid w:val="2B825E20"/>
    <w:rsid w:val="319F7F4E"/>
    <w:rsid w:val="36B5655C"/>
    <w:rsid w:val="39E64F71"/>
    <w:rsid w:val="45B66C56"/>
    <w:rsid w:val="47B0407F"/>
    <w:rsid w:val="48C50C5F"/>
    <w:rsid w:val="49613E25"/>
    <w:rsid w:val="499C0D02"/>
    <w:rsid w:val="4B1A53A4"/>
    <w:rsid w:val="4ECE2238"/>
    <w:rsid w:val="4F0804E8"/>
    <w:rsid w:val="50D75E06"/>
    <w:rsid w:val="533914BF"/>
    <w:rsid w:val="56AB03A8"/>
    <w:rsid w:val="5C006A63"/>
    <w:rsid w:val="62F06476"/>
    <w:rsid w:val="65AC76BF"/>
    <w:rsid w:val="669C1D02"/>
    <w:rsid w:val="6C2D1BDD"/>
    <w:rsid w:val="6C4A05C8"/>
    <w:rsid w:val="70F12B23"/>
    <w:rsid w:val="72734D90"/>
    <w:rsid w:val="73A95C1A"/>
    <w:rsid w:val="74F071C6"/>
    <w:rsid w:val="7B431865"/>
    <w:rsid w:val="7FBF0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9"/>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9"/>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9"/>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Theme="minorHAnsi" w:eastAsiaTheme="minorHAnsi"/>
      <w:sz w:val="18"/>
      <w:szCs w:val="18"/>
    </w:rPr>
  </w:style>
  <w:style w:type="paragraph" w:styleId="12">
    <w:name w:val="Body Text"/>
    <w:basedOn w:val="1"/>
    <w:link w:val="37"/>
    <w:qFormat/>
    <w:uiPriority w:val="99"/>
    <w:pPr>
      <w:spacing w:beforeLines="30"/>
    </w:pPr>
    <w:rPr>
      <w:rFonts w:ascii="仿宋_GB2312" w:eastAsia="仿宋_GB2312"/>
      <w:kern w:val="0"/>
      <w:sz w:val="24"/>
      <w:szCs w:val="20"/>
      <w:lang w:val="zh-CN" w:eastAsia="zh-CN"/>
    </w:rPr>
  </w:style>
  <w:style w:type="paragraph" w:styleId="13">
    <w:name w:val="toc 5"/>
    <w:basedOn w:val="1"/>
    <w:next w:val="1"/>
    <w:unhideWhenUsed/>
    <w:qFormat/>
    <w:uiPriority w:val="39"/>
    <w:pPr>
      <w:ind w:left="840"/>
      <w:jc w:val="left"/>
    </w:pPr>
    <w:rPr>
      <w:rFonts w:asciiTheme="minorHAnsi" w:eastAsiaTheme="minorHAnsi"/>
      <w:sz w:val="18"/>
      <w:szCs w:val="18"/>
    </w:rPr>
  </w:style>
  <w:style w:type="paragraph" w:styleId="14">
    <w:name w:val="toc 3"/>
    <w:basedOn w:val="1"/>
    <w:next w:val="1"/>
    <w:unhideWhenUsed/>
    <w:qFormat/>
    <w:uiPriority w:val="39"/>
    <w:pPr>
      <w:ind w:left="420"/>
      <w:jc w:val="left"/>
    </w:pPr>
    <w:rPr>
      <w:rFonts w:asciiTheme="minorHAnsi" w:eastAsiaTheme="minorHAnsi"/>
      <w:i/>
      <w:iCs/>
      <w:sz w:val="20"/>
      <w:szCs w:val="20"/>
    </w:rPr>
  </w:style>
  <w:style w:type="paragraph" w:styleId="15">
    <w:name w:val="toc 8"/>
    <w:basedOn w:val="1"/>
    <w:next w:val="1"/>
    <w:unhideWhenUsed/>
    <w:qFormat/>
    <w:uiPriority w:val="39"/>
    <w:pPr>
      <w:ind w:left="1470"/>
      <w:jc w:val="left"/>
    </w:pPr>
    <w:rPr>
      <w:rFonts w:asciiTheme="minorHAnsi" w:eastAsiaTheme="minorHAnsi"/>
      <w:sz w:val="18"/>
      <w:szCs w:val="18"/>
    </w:rPr>
  </w:style>
  <w:style w:type="paragraph" w:styleId="16">
    <w:name w:val="Balloon Text"/>
    <w:basedOn w:val="1"/>
    <w:link w:val="32"/>
    <w:semiHidden/>
    <w:unhideWhenUsed/>
    <w:qFormat/>
    <w:uiPriority w:val="99"/>
    <w:rPr>
      <w:sz w:val="18"/>
      <w:szCs w:val="18"/>
    </w:rPr>
  </w:style>
  <w:style w:type="paragraph" w:styleId="17">
    <w:name w:val="footer"/>
    <w:basedOn w:val="1"/>
    <w:link w:val="36"/>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8">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9">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0">
    <w:name w:val="toc 4"/>
    <w:basedOn w:val="1"/>
    <w:next w:val="1"/>
    <w:unhideWhenUsed/>
    <w:qFormat/>
    <w:uiPriority w:val="39"/>
    <w:pPr>
      <w:ind w:left="630"/>
      <w:jc w:val="left"/>
    </w:pPr>
    <w:rPr>
      <w:rFonts w:asciiTheme="minorHAnsi" w:eastAsiaTheme="minorHAnsi"/>
      <w:sz w:val="18"/>
      <w:szCs w:val="18"/>
    </w:rPr>
  </w:style>
  <w:style w:type="paragraph" w:styleId="21">
    <w:name w:val="toc 6"/>
    <w:basedOn w:val="1"/>
    <w:next w:val="1"/>
    <w:unhideWhenUsed/>
    <w:qFormat/>
    <w:uiPriority w:val="39"/>
    <w:pPr>
      <w:ind w:left="1050"/>
      <w:jc w:val="left"/>
    </w:pPr>
    <w:rPr>
      <w:rFonts w:asciiTheme="minorHAnsi" w:eastAsiaTheme="minorHAnsi"/>
      <w:sz w:val="18"/>
      <w:szCs w:val="18"/>
    </w:rPr>
  </w:style>
  <w:style w:type="paragraph" w:styleId="22">
    <w:name w:val="toc 2"/>
    <w:basedOn w:val="1"/>
    <w:next w:val="1"/>
    <w:unhideWhenUsed/>
    <w:qFormat/>
    <w:uiPriority w:val="39"/>
    <w:pPr>
      <w:ind w:left="210"/>
      <w:jc w:val="left"/>
    </w:pPr>
    <w:rPr>
      <w:rFonts w:asciiTheme="minorHAnsi" w:eastAsiaTheme="minorHAnsi"/>
      <w:smallCaps/>
      <w:sz w:val="20"/>
      <w:szCs w:val="20"/>
    </w:rPr>
  </w:style>
  <w:style w:type="paragraph" w:styleId="23">
    <w:name w:val="toc 9"/>
    <w:basedOn w:val="1"/>
    <w:next w:val="1"/>
    <w:unhideWhenUsed/>
    <w:qFormat/>
    <w:uiPriority w:val="39"/>
    <w:pPr>
      <w:ind w:left="1680"/>
      <w:jc w:val="left"/>
    </w:pPr>
    <w:rPr>
      <w:rFonts w:asciiTheme="minorHAnsi" w:eastAsiaTheme="minorHAnsi"/>
      <w:sz w:val="18"/>
      <w:szCs w:val="18"/>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字符"/>
    <w:basedOn w:val="25"/>
    <w:link w:val="2"/>
    <w:qFormat/>
    <w:locked/>
    <w:uiPriority w:val="9"/>
    <w:rPr>
      <w:rFonts w:ascii="Times New Roman" w:hAnsi="Times New Roman" w:cs="Times New Roman"/>
      <w:b/>
      <w:bCs/>
      <w:kern w:val="44"/>
      <w:sz w:val="44"/>
      <w:szCs w:val="44"/>
    </w:rPr>
  </w:style>
  <w:style w:type="character" w:customStyle="1" w:styleId="29">
    <w:name w:val="标题 2 字符"/>
    <w:basedOn w:val="25"/>
    <w:link w:val="3"/>
    <w:qFormat/>
    <w:locked/>
    <w:uiPriority w:val="9"/>
    <w:rPr>
      <w:rFonts w:ascii="Cambria" w:hAnsi="Cambria" w:eastAsia="宋体" w:cs="Times New Roman"/>
      <w:b/>
      <w:bCs/>
      <w:kern w:val="2"/>
      <w:sz w:val="32"/>
      <w:szCs w:val="32"/>
    </w:rPr>
  </w:style>
  <w:style w:type="character" w:customStyle="1" w:styleId="30">
    <w:name w:val="标题 3 字符"/>
    <w:basedOn w:val="25"/>
    <w:link w:val="4"/>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字符"/>
    <w:basedOn w:val="25"/>
    <w:link w:val="16"/>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字符"/>
    <w:link w:val="18"/>
    <w:semiHidden/>
    <w:qFormat/>
    <w:locked/>
    <w:uiPriority w:val="99"/>
    <w:rPr>
      <w:sz w:val="18"/>
    </w:rPr>
  </w:style>
  <w:style w:type="character" w:customStyle="1" w:styleId="36">
    <w:name w:val="页脚 字符"/>
    <w:link w:val="17"/>
    <w:qFormat/>
    <w:locked/>
    <w:uiPriority w:val="99"/>
    <w:rPr>
      <w:sz w:val="18"/>
    </w:rPr>
  </w:style>
  <w:style w:type="character" w:customStyle="1" w:styleId="37">
    <w:name w:val="正文文本 字符"/>
    <w:link w:val="12"/>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3">
    <w:name w:val="正文文本1"/>
    <w:basedOn w:val="1"/>
    <w:qFormat/>
    <w:uiPriority w:val="0"/>
    <w:pPr>
      <w:spacing w:before="93"/>
    </w:pPr>
    <w:rPr>
      <w:rFonts w:ascii="仿宋_GB2312" w:hAnsi="仿宋_GB2312" w:eastAsia="仿宋_GB2312" w:cs="Times New Roman"/>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年度收、支总计</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delete val="1"/>
          </c:dLbls>
          <c:cat>
            <c:strRef>
              <c:f>Sheet1!$A$2:$A$3</c:f>
              <c:strCache>
                <c:ptCount val="2"/>
                <c:pt idx="0">
                  <c:v>2019年</c:v>
                </c:pt>
                <c:pt idx="1">
                  <c:v>2020年</c:v>
                </c:pt>
              </c:strCache>
            </c:strRef>
          </c:cat>
          <c:val>
            <c:numRef>
              <c:f>Sheet1!$B$2:$B$3</c:f>
              <c:numCache>
                <c:formatCode>General</c:formatCode>
                <c:ptCount val="2"/>
                <c:pt idx="0">
                  <c:v>1389.03</c:v>
                </c:pt>
                <c:pt idx="1">
                  <c:v>1095.85</c:v>
                </c:pt>
              </c:numCache>
            </c:numRef>
          </c:val>
        </c:ser>
        <c:dLbls>
          <c:showLegendKey val="0"/>
          <c:showVal val="0"/>
          <c:showCatName val="0"/>
          <c:showSerName val="0"/>
          <c:showPercent val="0"/>
          <c:showBubbleSize val="0"/>
        </c:dLbls>
        <c:gapWidth val="150"/>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388afb-0481-46f9-83ad-aab26a44af2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一般公共预算财政拨款收入100%</c:v>
                </c:pt>
                <c:pt idx="1">
                  <c:v>政府基金预算财政拨款收入0%</c:v>
                </c:pt>
                <c:pt idx="2">
                  <c:v>上级补助0%</c:v>
                </c:pt>
                <c:pt idx="3">
                  <c:v>事业收入0%</c:v>
                </c:pt>
                <c:pt idx="4">
                  <c:v>其他收入0%</c:v>
                </c:pt>
                <c:pt idx="5">
                  <c:v>附属单位上缴收入0%</c:v>
                </c:pt>
              </c:strCache>
            </c:strRef>
          </c:cat>
          <c:val>
            <c:numRef>
              <c:f>Sheet1!$B$2:$B$7</c:f>
              <c:numCache>
                <c:formatCode>General</c:formatCode>
                <c:ptCount val="6"/>
                <c:pt idx="0">
                  <c:v>559.86</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0c4d2a-5d70-47b9-9dad-9adcbfa416c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基本支出70.14%</c:v>
                </c:pt>
                <c:pt idx="1">
                  <c:v>项目支出29.86%</c:v>
                </c:pt>
                <c:pt idx="2">
                  <c:v>上缴上级支出0%</c:v>
                </c:pt>
                <c:pt idx="3">
                  <c:v>经营支出0%</c:v>
                </c:pt>
                <c:pt idx="4">
                  <c:v>对附属单位补助支出0%</c:v>
                </c:pt>
              </c:strCache>
            </c:strRef>
          </c:cat>
          <c:val>
            <c:numRef>
              <c:f>Sheet1!$B$2:$B$6</c:f>
              <c:numCache>
                <c:formatCode>General</c:formatCode>
                <c:ptCount val="5"/>
                <c:pt idx="0">
                  <c:v>699.24</c:v>
                </c:pt>
                <c:pt idx="1">
                  <c:v>297.68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329717e-640c-406e-9e3c-c0028f7eccb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5980888139404"/>
          <c:y val="0.0081922446750409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财政拨款支出</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delete val="1"/>
          </c:dLbls>
          <c:cat>
            <c:strRef>
              <c:f>Sheet1!$A$2:$A$3</c:f>
              <c:strCache>
                <c:ptCount val="2"/>
                <c:pt idx="0">
                  <c:v>2019年</c:v>
                </c:pt>
                <c:pt idx="1">
                  <c:v>2020年</c:v>
                </c:pt>
              </c:strCache>
            </c:strRef>
          </c:cat>
          <c:val>
            <c:numRef>
              <c:f>Sheet1!$B$2:$B$3</c:f>
              <c:numCache>
                <c:formatCode>General</c:formatCode>
                <c:ptCount val="2"/>
                <c:pt idx="0">
                  <c:v>654.7</c:v>
                </c:pt>
                <c:pt idx="1">
                  <c:v>996.91</c:v>
                </c:pt>
              </c:numCache>
            </c:numRef>
          </c:val>
        </c:ser>
        <c:dLbls>
          <c:showLegendKey val="0"/>
          <c:showVal val="0"/>
          <c:showCatName val="0"/>
          <c:showSerName val="0"/>
          <c:showPercent val="0"/>
          <c:showBubbleSize val="0"/>
        </c:dLbls>
        <c:gapWidth val="150"/>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36b7e2a-951f-4acb-891f-c3e10e909e1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3609022556391"/>
          <c:y val="0.160576096302666"/>
          <c:w val="0.483759398496241"/>
          <c:h val="0.691530524505589"/>
        </c:manualLayout>
      </c:layout>
      <c:pieChart>
        <c:varyColors val="1"/>
        <c:ser>
          <c:idx val="0"/>
          <c:order val="0"/>
          <c:tx>
            <c:strRef>
              <c:f>Sheet1!$B$1</c:f>
              <c:strCache>
                <c:ptCount val="1"/>
                <c:pt idx="0">
                  <c:v>一般公共预算财政拨款支出明细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gradFill>
                <a:gsLst>
                  <a:gs pos="0">
                    <a:srgbClr val="9EE256"/>
                  </a:gs>
                  <a:gs pos="100000">
                    <a:srgbClr val="52762D"/>
                  </a:gs>
                </a:gsLst>
                <a:lin ang="5400000" scaled="0"/>
              </a:gra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社会保障与就业支出</c:v>
                </c:pt>
                <c:pt idx="2">
                  <c:v>卫生健康支出</c:v>
                </c:pt>
                <c:pt idx="3">
                  <c:v>住房保障支出</c:v>
                </c:pt>
              </c:strCache>
            </c:strRef>
          </c:cat>
          <c:val>
            <c:numRef>
              <c:f>Sheet1!$B$2:$B$5</c:f>
              <c:numCache>
                <c:formatCode>General</c:formatCode>
                <c:ptCount val="4"/>
                <c:pt idx="0">
                  <c:v>922.54</c:v>
                </c:pt>
                <c:pt idx="1">
                  <c:v>34.31</c:v>
                </c:pt>
                <c:pt idx="2">
                  <c:v>13.67</c:v>
                </c:pt>
                <c:pt idx="3">
                  <c:v>26.4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67744360902256"/>
          <c:y val="0.9306722689075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57a868-7456-4d75-a13a-2353fafa35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因公出国（境）费用</c:v>
                </c:pt>
                <c:pt idx="1">
                  <c:v>公务用车购置及运行维护</c:v>
                </c:pt>
                <c:pt idx="2">
                  <c:v>公务接待费</c:v>
                </c:pt>
              </c:strCache>
            </c:strRef>
          </c:cat>
          <c:val>
            <c:numRef>
              <c:f>Sheet1!$B$2:$B$4</c:f>
              <c:numCache>
                <c:formatCode>General</c:formatCode>
                <c:ptCount val="3"/>
                <c:pt idx="0">
                  <c:v>0</c:v>
                </c:pt>
                <c:pt idx="1">
                  <c:v>51.39</c:v>
                </c:pt>
                <c:pt idx="2">
                  <c:v>1.18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aaf2866-f33c-482a-886b-d24847a30c1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781</Words>
  <Characters>833</Characters>
  <Lines>74</Lines>
  <Paragraphs>21</Paragraphs>
  <TotalTime>18</TotalTime>
  <ScaleCrop>false</ScaleCrop>
  <LinksUpToDate>false</LinksUpToDate>
  <CharactersWithSpaces>888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一个笨蛋</cp:lastModifiedBy>
  <cp:lastPrinted>2021-09-23T01:29:00Z</cp:lastPrinted>
  <dcterms:modified xsi:type="dcterms:W3CDTF">2026-08-20T00:59:39Z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eyJoZGlkIjoiYjllZGNkZWEzYjg0NDNmNTQ5MjkzNjk0ODlhNmVkYzAiLCJ1c2VySWQiOiI0MTAxMDQ4MDkifQ==</vt:lpwstr>
  </property>
  <property fmtid="{D5CDD505-2E9C-101B-9397-08002B2CF9AE}" pid="4" name="ICV">
    <vt:lpwstr>0BF6340D036949B18FE7074EEFBE5486_12</vt:lpwstr>
  </property>
</Properties>
</file>