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C99D873">
      <w:pPr>
        <w:pStyle w:val="35"/>
        <w:spacing w:before="0" w:beforeAutospacing="0"/>
        <w:jc w:val="center"/>
      </w:pPr>
      <w:r>
        <w:rPr>
          <w:sz w:val="42"/>
          <w:szCs w:val="42"/>
          <w:lang w:val="en-US"/>
        </w:rPr>
        <w:t>2022</w:t>
      </w:r>
      <w:r>
        <w:rPr>
          <w:sz w:val="42"/>
          <w:szCs w:val="42"/>
          <w:lang w:eastAsia="zh-CN"/>
        </w:rPr>
        <w:t>年度</w:t>
      </w:r>
    </w:p>
    <w:p w14:paraId="0DAD52E4">
      <w:pPr>
        <w:pStyle w:val="35"/>
        <w:spacing w:before="0" w:beforeAutospacing="0"/>
        <w:jc w:val="center"/>
        <w:outlineLvl w:val="0"/>
      </w:pPr>
      <w:bookmarkStart w:id="0" w:name="_Toc7844"/>
      <w:bookmarkEnd w:id="0"/>
      <w:bookmarkStart w:id="1" w:name="_Toc9954"/>
      <w:bookmarkEnd w:id="1"/>
      <w:bookmarkStart w:id="2" w:name="_Toc21684"/>
      <w:bookmarkEnd w:id="2"/>
      <w:bookmarkStart w:id="3" w:name="_Toc14860"/>
      <w:bookmarkStart w:id="4" w:name="_Toc216"/>
      <w:r>
        <w:rPr>
          <w:sz w:val="42"/>
          <w:szCs w:val="42"/>
          <w:lang w:eastAsia="zh-CN"/>
        </w:rPr>
        <w:t>四川省阿坝州人民政府驻北京联络处部门决算</w:t>
      </w:r>
      <w:bookmarkEnd w:id="3"/>
      <w:bookmarkEnd w:id="4"/>
    </w:p>
    <w:p w14:paraId="259548B2">
      <w:pPr>
        <w:pStyle w:val="35"/>
        <w:spacing w:before="0" w:beforeAutospacing="0"/>
        <w:jc w:val="center"/>
      </w:pPr>
      <w:r>
        <w:rPr>
          <w:lang w:val="en-US"/>
        </w:rPr>
        <w:t xml:space="preserve"> </w:t>
      </w:r>
    </w:p>
    <w:p w14:paraId="1F86F16A">
      <w:pPr>
        <w:pStyle w:val="35"/>
        <w:spacing w:before="0" w:beforeAutospacing="0"/>
        <w:jc w:val="center"/>
      </w:pPr>
      <w:r>
        <w:rPr>
          <w:lang w:val="en-US"/>
        </w:rPr>
        <w:t xml:space="preserve"> </w:t>
      </w:r>
    </w:p>
    <w:p w14:paraId="0B97DA52">
      <w:pPr>
        <w:pStyle w:val="35"/>
        <w:spacing w:before="0" w:beforeAutospacing="0"/>
        <w:jc w:val="center"/>
      </w:pPr>
      <w:r>
        <w:rPr>
          <w:lang w:val="en-US"/>
        </w:rPr>
        <w:t xml:space="preserve"> </w:t>
      </w:r>
    </w:p>
    <w:p w14:paraId="24AD4CFA">
      <w:pPr>
        <w:pStyle w:val="35"/>
        <w:spacing w:before="0" w:beforeAutospacing="0"/>
        <w:jc w:val="center"/>
      </w:pPr>
      <w:r>
        <w:rPr>
          <w:lang w:val="en-US"/>
        </w:rPr>
        <w:t xml:space="preserve"> </w:t>
      </w:r>
    </w:p>
    <w:p w14:paraId="38750E5D">
      <w:pPr>
        <w:pStyle w:val="35"/>
        <w:spacing w:before="0" w:beforeAutospacing="0"/>
        <w:jc w:val="center"/>
      </w:pPr>
      <w:r>
        <w:rPr>
          <w:lang w:val="en-US"/>
        </w:rPr>
        <w:t xml:space="preserve"> </w:t>
      </w:r>
    </w:p>
    <w:p w14:paraId="109DA918">
      <w:pPr>
        <w:pStyle w:val="35"/>
        <w:spacing w:before="0" w:beforeAutospacing="0"/>
        <w:jc w:val="center"/>
      </w:pPr>
      <w:r>
        <w:rPr>
          <w:lang w:val="en-US"/>
        </w:rPr>
        <w:t xml:space="preserve"> </w:t>
      </w:r>
    </w:p>
    <w:p w14:paraId="20C38ECA">
      <w:pPr>
        <w:pStyle w:val="35"/>
        <w:spacing w:before="0" w:beforeAutospacing="0"/>
        <w:jc w:val="center"/>
      </w:pPr>
      <w:r>
        <w:rPr>
          <w:lang w:val="en-US"/>
        </w:rPr>
        <w:t xml:space="preserve"> </w:t>
      </w:r>
    </w:p>
    <w:p w14:paraId="4F5729B2">
      <w:pPr>
        <w:pStyle w:val="35"/>
        <w:spacing w:before="0" w:beforeAutospacing="0"/>
        <w:jc w:val="center"/>
      </w:pPr>
      <w:r>
        <w:rPr>
          <w:lang w:eastAsia="zh-CN"/>
        </w:rPr>
        <w:t>已经保密审查、内容审定，同意对外公开</w:t>
      </w:r>
    </w:p>
    <w:p w14:paraId="646A9B61">
      <w:pPr>
        <w:pStyle w:val="35"/>
        <w:spacing w:before="0" w:beforeAutospacing="0"/>
      </w:pPr>
      <w:r>
        <w:rPr>
          <w:lang w:val="en-US"/>
        </w:rPr>
        <w:t xml:space="preserve"> </w:t>
      </w:r>
    </w:p>
    <w:p w14:paraId="657D3B6C">
      <w:pPr>
        <w:pStyle w:val="35"/>
        <w:spacing w:before="0" w:beforeAutospacing="0"/>
      </w:pPr>
      <w:r>
        <w:rPr>
          <w:lang w:val="en-US"/>
        </w:rPr>
        <w:t xml:space="preserve"> </w:t>
      </w:r>
    </w:p>
    <w:p w14:paraId="07D6AFF2">
      <w:pPr>
        <w:pStyle w:val="35"/>
        <w:spacing w:before="0" w:beforeAutospacing="0"/>
        <w:jc w:val="center"/>
      </w:pPr>
      <w:r>
        <w:rPr>
          <w:lang w:eastAsia="zh-CN"/>
        </w:rPr>
        <w:t>公开时间：</w:t>
      </w:r>
      <w:r>
        <w:rPr>
          <w:lang w:val="en-US"/>
        </w:rPr>
        <w:t>2023</w:t>
      </w:r>
      <w:r>
        <w:rPr>
          <w:lang w:eastAsia="zh-CN"/>
        </w:rPr>
        <w:t>年</w:t>
      </w:r>
      <w:r>
        <w:rPr>
          <w:lang w:val="en-US"/>
        </w:rPr>
        <w:t>9</w:t>
      </w:r>
      <w:r>
        <w:rPr>
          <w:lang w:eastAsia="zh-CN"/>
        </w:rPr>
        <w:t>月</w:t>
      </w:r>
      <w:r>
        <w:rPr>
          <w:lang w:val="en-US"/>
        </w:rPr>
        <w:t>25</w:t>
      </w:r>
      <w:r>
        <w:rPr>
          <w:lang w:eastAsia="zh-CN"/>
        </w:rPr>
        <w:t xml:space="preserve">日 </w:t>
      </w:r>
    </w:p>
    <w:p w14:paraId="10B87C48">
      <w:pPr>
        <w:pStyle w:val="35"/>
        <w:spacing w:before="0" w:beforeAutospacing="0"/>
      </w:pPr>
      <w:r>
        <w:rPr>
          <w:lang w:val="en-US"/>
        </w:rPr>
        <w:t xml:space="preserve"> </w:t>
      </w:r>
    </w:p>
    <w:p w14:paraId="3F17FB7E">
      <w:pPr>
        <w:pStyle w:val="35"/>
        <w:spacing w:before="0" w:beforeAutospacing="0"/>
        <w:jc w:val="center"/>
      </w:pPr>
      <w:r>
        <w:rPr>
          <w:lang w:val="en-US"/>
        </w:rPr>
        <w:t xml:space="preserve"> </w:t>
      </w:r>
    </w:p>
    <w:p w14:paraId="6E723E26">
      <w:pPr>
        <w:pStyle w:val="35"/>
        <w:spacing w:before="0" w:beforeAutospacing="0"/>
        <w:jc w:val="center"/>
      </w:pPr>
      <w:r>
        <w:rPr>
          <w:lang w:val="en-US"/>
        </w:rPr>
        <w:t xml:space="preserve"> </w:t>
      </w:r>
    </w:p>
    <w:p w14:paraId="378AD92A">
      <w:pPr>
        <w:pStyle w:val="35"/>
        <w:spacing w:before="0" w:beforeAutospacing="0"/>
        <w:jc w:val="center"/>
      </w:pPr>
      <w:r>
        <w:rPr>
          <w:lang w:val="en-US"/>
        </w:rPr>
        <w:t xml:space="preserve"> </w:t>
      </w:r>
    </w:p>
    <w:p w14:paraId="429027CE">
      <w:pPr>
        <w:pStyle w:val="35"/>
        <w:spacing w:before="0" w:beforeAutospacing="0"/>
        <w:jc w:val="center"/>
      </w:pPr>
      <w:r>
        <w:rPr>
          <w:lang w:val="en-US"/>
        </w:rPr>
        <w:t xml:space="preserve"> </w:t>
      </w:r>
    </w:p>
    <w:p w14:paraId="0C702E0D">
      <w:pPr>
        <w:pStyle w:val="35"/>
        <w:spacing w:before="0" w:beforeAutospacing="0"/>
        <w:jc w:val="center"/>
      </w:pPr>
      <w:r>
        <w:rPr>
          <w:lang w:val="en-US"/>
        </w:rPr>
        <w:t xml:space="preserve"> </w:t>
      </w:r>
    </w:p>
    <w:p w14:paraId="5A53105E">
      <w:pPr>
        <w:pStyle w:val="35"/>
        <w:spacing w:before="0" w:beforeAutospacing="0"/>
        <w:jc w:val="center"/>
      </w:pPr>
      <w:r>
        <w:rPr>
          <w:lang w:val="en-US"/>
        </w:rPr>
        <w:t xml:space="preserve"> </w:t>
      </w:r>
    </w:p>
    <w:p w14:paraId="6BB89D14">
      <w:pPr>
        <w:pStyle w:val="35"/>
        <w:spacing w:before="0" w:beforeAutospacing="0"/>
        <w:jc w:val="center"/>
      </w:pPr>
      <w:r>
        <w:rPr>
          <w:lang w:val="en-US"/>
        </w:rPr>
        <w:t xml:space="preserve"> </w:t>
      </w:r>
    </w:p>
    <w:p w14:paraId="1FAC1D01">
      <w:pPr>
        <w:pStyle w:val="35"/>
        <w:tabs>
          <w:tab w:val="left" w:pos="558"/>
          <w:tab w:val="center" w:pos="4217"/>
        </w:tabs>
        <w:spacing w:before="0" w:beforeAutospacing="0"/>
        <w:jc w:val="center"/>
      </w:pPr>
      <w:r>
        <w:rPr>
          <w:rFonts w:hint="eastAsia" w:ascii="黑体" w:hAnsi="黑体" w:eastAsia="黑体" w:cs="黑体"/>
          <w:sz w:val="32"/>
          <w:szCs w:val="32"/>
        </w:rPr>
        <w:t>目录</w:t>
      </w:r>
    </w:p>
    <w:p w14:paraId="1CC79863">
      <w:pPr>
        <w:pStyle w:val="20"/>
        <w:tabs>
          <w:tab w:val="right" w:leader="dot" w:pos="8315"/>
        </w:tabs>
      </w:pPr>
      <w:r>
        <w:rPr>
          <w:rFonts w:hint="eastAsia" w:ascii="宋体" w:hAnsi="宋体" w:eastAsia="宋体" w:cs="宋体"/>
          <w:b/>
          <w:bCs w:val="0"/>
          <w:sz w:val="24"/>
          <w:szCs w:val="24"/>
          <w:lang w:val="en-US"/>
        </w:rPr>
        <w:fldChar w:fldCharType="begin"/>
      </w:r>
      <w:r>
        <w:rPr>
          <w:rFonts w:hint="eastAsia" w:ascii="宋体" w:hAnsi="宋体" w:eastAsia="宋体" w:cs="宋体"/>
          <w:b/>
          <w:bCs w:val="0"/>
          <w:sz w:val="24"/>
          <w:szCs w:val="24"/>
          <w:lang w:val="en-US"/>
        </w:rPr>
        <w:instrText xml:space="preserve">TOC \o "1-3" \h \u </w:instrText>
      </w:r>
      <w:r>
        <w:rPr>
          <w:rFonts w:hint="eastAsia" w:ascii="宋体" w:hAnsi="宋体" w:eastAsia="宋体" w:cs="宋体"/>
          <w:b/>
          <w:bCs w:val="0"/>
          <w:sz w:val="24"/>
          <w:szCs w:val="24"/>
          <w:lang w:val="en-US"/>
        </w:rPr>
        <w:fldChar w:fldCharType="separate"/>
      </w: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_Toc18310 </w:instrText>
      </w:r>
      <w:r>
        <w:rPr>
          <w:rFonts w:hint="eastAsia" w:ascii="宋体" w:hAnsi="宋体" w:eastAsia="宋体" w:cs="宋体"/>
          <w:bCs w:val="0"/>
          <w:szCs w:val="24"/>
          <w:lang w:val="en-US"/>
        </w:rPr>
        <w:fldChar w:fldCharType="separate"/>
      </w:r>
      <w:r>
        <w:rPr>
          <w:szCs w:val="36"/>
          <w:lang w:eastAsia="zh-CN"/>
        </w:rPr>
        <w:t>第一部分 部门概况</w:t>
      </w:r>
      <w:r>
        <w:tab/>
      </w:r>
      <w:r>
        <w:fldChar w:fldCharType="begin"/>
      </w:r>
      <w:r>
        <w:instrText xml:space="preserve"> PAGEREF _Toc18310 \h </w:instrText>
      </w:r>
      <w:r>
        <w:fldChar w:fldCharType="separate"/>
      </w:r>
      <w:r>
        <w:t>5</w:t>
      </w:r>
      <w:r>
        <w:fldChar w:fldCharType="end"/>
      </w:r>
      <w:r>
        <w:rPr>
          <w:rFonts w:hint="eastAsia" w:ascii="宋体" w:hAnsi="宋体" w:eastAsia="宋体" w:cs="宋体"/>
          <w:bCs w:val="0"/>
          <w:szCs w:val="24"/>
          <w:lang w:val="en-US"/>
        </w:rPr>
        <w:fldChar w:fldCharType="end"/>
      </w:r>
    </w:p>
    <w:p w14:paraId="1C2F477D">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_Toc1848 </w:instrText>
      </w:r>
      <w:r>
        <w:rPr>
          <w:rFonts w:hint="eastAsia" w:ascii="宋体" w:hAnsi="宋体" w:eastAsia="宋体" w:cs="宋体"/>
          <w:bCs w:val="0"/>
          <w:szCs w:val="24"/>
          <w:lang w:val="en-US"/>
        </w:rPr>
        <w:fldChar w:fldCharType="separate"/>
      </w:r>
      <w:r>
        <w:rPr>
          <w:bCs w:val="0"/>
          <w:lang w:eastAsia="zh-CN"/>
        </w:rPr>
        <w:t>一、基本职能及主要工作</w:t>
      </w:r>
      <w:r>
        <w:tab/>
      </w:r>
      <w:r>
        <w:fldChar w:fldCharType="begin"/>
      </w:r>
      <w:r>
        <w:instrText xml:space="preserve"> PAGEREF _Toc1848 \h </w:instrText>
      </w:r>
      <w:r>
        <w:fldChar w:fldCharType="separate"/>
      </w:r>
      <w:r>
        <w:t>5</w:t>
      </w:r>
      <w:r>
        <w:fldChar w:fldCharType="end"/>
      </w:r>
      <w:r>
        <w:rPr>
          <w:rFonts w:hint="eastAsia" w:ascii="宋体" w:hAnsi="宋体" w:eastAsia="宋体" w:cs="宋体"/>
          <w:bCs w:val="0"/>
          <w:szCs w:val="24"/>
          <w:lang w:val="en-US"/>
        </w:rPr>
        <w:fldChar w:fldCharType="end"/>
      </w:r>
    </w:p>
    <w:p w14:paraId="29D674E8">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_Toc31473 </w:instrText>
      </w:r>
      <w:r>
        <w:rPr>
          <w:rFonts w:hint="eastAsia" w:ascii="宋体" w:hAnsi="宋体" w:eastAsia="宋体" w:cs="宋体"/>
          <w:bCs w:val="0"/>
          <w:szCs w:val="24"/>
          <w:lang w:val="en-US"/>
        </w:rPr>
        <w:fldChar w:fldCharType="separate"/>
      </w:r>
      <w:r>
        <w:rPr>
          <w:bCs w:val="0"/>
          <w:lang w:eastAsia="zh-CN"/>
        </w:rPr>
        <w:t>（一）主要职能。</w:t>
      </w:r>
      <w:r>
        <w:tab/>
      </w:r>
      <w:r>
        <w:fldChar w:fldCharType="begin"/>
      </w:r>
      <w:r>
        <w:instrText xml:space="preserve"> PAGEREF _Toc31473 \h </w:instrText>
      </w:r>
      <w:r>
        <w:fldChar w:fldCharType="separate"/>
      </w:r>
      <w:r>
        <w:t>5</w:t>
      </w:r>
      <w:r>
        <w:fldChar w:fldCharType="end"/>
      </w:r>
      <w:r>
        <w:rPr>
          <w:rFonts w:hint="eastAsia" w:ascii="宋体" w:hAnsi="宋体" w:eastAsia="宋体" w:cs="宋体"/>
          <w:bCs w:val="0"/>
          <w:szCs w:val="24"/>
          <w:lang w:val="en-US"/>
        </w:rPr>
        <w:fldChar w:fldCharType="end"/>
      </w:r>
    </w:p>
    <w:p w14:paraId="48B40038">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_Toc1487 </w:instrText>
      </w:r>
      <w:r>
        <w:rPr>
          <w:rFonts w:hint="eastAsia" w:ascii="宋体" w:hAnsi="宋体" w:eastAsia="宋体" w:cs="宋体"/>
          <w:bCs w:val="0"/>
          <w:szCs w:val="24"/>
          <w:lang w:val="en-US"/>
        </w:rPr>
        <w:fldChar w:fldCharType="separate"/>
      </w:r>
      <w:r>
        <w:rPr>
          <w:bCs w:val="0"/>
          <w:lang w:eastAsia="zh-CN"/>
        </w:rPr>
        <w:t>（二）</w:t>
      </w:r>
      <w:r>
        <w:rPr>
          <w:bCs w:val="0"/>
          <w:lang w:val="en-US"/>
        </w:rPr>
        <w:t>2022</w:t>
      </w:r>
      <w:r>
        <w:rPr>
          <w:bCs w:val="0"/>
          <w:lang w:eastAsia="zh-CN"/>
        </w:rPr>
        <w:t>年重点工作完成情况。</w:t>
      </w:r>
      <w:r>
        <w:tab/>
      </w:r>
      <w:r>
        <w:fldChar w:fldCharType="begin"/>
      </w:r>
      <w:r>
        <w:instrText xml:space="preserve"> PAGEREF _Toc1487 \h </w:instrText>
      </w:r>
      <w:r>
        <w:fldChar w:fldCharType="separate"/>
      </w:r>
      <w:r>
        <w:t>5</w:t>
      </w:r>
      <w:r>
        <w:fldChar w:fldCharType="end"/>
      </w:r>
      <w:r>
        <w:rPr>
          <w:rFonts w:hint="eastAsia" w:ascii="宋体" w:hAnsi="宋体" w:eastAsia="宋体" w:cs="宋体"/>
          <w:bCs w:val="0"/>
          <w:szCs w:val="24"/>
          <w:lang w:val="en-US"/>
        </w:rPr>
        <w:fldChar w:fldCharType="end"/>
      </w:r>
    </w:p>
    <w:p w14:paraId="384916F2">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_Toc30665 </w:instrText>
      </w:r>
      <w:r>
        <w:rPr>
          <w:rFonts w:hint="eastAsia" w:ascii="宋体" w:hAnsi="宋体" w:eastAsia="宋体" w:cs="宋体"/>
          <w:bCs w:val="0"/>
          <w:szCs w:val="24"/>
          <w:lang w:val="en-US"/>
        </w:rPr>
        <w:fldChar w:fldCharType="separate"/>
      </w:r>
      <w:r>
        <w:rPr>
          <w:bCs w:val="0"/>
          <w:lang w:eastAsia="zh-CN"/>
        </w:rPr>
        <w:t>二、机构设置</w:t>
      </w:r>
      <w:r>
        <w:tab/>
      </w:r>
      <w:r>
        <w:fldChar w:fldCharType="begin"/>
      </w:r>
      <w:r>
        <w:instrText xml:space="preserve"> PAGEREF _Toc30665 \h </w:instrText>
      </w:r>
      <w:r>
        <w:fldChar w:fldCharType="separate"/>
      </w:r>
      <w:r>
        <w:t>12</w:t>
      </w:r>
      <w:r>
        <w:fldChar w:fldCharType="end"/>
      </w:r>
      <w:r>
        <w:rPr>
          <w:rFonts w:hint="eastAsia" w:ascii="宋体" w:hAnsi="宋体" w:eastAsia="宋体" w:cs="宋体"/>
          <w:bCs w:val="0"/>
          <w:szCs w:val="24"/>
          <w:lang w:val="en-US"/>
        </w:rPr>
        <w:fldChar w:fldCharType="end"/>
      </w:r>
    </w:p>
    <w:p w14:paraId="7011B174">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_Toc23566 </w:instrText>
      </w:r>
      <w:r>
        <w:rPr>
          <w:rFonts w:hint="eastAsia" w:ascii="宋体" w:hAnsi="宋体" w:eastAsia="宋体" w:cs="宋体"/>
          <w:bCs w:val="0"/>
          <w:szCs w:val="24"/>
          <w:lang w:val="en-US"/>
        </w:rPr>
        <w:fldChar w:fldCharType="separate"/>
      </w:r>
      <w:r>
        <w:rPr>
          <w:bCs w:val="0"/>
          <w:szCs w:val="36"/>
          <w:lang w:eastAsia="zh-CN"/>
        </w:rPr>
        <w:t>第二部分</w:t>
      </w:r>
      <w:r>
        <w:rPr>
          <w:bCs w:val="0"/>
          <w:szCs w:val="36"/>
          <w:lang w:val="en-US"/>
        </w:rPr>
        <w:t xml:space="preserve"> 2022</w:t>
      </w:r>
      <w:r>
        <w:rPr>
          <w:bCs w:val="0"/>
          <w:szCs w:val="36"/>
          <w:lang w:eastAsia="zh-CN"/>
        </w:rPr>
        <w:t>年度部门决算情况说明</w:t>
      </w:r>
      <w:r>
        <w:tab/>
      </w:r>
      <w:r>
        <w:fldChar w:fldCharType="begin"/>
      </w:r>
      <w:r>
        <w:instrText xml:space="preserve"> PAGEREF _Toc23566 \h </w:instrText>
      </w:r>
      <w:r>
        <w:fldChar w:fldCharType="separate"/>
      </w:r>
      <w:r>
        <w:t>12</w:t>
      </w:r>
      <w:r>
        <w:fldChar w:fldCharType="end"/>
      </w:r>
      <w:r>
        <w:rPr>
          <w:rFonts w:hint="eastAsia" w:ascii="宋体" w:hAnsi="宋体" w:eastAsia="宋体" w:cs="宋体"/>
          <w:bCs w:val="0"/>
          <w:szCs w:val="24"/>
          <w:lang w:val="en-US"/>
        </w:rPr>
        <w:fldChar w:fldCharType="end"/>
      </w:r>
    </w:p>
    <w:p w14:paraId="4FF5D2ED">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_Toc27344 </w:instrText>
      </w:r>
      <w:r>
        <w:rPr>
          <w:rFonts w:hint="eastAsia" w:ascii="宋体" w:hAnsi="宋体" w:eastAsia="宋体" w:cs="宋体"/>
          <w:bCs w:val="0"/>
          <w:szCs w:val="24"/>
          <w:lang w:val="en-US"/>
        </w:rPr>
        <w:fldChar w:fldCharType="separate"/>
      </w:r>
      <w:r>
        <w:rPr>
          <w:bCs w:val="0"/>
          <w:szCs w:val="24"/>
          <w:lang w:eastAsia="zh-CN"/>
        </w:rPr>
        <w:t>一、收入支出决算总体情况说明</w:t>
      </w:r>
      <w:r>
        <w:tab/>
      </w:r>
      <w:r>
        <w:fldChar w:fldCharType="begin"/>
      </w:r>
      <w:r>
        <w:instrText xml:space="preserve"> PAGEREF _Toc27344 \h </w:instrText>
      </w:r>
      <w:r>
        <w:fldChar w:fldCharType="separate"/>
      </w:r>
      <w:r>
        <w:t>12</w:t>
      </w:r>
      <w:r>
        <w:fldChar w:fldCharType="end"/>
      </w:r>
      <w:r>
        <w:rPr>
          <w:rFonts w:hint="eastAsia" w:ascii="宋体" w:hAnsi="宋体" w:eastAsia="宋体" w:cs="宋体"/>
          <w:bCs w:val="0"/>
          <w:szCs w:val="24"/>
          <w:lang w:val="en-US"/>
        </w:rPr>
        <w:fldChar w:fldCharType="end"/>
      </w:r>
    </w:p>
    <w:p w14:paraId="70B9C540">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_Toc3397 </w:instrText>
      </w:r>
      <w:r>
        <w:rPr>
          <w:rFonts w:hint="eastAsia" w:ascii="宋体" w:hAnsi="宋体" w:eastAsia="宋体" w:cs="宋体"/>
          <w:bCs w:val="0"/>
          <w:szCs w:val="24"/>
          <w:lang w:val="en-US"/>
        </w:rPr>
        <w:fldChar w:fldCharType="separate"/>
      </w:r>
      <w:r>
        <w:rPr>
          <w:bCs w:val="0"/>
          <w:lang w:eastAsia="zh-CN"/>
        </w:rPr>
        <w:t>二、收入决算情况说明</w:t>
      </w:r>
      <w:r>
        <w:tab/>
      </w:r>
      <w:r>
        <w:fldChar w:fldCharType="begin"/>
      </w:r>
      <w:r>
        <w:instrText xml:space="preserve"> PAGEREF _Toc3397 \h </w:instrText>
      </w:r>
      <w:r>
        <w:fldChar w:fldCharType="separate"/>
      </w:r>
      <w:r>
        <w:t>13</w:t>
      </w:r>
      <w:r>
        <w:fldChar w:fldCharType="end"/>
      </w:r>
      <w:r>
        <w:rPr>
          <w:rFonts w:hint="eastAsia" w:ascii="宋体" w:hAnsi="宋体" w:eastAsia="宋体" w:cs="宋体"/>
          <w:bCs w:val="0"/>
          <w:szCs w:val="24"/>
          <w:lang w:val="en-US"/>
        </w:rPr>
        <w:fldChar w:fldCharType="end"/>
      </w:r>
    </w:p>
    <w:p w14:paraId="0AEBC55F">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_Toc30054 </w:instrText>
      </w:r>
      <w:r>
        <w:rPr>
          <w:rFonts w:hint="eastAsia" w:ascii="宋体" w:hAnsi="宋体" w:eastAsia="宋体" w:cs="宋体"/>
          <w:bCs w:val="0"/>
          <w:szCs w:val="24"/>
          <w:lang w:val="en-US"/>
        </w:rPr>
        <w:fldChar w:fldCharType="separate"/>
      </w:r>
      <w:r>
        <w:rPr>
          <w:bCs w:val="0"/>
          <w:lang w:eastAsia="zh-CN"/>
        </w:rPr>
        <w:t>三、支出决算情况说明</w:t>
      </w:r>
      <w:r>
        <w:tab/>
      </w:r>
      <w:r>
        <w:fldChar w:fldCharType="begin"/>
      </w:r>
      <w:r>
        <w:instrText xml:space="preserve"> PAGEREF _Toc30054 \h </w:instrText>
      </w:r>
      <w:r>
        <w:fldChar w:fldCharType="separate"/>
      </w:r>
      <w:r>
        <w:t>14</w:t>
      </w:r>
      <w:r>
        <w:fldChar w:fldCharType="end"/>
      </w:r>
      <w:r>
        <w:rPr>
          <w:rFonts w:hint="eastAsia" w:ascii="宋体" w:hAnsi="宋体" w:eastAsia="宋体" w:cs="宋体"/>
          <w:bCs w:val="0"/>
          <w:szCs w:val="24"/>
          <w:lang w:val="en-US"/>
        </w:rPr>
        <w:fldChar w:fldCharType="end"/>
      </w:r>
    </w:p>
    <w:p w14:paraId="0D8B7FE3">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_Toc23415 </w:instrText>
      </w:r>
      <w:r>
        <w:rPr>
          <w:rFonts w:hint="eastAsia" w:ascii="宋体" w:hAnsi="宋体" w:eastAsia="宋体" w:cs="宋体"/>
          <w:bCs w:val="0"/>
          <w:szCs w:val="24"/>
          <w:lang w:val="en-US"/>
        </w:rPr>
        <w:fldChar w:fldCharType="separate"/>
      </w:r>
      <w:r>
        <w:rPr>
          <w:bCs w:val="0"/>
          <w:lang w:eastAsia="zh-CN"/>
        </w:rPr>
        <w:t>四、财政拨款收入支出决算总体情况说明</w:t>
      </w:r>
      <w:r>
        <w:tab/>
      </w:r>
      <w:r>
        <w:fldChar w:fldCharType="begin"/>
      </w:r>
      <w:r>
        <w:instrText xml:space="preserve"> PAGEREF _Toc23415 \h </w:instrText>
      </w:r>
      <w:r>
        <w:fldChar w:fldCharType="separate"/>
      </w:r>
      <w:r>
        <w:t>15</w:t>
      </w:r>
      <w:r>
        <w:fldChar w:fldCharType="end"/>
      </w:r>
      <w:r>
        <w:rPr>
          <w:rFonts w:hint="eastAsia" w:ascii="宋体" w:hAnsi="宋体" w:eastAsia="宋体" w:cs="宋体"/>
          <w:bCs w:val="0"/>
          <w:szCs w:val="24"/>
          <w:lang w:val="en-US"/>
        </w:rPr>
        <w:fldChar w:fldCharType="end"/>
      </w:r>
    </w:p>
    <w:p w14:paraId="6FBB9DB2">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_Toc26390 </w:instrText>
      </w:r>
      <w:r>
        <w:rPr>
          <w:rFonts w:hint="eastAsia" w:ascii="宋体" w:hAnsi="宋体" w:eastAsia="宋体" w:cs="宋体"/>
          <w:bCs w:val="0"/>
          <w:szCs w:val="24"/>
          <w:lang w:val="en-US"/>
        </w:rPr>
        <w:fldChar w:fldCharType="separate"/>
      </w:r>
      <w:r>
        <w:rPr>
          <w:bCs w:val="0"/>
          <w:lang w:eastAsia="zh-CN"/>
        </w:rPr>
        <w:t>五、</w:t>
      </w:r>
      <w:r>
        <w:rPr>
          <w:rFonts w:hint="eastAsia" w:ascii="仿宋_GB2312" w:hAnsi="宋体" w:eastAsia="仿宋_GB2312" w:cs="仿宋_GB2312"/>
          <w:bCs w:val="0"/>
          <w:lang w:eastAsia="zh-CN"/>
        </w:rPr>
        <w:t>一</w:t>
      </w:r>
      <w:r>
        <w:rPr>
          <w:bCs w:val="0"/>
          <w:lang w:eastAsia="zh-CN"/>
        </w:rPr>
        <w:t>般公共预算财政拨款支出决算情况说明</w:t>
      </w:r>
      <w:r>
        <w:tab/>
      </w:r>
      <w:r>
        <w:fldChar w:fldCharType="begin"/>
      </w:r>
      <w:r>
        <w:instrText xml:space="preserve"> PAGEREF _Toc26390 \h </w:instrText>
      </w:r>
      <w:r>
        <w:fldChar w:fldCharType="separate"/>
      </w:r>
      <w:r>
        <w:t>16</w:t>
      </w:r>
      <w:r>
        <w:fldChar w:fldCharType="end"/>
      </w:r>
      <w:r>
        <w:rPr>
          <w:rFonts w:hint="eastAsia" w:ascii="宋体" w:hAnsi="宋体" w:eastAsia="宋体" w:cs="宋体"/>
          <w:bCs w:val="0"/>
          <w:szCs w:val="24"/>
          <w:lang w:val="en-US"/>
        </w:rPr>
        <w:fldChar w:fldCharType="end"/>
      </w:r>
    </w:p>
    <w:p w14:paraId="41242298">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_Toc32563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（一）一般公共预算财政拨款支出决算总体情况</w:t>
      </w:r>
      <w:r>
        <w:tab/>
      </w:r>
      <w:r>
        <w:fldChar w:fldCharType="begin"/>
      </w:r>
      <w:r>
        <w:instrText xml:space="preserve"> PAGEREF _Toc32563 \h </w:instrText>
      </w:r>
      <w:r>
        <w:fldChar w:fldCharType="separate"/>
      </w:r>
      <w:r>
        <w:t>16</w:t>
      </w:r>
      <w:r>
        <w:fldChar w:fldCharType="end"/>
      </w:r>
      <w:r>
        <w:rPr>
          <w:rFonts w:hint="eastAsia" w:ascii="宋体" w:hAnsi="宋体" w:eastAsia="宋体" w:cs="宋体"/>
          <w:bCs w:val="0"/>
          <w:szCs w:val="24"/>
          <w:lang w:val="en-US"/>
        </w:rPr>
        <w:fldChar w:fldCharType="end"/>
      </w:r>
    </w:p>
    <w:p w14:paraId="7E64BD09">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_Toc26785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（二）一般公共预算财政拨款支出决算结构情况</w:t>
      </w:r>
      <w:r>
        <w:tab/>
      </w:r>
      <w:r>
        <w:fldChar w:fldCharType="begin"/>
      </w:r>
      <w:r>
        <w:instrText xml:space="preserve"> PAGEREF _Toc26785 \h </w:instrText>
      </w:r>
      <w:r>
        <w:fldChar w:fldCharType="separate"/>
      </w:r>
      <w:r>
        <w:t>17</w:t>
      </w:r>
      <w:r>
        <w:fldChar w:fldCharType="end"/>
      </w:r>
      <w:r>
        <w:rPr>
          <w:rFonts w:hint="eastAsia" w:ascii="宋体" w:hAnsi="宋体" w:eastAsia="宋体" w:cs="宋体"/>
          <w:bCs w:val="0"/>
          <w:szCs w:val="24"/>
          <w:lang w:val="en-US"/>
        </w:rPr>
        <w:fldChar w:fldCharType="end"/>
      </w:r>
    </w:p>
    <w:p w14:paraId="00829BC2">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_Toc12022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（三）一般公共预算财政拨款支出决算具体情况</w:t>
      </w:r>
      <w:r>
        <w:tab/>
      </w:r>
      <w:r>
        <w:fldChar w:fldCharType="begin"/>
      </w:r>
      <w:r>
        <w:instrText xml:space="preserve"> PAGEREF _Toc12022 \h </w:instrText>
      </w:r>
      <w:r>
        <w:fldChar w:fldCharType="separate"/>
      </w:r>
      <w:r>
        <w:t>18</w:t>
      </w:r>
      <w:r>
        <w:fldChar w:fldCharType="end"/>
      </w:r>
      <w:r>
        <w:rPr>
          <w:rFonts w:hint="eastAsia" w:ascii="宋体" w:hAnsi="宋体" w:eastAsia="宋体" w:cs="宋体"/>
          <w:bCs w:val="0"/>
          <w:szCs w:val="24"/>
          <w:lang w:val="en-US"/>
        </w:rPr>
        <w:fldChar w:fldCharType="end"/>
      </w:r>
    </w:p>
    <w:p w14:paraId="20EBE27A">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_Toc19528 </w:instrText>
      </w:r>
      <w:r>
        <w:rPr>
          <w:rFonts w:hint="eastAsia" w:ascii="宋体" w:hAnsi="宋体" w:eastAsia="宋体" w:cs="宋体"/>
          <w:bCs w:val="0"/>
          <w:szCs w:val="24"/>
          <w:lang w:val="en-US"/>
        </w:rPr>
        <w:fldChar w:fldCharType="separate"/>
      </w:r>
      <w:r>
        <w:rPr>
          <w:bCs w:val="0"/>
          <w:lang w:eastAsia="zh-CN"/>
        </w:rPr>
        <w:t>六</w:t>
      </w:r>
      <w:r>
        <w:rPr>
          <w:rFonts w:hint="eastAsia" w:ascii="仿宋_GB2312" w:hAnsi="宋体" w:eastAsia="仿宋_GB2312" w:cs="仿宋_GB2312"/>
          <w:bCs w:val="0"/>
          <w:lang w:eastAsia="zh-CN"/>
        </w:rPr>
        <w:t>、一</w:t>
      </w:r>
      <w:r>
        <w:rPr>
          <w:bCs w:val="0"/>
          <w:lang w:eastAsia="zh-CN"/>
        </w:rPr>
        <w:t>般公共预算财政拨款基本支出决算情况说明</w:t>
      </w:r>
      <w:r>
        <w:tab/>
      </w:r>
      <w:r>
        <w:fldChar w:fldCharType="begin"/>
      </w:r>
      <w:r>
        <w:instrText xml:space="preserve"> PAGEREF _Toc19528 \h </w:instrText>
      </w:r>
      <w:r>
        <w:fldChar w:fldCharType="separate"/>
      </w:r>
      <w:r>
        <w:t>19</w:t>
      </w:r>
      <w:r>
        <w:fldChar w:fldCharType="end"/>
      </w:r>
      <w:r>
        <w:rPr>
          <w:rFonts w:hint="eastAsia" w:ascii="宋体" w:hAnsi="宋体" w:eastAsia="宋体" w:cs="宋体"/>
          <w:bCs w:val="0"/>
          <w:szCs w:val="24"/>
          <w:lang w:val="en-US"/>
        </w:rPr>
        <w:fldChar w:fldCharType="end"/>
      </w:r>
    </w:p>
    <w:p w14:paraId="2C487AD3">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_Toc31443 </w:instrText>
      </w:r>
      <w:r>
        <w:rPr>
          <w:rFonts w:hint="eastAsia" w:ascii="宋体" w:hAnsi="宋体" w:eastAsia="宋体" w:cs="宋体"/>
          <w:bCs w:val="0"/>
          <w:szCs w:val="24"/>
          <w:lang w:val="en-US"/>
        </w:rPr>
        <w:fldChar w:fldCharType="separate"/>
      </w:r>
      <w:r>
        <w:rPr>
          <w:bCs w:val="0"/>
          <w:lang w:eastAsia="zh-CN"/>
        </w:rPr>
        <w:t>七、“三公”经费财政拨款支出决算情况说明</w:t>
      </w:r>
      <w:r>
        <w:tab/>
      </w:r>
      <w:r>
        <w:fldChar w:fldCharType="begin"/>
      </w:r>
      <w:r>
        <w:instrText xml:space="preserve"> PAGEREF _Toc31443 \h </w:instrText>
      </w:r>
      <w:r>
        <w:fldChar w:fldCharType="separate"/>
      </w:r>
      <w:r>
        <w:t>20</w:t>
      </w:r>
      <w:r>
        <w:fldChar w:fldCharType="end"/>
      </w:r>
      <w:r>
        <w:rPr>
          <w:rFonts w:hint="eastAsia" w:ascii="宋体" w:hAnsi="宋体" w:eastAsia="宋体" w:cs="宋体"/>
          <w:bCs w:val="0"/>
          <w:szCs w:val="24"/>
          <w:lang w:val="en-US"/>
        </w:rPr>
        <w:fldChar w:fldCharType="end"/>
      </w:r>
    </w:p>
    <w:p w14:paraId="5AD82E18">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_Toc5466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（一）“三公”经费财政拨款支出决算总体情况说明</w:t>
      </w:r>
      <w:r>
        <w:tab/>
      </w:r>
      <w:r>
        <w:fldChar w:fldCharType="begin"/>
      </w:r>
      <w:r>
        <w:instrText xml:space="preserve"> PAGEREF _Toc5466 \h </w:instrText>
      </w:r>
      <w:r>
        <w:fldChar w:fldCharType="separate"/>
      </w:r>
      <w:r>
        <w:t>20</w:t>
      </w:r>
      <w:r>
        <w:fldChar w:fldCharType="end"/>
      </w:r>
      <w:r>
        <w:rPr>
          <w:rFonts w:hint="eastAsia" w:ascii="宋体" w:hAnsi="宋体" w:eastAsia="宋体" w:cs="宋体"/>
          <w:bCs w:val="0"/>
          <w:szCs w:val="24"/>
          <w:lang w:val="en-US"/>
        </w:rPr>
        <w:fldChar w:fldCharType="end"/>
      </w:r>
    </w:p>
    <w:p w14:paraId="340DFA58">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_Toc26174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（二）“三公”经费财政拨款支出决算具体情况说明</w:t>
      </w:r>
      <w:r>
        <w:tab/>
      </w:r>
      <w:r>
        <w:fldChar w:fldCharType="begin"/>
      </w:r>
      <w:r>
        <w:instrText xml:space="preserve"> PAGEREF _Toc26174 \h </w:instrText>
      </w:r>
      <w:r>
        <w:fldChar w:fldCharType="separate"/>
      </w:r>
      <w:r>
        <w:t>20</w:t>
      </w:r>
      <w:r>
        <w:fldChar w:fldCharType="end"/>
      </w:r>
      <w:r>
        <w:rPr>
          <w:rFonts w:hint="eastAsia" w:ascii="宋体" w:hAnsi="宋体" w:eastAsia="宋体" w:cs="宋体"/>
          <w:bCs w:val="0"/>
          <w:szCs w:val="24"/>
          <w:lang w:val="en-US"/>
        </w:rPr>
        <w:fldChar w:fldCharType="end"/>
      </w:r>
    </w:p>
    <w:p w14:paraId="58E83EF7">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_Toc6490 </w:instrText>
      </w:r>
      <w:r>
        <w:rPr>
          <w:rFonts w:hint="eastAsia" w:ascii="宋体" w:hAnsi="宋体" w:eastAsia="宋体" w:cs="宋体"/>
          <w:bCs w:val="0"/>
          <w:szCs w:val="24"/>
          <w:lang w:val="en-US"/>
        </w:rPr>
        <w:fldChar w:fldCharType="separate"/>
      </w:r>
      <w:r>
        <w:rPr>
          <w:bCs w:val="0"/>
          <w:lang w:eastAsia="zh-CN"/>
        </w:rPr>
        <w:t>八、政府性基金预算支出决算情况说明</w:t>
      </w:r>
      <w:r>
        <w:tab/>
      </w:r>
      <w:r>
        <w:fldChar w:fldCharType="begin"/>
      </w:r>
      <w:r>
        <w:instrText xml:space="preserve"> PAGEREF _Toc6490 \h </w:instrText>
      </w:r>
      <w:r>
        <w:fldChar w:fldCharType="separate"/>
      </w:r>
      <w:r>
        <w:t>22</w:t>
      </w:r>
      <w:r>
        <w:fldChar w:fldCharType="end"/>
      </w:r>
      <w:r>
        <w:rPr>
          <w:rFonts w:hint="eastAsia" w:ascii="宋体" w:hAnsi="宋体" w:eastAsia="宋体" w:cs="宋体"/>
          <w:bCs w:val="0"/>
          <w:szCs w:val="24"/>
          <w:lang w:val="en-US"/>
        </w:rPr>
        <w:fldChar w:fldCharType="end"/>
      </w:r>
    </w:p>
    <w:p w14:paraId="47B17AFA">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_Toc14621 </w:instrText>
      </w:r>
      <w:r>
        <w:rPr>
          <w:rFonts w:hint="eastAsia" w:ascii="宋体" w:hAnsi="宋体" w:eastAsia="宋体" w:cs="宋体"/>
          <w:bCs w:val="0"/>
          <w:szCs w:val="24"/>
          <w:lang w:val="en-US"/>
        </w:rPr>
        <w:fldChar w:fldCharType="separate"/>
      </w:r>
      <w:r>
        <w:rPr>
          <w:bCs w:val="0"/>
          <w:lang w:eastAsia="zh-CN"/>
        </w:rPr>
        <w:t>九、国有资本经营预算支出决算情况说明</w:t>
      </w:r>
      <w:r>
        <w:tab/>
      </w:r>
      <w:r>
        <w:fldChar w:fldCharType="begin"/>
      </w:r>
      <w:r>
        <w:instrText xml:space="preserve"> PAGEREF _Toc14621 \h </w:instrText>
      </w:r>
      <w:r>
        <w:fldChar w:fldCharType="separate"/>
      </w:r>
      <w:r>
        <w:t>22</w:t>
      </w:r>
      <w:r>
        <w:fldChar w:fldCharType="end"/>
      </w:r>
      <w:r>
        <w:rPr>
          <w:rFonts w:hint="eastAsia" w:ascii="宋体" w:hAnsi="宋体" w:eastAsia="宋体" w:cs="宋体"/>
          <w:bCs w:val="0"/>
          <w:szCs w:val="24"/>
          <w:lang w:val="en-US"/>
        </w:rPr>
        <w:fldChar w:fldCharType="end"/>
      </w:r>
    </w:p>
    <w:p w14:paraId="2DC5064C">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_Toc28477 </w:instrText>
      </w:r>
      <w:r>
        <w:rPr>
          <w:rFonts w:hint="eastAsia" w:ascii="宋体" w:hAnsi="宋体" w:eastAsia="宋体" w:cs="宋体"/>
          <w:bCs w:val="0"/>
          <w:szCs w:val="24"/>
          <w:lang w:val="en-US"/>
        </w:rPr>
        <w:fldChar w:fldCharType="separate"/>
      </w:r>
      <w:r>
        <w:rPr>
          <w:bCs w:val="0"/>
          <w:lang w:eastAsia="zh-CN"/>
        </w:rPr>
        <w:t>十、其他重要事项的情况说明</w:t>
      </w:r>
      <w:r>
        <w:tab/>
      </w:r>
      <w:r>
        <w:fldChar w:fldCharType="begin"/>
      </w:r>
      <w:r>
        <w:instrText xml:space="preserve"> PAGEREF _Toc28477 \h </w:instrText>
      </w:r>
      <w:r>
        <w:fldChar w:fldCharType="separate"/>
      </w:r>
      <w:r>
        <w:t>22</w:t>
      </w:r>
      <w:r>
        <w:fldChar w:fldCharType="end"/>
      </w:r>
      <w:r>
        <w:rPr>
          <w:rFonts w:hint="eastAsia" w:ascii="宋体" w:hAnsi="宋体" w:eastAsia="宋体" w:cs="宋体"/>
          <w:bCs w:val="0"/>
          <w:szCs w:val="24"/>
          <w:lang w:val="en-US"/>
        </w:rPr>
        <w:fldChar w:fldCharType="end"/>
      </w:r>
    </w:p>
    <w:p w14:paraId="76723D80">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_Toc2713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（一）机关运行经费支出情况</w:t>
      </w:r>
      <w:r>
        <w:tab/>
      </w:r>
      <w:r>
        <w:fldChar w:fldCharType="begin"/>
      </w:r>
      <w:r>
        <w:instrText xml:space="preserve"> PAGEREF _Toc2713 \h </w:instrText>
      </w:r>
      <w:r>
        <w:fldChar w:fldCharType="separate"/>
      </w:r>
      <w:r>
        <w:t>22</w:t>
      </w:r>
      <w:r>
        <w:fldChar w:fldCharType="end"/>
      </w:r>
      <w:r>
        <w:rPr>
          <w:rFonts w:hint="eastAsia" w:ascii="宋体" w:hAnsi="宋体" w:eastAsia="宋体" w:cs="宋体"/>
          <w:bCs w:val="0"/>
          <w:szCs w:val="24"/>
          <w:lang w:val="en-US"/>
        </w:rPr>
        <w:fldChar w:fldCharType="end"/>
      </w:r>
    </w:p>
    <w:p w14:paraId="1288186A">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_Toc17792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（二）政府采购支出情况</w:t>
      </w:r>
      <w:r>
        <w:tab/>
      </w:r>
      <w:r>
        <w:fldChar w:fldCharType="begin"/>
      </w:r>
      <w:r>
        <w:instrText xml:space="preserve"> PAGEREF _Toc17792 \h </w:instrText>
      </w:r>
      <w:r>
        <w:fldChar w:fldCharType="separate"/>
      </w:r>
      <w:r>
        <w:t>22</w:t>
      </w:r>
      <w:r>
        <w:fldChar w:fldCharType="end"/>
      </w:r>
      <w:r>
        <w:rPr>
          <w:rFonts w:hint="eastAsia" w:ascii="宋体" w:hAnsi="宋体" w:eastAsia="宋体" w:cs="宋体"/>
          <w:bCs w:val="0"/>
          <w:szCs w:val="24"/>
          <w:lang w:val="en-US"/>
        </w:rPr>
        <w:fldChar w:fldCharType="end"/>
      </w:r>
    </w:p>
    <w:p w14:paraId="09354BD8">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_Toc23365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（三）国有资产占有使用情况</w:t>
      </w:r>
      <w:r>
        <w:tab/>
      </w:r>
      <w:r>
        <w:fldChar w:fldCharType="begin"/>
      </w:r>
      <w:r>
        <w:instrText xml:space="preserve"> PAGEREF _Toc23365 \h </w:instrText>
      </w:r>
      <w:r>
        <w:fldChar w:fldCharType="separate"/>
      </w:r>
      <w:r>
        <w:t>23</w:t>
      </w:r>
      <w:r>
        <w:fldChar w:fldCharType="end"/>
      </w:r>
      <w:r>
        <w:rPr>
          <w:rFonts w:hint="eastAsia" w:ascii="宋体" w:hAnsi="宋体" w:eastAsia="宋体" w:cs="宋体"/>
          <w:bCs w:val="0"/>
          <w:szCs w:val="24"/>
          <w:lang w:val="en-US"/>
        </w:rPr>
        <w:fldChar w:fldCharType="end"/>
      </w:r>
    </w:p>
    <w:p w14:paraId="0EF8BE03">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_Toc15928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（四）预算绩效管理情况</w:t>
      </w:r>
      <w:r>
        <w:tab/>
      </w:r>
      <w:r>
        <w:fldChar w:fldCharType="begin"/>
      </w:r>
      <w:r>
        <w:instrText xml:space="preserve"> PAGEREF _Toc15928 \h </w:instrText>
      </w:r>
      <w:r>
        <w:fldChar w:fldCharType="separate"/>
      </w:r>
      <w:r>
        <w:t>23</w:t>
      </w:r>
      <w:r>
        <w:fldChar w:fldCharType="end"/>
      </w:r>
      <w:r>
        <w:rPr>
          <w:rFonts w:hint="eastAsia" w:ascii="宋体" w:hAnsi="宋体" w:eastAsia="宋体" w:cs="宋体"/>
          <w:bCs w:val="0"/>
          <w:szCs w:val="24"/>
          <w:lang w:val="en-US"/>
        </w:rPr>
        <w:fldChar w:fldCharType="end"/>
      </w:r>
    </w:p>
    <w:p w14:paraId="086AB58C">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_Toc394 </w:instrText>
      </w:r>
      <w:r>
        <w:rPr>
          <w:rFonts w:hint="eastAsia" w:ascii="宋体" w:hAnsi="宋体" w:eastAsia="宋体" w:cs="宋体"/>
          <w:bCs w:val="0"/>
          <w:szCs w:val="24"/>
          <w:lang w:val="en-US"/>
        </w:rPr>
        <w:fldChar w:fldCharType="separate"/>
      </w:r>
      <w:r>
        <w:rPr>
          <w:rFonts w:hint="eastAsia" w:ascii="仿宋_GB2312" w:hAnsi="宋体" w:eastAsia="仿宋_GB2312" w:cs="仿宋_GB2312"/>
          <w:szCs w:val="36"/>
          <w:lang w:eastAsia="zh-CN"/>
        </w:rPr>
        <w:t>第三部分 名词解释</w:t>
      </w:r>
      <w:r>
        <w:tab/>
      </w:r>
      <w:r>
        <w:fldChar w:fldCharType="begin"/>
      </w:r>
      <w:r>
        <w:instrText xml:space="preserve"> PAGEREF _Toc394 \h </w:instrText>
      </w:r>
      <w:r>
        <w:fldChar w:fldCharType="separate"/>
      </w:r>
      <w:r>
        <w:t>24</w:t>
      </w:r>
      <w:r>
        <w:fldChar w:fldCharType="end"/>
      </w:r>
      <w:r>
        <w:rPr>
          <w:rFonts w:hint="eastAsia" w:ascii="宋体" w:hAnsi="宋体" w:eastAsia="宋体" w:cs="宋体"/>
          <w:bCs w:val="0"/>
          <w:szCs w:val="24"/>
          <w:lang w:val="en-US"/>
        </w:rPr>
        <w:fldChar w:fldCharType="end"/>
      </w:r>
    </w:p>
    <w:p w14:paraId="3B71F54E">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_Toc645 </w:instrText>
      </w:r>
      <w:r>
        <w:rPr>
          <w:rFonts w:hint="eastAsia" w:ascii="宋体" w:hAnsi="宋体" w:eastAsia="宋体" w:cs="宋体"/>
          <w:bCs w:val="0"/>
          <w:szCs w:val="24"/>
          <w:lang w:val="en-US"/>
        </w:rPr>
        <w:fldChar w:fldCharType="separate"/>
      </w:r>
      <w:r>
        <w:rPr>
          <w:rFonts w:hint="eastAsia" w:ascii="仿宋_GB2312" w:hAnsi="宋体" w:eastAsia="仿宋_GB2312" w:cs="仿宋_GB2312"/>
          <w:szCs w:val="36"/>
          <w:lang w:eastAsia="zh-CN"/>
        </w:rPr>
        <w:t>第四部分 附件</w:t>
      </w:r>
      <w:r>
        <w:tab/>
      </w:r>
      <w:r>
        <w:fldChar w:fldCharType="begin"/>
      </w:r>
      <w:r>
        <w:instrText xml:space="preserve"> PAGEREF _Toc645 \h </w:instrText>
      </w:r>
      <w:r>
        <w:fldChar w:fldCharType="separate"/>
      </w:r>
      <w:r>
        <w:t>27</w:t>
      </w:r>
      <w:r>
        <w:fldChar w:fldCharType="end"/>
      </w:r>
      <w:r>
        <w:rPr>
          <w:rFonts w:hint="eastAsia" w:ascii="宋体" w:hAnsi="宋体" w:eastAsia="宋体" w:cs="宋体"/>
          <w:bCs w:val="0"/>
          <w:szCs w:val="24"/>
          <w:lang w:val="en-US"/>
        </w:rPr>
        <w:fldChar w:fldCharType="end"/>
      </w:r>
    </w:p>
    <w:p w14:paraId="5FED404C">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_Toc8592 </w:instrText>
      </w:r>
      <w:r>
        <w:rPr>
          <w:rFonts w:hint="eastAsia" w:ascii="宋体" w:hAnsi="宋体" w:eastAsia="宋体" w:cs="宋体"/>
          <w:bCs w:val="0"/>
          <w:szCs w:val="24"/>
          <w:lang w:val="en-US"/>
        </w:rPr>
        <w:fldChar w:fldCharType="separate"/>
      </w:r>
      <w:r>
        <w:rPr>
          <w:rFonts w:hint="eastAsia" w:ascii="仿宋_GB2312" w:hAnsi="宋体" w:eastAsia="仿宋_GB2312" w:cs="仿宋_GB2312"/>
          <w:szCs w:val="32"/>
          <w:lang w:eastAsia="zh-CN"/>
        </w:rPr>
        <w:t>第五部分 附表</w:t>
      </w:r>
      <w:r>
        <w:tab/>
      </w:r>
      <w:r>
        <w:fldChar w:fldCharType="begin"/>
      </w:r>
      <w:r>
        <w:instrText xml:space="preserve"> PAGEREF _Toc8592 \h </w:instrText>
      </w:r>
      <w:r>
        <w:fldChar w:fldCharType="separate"/>
      </w:r>
      <w:r>
        <w:t>36</w:t>
      </w:r>
      <w:r>
        <w:fldChar w:fldCharType="end"/>
      </w:r>
      <w:r>
        <w:rPr>
          <w:rFonts w:hint="eastAsia" w:ascii="宋体" w:hAnsi="宋体" w:eastAsia="宋体" w:cs="宋体"/>
          <w:bCs w:val="0"/>
          <w:szCs w:val="24"/>
          <w:lang w:val="en-US"/>
        </w:rPr>
        <w:fldChar w:fldCharType="end"/>
      </w:r>
    </w:p>
    <w:p w14:paraId="2627CE03">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_Toc21655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一、收入支出决算总表</w:t>
      </w:r>
      <w:r>
        <w:tab/>
      </w:r>
      <w:r>
        <w:fldChar w:fldCharType="begin"/>
      </w:r>
      <w:r>
        <w:instrText xml:space="preserve"> PAGEREF _Toc21655 \h </w:instrText>
      </w:r>
      <w:r>
        <w:fldChar w:fldCharType="separate"/>
      </w:r>
      <w:r>
        <w:t>36</w:t>
      </w:r>
      <w:r>
        <w:fldChar w:fldCharType="end"/>
      </w:r>
      <w:r>
        <w:rPr>
          <w:rFonts w:hint="eastAsia" w:ascii="宋体" w:hAnsi="宋体" w:eastAsia="宋体" w:cs="宋体"/>
          <w:bCs w:val="0"/>
          <w:szCs w:val="24"/>
          <w:lang w:val="en-US"/>
        </w:rPr>
        <w:fldChar w:fldCharType="end"/>
      </w:r>
    </w:p>
    <w:p w14:paraId="2BD347B0">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_Toc32125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二、收入决算表</w:t>
      </w:r>
      <w:r>
        <w:tab/>
      </w:r>
      <w:r>
        <w:fldChar w:fldCharType="begin"/>
      </w:r>
      <w:r>
        <w:instrText xml:space="preserve"> PAGEREF _Toc32125 \h </w:instrText>
      </w:r>
      <w:r>
        <w:fldChar w:fldCharType="separate"/>
      </w:r>
      <w:r>
        <w:t>36</w:t>
      </w:r>
      <w:r>
        <w:fldChar w:fldCharType="end"/>
      </w:r>
      <w:r>
        <w:rPr>
          <w:rFonts w:hint="eastAsia" w:ascii="宋体" w:hAnsi="宋体" w:eastAsia="宋体" w:cs="宋体"/>
          <w:bCs w:val="0"/>
          <w:szCs w:val="24"/>
          <w:lang w:val="en-US"/>
        </w:rPr>
        <w:fldChar w:fldCharType="end"/>
      </w:r>
    </w:p>
    <w:p w14:paraId="3CEBED82">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_Toc18124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三、支出决算表</w:t>
      </w:r>
      <w:r>
        <w:tab/>
      </w:r>
      <w:r>
        <w:fldChar w:fldCharType="begin"/>
      </w:r>
      <w:r>
        <w:instrText xml:space="preserve"> PAGEREF _Toc18124 \h </w:instrText>
      </w:r>
      <w:r>
        <w:fldChar w:fldCharType="separate"/>
      </w:r>
      <w:r>
        <w:t>36</w:t>
      </w:r>
      <w:r>
        <w:fldChar w:fldCharType="end"/>
      </w:r>
      <w:r>
        <w:rPr>
          <w:rFonts w:hint="eastAsia" w:ascii="宋体" w:hAnsi="宋体" w:eastAsia="宋体" w:cs="宋体"/>
          <w:bCs w:val="0"/>
          <w:szCs w:val="24"/>
          <w:lang w:val="en-US"/>
        </w:rPr>
        <w:fldChar w:fldCharType="end"/>
      </w:r>
    </w:p>
    <w:p w14:paraId="528CB93F">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_Toc16647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四、财政拨款收入支出决算总表</w:t>
      </w:r>
      <w:r>
        <w:tab/>
      </w:r>
      <w:r>
        <w:fldChar w:fldCharType="begin"/>
      </w:r>
      <w:r>
        <w:instrText xml:space="preserve"> PAGEREF _Toc16647 \h </w:instrText>
      </w:r>
      <w:r>
        <w:fldChar w:fldCharType="separate"/>
      </w:r>
      <w:r>
        <w:t>36</w:t>
      </w:r>
      <w:r>
        <w:fldChar w:fldCharType="end"/>
      </w:r>
      <w:r>
        <w:rPr>
          <w:rFonts w:hint="eastAsia" w:ascii="宋体" w:hAnsi="宋体" w:eastAsia="宋体" w:cs="宋体"/>
          <w:bCs w:val="0"/>
          <w:szCs w:val="24"/>
          <w:lang w:val="en-US"/>
        </w:rPr>
        <w:fldChar w:fldCharType="end"/>
      </w:r>
    </w:p>
    <w:p w14:paraId="375722F2">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_Toc10575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五、财政拨款支出决算明细表</w:t>
      </w:r>
      <w:r>
        <w:tab/>
      </w:r>
      <w:r>
        <w:fldChar w:fldCharType="begin"/>
      </w:r>
      <w:r>
        <w:instrText xml:space="preserve"> PAGEREF _Toc10575 \h </w:instrText>
      </w:r>
      <w:r>
        <w:fldChar w:fldCharType="separate"/>
      </w:r>
      <w:r>
        <w:t>36</w:t>
      </w:r>
      <w:r>
        <w:fldChar w:fldCharType="end"/>
      </w:r>
      <w:r>
        <w:rPr>
          <w:rFonts w:hint="eastAsia" w:ascii="宋体" w:hAnsi="宋体" w:eastAsia="宋体" w:cs="宋体"/>
          <w:bCs w:val="0"/>
          <w:szCs w:val="24"/>
          <w:lang w:val="en-US"/>
        </w:rPr>
        <w:fldChar w:fldCharType="end"/>
      </w:r>
    </w:p>
    <w:p w14:paraId="48838EFC">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_Toc7997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六、一般公共预算财政拨款支出决算表</w:t>
      </w:r>
      <w:r>
        <w:tab/>
      </w:r>
      <w:r>
        <w:fldChar w:fldCharType="begin"/>
      </w:r>
      <w:r>
        <w:instrText xml:space="preserve"> PAGEREF _Toc7997 \h </w:instrText>
      </w:r>
      <w:r>
        <w:fldChar w:fldCharType="separate"/>
      </w:r>
      <w:r>
        <w:t>36</w:t>
      </w:r>
      <w:r>
        <w:fldChar w:fldCharType="end"/>
      </w:r>
      <w:r>
        <w:rPr>
          <w:rFonts w:hint="eastAsia" w:ascii="宋体" w:hAnsi="宋体" w:eastAsia="宋体" w:cs="宋体"/>
          <w:bCs w:val="0"/>
          <w:szCs w:val="24"/>
          <w:lang w:val="en-US"/>
        </w:rPr>
        <w:fldChar w:fldCharType="end"/>
      </w:r>
    </w:p>
    <w:p w14:paraId="4839FA58">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_Toc22038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七、一般公共预算财政拨款支出决算明细表</w:t>
      </w:r>
      <w:r>
        <w:tab/>
      </w:r>
      <w:r>
        <w:fldChar w:fldCharType="begin"/>
      </w:r>
      <w:r>
        <w:instrText xml:space="preserve"> PAGEREF _Toc22038 \h </w:instrText>
      </w:r>
      <w:r>
        <w:fldChar w:fldCharType="separate"/>
      </w:r>
      <w:r>
        <w:t>36</w:t>
      </w:r>
      <w:r>
        <w:fldChar w:fldCharType="end"/>
      </w:r>
      <w:r>
        <w:rPr>
          <w:rFonts w:hint="eastAsia" w:ascii="宋体" w:hAnsi="宋体" w:eastAsia="宋体" w:cs="宋体"/>
          <w:bCs w:val="0"/>
          <w:szCs w:val="24"/>
          <w:lang w:val="en-US"/>
        </w:rPr>
        <w:fldChar w:fldCharType="end"/>
      </w:r>
    </w:p>
    <w:p w14:paraId="16F8BAFF">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_Toc14547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八、一般公共预算财政拨款基本支出决算表</w:t>
      </w:r>
      <w:r>
        <w:tab/>
      </w:r>
      <w:r>
        <w:fldChar w:fldCharType="begin"/>
      </w:r>
      <w:r>
        <w:instrText xml:space="preserve"> PAGEREF _Toc14547 \h </w:instrText>
      </w:r>
      <w:r>
        <w:fldChar w:fldCharType="separate"/>
      </w:r>
      <w:r>
        <w:t>36</w:t>
      </w:r>
      <w:r>
        <w:fldChar w:fldCharType="end"/>
      </w:r>
      <w:r>
        <w:rPr>
          <w:rFonts w:hint="eastAsia" w:ascii="宋体" w:hAnsi="宋体" w:eastAsia="宋体" w:cs="宋体"/>
          <w:bCs w:val="0"/>
          <w:szCs w:val="24"/>
          <w:lang w:val="en-US"/>
        </w:rPr>
        <w:fldChar w:fldCharType="end"/>
      </w:r>
    </w:p>
    <w:p w14:paraId="593BDEAD">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_Toc18227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九、一般公共预算财政拨款项目支出决算表</w:t>
      </w:r>
      <w:r>
        <w:tab/>
      </w:r>
      <w:r>
        <w:fldChar w:fldCharType="begin"/>
      </w:r>
      <w:r>
        <w:instrText xml:space="preserve"> PAGEREF _Toc18227 \h </w:instrText>
      </w:r>
      <w:r>
        <w:fldChar w:fldCharType="separate"/>
      </w:r>
      <w:r>
        <w:t>36</w:t>
      </w:r>
      <w:r>
        <w:fldChar w:fldCharType="end"/>
      </w:r>
      <w:r>
        <w:rPr>
          <w:rFonts w:hint="eastAsia" w:ascii="宋体" w:hAnsi="宋体" w:eastAsia="宋体" w:cs="宋体"/>
          <w:bCs w:val="0"/>
          <w:szCs w:val="24"/>
          <w:lang w:val="en-US"/>
        </w:rPr>
        <w:fldChar w:fldCharType="end"/>
      </w:r>
    </w:p>
    <w:p w14:paraId="2888BEE2">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_Toc21246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十、政府性基金预算财政拨款收入支出决算表</w:t>
      </w:r>
      <w:r>
        <w:tab/>
      </w:r>
      <w:r>
        <w:fldChar w:fldCharType="begin"/>
      </w:r>
      <w:r>
        <w:instrText xml:space="preserve"> PAGEREF _Toc21246 \h </w:instrText>
      </w:r>
      <w:r>
        <w:fldChar w:fldCharType="separate"/>
      </w:r>
      <w:r>
        <w:t>36</w:t>
      </w:r>
      <w:r>
        <w:fldChar w:fldCharType="end"/>
      </w:r>
      <w:r>
        <w:rPr>
          <w:rFonts w:hint="eastAsia" w:ascii="宋体" w:hAnsi="宋体" w:eastAsia="宋体" w:cs="宋体"/>
          <w:bCs w:val="0"/>
          <w:szCs w:val="24"/>
          <w:lang w:val="en-US"/>
        </w:rPr>
        <w:fldChar w:fldCharType="end"/>
      </w:r>
    </w:p>
    <w:p w14:paraId="1F0CDDAA">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_Toc15050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十一、国有资本经营预算财政拨款收入支出决算表</w:t>
      </w:r>
      <w:r>
        <w:tab/>
      </w:r>
      <w:r>
        <w:fldChar w:fldCharType="begin"/>
      </w:r>
      <w:r>
        <w:instrText xml:space="preserve"> PAGEREF _Toc15050 \h </w:instrText>
      </w:r>
      <w:r>
        <w:fldChar w:fldCharType="separate"/>
      </w:r>
      <w:r>
        <w:t>36</w:t>
      </w:r>
      <w:r>
        <w:fldChar w:fldCharType="end"/>
      </w:r>
      <w:r>
        <w:rPr>
          <w:rFonts w:hint="eastAsia" w:ascii="宋体" w:hAnsi="宋体" w:eastAsia="宋体" w:cs="宋体"/>
          <w:bCs w:val="0"/>
          <w:szCs w:val="24"/>
          <w:lang w:val="en-US"/>
        </w:rPr>
        <w:fldChar w:fldCharType="end"/>
      </w:r>
    </w:p>
    <w:p w14:paraId="63CE7002">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_Toc4620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十二、国有资本经营预算财政拨款支出决算表</w:t>
      </w:r>
      <w:r>
        <w:tab/>
      </w:r>
      <w:r>
        <w:fldChar w:fldCharType="begin"/>
      </w:r>
      <w:r>
        <w:instrText xml:space="preserve"> PAGEREF _Toc4620 \h </w:instrText>
      </w:r>
      <w:r>
        <w:fldChar w:fldCharType="separate"/>
      </w:r>
      <w:r>
        <w:t>36</w:t>
      </w:r>
      <w:r>
        <w:fldChar w:fldCharType="end"/>
      </w:r>
      <w:r>
        <w:rPr>
          <w:rFonts w:hint="eastAsia" w:ascii="宋体" w:hAnsi="宋体" w:eastAsia="宋体" w:cs="宋体"/>
          <w:bCs w:val="0"/>
          <w:szCs w:val="24"/>
          <w:lang w:val="en-US"/>
        </w:rPr>
        <w:fldChar w:fldCharType="end"/>
      </w:r>
    </w:p>
    <w:p w14:paraId="23D90E5C">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_Toc4039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十三、财政拨款“三公”经费支出决算表</w:t>
      </w:r>
      <w:r>
        <w:tab/>
      </w:r>
      <w:r>
        <w:fldChar w:fldCharType="begin"/>
      </w:r>
      <w:r>
        <w:instrText xml:space="preserve"> PAGEREF _Toc4039 \h </w:instrText>
      </w:r>
      <w:r>
        <w:fldChar w:fldCharType="separate"/>
      </w:r>
      <w:r>
        <w:t>36</w:t>
      </w:r>
      <w:r>
        <w:fldChar w:fldCharType="end"/>
      </w:r>
      <w:r>
        <w:rPr>
          <w:rFonts w:hint="eastAsia" w:ascii="宋体" w:hAnsi="宋体" w:eastAsia="宋体" w:cs="宋体"/>
          <w:bCs w:val="0"/>
          <w:szCs w:val="24"/>
          <w:lang w:val="en-US"/>
        </w:rPr>
        <w:fldChar w:fldCharType="end"/>
      </w:r>
    </w:p>
    <w:p w14:paraId="6CD11DC3">
      <w:pPr>
        <w:pStyle w:val="20"/>
        <w:autoSpaceDE w:val="0"/>
        <w:autoSpaceDN/>
        <w:spacing w:line="520" w:lineRule="exact"/>
        <w:rPr>
          <w:rFonts w:hint="eastAsia" w:ascii="宋体" w:hAnsi="宋体" w:eastAsia="宋体" w:cs="宋体"/>
          <w:bCs w:val="0"/>
          <w:szCs w:val="24"/>
          <w:lang w:val="en-US"/>
        </w:rPr>
        <w:sectPr>
          <w:pgSz w:w="11915" w:h="16851"/>
          <w:pgMar w:top="1440" w:right="1800" w:bottom="1440" w:left="1800" w:header="851" w:footer="992" w:gutter="0"/>
          <w:cols w:space="0" w:num="1"/>
          <w:docGrid w:type="lines" w:linePitch="312" w:charSpace="0"/>
        </w:sectPr>
      </w:pPr>
      <w:r>
        <w:rPr>
          <w:rFonts w:hint="eastAsia" w:ascii="宋体" w:hAnsi="宋体" w:eastAsia="宋体" w:cs="宋体"/>
          <w:bCs w:val="0"/>
          <w:szCs w:val="24"/>
          <w:lang w:val="en-US"/>
        </w:rPr>
        <w:fldChar w:fldCharType="end"/>
      </w:r>
    </w:p>
    <w:p w14:paraId="1A119DF3">
      <w:pPr>
        <w:pStyle w:val="3"/>
        <w:keepNext w:val="0"/>
        <w:keepLines w:val="0"/>
        <w:widowControl w:val="0"/>
        <w:suppressLineNumbers w:val="0"/>
        <w:kinsoku w:val="0"/>
        <w:overflowPunct w:val="0"/>
        <w:autoSpaceDE w:val="0"/>
        <w:autoSpaceDN w:val="0"/>
        <w:adjustRightInd w:val="0"/>
        <w:snapToGrid w:val="0"/>
        <w:spacing w:before="0" w:beforeAutospacing="0" w:line="360" w:lineRule="auto"/>
        <w:jc w:val="center"/>
        <w:rPr>
          <w:sz w:val="36"/>
          <w:szCs w:val="36"/>
          <w:lang w:val="en-US"/>
        </w:rPr>
      </w:pPr>
      <w:bookmarkStart w:id="5" w:name="_Toc22743"/>
      <w:bookmarkEnd w:id="5"/>
      <w:bookmarkStart w:id="6" w:name="_Toc23248"/>
      <w:bookmarkEnd w:id="6"/>
      <w:bookmarkStart w:id="7" w:name="_Toc15017"/>
      <w:bookmarkEnd w:id="7"/>
      <w:bookmarkStart w:id="8" w:name="_Toc25972"/>
      <w:bookmarkStart w:id="9" w:name="_Toc18310"/>
      <w:r>
        <w:rPr>
          <w:sz w:val="36"/>
          <w:szCs w:val="36"/>
          <w:lang w:eastAsia="zh-CN"/>
        </w:rPr>
        <w:t>第一部分 部门概况</w:t>
      </w:r>
      <w:bookmarkEnd w:id="8"/>
      <w:bookmarkEnd w:id="9"/>
    </w:p>
    <w:p w14:paraId="4256E463">
      <w:pPr>
        <w:pStyle w:val="2"/>
        <w:spacing w:before="93" w:beforeLines="30" w:beforeAutospacing="0" w:after="0" w:afterAutospacing="0"/>
        <w:ind w:left="0" w:right="0"/>
        <w:outlineLvl w:val="1"/>
        <w:rPr>
          <w:b/>
          <w:bCs w:val="0"/>
          <w:lang w:val="en-US"/>
        </w:rPr>
      </w:pPr>
      <w:bookmarkStart w:id="10" w:name="_Toc4322"/>
      <w:bookmarkEnd w:id="10"/>
      <w:bookmarkStart w:id="11" w:name="_Toc16999"/>
      <w:bookmarkEnd w:id="11"/>
      <w:bookmarkStart w:id="12" w:name="_Toc32496"/>
      <w:bookmarkEnd w:id="12"/>
      <w:bookmarkStart w:id="13" w:name="_Toc1848"/>
      <w:bookmarkStart w:id="14" w:name="_Toc12502"/>
      <w:r>
        <w:rPr>
          <w:b/>
          <w:bCs w:val="0"/>
          <w:lang w:eastAsia="zh-CN"/>
        </w:rPr>
        <w:t>一、基本职能及主要工作</w:t>
      </w:r>
      <w:bookmarkEnd w:id="13"/>
      <w:bookmarkEnd w:id="14"/>
    </w:p>
    <w:p w14:paraId="1E7393A1">
      <w:pPr>
        <w:pStyle w:val="2"/>
        <w:spacing w:before="93" w:beforeLines="30" w:beforeAutospacing="0" w:after="0" w:afterAutospacing="0"/>
        <w:ind w:left="0" w:right="0" w:firstLine="602" w:firstLineChars="200"/>
        <w:outlineLvl w:val="2"/>
        <w:rPr>
          <w:b/>
          <w:bCs w:val="0"/>
          <w:lang w:val="en-US"/>
        </w:rPr>
      </w:pPr>
      <w:bookmarkStart w:id="15" w:name="_Toc31473"/>
      <w:r>
        <w:rPr>
          <w:b/>
          <w:bCs w:val="0"/>
          <w:lang w:eastAsia="zh-CN"/>
        </w:rPr>
        <w:t>（一）主要职能。</w:t>
      </w:r>
      <w:bookmarkEnd w:id="15"/>
    </w:p>
    <w:p w14:paraId="3BC27E35">
      <w:pPr>
        <w:pStyle w:val="2"/>
        <w:spacing w:before="93" w:beforeLines="30" w:beforeAutospacing="0" w:after="0" w:afterAutospacing="0"/>
        <w:ind w:left="0" w:right="0" w:firstLine="600" w:firstLineChars="200"/>
        <w:rPr>
          <w:b/>
          <w:bCs w:val="0"/>
          <w:lang w:val="en-US"/>
        </w:rPr>
      </w:pPr>
      <w:r>
        <w:rPr>
          <w:lang w:eastAsia="zh-CN"/>
        </w:rPr>
        <w:t xml:space="preserve">在州委、州政府的领导下积极做好在驻地及其周边地区的政务联络、商会指导服务、机要电报、政务服务等工作，协助各相关部门做好社会管理、区域合作、招商引资、宣传推介、信访维稳、政务接待等工作。 </w:t>
      </w:r>
    </w:p>
    <w:p w14:paraId="2BAB8DC9">
      <w:pPr>
        <w:pStyle w:val="2"/>
        <w:spacing w:before="93" w:beforeLines="30" w:beforeAutospacing="0" w:after="0" w:afterAutospacing="0"/>
        <w:ind w:left="0" w:right="0" w:firstLine="602" w:firstLineChars="200"/>
        <w:outlineLvl w:val="2"/>
        <w:rPr>
          <w:b/>
          <w:bCs w:val="0"/>
          <w:lang w:val="en-US"/>
        </w:rPr>
      </w:pPr>
      <w:bookmarkStart w:id="16" w:name="_Toc1487"/>
      <w:r>
        <w:rPr>
          <w:b/>
          <w:bCs w:val="0"/>
          <w:lang w:eastAsia="zh-CN"/>
        </w:rPr>
        <w:t>（二）</w:t>
      </w:r>
      <w:r>
        <w:rPr>
          <w:b/>
          <w:bCs w:val="0"/>
          <w:lang w:val="en-US"/>
        </w:rPr>
        <w:t>2022</w:t>
      </w:r>
      <w:r>
        <w:rPr>
          <w:b/>
          <w:bCs w:val="0"/>
          <w:lang w:eastAsia="zh-CN"/>
        </w:rPr>
        <w:t>年重点工作完成情况。</w:t>
      </w:r>
      <w:bookmarkEnd w:id="16"/>
    </w:p>
    <w:p w14:paraId="0832A500">
      <w:pPr>
        <w:pStyle w:val="2"/>
        <w:spacing w:before="93" w:beforeLines="30" w:beforeAutospacing="0" w:after="0" w:afterAutospacing="0"/>
        <w:ind w:left="0" w:right="0" w:firstLine="600" w:firstLineChars="200"/>
      </w:pPr>
      <w:r>
        <w:rPr>
          <w:lang w:val="en-US"/>
        </w:rPr>
        <w:t>1</w:t>
      </w:r>
      <w:r>
        <w:rPr>
          <w:rFonts w:hint="eastAsia"/>
          <w:lang w:val="en-US" w:eastAsia="zh-CN"/>
        </w:rPr>
        <w:t>.</w:t>
      </w:r>
      <w:r>
        <w:rPr>
          <w:lang w:eastAsia="zh-CN"/>
        </w:rPr>
        <w:t>切实履行党建引领业务发展，统筹推进党建工作。深入学习贯彻党的二十大精神，省委、州委贯彻</w:t>
      </w:r>
      <w:r>
        <w:rPr>
          <w:rFonts w:hint="eastAsia"/>
          <w:lang w:val="en-US" w:eastAsia="zh-CN"/>
        </w:rPr>
        <w:t>党的</w:t>
      </w:r>
      <w:r>
        <w:rPr>
          <w:lang w:eastAsia="zh-CN"/>
        </w:rPr>
        <w:t>二十大精神要求；原原本本学习《习近平谈治国理政》第四卷</w:t>
      </w:r>
      <w:bookmarkStart w:id="189" w:name="_GoBack"/>
      <w:bookmarkEnd w:id="189"/>
      <w:r>
        <w:rPr>
          <w:lang w:eastAsia="zh-CN"/>
        </w:rPr>
        <w:t>《忏悔录Ⅺ》；组织学习中央、省、州关于全面从严治党系列会议精神，习近平新时代中国特色社会主义思想，党的十九届六中全会精神和习近平总书记对阿坝州重要指示批示，习近平同志在第十九届中央纪律检查委员会第六次全体会议上的讲话精神、二是继续落实意识形态工作责任为抓手强化思想建设。完善新兴媒体管理制度，进一步加强对机关微信公众号、微信工作群、</w:t>
      </w:r>
      <w:r>
        <w:rPr>
          <w:lang w:val="en-US"/>
        </w:rPr>
        <w:t>QQ</w:t>
      </w:r>
      <w:r>
        <w:rPr>
          <w:lang w:eastAsia="zh-CN"/>
        </w:rPr>
        <w:t>工作群等阵地管理工作。旗帜鲜明地同否定中国共产党的领导、攻击中国特色社会主义制度等错误思潮和言论作斗争。三是进一步找准着力点坚持抓好组织建设。一方面，推荐干部职工参加省机关事务管理局、州委组织部、州直机关工委等部门组织的各类学习培训，进一步推进干部队伍结构优化和素质提高；另一方面，进一步规范“三会一课”、谈心谈话、民主生活会、组织生活会、民主评议党员等相关制度。今年以来，相继开展了“映秀镇爱国主义教育活动”、“渔子溪村牢记使命、红心向党——庆祝建党</w:t>
      </w:r>
      <w:r>
        <w:rPr>
          <w:lang w:val="en-US"/>
        </w:rPr>
        <w:t>101</w:t>
      </w:r>
      <w:r>
        <w:rPr>
          <w:lang w:eastAsia="zh-CN"/>
        </w:rPr>
        <w:t>周年主题党日”、“到农民夜校宣讲中国共产党四川省第十二次代表大会和州委常委会第</w:t>
      </w:r>
      <w:r>
        <w:rPr>
          <w:lang w:val="en-US"/>
        </w:rPr>
        <w:t>20</w:t>
      </w:r>
      <w:r>
        <w:rPr>
          <w:lang w:eastAsia="zh-CN"/>
        </w:rPr>
        <w:t>次（扩大）会议精神”等活动。四是强化关键点持续深化作风建设。处党委坚持“党要管党，从严治党”原则、领导带头原则和标本兼治原则，牢牢扭住思想作风、工作作风和生活作风三个关键点。五是继续找准结合点推进廉政建设。严格落实“三重一大”制度，加强对分管科室党风廉政建设责任制工作的督促、检查、指导，层层差异化签订了《党风廉政建设责任书》。截至目前，已开展谈心谈话</w:t>
      </w:r>
      <w:r>
        <w:rPr>
          <w:lang w:val="en-US"/>
        </w:rPr>
        <w:t>44</w:t>
      </w:r>
      <w:r>
        <w:rPr>
          <w:lang w:eastAsia="zh-CN"/>
        </w:rPr>
        <w:t>人次、廉政集体谈话</w:t>
      </w:r>
      <w:r>
        <w:rPr>
          <w:lang w:val="en-US"/>
        </w:rPr>
        <w:t>2</w:t>
      </w:r>
      <w:r>
        <w:rPr>
          <w:lang w:eastAsia="zh-CN"/>
        </w:rPr>
        <w:t>批</w:t>
      </w:r>
      <w:r>
        <w:rPr>
          <w:lang w:val="en-US"/>
        </w:rPr>
        <w:t>44</w:t>
      </w:r>
      <w:r>
        <w:rPr>
          <w:lang w:eastAsia="zh-CN"/>
        </w:rPr>
        <w:t>人次。发表网评文章</w:t>
      </w:r>
      <w:r>
        <w:rPr>
          <w:lang w:val="en-US"/>
        </w:rPr>
        <w:t>7</w:t>
      </w:r>
      <w:r>
        <w:rPr>
          <w:lang w:eastAsia="zh-CN"/>
        </w:rPr>
        <w:t>篇。六是认真开展“两联一进”群众工作全覆盖和驻村帮扶工作。在平时的工作中，领导班子成员主要采取电话、微信联系的方式，加强与包联对象的联系联络。今年以来，累计深入联系农户</w:t>
      </w:r>
      <w:r>
        <w:rPr>
          <w:lang w:val="en-US"/>
        </w:rPr>
        <w:t>18</w:t>
      </w:r>
      <w:r>
        <w:rPr>
          <w:lang w:eastAsia="zh-CN"/>
        </w:rPr>
        <w:t>人次，深入寺庙</w:t>
      </w:r>
      <w:r>
        <w:rPr>
          <w:lang w:val="en-US"/>
        </w:rPr>
        <w:t>15</w:t>
      </w:r>
      <w:r>
        <w:rPr>
          <w:lang w:eastAsia="zh-CN"/>
        </w:rPr>
        <w:t>人次。另一方面，持续加强对若尔盖县麦溪乡幕村的帮扶力度。选派一名科级干部到幕村接续开展定点帮扶工作，对</w:t>
      </w:r>
      <w:r>
        <w:rPr>
          <w:lang w:val="en-US"/>
        </w:rPr>
        <w:t>37</w:t>
      </w:r>
      <w:r>
        <w:rPr>
          <w:lang w:eastAsia="zh-CN"/>
        </w:rPr>
        <w:t>户脱贫户、</w:t>
      </w:r>
      <w:r>
        <w:rPr>
          <w:lang w:val="en-US"/>
        </w:rPr>
        <w:t>2</w:t>
      </w:r>
      <w:r>
        <w:rPr>
          <w:lang w:eastAsia="zh-CN"/>
        </w:rPr>
        <w:t>户监测户、</w:t>
      </w:r>
      <w:r>
        <w:rPr>
          <w:lang w:val="en-US"/>
        </w:rPr>
        <w:t>11</w:t>
      </w:r>
      <w:r>
        <w:rPr>
          <w:lang w:eastAsia="zh-CN"/>
        </w:rPr>
        <w:t>类重点监测人员进行实时监测防止返贫现象发生，积极协助乡党委政府和村“两委”为村集体经济发展和牧民群众增收致富出谋划策做好巩固拓展脱贫攻坚成果同乡村振兴有效衔接，协助乡、村两级做好疫情防控、防灾减灾、生态保护治理等重点工作提升牧民群众获得感幸福感安全感。</w:t>
      </w:r>
    </w:p>
    <w:p w14:paraId="029C855E">
      <w:pPr>
        <w:pStyle w:val="2"/>
        <w:spacing w:before="93" w:beforeLines="30" w:beforeAutospacing="0" w:after="0" w:afterAutospacing="0"/>
        <w:ind w:left="0" w:right="0" w:firstLine="600" w:firstLineChars="200"/>
      </w:pPr>
      <w:r>
        <w:rPr>
          <w:lang w:val="en-US"/>
        </w:rPr>
        <w:t>2</w:t>
      </w:r>
      <w:r>
        <w:rPr>
          <w:lang w:eastAsia="zh-CN"/>
        </w:rPr>
        <w:t>、提高政治站位，继续加强疫情防控。一是加强驻京驻蓉信访稳控防疫物资保障；二是协助州委、州政府做好有关在京在蓉开展相关工作的防疫工作；三是及时报告</w:t>
      </w:r>
      <w:r>
        <w:rPr>
          <w:lang w:val="en-US"/>
        </w:rPr>
        <w:t>5.23-6.7</w:t>
      </w:r>
      <w:r>
        <w:rPr>
          <w:lang w:eastAsia="zh-CN"/>
        </w:rPr>
        <w:t>北京办公区因疫情风控管理事项及工作人员健康状况；四是</w:t>
      </w:r>
      <w:r>
        <w:rPr>
          <w:lang w:val="en-US"/>
        </w:rPr>
        <w:t>8.31-9.18</w:t>
      </w:r>
      <w:r>
        <w:rPr>
          <w:lang w:eastAsia="zh-CN"/>
        </w:rPr>
        <w:t>成都静态管理期间为</w:t>
      </w:r>
      <w:r>
        <w:rPr>
          <w:lang w:val="en-US"/>
        </w:rPr>
        <w:t>32</w:t>
      </w:r>
      <w:r>
        <w:rPr>
          <w:lang w:eastAsia="zh-CN"/>
        </w:rPr>
        <w:t>户居家人员送新鲜蔬菜、牛奶、生活用品等，切实保障了离退休干部在疫情期间的生活所需；五是严格落实省、州和驻地疫情防控管理要求，面对多轮疫情冲击我处无干部职工感染新冠病毒、无干部职工密接隔离。</w:t>
      </w:r>
    </w:p>
    <w:p w14:paraId="066EB8E0">
      <w:pPr>
        <w:pStyle w:val="2"/>
        <w:spacing w:before="93" w:beforeLines="30" w:beforeAutospacing="0" w:after="0" w:afterAutospacing="0"/>
        <w:ind w:left="0" w:right="0" w:firstLine="600" w:firstLineChars="200"/>
      </w:pPr>
      <w:r>
        <w:rPr>
          <w:lang w:val="en-US"/>
        </w:rPr>
        <w:t>3</w:t>
      </w:r>
      <w:r>
        <w:rPr>
          <w:rFonts w:hint="eastAsia"/>
          <w:lang w:val="en-US" w:eastAsia="zh-CN"/>
        </w:rPr>
        <w:t>.</w:t>
      </w:r>
      <w:r>
        <w:rPr>
          <w:lang w:eastAsia="zh-CN"/>
        </w:rPr>
        <w:t>筑牢防线，当好驻外信访维稳“消防员”。一是进一步健全和完善信访维稳工作机制。在继续抓好自身疫情防控的基础上，坚持按照“属地管理、分级负责，谁主管、谁负责，依法、及时、就地解决问题与疏导教育相结合”的工作原则，不断完善信访维稳工作机制、落实责任、改进工作方法；按季度对驻京驻蓉信访突出的县（市）进行督导检查，专题开展矛盾化解工作；认真做好政策法规宣传、矛盾纠纷排查、疏导安抚劝返、涉访群体跟踪、登记督查考核等工作，对有可能集体访或越级访的苗头性、倾向性问题的研判，及时向州信联办报告，并通报所涉各县（市），及时做好安抚劝导和矛盾化解工作。截至目前，已完成《阿坝州驻蓉信访稳控工作领导小组稳控信息》专报</w:t>
      </w:r>
      <w:r>
        <w:rPr>
          <w:lang w:val="en-US"/>
        </w:rPr>
        <w:t>7</w:t>
      </w:r>
      <w:r>
        <w:rPr>
          <w:lang w:eastAsia="zh-CN"/>
        </w:rPr>
        <w:t>期。二是加强重点时段驻京驻蓉信访稳控工作。圆满完成省“两会”、冬奥会、冬残奥会、全国两会、党的二十大期间驻京驻蓉信访稳控工作任务，特别是在党的二十大期间，在我州信访工作组无法抵京的情况下，我处实现了正常访和非接待场所访“零登记”的双零目标，守住了“三个不发生”的工作底线，得到了省、州分管领导的充分肯定。三是密切协作配合，统筹推进工作。在州信访工作联席会议办公室统一协调安排下，多次派员到都江堰市，就恒大、融创房产涉及我州群众经投资受损参与维权集访，协助都江堰市委政法委开展信访稳控工作；协助涉及我州在德阳广汉“北新机械城”投资受损群体到省集访稳控工作；协同林草部门、马尔康市等处置涉及“三跨三分离”信访案件的调处工作；积极化解北京市朝阳区平房乡违建拆除中涉及我州</w:t>
      </w:r>
      <w:r>
        <w:rPr>
          <w:lang w:val="en-US"/>
        </w:rPr>
        <w:t>28</w:t>
      </w:r>
      <w:r>
        <w:rPr>
          <w:lang w:eastAsia="zh-CN"/>
        </w:rPr>
        <w:t>名群众的矛盾纠纷。同时，协助成都市武侯区统战部统计完成了涉藏区人员疫情日报告工作。</w:t>
      </w:r>
    </w:p>
    <w:p w14:paraId="4994C347">
      <w:pPr>
        <w:pStyle w:val="2"/>
        <w:spacing w:before="93" w:beforeLines="30" w:beforeAutospacing="0" w:after="0" w:afterAutospacing="0"/>
        <w:ind w:left="0" w:right="0" w:firstLine="600" w:firstLineChars="200"/>
      </w:pPr>
      <w:r>
        <w:rPr>
          <w:lang w:val="en-US"/>
        </w:rPr>
        <w:t>4</w:t>
      </w:r>
      <w:r>
        <w:rPr>
          <w:rFonts w:hint="eastAsia"/>
          <w:lang w:val="en-US" w:eastAsia="zh-CN"/>
        </w:rPr>
        <w:t>.</w:t>
      </w:r>
      <w:r>
        <w:rPr>
          <w:lang w:eastAsia="zh-CN"/>
        </w:rPr>
        <w:t>拓展外延，当好政务联络的“办事员”。一是强化纵向对接。充分发挥驻外平台的区位优势，进一步增强联络、协调、服务、处置等多元化相融合的政务联络服务机制，主动加强与国家部委局和省级部门的对接联络，为我州各项事业发展积极争取政策支持和项目牵线落地，高质量完成了党的二十大、全国两会、省“两会”等重大节会服务工作，在州委、州政府领导到国家民委、交通运输部、农业农村部、林业和草原局等部委汇报工作、争取政策中加强工作联络协调，确保有效衔接。二是强化横向交流。加强与各省（市）驻京机构和各市（州）驻蓉机构的联系，以驻京、驻蓉机构为桥梁，加强与全国各省（市）和省内各市（州）的交往互动、经验交流，密切我州在政治、经济各项事业方面的对外交流合作和友好往来。今年以来，到省驻京办、凉山州驻蓉办、达州驻蓉办、眉山驻京联络处、自贡驻京联络处、等交流学习共计</w:t>
      </w:r>
      <w:r>
        <w:rPr>
          <w:lang w:val="en-US"/>
        </w:rPr>
        <w:t>5</w:t>
      </w:r>
      <w:r>
        <w:rPr>
          <w:lang w:eastAsia="zh-CN"/>
        </w:rPr>
        <w:t>次；与成都市委办公厅区域合作处赴天府农博园考察交流；积极与成都市民族宗教事务局共商城市民族工作。三是强化商会服务指导。加强对阿坝州籍在外商会、在外企业的服务指导工作，切实维护州籍企业合法权益。到成都阿坝州商会办公区开展指导服务工作，详细了解了商会基本情况，仔细听取了工作介绍，并就商会党建运行、会员企业发展、发挥商会社会服务能力提升等进行深入交流。四是强化政务联络。严格按照公务接待管理办法和厉行节约要求，认真做好州委、州政府和州公务服务中心通知在成都地区的机场迎送、车辆保障、食宿安排等公务联络接待工作，高质量做好了“阿坝州党政代表团赴浙江考察学习”、“阿坝州人民政府 宜宾市人民政府跨区域协同发展战略合作框架协议签约”、“阿坝州人民政府 中国石油天然气股份有限公司四川销售公司能源发展项目战略合作框架协议签约”、“德阳市人民政府 阿坝州人民政府 四川发展控股有限责任公司合作协议签约”等重要公务活动的政务服务与后勤保障工作。</w:t>
      </w:r>
    </w:p>
    <w:p w14:paraId="6789849B">
      <w:pPr>
        <w:pStyle w:val="2"/>
        <w:spacing w:before="93" w:beforeLines="30" w:beforeAutospacing="0" w:after="0" w:afterAutospacing="0"/>
        <w:ind w:left="0" w:right="0" w:firstLine="600" w:firstLineChars="200"/>
      </w:pPr>
      <w:r>
        <w:rPr>
          <w:lang w:val="en-US"/>
        </w:rPr>
        <w:t>5</w:t>
      </w:r>
      <w:r>
        <w:rPr>
          <w:rFonts w:hint="eastAsia"/>
          <w:lang w:val="en-US" w:eastAsia="zh-CN"/>
        </w:rPr>
        <w:t>.</w:t>
      </w:r>
      <w:r>
        <w:rPr>
          <w:lang w:eastAsia="zh-CN"/>
        </w:rPr>
        <w:t>强力推动，当好区域经济协作的“宣传员”。一是强化我州优势资源的宣传推介。积极与州经信局、州文体旅局、州商务经济合作局等部门和各县（市）沟通，及时了解掌握我州招商引资重点项目和支柱产业发展情况。与汶川县投资促进博览中心、汶川县工业园区、小金县投促中心开展招商引资座谈会。积极对接州农投公司，沟通交流“净土阿坝”农特产品在北京及周边地区拓展市场、宣传推介等事宜。二是切实发挥驻京、驻蓉平台作用。对接走访北京四川商会、人民日报下属企业人民数据、中航集团、国信华夏农业发展有限公司、华谊东方启明暖文化公司、华西集团、成都宽窄文创产业投资集团等企业，了解企业重点业务和投资意向，共同探讨与我州合作发展的可行性。三是强化对外交流。积极参加四川省驻京机构招商引资培训暨项目对接会和川渝驻京机构深化合作服务成渝地区双城经济圈建设联席会，与北京亦庄工业研究院、中关村民营科技企业家协会负责人沟通交流，详细介绍我州重点产业情况，不断拓宽我州在环渤海区域的知名度和影响力。四是积极为各县（市）和工业园区牵线搭桥推荐项目。收集整理各县（市）招商引资重点产业和重大项目，有针对性地为各县（市）推介现代农业、文化旅游等意向项目。积极为深圳市德方纳米公司落地成阿园区、马尔康市锂产业项目开展协调服务和政策咨询。</w:t>
      </w:r>
    </w:p>
    <w:p w14:paraId="72F23353">
      <w:pPr>
        <w:pStyle w:val="2"/>
        <w:spacing w:before="93" w:beforeLines="30" w:beforeAutospacing="0" w:after="0" w:afterAutospacing="0"/>
        <w:ind w:left="0" w:right="0" w:firstLine="600" w:firstLineChars="200"/>
      </w:pPr>
      <w:r>
        <w:rPr>
          <w:lang w:val="en-US"/>
        </w:rPr>
        <w:t>6</w:t>
      </w:r>
      <w:r>
        <w:rPr>
          <w:rFonts w:hint="eastAsia"/>
          <w:lang w:val="en-US" w:eastAsia="zh-CN"/>
        </w:rPr>
        <w:t>.</w:t>
      </w:r>
      <w:r>
        <w:rPr>
          <w:lang w:eastAsia="zh-CN"/>
        </w:rPr>
        <w:t>收集信息，当好安全防线的“守门员”。一是突出“安全”，做好机要密码工作。进一步强化、规范和改进党政机要密码工作，扎实做好机要文件收发和呈送工作，确保党政机要密码工作的安全和有序开展。确保了机要密码工作“零差错”。二是突出“时效”，做好信息工作。不断拓宽信息渠道，加强与国家部委局和省级有关部门、各省（市）驻京办事机构和各市（州）驻蓉单位的联系沟通，及时收集掌握政策性、经济性、发展性、民生性信息，为州委、州政府决策部署提供参考依据。</w:t>
      </w:r>
    </w:p>
    <w:p w14:paraId="4535CF0E">
      <w:pPr>
        <w:pStyle w:val="2"/>
        <w:spacing w:before="93" w:beforeLines="30" w:beforeAutospacing="0" w:after="0" w:afterAutospacing="0"/>
        <w:ind w:left="0" w:right="0" w:firstLine="600" w:firstLineChars="200"/>
      </w:pPr>
      <w:r>
        <w:rPr>
          <w:lang w:val="en-US"/>
        </w:rPr>
        <w:t>7</w:t>
      </w:r>
      <w:r>
        <w:rPr>
          <w:rFonts w:hint="eastAsia"/>
          <w:lang w:val="en-US" w:eastAsia="zh-CN"/>
        </w:rPr>
        <w:t>.</w:t>
      </w:r>
      <w:r>
        <w:rPr>
          <w:lang w:eastAsia="zh-CN"/>
        </w:rPr>
        <w:t>积极参与，当好社会公共服务的“管理员”。一是积极加强与各级各地区商会的对接，积极推进</w:t>
      </w:r>
      <w:r>
        <w:rPr>
          <w:lang w:val="en-US"/>
        </w:rPr>
        <w:t>"</w:t>
      </w:r>
      <w:r>
        <w:rPr>
          <w:lang w:eastAsia="zh-CN"/>
        </w:rPr>
        <w:t>净土阿坝”特色农产品在京在蓉的宣传和展销，为渔子溪矿泉水与净土阿坝做沟通推介；二是协助夯实基础强服务，为农民工做好后勤保障工作，做好用工信息收集，向在京务工人员分享成都、阿坝州用工信息。赴阿坝州成都商会开展调研指导，赴维古乡驻外党群服务中心调研并提供农民工专项工作资金</w:t>
      </w:r>
      <w:r>
        <w:rPr>
          <w:lang w:val="en-US"/>
        </w:rPr>
        <w:t>1</w:t>
      </w:r>
      <w:r>
        <w:rPr>
          <w:lang w:eastAsia="zh-CN"/>
        </w:rPr>
        <w:t>万元。三是响应号召，积极组织各项活动。积极参加“植绿黄河岸 共护母亲河植树活动”、“阿坝州森林草原防灭火包县联系综合督导”、“蹲点督导汶川县风险排查化解”、“创建国家全域旅游示范区蹲点督导”等重点工作。积极参与省驻京办举办的</w:t>
      </w:r>
      <w:r>
        <w:rPr>
          <w:lang w:val="en-US"/>
        </w:rPr>
        <w:t>2022</w:t>
      </w:r>
      <w:r>
        <w:rPr>
          <w:lang w:eastAsia="zh-CN"/>
        </w:rPr>
        <w:t>年四川省“逐梦计划”大学生社会实践活动，并提供岗位</w:t>
      </w:r>
      <w:r>
        <w:rPr>
          <w:lang w:val="en-US"/>
        </w:rPr>
        <w:t>14</w:t>
      </w:r>
      <w:r>
        <w:rPr>
          <w:lang w:eastAsia="zh-CN"/>
        </w:rPr>
        <w:t>个；主动推选</w:t>
      </w:r>
      <w:r>
        <w:rPr>
          <w:lang w:val="en-US"/>
        </w:rPr>
        <w:t>1</w:t>
      </w:r>
      <w:r>
        <w:rPr>
          <w:lang w:eastAsia="zh-CN"/>
        </w:rPr>
        <w:t>名州籍农民工参与省驻京办组织的</w:t>
      </w:r>
      <w:r>
        <w:rPr>
          <w:lang w:val="en-US"/>
        </w:rPr>
        <w:t>2022</w:t>
      </w:r>
      <w:r>
        <w:rPr>
          <w:lang w:eastAsia="zh-CN"/>
        </w:rPr>
        <w:t>年“追光而行</w:t>
      </w:r>
      <w:r>
        <w:rPr>
          <w:lang w:val="en-US"/>
        </w:rPr>
        <w:t>,</w:t>
      </w:r>
      <w:r>
        <w:rPr>
          <w:lang w:eastAsia="zh-CN"/>
        </w:rPr>
        <w:t>寻找最美农民工”评选等活动。今年以来，深入到我州籍农民工租住地、工作场所走访慰问在京在蓉阿坝州籍务工人员</w:t>
      </w:r>
      <w:r>
        <w:rPr>
          <w:lang w:val="en-US"/>
        </w:rPr>
        <w:t>23</w:t>
      </w:r>
      <w:r>
        <w:rPr>
          <w:lang w:eastAsia="zh-CN"/>
        </w:rPr>
        <w:t>名</w:t>
      </w:r>
      <w:r>
        <w:rPr>
          <w:lang w:val="en-US"/>
        </w:rPr>
        <w:t>,</w:t>
      </w:r>
      <w:r>
        <w:rPr>
          <w:lang w:eastAsia="zh-CN"/>
        </w:rPr>
        <w:t>看望三留守人员</w:t>
      </w:r>
      <w:r>
        <w:rPr>
          <w:lang w:val="en-US"/>
        </w:rPr>
        <w:t>33</w:t>
      </w:r>
      <w:r>
        <w:rPr>
          <w:lang w:eastAsia="zh-CN"/>
        </w:rPr>
        <w:t>名。</w:t>
      </w:r>
    </w:p>
    <w:p w14:paraId="7921097E">
      <w:pPr>
        <w:pStyle w:val="2"/>
        <w:spacing w:before="93" w:beforeLines="30" w:beforeAutospacing="0" w:after="0" w:afterAutospacing="0"/>
        <w:ind w:left="0" w:right="0" w:firstLine="602" w:firstLineChars="200"/>
        <w:outlineLvl w:val="1"/>
        <w:rPr>
          <w:b/>
          <w:bCs w:val="0"/>
          <w:lang w:val="en-US"/>
        </w:rPr>
      </w:pPr>
      <w:bookmarkStart w:id="17" w:name="_Toc30572"/>
      <w:bookmarkEnd w:id="17"/>
      <w:bookmarkStart w:id="18" w:name="_Toc32538"/>
      <w:bookmarkEnd w:id="18"/>
      <w:bookmarkStart w:id="19" w:name="_Toc32219"/>
      <w:bookmarkEnd w:id="19"/>
      <w:bookmarkStart w:id="20" w:name="_Toc30665"/>
      <w:bookmarkStart w:id="21" w:name="_Toc25794"/>
      <w:r>
        <w:rPr>
          <w:b/>
          <w:bCs w:val="0"/>
          <w:lang w:eastAsia="zh-CN"/>
        </w:rPr>
        <w:t>二、机构设置</w:t>
      </w:r>
      <w:bookmarkEnd w:id="20"/>
      <w:bookmarkEnd w:id="21"/>
    </w:p>
    <w:p w14:paraId="49F5C730">
      <w:pPr>
        <w:pStyle w:val="2"/>
        <w:spacing w:before="93" w:beforeLines="30" w:beforeAutospacing="0" w:after="0" w:afterAutospacing="0"/>
        <w:ind w:left="0" w:right="0" w:firstLine="600" w:firstLineChars="200"/>
      </w:pPr>
      <w:r>
        <w:rPr>
          <w:lang w:eastAsia="zh-CN"/>
        </w:rPr>
        <w:t>四川省阿坝州人民政府驻北京联络处下属二级单位</w:t>
      </w:r>
      <w:r>
        <w:rPr>
          <w:lang w:val="en-US"/>
        </w:rPr>
        <w:t>0</w:t>
      </w:r>
      <w:r>
        <w:rPr>
          <w:lang w:eastAsia="zh-CN"/>
        </w:rPr>
        <w:t>个，其中行政单位</w:t>
      </w:r>
      <w:r>
        <w:rPr>
          <w:lang w:val="en-US"/>
        </w:rPr>
        <w:t>0</w:t>
      </w:r>
      <w:r>
        <w:rPr>
          <w:lang w:eastAsia="zh-CN"/>
        </w:rPr>
        <w:t>个，参照公务员法管理的事业单位</w:t>
      </w:r>
      <w:r>
        <w:rPr>
          <w:lang w:val="en-US"/>
        </w:rPr>
        <w:t>0</w:t>
      </w:r>
      <w:r>
        <w:rPr>
          <w:lang w:eastAsia="zh-CN"/>
        </w:rPr>
        <w:t>个，其他事业单位</w:t>
      </w:r>
      <w:r>
        <w:rPr>
          <w:lang w:val="en-US"/>
        </w:rPr>
        <w:t>0</w:t>
      </w:r>
      <w:r>
        <w:rPr>
          <w:lang w:eastAsia="zh-CN"/>
        </w:rPr>
        <w:t>个。无纳入四川省阿坝州人民政府驻北京联络处</w:t>
      </w:r>
      <w:r>
        <w:rPr>
          <w:lang w:val="en-US"/>
        </w:rPr>
        <w:t>2022</w:t>
      </w:r>
      <w:r>
        <w:rPr>
          <w:lang w:eastAsia="zh-CN"/>
        </w:rPr>
        <w:t>年度部门决算编制范围的二级预算单位</w:t>
      </w:r>
      <w:r>
        <w:rPr>
          <w:rFonts w:hint="eastAsia"/>
          <w:lang w:eastAsia="zh-CN"/>
        </w:rPr>
        <w:t>。</w:t>
      </w:r>
    </w:p>
    <w:p w14:paraId="7E933ED4">
      <w:pPr>
        <w:rPr>
          <w:b/>
          <w:bCs w:val="0"/>
          <w:sz w:val="36"/>
          <w:szCs w:val="36"/>
          <w:lang w:eastAsia="zh-CN"/>
        </w:rPr>
      </w:pPr>
      <w:bookmarkStart w:id="22" w:name="_Toc21146"/>
      <w:bookmarkEnd w:id="22"/>
      <w:bookmarkStart w:id="23" w:name="_Toc2276"/>
      <w:bookmarkEnd w:id="23"/>
      <w:bookmarkStart w:id="24" w:name="_Toc12686"/>
      <w:bookmarkEnd w:id="24"/>
      <w:bookmarkStart w:id="25" w:name="_Toc16824"/>
      <w:bookmarkStart w:id="26" w:name="_Toc23566"/>
      <w:r>
        <w:rPr>
          <w:b/>
          <w:bCs w:val="0"/>
          <w:sz w:val="36"/>
          <w:szCs w:val="36"/>
          <w:lang w:eastAsia="zh-CN"/>
        </w:rPr>
        <w:br w:type="page"/>
      </w:r>
    </w:p>
    <w:p w14:paraId="5F11B220">
      <w:pPr>
        <w:pStyle w:val="2"/>
        <w:spacing w:before="93" w:beforeLines="30" w:beforeAutospacing="0" w:after="0" w:afterAutospacing="0"/>
        <w:ind w:left="0" w:right="0" w:firstLine="723" w:firstLineChars="200"/>
        <w:jc w:val="center"/>
        <w:outlineLvl w:val="0"/>
        <w:rPr>
          <w:b/>
          <w:bCs w:val="0"/>
          <w:sz w:val="36"/>
          <w:szCs w:val="36"/>
          <w:lang w:val="en-US"/>
        </w:rPr>
      </w:pPr>
      <w:r>
        <w:rPr>
          <w:b/>
          <w:bCs w:val="0"/>
          <w:sz w:val="36"/>
          <w:szCs w:val="36"/>
          <w:lang w:eastAsia="zh-CN"/>
        </w:rPr>
        <w:t>第二部分</w:t>
      </w:r>
      <w:r>
        <w:rPr>
          <w:b/>
          <w:bCs w:val="0"/>
          <w:sz w:val="36"/>
          <w:szCs w:val="36"/>
          <w:lang w:val="en-US"/>
        </w:rPr>
        <w:t xml:space="preserve"> 2022</w:t>
      </w:r>
      <w:r>
        <w:rPr>
          <w:b/>
          <w:bCs w:val="0"/>
          <w:sz w:val="36"/>
          <w:szCs w:val="36"/>
          <w:lang w:eastAsia="zh-CN"/>
        </w:rPr>
        <w:t>年度部门决算情况说明</w:t>
      </w:r>
      <w:bookmarkEnd w:id="25"/>
      <w:bookmarkEnd w:id="26"/>
    </w:p>
    <w:p w14:paraId="3B2BD8FC">
      <w:pPr>
        <w:pStyle w:val="2"/>
        <w:spacing w:before="93" w:beforeLines="30" w:beforeAutospacing="0" w:after="0" w:afterAutospacing="0"/>
        <w:ind w:left="0" w:right="0" w:firstLine="602" w:firstLineChars="200"/>
        <w:outlineLvl w:val="1"/>
        <w:rPr>
          <w:b/>
          <w:bCs w:val="0"/>
          <w:szCs w:val="24"/>
          <w:lang w:val="en-US"/>
        </w:rPr>
      </w:pPr>
      <w:bookmarkStart w:id="27" w:name="_Toc20304"/>
      <w:bookmarkEnd w:id="27"/>
      <w:bookmarkStart w:id="28" w:name="_Toc11411"/>
      <w:bookmarkEnd w:id="28"/>
      <w:bookmarkStart w:id="29" w:name="_Toc20301"/>
      <w:bookmarkEnd w:id="29"/>
      <w:bookmarkStart w:id="30" w:name="_Toc27344"/>
      <w:bookmarkStart w:id="31" w:name="_Toc20439"/>
      <w:r>
        <w:rPr>
          <w:b/>
          <w:bCs w:val="0"/>
          <w:szCs w:val="24"/>
          <w:lang w:eastAsia="zh-CN"/>
        </w:rPr>
        <w:t>一、收入支出决算总体情况说明</w:t>
      </w:r>
      <w:bookmarkEnd w:id="30"/>
      <w:bookmarkEnd w:id="31"/>
    </w:p>
    <w:p w14:paraId="0F81B7B0">
      <w:pPr>
        <w:pStyle w:val="2"/>
        <w:spacing w:before="93" w:beforeLines="30" w:beforeAutospacing="0" w:after="0" w:afterAutospacing="0"/>
        <w:ind w:left="0" w:right="0" w:firstLine="600" w:firstLineChars="200"/>
        <w:rPr>
          <w:szCs w:val="24"/>
          <w:lang w:val="en-US"/>
        </w:rPr>
      </w:pPr>
      <w:r>
        <w:rPr>
          <w:szCs w:val="24"/>
          <w:lang w:val="en-US"/>
        </w:rPr>
        <w:t>2022</w:t>
      </w:r>
      <w:r>
        <w:rPr>
          <w:szCs w:val="24"/>
          <w:lang w:eastAsia="zh-CN"/>
        </w:rPr>
        <w:t>年度收、支总计</w:t>
      </w:r>
      <w:r>
        <w:rPr>
          <w:szCs w:val="24"/>
          <w:lang w:val="en-US"/>
        </w:rPr>
        <w:t>743.8</w:t>
      </w:r>
      <w:r>
        <w:rPr>
          <w:szCs w:val="24"/>
          <w:lang w:eastAsia="zh-CN"/>
        </w:rPr>
        <w:t>万元。与</w:t>
      </w:r>
      <w:r>
        <w:rPr>
          <w:szCs w:val="24"/>
          <w:lang w:val="en-US"/>
        </w:rPr>
        <w:t>2021</w:t>
      </w:r>
      <w:r>
        <w:rPr>
          <w:szCs w:val="24"/>
          <w:lang w:eastAsia="zh-CN"/>
        </w:rPr>
        <w:t>年相比，收、支总计各增加</w:t>
      </w:r>
      <w:r>
        <w:rPr>
          <w:szCs w:val="24"/>
          <w:lang w:val="en-US"/>
        </w:rPr>
        <w:t>-517.83</w:t>
      </w:r>
      <w:r>
        <w:rPr>
          <w:szCs w:val="24"/>
          <w:lang w:eastAsia="zh-CN"/>
        </w:rPr>
        <w:t>万元，增长</w:t>
      </w:r>
      <w:r>
        <w:rPr>
          <w:szCs w:val="24"/>
          <w:lang w:val="en-US"/>
        </w:rPr>
        <w:t>-41.01%</w:t>
      </w:r>
      <w:r>
        <w:rPr>
          <w:szCs w:val="24"/>
          <w:lang w:eastAsia="zh-CN"/>
        </w:rPr>
        <w:t>。主要变动原因是较</w:t>
      </w:r>
      <w:r>
        <w:rPr>
          <w:szCs w:val="24"/>
          <w:lang w:val="en-US"/>
        </w:rPr>
        <w:t>2021</w:t>
      </w:r>
      <w:r>
        <w:rPr>
          <w:szCs w:val="24"/>
          <w:lang w:eastAsia="zh-CN"/>
        </w:rPr>
        <w:t>年减少了一次性支出，北京办公区维修改造及办公家具和设备购置</w:t>
      </w:r>
    </w:p>
    <w:p w14:paraId="4472935D">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files\\9647883\\FileRecv\\mobilefile\\../Users/ADMINI~1/AppData/Local/Temp/~tmp%7bfc4b13ec-2974-4e1d-84c2-0cfba31922e3%7d4787160.files/~tmp%7bfc4b13ec-2974-4e1d-84c2-0cfba31922e3%7d47871606323.png" \* MERGEFORMATINET </w:instrText>
      </w:r>
      <w:r>
        <w:rPr>
          <w:lang w:val="en-US"/>
        </w:rPr>
        <w:fldChar w:fldCharType="separate"/>
      </w:r>
      <w:r>
        <w:rPr>
          <w:lang w:val="en-US"/>
        </w:rPr>
        <w:pict>
          <v:shape id="_x0000_i1025" o:spt="75" type="#_x0000_t75" style="height:222.75pt;width:366.75pt;" filled="f" o:preferrelative="t" stroked="f" coordsize="21600,21600">
            <v:path/>
            <v:fill on="f" focussize="0,0"/>
            <v:stroke on="f" joinstyle="miter"/>
            <v:imagedata r:id="rId5" r:href="rId6" o:title=""/>
            <o:lock v:ext="edit" aspectratio="t"/>
            <w10:wrap type="none"/>
            <w10:anchorlock/>
          </v:shape>
        </w:pict>
      </w:r>
      <w:r>
        <w:rPr>
          <w:lang w:val="en-US"/>
        </w:rPr>
        <w:fldChar w:fldCharType="end"/>
      </w:r>
      <w:r>
        <w:rPr>
          <w:sz w:val="24"/>
          <w:szCs w:val="24"/>
          <w:lang w:eastAsia="zh-CN"/>
        </w:rPr>
        <w:t>（图</w:t>
      </w:r>
      <w:r>
        <w:rPr>
          <w:sz w:val="24"/>
          <w:szCs w:val="24"/>
          <w:lang w:val="en-US"/>
        </w:rPr>
        <w:t>1</w:t>
      </w:r>
      <w:r>
        <w:rPr>
          <w:sz w:val="24"/>
          <w:szCs w:val="24"/>
          <w:lang w:eastAsia="zh-CN"/>
        </w:rPr>
        <w:t>：收、支决算总计变动情况图）（柱状图）</w:t>
      </w:r>
    </w:p>
    <w:p w14:paraId="3837F0D9">
      <w:pPr>
        <w:pStyle w:val="2"/>
        <w:spacing w:before="93" w:beforeLines="30" w:beforeAutospacing="0" w:after="0" w:afterAutospacing="0"/>
        <w:ind w:left="0" w:right="0" w:firstLine="602" w:firstLineChars="200"/>
        <w:outlineLvl w:val="1"/>
        <w:rPr>
          <w:b/>
          <w:bCs w:val="0"/>
          <w:lang w:val="en-US"/>
        </w:rPr>
      </w:pPr>
      <w:bookmarkStart w:id="32" w:name="_Toc17078"/>
      <w:bookmarkEnd w:id="32"/>
      <w:bookmarkStart w:id="33" w:name="_Toc9847"/>
      <w:bookmarkEnd w:id="33"/>
      <w:bookmarkStart w:id="34" w:name="_Toc15996"/>
      <w:bookmarkEnd w:id="34"/>
      <w:bookmarkStart w:id="35" w:name="_Toc3397"/>
      <w:bookmarkStart w:id="36" w:name="_Toc18660"/>
      <w:r>
        <w:rPr>
          <w:b/>
          <w:bCs w:val="0"/>
          <w:lang w:eastAsia="zh-CN"/>
        </w:rPr>
        <w:t>二、收入决算情况说明</w:t>
      </w:r>
      <w:bookmarkEnd w:id="35"/>
      <w:bookmarkEnd w:id="36"/>
    </w:p>
    <w:p w14:paraId="0D9DBE34">
      <w:pPr>
        <w:pStyle w:val="2"/>
        <w:spacing w:before="93" w:beforeLines="30" w:beforeAutospacing="0" w:after="0" w:afterAutospacing="0"/>
        <w:ind w:left="0" w:right="0" w:firstLine="600" w:firstLineChars="200"/>
      </w:pPr>
      <w:r>
        <w:rPr>
          <w:lang w:val="en-US"/>
        </w:rPr>
        <w:t>2022</w:t>
      </w:r>
      <w:r>
        <w:rPr>
          <w:lang w:eastAsia="zh-CN"/>
        </w:rPr>
        <w:t>年本年收入合计</w:t>
      </w:r>
      <w:r>
        <w:rPr>
          <w:lang w:val="en-US"/>
        </w:rPr>
        <w:t>743.80</w:t>
      </w:r>
      <w:r>
        <w:rPr>
          <w:lang w:eastAsia="zh-CN"/>
        </w:rPr>
        <w:t>万元，其中：一般公共预算财政拨款收入</w:t>
      </w:r>
      <w:r>
        <w:rPr>
          <w:lang w:val="en-US"/>
        </w:rPr>
        <w:t>743.80</w:t>
      </w:r>
      <w:r>
        <w:rPr>
          <w:lang w:eastAsia="zh-CN"/>
        </w:rPr>
        <w:t>万元，占</w:t>
      </w:r>
      <w:r>
        <w:rPr>
          <w:lang w:val="en-US"/>
        </w:rPr>
        <w:t>100.00%</w:t>
      </w:r>
      <w:r>
        <w:rPr>
          <w:lang w:eastAsia="zh-CN"/>
        </w:rPr>
        <w:t>；政府性基金预算财政拨款收入</w:t>
      </w:r>
      <w:r>
        <w:rPr>
          <w:lang w:val="en-US"/>
        </w:rPr>
        <w:t>0.00</w:t>
      </w:r>
      <w:r>
        <w:rPr>
          <w:lang w:eastAsia="zh-CN"/>
        </w:rPr>
        <w:t>万元，占</w:t>
      </w:r>
      <w:r>
        <w:rPr>
          <w:lang w:val="en-US"/>
        </w:rPr>
        <w:t>0.00%</w:t>
      </w:r>
      <w:r>
        <w:rPr>
          <w:lang w:eastAsia="zh-CN"/>
        </w:rPr>
        <w:t>；国有资本经营预算财政拨款收入</w:t>
      </w:r>
      <w:r>
        <w:rPr>
          <w:lang w:val="en-US"/>
        </w:rPr>
        <w:t>0.00</w:t>
      </w:r>
      <w:r>
        <w:rPr>
          <w:lang w:eastAsia="zh-CN"/>
        </w:rPr>
        <w:t>万元，占</w:t>
      </w:r>
      <w:r>
        <w:rPr>
          <w:lang w:val="en-US"/>
        </w:rPr>
        <w:t>0.00%</w:t>
      </w:r>
      <w:r>
        <w:rPr>
          <w:lang w:eastAsia="zh-CN"/>
        </w:rPr>
        <w:t>；上级补助收入</w:t>
      </w:r>
      <w:r>
        <w:rPr>
          <w:lang w:val="en-US"/>
        </w:rPr>
        <w:t>0.00</w:t>
      </w:r>
      <w:r>
        <w:rPr>
          <w:lang w:eastAsia="zh-CN"/>
        </w:rPr>
        <w:t>万元，占</w:t>
      </w:r>
      <w:r>
        <w:rPr>
          <w:lang w:val="en-US"/>
        </w:rPr>
        <w:t>0.00%</w:t>
      </w:r>
      <w:r>
        <w:rPr>
          <w:lang w:eastAsia="zh-CN"/>
        </w:rPr>
        <w:t>；事业收入</w:t>
      </w:r>
      <w:r>
        <w:rPr>
          <w:lang w:val="en-US"/>
        </w:rPr>
        <w:t>0.00</w:t>
      </w:r>
      <w:r>
        <w:rPr>
          <w:lang w:eastAsia="zh-CN"/>
        </w:rPr>
        <w:t>万元，占</w:t>
      </w:r>
      <w:r>
        <w:rPr>
          <w:lang w:val="en-US"/>
        </w:rPr>
        <w:t>0.00%%</w:t>
      </w:r>
      <w:r>
        <w:rPr>
          <w:lang w:eastAsia="zh-CN"/>
        </w:rPr>
        <w:t>；经营收入</w:t>
      </w:r>
      <w:r>
        <w:rPr>
          <w:lang w:val="en-US"/>
        </w:rPr>
        <w:t>0.00</w:t>
      </w:r>
      <w:r>
        <w:rPr>
          <w:lang w:eastAsia="zh-CN"/>
        </w:rPr>
        <w:t>万元，占</w:t>
      </w:r>
      <w:r>
        <w:rPr>
          <w:lang w:val="en-US"/>
        </w:rPr>
        <w:t>0.00%%</w:t>
      </w:r>
      <w:r>
        <w:rPr>
          <w:lang w:eastAsia="zh-CN"/>
        </w:rPr>
        <w:t>；附属单位上缴收入</w:t>
      </w:r>
      <w:r>
        <w:rPr>
          <w:lang w:val="en-US"/>
        </w:rPr>
        <w:t>0.00</w:t>
      </w:r>
      <w:r>
        <w:rPr>
          <w:lang w:eastAsia="zh-CN"/>
        </w:rPr>
        <w:t>万元，占</w:t>
      </w:r>
      <w:r>
        <w:rPr>
          <w:lang w:val="en-US"/>
        </w:rPr>
        <w:t>0.00%</w:t>
      </w:r>
      <w:r>
        <w:rPr>
          <w:lang w:eastAsia="zh-CN"/>
        </w:rPr>
        <w:t>；其他收入</w:t>
      </w:r>
      <w:r>
        <w:rPr>
          <w:lang w:val="en-US"/>
        </w:rPr>
        <w:t>0.00</w:t>
      </w:r>
      <w:r>
        <w:rPr>
          <w:lang w:eastAsia="zh-CN"/>
        </w:rPr>
        <w:t>万元，占</w:t>
      </w:r>
      <w:r>
        <w:rPr>
          <w:lang w:val="en-US"/>
        </w:rPr>
        <w:t>0.00%</w:t>
      </w:r>
      <w:r>
        <w:rPr>
          <w:lang w:eastAsia="zh-CN"/>
        </w:rPr>
        <w:t>。</w:t>
      </w:r>
    </w:p>
    <w:p w14:paraId="67954A98">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w:t>
      </w:r>
      <w:r>
        <w:rPr>
          <w:rStyle w:val="22"/>
          <w:rFonts w:hint="eastAsia" w:ascii="仿宋_GB2312" w:hAnsi="宋体" w:eastAsia="仿宋_GB2312" w:cs="仿宋_GB2312"/>
          <w:b w:val="0"/>
          <w:bCs w:val="0"/>
          <w:lang w:eastAsia="zh-CN"/>
        </w:rPr>
        <w:t>表，仅罗列本部门涉及的收入。）</w:t>
      </w:r>
    </w:p>
    <w:p w14:paraId="31AE9165">
      <w:pPr>
        <w:pStyle w:val="35"/>
        <w:spacing w:before="0" w:beforeAutospacing="0"/>
        <w:ind w:firstLine="480" w:firstLineChars="200"/>
        <w:jc w:val="center"/>
        <w:rPr>
          <w:rFonts w:hint="eastAsia" w:ascii="仿宋_GB2312" w:hAnsi="仿宋_GB2312" w:eastAsia="仿宋_GB2312" w:cs="仿宋_GB2312"/>
          <w:sz w:val="30"/>
          <w:szCs w:val="30"/>
          <w:lang w:val="en-US"/>
        </w:rP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files\\9647883\\FileRecv\\mobilefile\\../Users/ADMINI~1/AppData/Local/Temp/~tmp%7bfc4b13ec-2974-4e1d-84c2-0cfba31922e3%7d4787160.files/~tmp%7bfc4b13ec-2974-4e1d-84c2-0cfba31922e3%7d47871606866.png" \* MERGEFORMATINET </w:instrText>
      </w:r>
      <w:r>
        <w:rPr>
          <w:lang w:val="en-US"/>
        </w:rPr>
        <w:fldChar w:fldCharType="separate"/>
      </w:r>
      <w:r>
        <w:rPr>
          <w:lang w:val="en-US"/>
        </w:rPr>
        <w:pict>
          <v:shape id="_x0000_i1026" o:spt="75" type="#_x0000_t75" style="height:222.75pt;width:452.25pt;" filled="f" o:preferrelative="t" stroked="f" coordsize="21600,21600">
            <v:path/>
            <v:fill on="f" focussize="0,0"/>
            <v:stroke on="f" joinstyle="miter"/>
            <v:imagedata r:id="rId7" r:href="rId8" o:title=""/>
            <o:lock v:ext="edit" aspectratio="t"/>
            <w10:wrap type="none"/>
            <w10:anchorlock/>
          </v:shape>
        </w:pict>
      </w:r>
      <w:r>
        <w:rPr>
          <w:lang w:val="en-US"/>
        </w:rPr>
        <w:fldChar w:fldCharType="end"/>
      </w:r>
      <w:r>
        <w:rPr>
          <w:rFonts w:hint="eastAsia"/>
          <w:lang w:val="en-US" w:eastAsia="zh-CN"/>
        </w:rPr>
        <w:t xml:space="preserve">  </w:t>
      </w:r>
      <w:r>
        <w:rPr>
          <w:rFonts w:hint="eastAsia" w:ascii="仿宋_GB2312" w:hAnsi="仿宋_GB2312" w:eastAsia="仿宋_GB2312" w:cs="仿宋_GB2312"/>
          <w:sz w:val="24"/>
          <w:szCs w:val="24"/>
          <w:lang w:eastAsia="zh-CN"/>
        </w:rPr>
        <w:t>（图</w:t>
      </w:r>
      <w:r>
        <w:rPr>
          <w:rFonts w:hint="eastAsia" w:ascii="仿宋_GB2312" w:hAnsi="仿宋_GB2312" w:eastAsia="仿宋_GB2312" w:cs="仿宋_GB2312"/>
          <w:sz w:val="24"/>
          <w:szCs w:val="24"/>
          <w:lang w:val="en-US"/>
        </w:rPr>
        <w:t>2</w:t>
      </w:r>
      <w:r>
        <w:rPr>
          <w:rFonts w:hint="eastAsia" w:ascii="仿宋_GB2312" w:hAnsi="仿宋_GB2312" w:eastAsia="仿宋_GB2312" w:cs="仿宋_GB2312"/>
          <w:sz w:val="24"/>
          <w:szCs w:val="24"/>
          <w:lang w:eastAsia="zh-CN"/>
        </w:rPr>
        <w:t>：收入决算结构图）（饼状图）</w:t>
      </w:r>
    </w:p>
    <w:p w14:paraId="7AEA9ADE">
      <w:pPr>
        <w:pStyle w:val="2"/>
        <w:spacing w:before="93" w:beforeLines="30" w:beforeAutospacing="0" w:after="0" w:afterAutospacing="0"/>
        <w:ind w:left="0" w:right="0" w:firstLine="602" w:firstLineChars="200"/>
        <w:outlineLvl w:val="1"/>
        <w:rPr>
          <w:b/>
          <w:bCs w:val="0"/>
          <w:lang w:val="en-US"/>
        </w:rPr>
      </w:pPr>
      <w:bookmarkStart w:id="37" w:name="_Toc8254"/>
      <w:bookmarkEnd w:id="37"/>
      <w:bookmarkStart w:id="38" w:name="_Toc8296"/>
      <w:bookmarkEnd w:id="38"/>
      <w:bookmarkStart w:id="39" w:name="_Toc16122"/>
      <w:bookmarkEnd w:id="39"/>
      <w:bookmarkStart w:id="40" w:name="_Toc30054"/>
      <w:bookmarkStart w:id="41" w:name="_Toc31790"/>
      <w:r>
        <w:rPr>
          <w:b/>
          <w:bCs w:val="0"/>
          <w:lang w:eastAsia="zh-CN"/>
        </w:rPr>
        <w:t>三、支出决算情况说明</w:t>
      </w:r>
      <w:bookmarkEnd w:id="40"/>
      <w:bookmarkEnd w:id="41"/>
    </w:p>
    <w:p w14:paraId="634BCD49">
      <w:pPr>
        <w:pStyle w:val="2"/>
        <w:spacing w:before="93" w:beforeLines="30" w:beforeAutospacing="0" w:after="0" w:afterAutospacing="0"/>
        <w:ind w:left="0" w:right="0" w:firstLine="600" w:firstLineChars="200"/>
      </w:pPr>
      <w:r>
        <w:rPr>
          <w:lang w:val="en-US"/>
        </w:rPr>
        <w:t>2022</w:t>
      </w:r>
      <w:r>
        <w:rPr>
          <w:lang w:eastAsia="zh-CN"/>
        </w:rPr>
        <w:t>年本年支出合计</w:t>
      </w:r>
      <w:r>
        <w:rPr>
          <w:lang w:val="en-US"/>
        </w:rPr>
        <w:t>743.80</w:t>
      </w:r>
      <w:r>
        <w:rPr>
          <w:lang w:eastAsia="zh-CN"/>
        </w:rPr>
        <w:t>万元，其中：基本支出</w:t>
      </w:r>
      <w:r>
        <w:rPr>
          <w:lang w:val="en-US"/>
        </w:rPr>
        <w:t>587.91</w:t>
      </w:r>
      <w:r>
        <w:rPr>
          <w:lang w:eastAsia="zh-CN"/>
        </w:rPr>
        <w:t>万元，占</w:t>
      </w:r>
      <w:r>
        <w:rPr>
          <w:lang w:val="en-US"/>
        </w:rPr>
        <w:t>79.04%</w:t>
      </w:r>
      <w:r>
        <w:rPr>
          <w:lang w:eastAsia="zh-CN"/>
        </w:rPr>
        <w:t>；项目支出</w:t>
      </w:r>
      <w:r>
        <w:rPr>
          <w:lang w:val="en-US"/>
        </w:rPr>
        <w:t>155.89</w:t>
      </w:r>
      <w:r>
        <w:rPr>
          <w:lang w:eastAsia="zh-CN"/>
        </w:rPr>
        <w:t>万元，占</w:t>
      </w:r>
      <w:r>
        <w:rPr>
          <w:lang w:val="en-US"/>
        </w:rPr>
        <w:t>20.96%</w:t>
      </w:r>
      <w:r>
        <w:rPr>
          <w:lang w:eastAsia="zh-CN"/>
        </w:rPr>
        <w:t>；上缴上级支出</w:t>
      </w:r>
      <w:r>
        <w:rPr>
          <w:lang w:val="en-US"/>
        </w:rPr>
        <w:t>0.00</w:t>
      </w:r>
      <w:r>
        <w:rPr>
          <w:lang w:eastAsia="zh-CN"/>
        </w:rPr>
        <w:t>万元，占</w:t>
      </w:r>
      <w:r>
        <w:rPr>
          <w:lang w:val="en-US"/>
        </w:rPr>
        <w:t>0.00%</w:t>
      </w:r>
      <w:r>
        <w:rPr>
          <w:lang w:eastAsia="zh-CN"/>
        </w:rPr>
        <w:t>；经营支出</w:t>
      </w:r>
      <w:r>
        <w:rPr>
          <w:lang w:val="en-US"/>
        </w:rPr>
        <w:t>0.00</w:t>
      </w:r>
      <w:r>
        <w:rPr>
          <w:lang w:eastAsia="zh-CN"/>
        </w:rPr>
        <w:t>万元，占经营支出</w:t>
      </w:r>
      <w:r>
        <w:rPr>
          <w:lang w:val="en-US"/>
        </w:rPr>
        <w:t>0.00</w:t>
      </w:r>
      <w:r>
        <w:rPr>
          <w:lang w:eastAsia="zh-CN"/>
        </w:rPr>
        <w:t>万元，占</w:t>
      </w:r>
      <w:r>
        <w:rPr>
          <w:lang w:val="en-US"/>
        </w:rPr>
        <w:t xml:space="preserve"> 0.00%</w:t>
      </w:r>
      <w:r>
        <w:rPr>
          <w:lang w:eastAsia="zh-CN"/>
        </w:rPr>
        <w:t>；对附属单位补助支出</w:t>
      </w:r>
      <w:r>
        <w:rPr>
          <w:lang w:val="en-US"/>
        </w:rPr>
        <w:t>0.00</w:t>
      </w:r>
      <w:r>
        <w:rPr>
          <w:lang w:eastAsia="zh-CN"/>
        </w:rPr>
        <w:t>万元，占</w:t>
      </w:r>
      <w:r>
        <w:rPr>
          <w:lang w:val="en-US"/>
        </w:rPr>
        <w:t>0.00%</w:t>
      </w:r>
      <w:r>
        <w:rPr>
          <w:lang w:eastAsia="zh-CN"/>
        </w:rPr>
        <w:t>。</w:t>
      </w:r>
    </w:p>
    <w:p w14:paraId="3C1F7BFB">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04</w:t>
      </w:r>
      <w:r>
        <w:rPr>
          <w:rStyle w:val="22"/>
          <w:rFonts w:hint="eastAsia" w:ascii="仿宋_GB2312" w:hAnsi="宋体" w:eastAsia="仿宋_GB2312" w:cs="仿宋_GB2312"/>
          <w:b w:val="0"/>
          <w:bCs w:val="0"/>
          <w:lang w:eastAsia="zh-CN"/>
        </w:rPr>
        <w:t>表，仅罗列本部门涉及的支出。）</w:t>
      </w:r>
    </w:p>
    <w:p w14:paraId="4D746A85">
      <w:pPr>
        <w:pStyle w:val="2"/>
        <w:spacing w:before="93" w:beforeLines="30" w:beforeAutospacing="0" w:after="0" w:afterAutospacing="0"/>
        <w:ind w:left="0" w:right="0" w:firstLine="600" w:firstLineChars="200"/>
        <w:jc w:val="center"/>
        <w:rPr>
          <w:sz w:val="24"/>
          <w:szCs w:val="24"/>
        </w:rP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files\\9647883\\FileRecv\\mobilefile\\../Users/ADMINI~1/AppData/Local/Temp/~tmp%7bfc4b13ec-2974-4e1d-84c2-0cfba31922e3%7d4787160.files/~tmp%7bfc4b13ec-2974-4e1d-84c2-0cfba31922e3%7d47871607340.png" \* MERGEFORMATINET </w:instrText>
      </w:r>
      <w:r>
        <w:rPr>
          <w:lang w:val="en-US"/>
        </w:rPr>
        <w:fldChar w:fldCharType="separate"/>
      </w:r>
      <w:r>
        <w:rPr>
          <w:lang w:val="en-US"/>
        </w:rPr>
        <w:pict>
          <v:shape id="_x0000_i1027" o:spt="75" type="#_x0000_t75" style="height:222.75pt;width:366.75pt;" filled="f" o:preferrelative="t" stroked="f" coordsize="21600,21600">
            <v:path/>
            <v:fill on="f" focussize="0,0"/>
            <v:stroke on="f" joinstyle="miter"/>
            <v:imagedata r:id="rId9" r:href="rId10" o:title=""/>
            <o:lock v:ext="edit" aspectratio="t"/>
            <w10:wrap type="none"/>
            <w10:anchorlock/>
          </v:shape>
        </w:pict>
      </w:r>
      <w:r>
        <w:rPr>
          <w:lang w:val="en-US"/>
        </w:rPr>
        <w:fldChar w:fldCharType="end"/>
      </w:r>
      <w:r>
        <w:rPr>
          <w:sz w:val="24"/>
          <w:szCs w:val="24"/>
          <w:lang w:eastAsia="zh-CN"/>
        </w:rPr>
        <w:t>（图</w:t>
      </w:r>
      <w:r>
        <w:rPr>
          <w:sz w:val="24"/>
          <w:szCs w:val="24"/>
          <w:lang w:val="en-US"/>
        </w:rPr>
        <w:t>3</w:t>
      </w:r>
      <w:r>
        <w:rPr>
          <w:sz w:val="24"/>
          <w:szCs w:val="24"/>
          <w:lang w:eastAsia="zh-CN"/>
        </w:rPr>
        <w:t>：支出决算结构图）（饼状图）</w:t>
      </w:r>
    </w:p>
    <w:p w14:paraId="0C0ADAFE">
      <w:pPr>
        <w:pStyle w:val="2"/>
        <w:spacing w:before="93" w:beforeLines="30" w:beforeAutospacing="0" w:after="0" w:afterAutospacing="0"/>
        <w:ind w:left="0" w:right="0" w:firstLine="602" w:firstLineChars="200"/>
        <w:outlineLvl w:val="1"/>
        <w:rPr>
          <w:b/>
          <w:bCs w:val="0"/>
          <w:lang w:val="en-US"/>
        </w:rPr>
      </w:pPr>
      <w:bookmarkStart w:id="42" w:name="_Toc994"/>
      <w:bookmarkEnd w:id="42"/>
      <w:bookmarkStart w:id="43" w:name="_Toc3991"/>
      <w:bookmarkEnd w:id="43"/>
      <w:bookmarkStart w:id="44" w:name="_Toc17905"/>
      <w:bookmarkEnd w:id="44"/>
      <w:bookmarkStart w:id="45" w:name="_Toc11503"/>
      <w:bookmarkStart w:id="46" w:name="_Toc23415"/>
      <w:r>
        <w:rPr>
          <w:b/>
          <w:bCs w:val="0"/>
          <w:lang w:eastAsia="zh-CN"/>
        </w:rPr>
        <w:t>四、财政拨款收入支出决算总体情况说明</w:t>
      </w:r>
      <w:bookmarkEnd w:id="45"/>
      <w:bookmarkEnd w:id="46"/>
    </w:p>
    <w:p w14:paraId="2100B4A2">
      <w:pPr>
        <w:pStyle w:val="2"/>
        <w:spacing w:before="93" w:beforeLines="30" w:beforeAutospacing="0" w:after="0" w:afterAutospacing="0"/>
        <w:ind w:left="0" w:right="0" w:firstLine="600" w:firstLineChars="200"/>
      </w:pPr>
      <w:r>
        <w:rPr>
          <w:lang w:val="en-US"/>
        </w:rPr>
        <w:t>2022</w:t>
      </w:r>
      <w:r>
        <w:rPr>
          <w:lang w:eastAsia="zh-CN"/>
        </w:rPr>
        <w:t>年财政拨款收、支总计</w:t>
      </w:r>
      <w:r>
        <w:rPr>
          <w:lang w:val="en-US"/>
        </w:rPr>
        <w:t>743.80</w:t>
      </w:r>
      <w:r>
        <w:rPr>
          <w:lang w:eastAsia="zh-CN"/>
        </w:rPr>
        <w:t>万元。与</w:t>
      </w:r>
      <w:r>
        <w:rPr>
          <w:lang w:val="en-US"/>
        </w:rPr>
        <w:t>2021</w:t>
      </w:r>
      <w:r>
        <w:rPr>
          <w:lang w:eastAsia="zh-CN"/>
        </w:rPr>
        <w:t>年相比，财政拨款收、支总计各增加</w:t>
      </w:r>
      <w:r>
        <w:rPr>
          <w:lang w:val="en-US"/>
        </w:rPr>
        <w:t>/</w:t>
      </w:r>
      <w:r>
        <w:rPr>
          <w:lang w:eastAsia="zh-CN"/>
        </w:rPr>
        <w:t>减少</w:t>
      </w:r>
      <w:r>
        <w:rPr>
          <w:lang w:val="en-US"/>
        </w:rPr>
        <w:t>-517.83</w:t>
      </w:r>
      <w:r>
        <w:rPr>
          <w:lang w:eastAsia="zh-CN"/>
        </w:rPr>
        <w:t>万元，增长</w:t>
      </w:r>
      <w:r>
        <w:rPr>
          <w:lang w:val="en-US"/>
        </w:rPr>
        <w:t>-41.04%</w:t>
      </w:r>
      <w:r>
        <w:rPr>
          <w:lang w:eastAsia="zh-CN"/>
        </w:rPr>
        <w:t>。主要变动原因是较</w:t>
      </w:r>
      <w:r>
        <w:rPr>
          <w:lang w:val="en-US"/>
        </w:rPr>
        <w:t>2021</w:t>
      </w:r>
      <w:r>
        <w:rPr>
          <w:lang w:eastAsia="zh-CN"/>
        </w:rPr>
        <w:t>年减少了一次性支出，北京办公区维修改造及办公家具和设备购置</w:t>
      </w:r>
    </w:p>
    <w:p w14:paraId="419F0200">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01-1</w:t>
      </w:r>
      <w:r>
        <w:rPr>
          <w:rStyle w:val="22"/>
          <w:rFonts w:hint="eastAsia" w:ascii="仿宋_GB2312" w:hAnsi="宋体" w:eastAsia="仿宋_GB2312" w:cs="仿宋_GB2312"/>
          <w:b w:val="0"/>
          <w:bCs w:val="0"/>
          <w:lang w:eastAsia="zh-CN"/>
        </w:rPr>
        <w:t>表）</w:t>
      </w:r>
    </w:p>
    <w:p w14:paraId="5DAE9FBE">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files\\9647883\\FileRecv\\mobilefile\\../Users/ADMINI~1/AppData/Local/Temp/~tmp%7bfc4b13ec-2974-4e1d-84c2-0cfba31922e3%7d4787160.files/~tmp%7bfc4b13ec-2974-4e1d-84c2-0cfba31922e3%7d47871607790.png" \* MERGEFORMATINET </w:instrText>
      </w:r>
      <w:r>
        <w:rPr>
          <w:lang w:val="en-US"/>
        </w:rPr>
        <w:fldChar w:fldCharType="separate"/>
      </w:r>
      <w:r>
        <w:rPr>
          <w:lang w:val="en-US"/>
        </w:rPr>
        <w:pict>
          <v:shape id="_x0000_i1028" o:spt="75" type="#_x0000_t75" style="height:222.75pt;width:416.25pt;" filled="f" o:preferrelative="t" stroked="f" coordsize="21600,21600">
            <v:path/>
            <v:fill on="f" focussize="0,0"/>
            <v:stroke on="f" joinstyle="miter"/>
            <v:imagedata r:id="rId11" r:href="rId12" o:title=""/>
            <o:lock v:ext="edit" aspectratio="t"/>
            <w10:wrap type="none"/>
            <w10:anchorlock/>
          </v:shape>
        </w:pict>
      </w:r>
      <w:r>
        <w:rPr>
          <w:lang w:val="en-US"/>
        </w:rPr>
        <w:fldChar w:fldCharType="end"/>
      </w:r>
      <w:r>
        <w:rPr>
          <w:sz w:val="24"/>
          <w:szCs w:val="24"/>
          <w:lang w:eastAsia="zh-CN"/>
        </w:rPr>
        <w:t>（图</w:t>
      </w:r>
      <w:r>
        <w:rPr>
          <w:sz w:val="24"/>
          <w:szCs w:val="24"/>
          <w:lang w:val="en-US"/>
        </w:rPr>
        <w:t>4</w:t>
      </w:r>
      <w:r>
        <w:rPr>
          <w:sz w:val="24"/>
          <w:szCs w:val="24"/>
          <w:lang w:eastAsia="zh-CN"/>
        </w:rPr>
        <w:t>：财政拨款收、支决算总计变动情况）（柱状图）</w:t>
      </w:r>
    </w:p>
    <w:p w14:paraId="1125F9F9">
      <w:pPr>
        <w:pStyle w:val="2"/>
        <w:spacing w:before="93" w:beforeLines="30" w:beforeAutospacing="0" w:after="0" w:afterAutospacing="0"/>
        <w:ind w:left="0" w:right="0" w:firstLine="602" w:firstLineChars="200"/>
        <w:outlineLvl w:val="1"/>
        <w:rPr>
          <w:b/>
          <w:bCs w:val="0"/>
          <w:lang w:val="en-US"/>
        </w:rPr>
      </w:pPr>
      <w:bookmarkStart w:id="47" w:name="_Toc23649"/>
      <w:bookmarkEnd w:id="47"/>
      <w:bookmarkStart w:id="48" w:name="_Toc31914"/>
      <w:bookmarkEnd w:id="48"/>
      <w:bookmarkStart w:id="49" w:name="_Toc4228"/>
      <w:bookmarkEnd w:id="49"/>
      <w:bookmarkStart w:id="50" w:name="_Toc2306"/>
      <w:bookmarkStart w:id="51" w:name="_Toc26390"/>
      <w:r>
        <w:rPr>
          <w:b/>
          <w:bCs w:val="0"/>
          <w:lang w:eastAsia="zh-CN"/>
        </w:rPr>
        <w:t>五、</w:t>
      </w:r>
      <w:bookmarkEnd w:id="50"/>
      <w:r>
        <w:rPr>
          <w:rStyle w:val="22"/>
          <w:rFonts w:hint="eastAsia" w:ascii="仿宋_GB2312" w:hAnsi="宋体" w:eastAsia="仿宋_GB2312" w:cs="仿宋_GB2312"/>
          <w:b w:val="0"/>
          <w:bCs w:val="0"/>
          <w:lang w:eastAsia="zh-CN"/>
        </w:rPr>
        <w:t>一</w:t>
      </w:r>
      <w:r>
        <w:rPr>
          <w:b/>
          <w:bCs w:val="0"/>
          <w:lang w:eastAsia="zh-CN"/>
        </w:rPr>
        <w:t>般公共预算财政拨款支出决算情况说明</w:t>
      </w:r>
      <w:bookmarkEnd w:id="51"/>
    </w:p>
    <w:p w14:paraId="4CC996EA">
      <w:pPr>
        <w:pStyle w:val="2"/>
        <w:spacing w:before="93" w:beforeLines="30" w:beforeAutospacing="0" w:after="0" w:afterAutospacing="0"/>
        <w:ind w:left="0" w:right="0" w:firstLine="602" w:firstLineChars="200"/>
        <w:outlineLvl w:val="2"/>
      </w:pPr>
      <w:bookmarkStart w:id="52" w:name="_Toc32563"/>
      <w:r>
        <w:rPr>
          <w:rStyle w:val="22"/>
          <w:rFonts w:hint="eastAsia" w:ascii="仿宋_GB2312" w:hAnsi="宋体" w:eastAsia="仿宋_GB2312" w:cs="仿宋_GB2312"/>
          <w:lang w:eastAsia="zh-CN"/>
        </w:rPr>
        <w:t>（一）一般公共预算财政拨款支出决算总体情况</w:t>
      </w:r>
      <w:bookmarkEnd w:id="52"/>
    </w:p>
    <w:p w14:paraId="63D57F34">
      <w:pPr>
        <w:pStyle w:val="2"/>
        <w:spacing w:before="93" w:beforeLines="30" w:beforeAutospacing="0" w:after="0" w:afterAutospacing="0"/>
        <w:ind w:left="0" w:right="0" w:firstLine="600" w:firstLineChars="200"/>
      </w:pPr>
      <w:r>
        <w:rPr>
          <w:lang w:val="en-US"/>
        </w:rPr>
        <w:t>2022</w:t>
      </w:r>
      <w:r>
        <w:rPr>
          <w:lang w:eastAsia="zh-CN"/>
        </w:rPr>
        <w:t>年一般公共预算财政拨款支出</w:t>
      </w:r>
      <w:r>
        <w:rPr>
          <w:lang w:val="en-US"/>
        </w:rPr>
        <w:t>743.80</w:t>
      </w:r>
      <w:r>
        <w:rPr>
          <w:lang w:eastAsia="zh-CN"/>
        </w:rPr>
        <w:t>万元，占本年支出合计的</w:t>
      </w:r>
      <w:r>
        <w:rPr>
          <w:lang w:val="en-US"/>
        </w:rPr>
        <w:t>100.00%</w:t>
      </w:r>
      <w:r>
        <w:rPr>
          <w:lang w:eastAsia="zh-CN"/>
        </w:rPr>
        <w:t>。与</w:t>
      </w:r>
      <w:r>
        <w:rPr>
          <w:lang w:val="en-US"/>
        </w:rPr>
        <w:t>2021</w:t>
      </w:r>
      <w:r>
        <w:rPr>
          <w:lang w:eastAsia="zh-CN"/>
        </w:rPr>
        <w:t>年相比，一般公共预算财政拨款支出增加</w:t>
      </w:r>
      <w:r>
        <w:rPr>
          <w:lang w:val="en-US"/>
        </w:rPr>
        <w:t>-517.83</w:t>
      </w:r>
      <w:r>
        <w:rPr>
          <w:lang w:eastAsia="zh-CN"/>
        </w:rPr>
        <w:t>万元，增长</w:t>
      </w:r>
      <w:r>
        <w:rPr>
          <w:lang w:val="en-US"/>
        </w:rPr>
        <w:t>-41.04%</w:t>
      </w:r>
      <w:r>
        <w:rPr>
          <w:lang w:eastAsia="zh-CN"/>
        </w:rPr>
        <w:t>。主要变动原因是较</w:t>
      </w:r>
      <w:r>
        <w:rPr>
          <w:lang w:val="en-US"/>
        </w:rPr>
        <w:t>2021</w:t>
      </w:r>
      <w:r>
        <w:rPr>
          <w:lang w:eastAsia="zh-CN"/>
        </w:rPr>
        <w:t>年减少了一次性支出，北京办公区维修改造及办公家具和设备购置。</w:t>
      </w:r>
    </w:p>
    <w:p w14:paraId="40F52883">
      <w:pPr>
        <w:pStyle w:val="2"/>
        <w:spacing w:before="93" w:beforeLines="30" w:beforeAutospacing="0" w:after="0" w:afterAutospacing="0"/>
        <w:ind w:left="0" w:right="0" w:firstLine="600" w:firstLineChars="200"/>
      </w:pPr>
    </w:p>
    <w:p w14:paraId="71F88867">
      <w:pPr>
        <w:pStyle w:val="35"/>
        <w:spacing w:before="0" w:beforeAutospacing="0"/>
        <w:ind w:firstLine="480" w:firstLineChars="200"/>
        <w:jc w:val="center"/>
        <w:rPr>
          <w:lang w:val="en-US"/>
        </w:rP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files\\9647883\\FileRecv\\mobilefile\\../Users/ADMINI~1/AppData/Local/Temp/~tmp%7bfc4b13ec-2974-4e1d-84c2-0cfba31922e3%7d4787160.files/~tmp%7bfc4b13ec-2974-4e1d-84c2-0cfba31922e3%7d47871608267.png" \* MERGEFORMATINET </w:instrText>
      </w:r>
      <w:r>
        <w:rPr>
          <w:lang w:val="en-US"/>
        </w:rPr>
        <w:fldChar w:fldCharType="separate"/>
      </w:r>
      <w:r>
        <w:rPr>
          <w:lang w:val="en-US"/>
        </w:rPr>
        <w:pict>
          <v:shape id="_x0000_i1029" o:spt="75" type="#_x0000_t75" style="height:222.75pt;width:366.75pt;" filled="f" o:preferrelative="t" stroked="f" coordsize="21600,21600">
            <v:path/>
            <v:fill on="f" focussize="0,0"/>
            <v:stroke on="f" joinstyle="miter"/>
            <v:imagedata r:id="rId13" r:href="rId14" o:title=""/>
            <o:lock v:ext="edit" aspectratio="t"/>
            <w10:wrap type="none"/>
            <w10:anchorlock/>
          </v:shape>
        </w:pict>
      </w:r>
      <w:r>
        <w:rPr>
          <w:lang w:val="en-US"/>
        </w:rPr>
        <w:fldChar w:fldCharType="end"/>
      </w:r>
    </w:p>
    <w:p w14:paraId="009DCBDE">
      <w:pPr>
        <w:pStyle w:val="35"/>
        <w:spacing w:before="0" w:beforeAutospacing="0"/>
        <w:ind w:firstLine="480" w:firstLineChars="20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（图</w:t>
      </w:r>
      <w:r>
        <w:rPr>
          <w:rFonts w:hint="eastAsia" w:ascii="仿宋_GB2312" w:hAnsi="仿宋_GB2312" w:eastAsia="仿宋_GB2312" w:cs="仿宋_GB2312"/>
          <w:sz w:val="24"/>
          <w:szCs w:val="24"/>
          <w:lang w:val="en-US"/>
        </w:rPr>
        <w:t>5</w:t>
      </w:r>
      <w:r>
        <w:rPr>
          <w:rFonts w:hint="eastAsia" w:ascii="仿宋_GB2312" w:hAnsi="仿宋_GB2312" w:eastAsia="仿宋_GB2312" w:cs="仿宋_GB2312"/>
          <w:sz w:val="24"/>
          <w:szCs w:val="24"/>
          <w:lang w:eastAsia="zh-CN"/>
        </w:rPr>
        <w:t>：一般公共预算财政拨款支出决算变动情况）（柱状图）</w:t>
      </w:r>
    </w:p>
    <w:p w14:paraId="0E46C6B7">
      <w:pPr>
        <w:pStyle w:val="2"/>
        <w:spacing w:before="93" w:beforeLines="30" w:beforeAutospacing="0" w:after="0" w:afterAutospacing="0"/>
        <w:ind w:left="0" w:right="0" w:firstLine="602" w:firstLineChars="200"/>
        <w:outlineLvl w:val="2"/>
      </w:pPr>
      <w:bookmarkStart w:id="53" w:name="_Toc26785"/>
      <w:r>
        <w:rPr>
          <w:rStyle w:val="22"/>
          <w:rFonts w:hint="eastAsia" w:ascii="仿宋_GB2312" w:hAnsi="宋体" w:eastAsia="仿宋_GB2312" w:cs="仿宋_GB2312"/>
          <w:lang w:eastAsia="zh-CN"/>
        </w:rPr>
        <w:t>（二）一般公共预算财政拨款支出决算结构情况</w:t>
      </w:r>
      <w:bookmarkEnd w:id="53"/>
    </w:p>
    <w:p w14:paraId="1435A6E5">
      <w:pPr>
        <w:pStyle w:val="2"/>
        <w:spacing w:before="93" w:beforeLines="30" w:beforeAutospacing="0" w:after="0" w:afterAutospacing="0"/>
        <w:ind w:left="0" w:right="0" w:firstLine="600" w:firstLineChars="200"/>
      </w:pPr>
      <w:r>
        <w:rPr>
          <w:lang w:val="en-US"/>
        </w:rPr>
        <w:t>2022</w:t>
      </w:r>
      <w:r>
        <w:rPr>
          <w:lang w:eastAsia="zh-CN"/>
        </w:rPr>
        <w:t>年一般公共预算财政拨款支出</w:t>
      </w:r>
      <w:r>
        <w:rPr>
          <w:lang w:val="en-US"/>
        </w:rPr>
        <w:t>743.80</w:t>
      </w:r>
      <w:r>
        <w:rPr>
          <w:lang w:eastAsia="zh-CN"/>
        </w:rPr>
        <w:t>万元，主要用于以下方面</w:t>
      </w:r>
      <w:r>
        <w:rPr>
          <w:lang w:val="en-US"/>
        </w:rPr>
        <w:t>:</w:t>
      </w:r>
      <w:r>
        <w:rPr>
          <w:rStyle w:val="22"/>
          <w:rFonts w:hint="eastAsia" w:ascii="仿宋_GB2312" w:hAnsi="宋体" w:eastAsia="仿宋_GB2312" w:cs="仿宋_GB2312"/>
          <w:b w:val="0"/>
          <w:bCs w:val="0"/>
          <w:lang w:eastAsia="zh-CN"/>
        </w:rPr>
        <w:t>一般公共服务（类）</w:t>
      </w:r>
      <w:r>
        <w:rPr>
          <w:lang w:eastAsia="zh-CN"/>
        </w:rPr>
        <w:t>支出</w:t>
      </w:r>
      <w:r>
        <w:rPr>
          <w:lang w:val="en-US"/>
        </w:rPr>
        <w:t>655.76</w:t>
      </w:r>
      <w:r>
        <w:rPr>
          <w:lang w:eastAsia="zh-CN"/>
        </w:rPr>
        <w:t>万元，占</w:t>
      </w:r>
      <w:r>
        <w:rPr>
          <w:lang w:val="en-US"/>
        </w:rPr>
        <w:t>88.16%</w:t>
      </w:r>
      <w:r>
        <w:rPr>
          <w:lang w:eastAsia="zh-CN"/>
        </w:rPr>
        <w:t>；</w:t>
      </w:r>
      <w:r>
        <w:rPr>
          <w:rStyle w:val="22"/>
          <w:rFonts w:hint="eastAsia" w:ascii="仿宋_GB2312" w:hAnsi="宋体" w:eastAsia="仿宋_GB2312" w:cs="仿宋_GB2312"/>
          <w:b w:val="0"/>
          <w:bCs w:val="0"/>
          <w:lang w:eastAsia="zh-CN"/>
        </w:rPr>
        <w:t>教育支出（类）</w:t>
      </w:r>
      <w:r>
        <w:rPr>
          <w:lang w:val="en-US"/>
        </w:rPr>
        <w:t>0.00</w:t>
      </w:r>
      <w:r>
        <w:rPr>
          <w:lang w:eastAsia="zh-CN"/>
        </w:rPr>
        <w:t>万元，占</w:t>
      </w:r>
      <w:r>
        <w:rPr>
          <w:lang w:val="en-US"/>
        </w:rPr>
        <w:t>0.00%</w:t>
      </w:r>
      <w:r>
        <w:rPr>
          <w:b/>
          <w:bCs w:val="0"/>
          <w:lang w:eastAsia="zh-CN"/>
        </w:rPr>
        <w:t>；</w:t>
      </w:r>
      <w:r>
        <w:rPr>
          <w:rStyle w:val="22"/>
          <w:rFonts w:hint="eastAsia" w:ascii="仿宋_GB2312" w:hAnsi="宋体" w:eastAsia="仿宋_GB2312" w:cs="仿宋_GB2312"/>
          <w:b w:val="0"/>
          <w:bCs w:val="0"/>
          <w:lang w:eastAsia="zh-CN"/>
        </w:rPr>
        <w:t>科学技术（类）</w:t>
      </w:r>
      <w:r>
        <w:rPr>
          <w:lang w:eastAsia="zh-CN"/>
        </w:rPr>
        <w:t>支出</w:t>
      </w:r>
      <w:r>
        <w:rPr>
          <w:lang w:val="en-US"/>
        </w:rPr>
        <w:t>0.00</w:t>
      </w:r>
      <w:r>
        <w:rPr>
          <w:lang w:eastAsia="zh-CN"/>
        </w:rPr>
        <w:t>万元，占</w:t>
      </w:r>
      <w:r>
        <w:rPr>
          <w:lang w:val="en-US"/>
        </w:rPr>
        <w:t>0.00%</w:t>
      </w:r>
      <w:r>
        <w:rPr>
          <w:lang w:eastAsia="zh-CN"/>
        </w:rPr>
        <w:t>；</w:t>
      </w:r>
      <w:r>
        <w:rPr>
          <w:rStyle w:val="22"/>
          <w:rFonts w:hint="eastAsia" w:ascii="仿宋_GB2312" w:hAnsi="宋体" w:eastAsia="仿宋_GB2312" w:cs="仿宋_GB2312"/>
          <w:b w:val="0"/>
          <w:bCs w:val="0"/>
          <w:lang w:eastAsia="zh-CN"/>
        </w:rPr>
        <w:t>文化旅游体育与传媒（类）支出</w:t>
      </w:r>
      <w:r>
        <w:rPr>
          <w:rStyle w:val="22"/>
          <w:rFonts w:hint="eastAsia" w:ascii="仿宋_GB2312" w:hAnsi="宋体" w:eastAsia="仿宋_GB2312" w:cs="仿宋_GB2312"/>
          <w:b w:val="0"/>
          <w:bCs w:val="0"/>
          <w:lang w:val="en-US"/>
        </w:rPr>
        <w:t>0.00</w:t>
      </w:r>
      <w:r>
        <w:rPr>
          <w:rStyle w:val="22"/>
          <w:rFonts w:hint="eastAsia" w:ascii="仿宋_GB2312" w:hAnsi="宋体" w:eastAsia="仿宋_GB2312" w:cs="仿宋_GB2312"/>
          <w:b w:val="0"/>
          <w:bCs w:val="0"/>
          <w:lang w:eastAsia="zh-CN"/>
        </w:rPr>
        <w:t>万元，占</w:t>
      </w:r>
      <w:r>
        <w:rPr>
          <w:rStyle w:val="22"/>
          <w:rFonts w:hint="eastAsia" w:ascii="仿宋_GB2312" w:hAnsi="宋体" w:eastAsia="仿宋_GB2312" w:cs="仿宋_GB2312"/>
          <w:b w:val="0"/>
          <w:bCs w:val="0"/>
          <w:lang w:val="en-US"/>
        </w:rPr>
        <w:t>0.00%</w:t>
      </w:r>
      <w:r>
        <w:rPr>
          <w:rStyle w:val="22"/>
          <w:rFonts w:hint="eastAsia" w:ascii="仿宋_GB2312" w:hAnsi="宋体" w:eastAsia="仿宋_GB2312" w:cs="仿宋_GB2312"/>
          <w:b w:val="0"/>
          <w:bCs w:val="0"/>
          <w:lang w:eastAsia="zh-CN"/>
        </w:rPr>
        <w:t>；社会保障和就业（类）</w:t>
      </w:r>
      <w:r>
        <w:rPr>
          <w:lang w:eastAsia="zh-CN"/>
        </w:rPr>
        <w:t>支出</w:t>
      </w:r>
      <w:r>
        <w:rPr>
          <w:lang w:val="en-US"/>
        </w:rPr>
        <w:t>47.01</w:t>
      </w:r>
      <w:r>
        <w:rPr>
          <w:lang w:eastAsia="zh-CN"/>
        </w:rPr>
        <w:t>万元，占</w:t>
      </w:r>
      <w:r>
        <w:rPr>
          <w:lang w:val="en-US"/>
        </w:rPr>
        <w:t>6.32%</w:t>
      </w:r>
      <w:r>
        <w:rPr>
          <w:lang w:eastAsia="zh-CN"/>
        </w:rPr>
        <w:t>；</w:t>
      </w:r>
      <w:r>
        <w:rPr>
          <w:rStyle w:val="22"/>
          <w:rFonts w:hint="eastAsia" w:ascii="仿宋_GB2312" w:hAnsi="宋体" w:eastAsia="仿宋_GB2312" w:cs="仿宋_GB2312"/>
          <w:b w:val="0"/>
          <w:bCs w:val="0"/>
          <w:lang w:eastAsia="zh-CN"/>
        </w:rPr>
        <w:t>卫生健康支出</w:t>
      </w:r>
      <w:r>
        <w:rPr>
          <w:lang w:val="en-US"/>
        </w:rPr>
        <w:t>14.43</w:t>
      </w:r>
      <w:r>
        <w:rPr>
          <w:lang w:eastAsia="zh-CN"/>
        </w:rPr>
        <w:t>万元，占</w:t>
      </w:r>
      <w:r>
        <w:rPr>
          <w:lang w:val="en-US"/>
        </w:rPr>
        <w:t>1.94%</w:t>
      </w:r>
      <w:r>
        <w:rPr>
          <w:lang w:eastAsia="zh-CN"/>
        </w:rPr>
        <w:t>；住房保障支出</w:t>
      </w:r>
      <w:r>
        <w:rPr>
          <w:lang w:val="en-US"/>
        </w:rPr>
        <w:t>26.60</w:t>
      </w:r>
      <w:r>
        <w:rPr>
          <w:lang w:eastAsia="zh-CN"/>
        </w:rPr>
        <w:t>万元，占</w:t>
      </w:r>
      <w:r>
        <w:rPr>
          <w:lang w:val="en-US"/>
        </w:rPr>
        <w:t>3.58%</w:t>
      </w:r>
      <w:r>
        <w:rPr>
          <w:lang w:eastAsia="zh-CN"/>
        </w:rPr>
        <w:t>。</w:t>
      </w:r>
    </w:p>
    <w:p w14:paraId="2CE5FC4A">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01-1</w:t>
      </w:r>
      <w:r>
        <w:rPr>
          <w:rStyle w:val="22"/>
          <w:rFonts w:hint="eastAsia" w:ascii="仿宋_GB2312" w:hAnsi="宋体" w:eastAsia="仿宋_GB2312" w:cs="仿宋_GB2312"/>
          <w:b w:val="0"/>
          <w:bCs w:val="0"/>
          <w:lang w:eastAsia="zh-CN"/>
        </w:rPr>
        <w:t>表，仅罗列本部门涉及的全部功能分类科目，至类级。）</w:t>
      </w:r>
    </w:p>
    <w:p w14:paraId="1B518F39">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files\\9647883\\FileRecv\\mobilefile\\../Users/ADMINI~1/AppData/Local/Temp/~tmp%7bfc4b13ec-2974-4e1d-84c2-0cfba31922e3%7d4787160.files/~tmp%7bfc4b13ec-2974-4e1d-84c2-0cfba31922e3%7d47871608840.png" \* MERGEFORMATINET </w:instrText>
      </w:r>
      <w:r>
        <w:rPr>
          <w:lang w:val="en-US"/>
        </w:rPr>
        <w:fldChar w:fldCharType="separate"/>
      </w:r>
      <w:r>
        <w:rPr>
          <w:lang w:val="en-US"/>
        </w:rPr>
        <w:pict>
          <v:shape id="_x0000_i1030" o:spt="75" type="#_x0000_t75" style="height:178.55pt;width:412.4pt;" filled="f" o:preferrelative="t" stroked="f" coordsize="21600,21600">
            <v:path/>
            <v:fill on="f" focussize="0,0"/>
            <v:stroke on="f"/>
            <v:imagedata r:id="rId15" r:href="rId16" o:title=""/>
            <o:lock v:ext="edit" aspectratio="t"/>
            <w10:wrap type="none"/>
            <w10:anchorlock/>
          </v:shape>
        </w:pict>
      </w:r>
      <w:r>
        <w:rPr>
          <w:lang w:val="en-US"/>
        </w:rPr>
        <w:fldChar w:fldCharType="end"/>
      </w:r>
      <w:r>
        <w:rPr>
          <w:sz w:val="24"/>
          <w:szCs w:val="24"/>
          <w:lang w:eastAsia="zh-CN"/>
        </w:rPr>
        <w:t>（图</w:t>
      </w:r>
      <w:r>
        <w:rPr>
          <w:sz w:val="24"/>
          <w:szCs w:val="24"/>
          <w:lang w:val="en-US"/>
        </w:rPr>
        <w:t>6</w:t>
      </w:r>
      <w:r>
        <w:rPr>
          <w:sz w:val="24"/>
          <w:szCs w:val="24"/>
          <w:lang w:eastAsia="zh-CN"/>
        </w:rPr>
        <w:t>：一般公共预算财政拨款支出决算结构）（饼状图）</w:t>
      </w:r>
    </w:p>
    <w:p w14:paraId="561E8451">
      <w:pPr>
        <w:pStyle w:val="35"/>
        <w:spacing w:before="0" w:beforeAutospacing="0"/>
        <w:ind w:firstLine="480" w:firstLineChars="200"/>
      </w:pPr>
    </w:p>
    <w:p w14:paraId="44C4BA7E">
      <w:pPr>
        <w:pStyle w:val="2"/>
        <w:spacing w:before="93" w:beforeLines="30" w:beforeAutospacing="0" w:after="0" w:afterAutospacing="0"/>
        <w:ind w:left="0" w:right="0" w:firstLine="602" w:firstLineChars="200"/>
        <w:outlineLvl w:val="2"/>
      </w:pPr>
      <w:bookmarkStart w:id="54" w:name="_Toc12022"/>
      <w:r>
        <w:rPr>
          <w:rStyle w:val="22"/>
          <w:rFonts w:hint="eastAsia" w:ascii="仿宋_GB2312" w:hAnsi="宋体" w:eastAsia="仿宋_GB2312" w:cs="仿宋_GB2312"/>
          <w:lang w:eastAsia="zh-CN"/>
        </w:rPr>
        <w:t>（三）一般公共预算财政拨款支出决算具体情况</w:t>
      </w:r>
      <w:bookmarkEnd w:id="54"/>
    </w:p>
    <w:p w14:paraId="10F10658">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2022</w:t>
      </w:r>
      <w:r>
        <w:rPr>
          <w:rStyle w:val="22"/>
          <w:rFonts w:hint="eastAsia" w:ascii="仿宋_GB2312" w:hAnsi="宋体" w:eastAsia="仿宋_GB2312" w:cs="仿宋_GB2312"/>
          <w:b w:val="0"/>
          <w:bCs w:val="0"/>
          <w:lang w:eastAsia="zh-CN"/>
        </w:rPr>
        <w:t>年一般公共预算支出决算数为</w:t>
      </w:r>
      <w:r>
        <w:rPr>
          <w:rStyle w:val="22"/>
          <w:rFonts w:hint="eastAsia" w:ascii="仿宋_GB2312" w:hAnsi="宋体" w:eastAsia="仿宋_GB2312" w:cs="仿宋_GB2312"/>
          <w:b w:val="0"/>
          <w:bCs w:val="0"/>
          <w:lang w:val="en-US"/>
        </w:rPr>
        <w:t>743.80</w:t>
      </w:r>
      <w:r>
        <w:rPr>
          <w:b/>
          <w:bCs w:val="0"/>
          <w:lang w:eastAsia="zh-CN"/>
        </w:rPr>
        <w:t>，</w:t>
      </w:r>
      <w:r>
        <w:rPr>
          <w:rStyle w:val="22"/>
          <w:rFonts w:hint="eastAsia" w:ascii="仿宋_GB2312" w:hAnsi="宋体" w:eastAsia="仿宋_GB2312" w:cs="仿宋_GB2312"/>
          <w:b w:val="0"/>
          <w:bCs w:val="0"/>
          <w:lang w:eastAsia="zh-CN"/>
        </w:rPr>
        <w:t>完成预算</w:t>
      </w:r>
      <w:r>
        <w:rPr>
          <w:rStyle w:val="22"/>
          <w:rFonts w:hint="eastAsia" w:ascii="仿宋_GB2312" w:hAnsi="宋体" w:eastAsia="仿宋_GB2312" w:cs="仿宋_GB2312"/>
          <w:b w:val="0"/>
          <w:bCs w:val="0"/>
          <w:lang w:val="en-US"/>
        </w:rPr>
        <w:t>100.00%</w:t>
      </w:r>
      <w:r>
        <w:rPr>
          <w:rStyle w:val="22"/>
          <w:rFonts w:hint="eastAsia" w:ascii="仿宋_GB2312" w:hAnsi="宋体" w:eastAsia="仿宋_GB2312" w:cs="仿宋_GB2312"/>
          <w:b w:val="0"/>
          <w:bCs w:val="0"/>
          <w:lang w:eastAsia="zh-CN"/>
        </w:rPr>
        <w:t>。其中：</w:t>
      </w:r>
    </w:p>
    <w:p w14:paraId="68086859">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般公共服务（</w:t>
      </w:r>
      <w:r>
        <w:rPr>
          <w:rStyle w:val="22"/>
          <w:rFonts w:hint="eastAsia" w:ascii="仿宋_GB2312" w:hAnsi="宋体" w:eastAsia="仿宋_GB2312" w:cs="仿宋_GB2312"/>
          <w:b w:val="0"/>
          <w:bCs w:val="0"/>
          <w:lang w:val="en-US"/>
        </w:rPr>
        <w:t>201</w:t>
      </w:r>
      <w:r>
        <w:rPr>
          <w:rStyle w:val="22"/>
          <w:rFonts w:hint="eastAsia" w:ascii="仿宋_GB2312" w:hAnsi="宋体" w:eastAsia="仿宋_GB2312" w:cs="仿宋_GB2312"/>
          <w:b w:val="0"/>
          <w:bCs w:val="0"/>
          <w:lang w:eastAsia="zh-CN"/>
        </w:rPr>
        <w:t>）政府办公厅（室）及相关机构（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）行政运行（</w:t>
      </w:r>
      <w:r>
        <w:rPr>
          <w:rStyle w:val="22"/>
          <w:rFonts w:hint="eastAsia" w:ascii="仿宋_GB2312" w:hAnsi="宋体" w:eastAsia="仿宋_GB2312" w:cs="仿宋_GB2312"/>
          <w:b w:val="0"/>
          <w:bCs w:val="0"/>
          <w:lang w:val="en-US"/>
        </w:rPr>
        <w:t>01</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499.87</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14:paraId="201861CD">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2.</w:t>
      </w:r>
      <w:r>
        <w:rPr>
          <w:rStyle w:val="22"/>
          <w:rFonts w:hint="eastAsia" w:ascii="仿宋_GB2312" w:hAnsi="宋体" w:eastAsia="仿宋_GB2312" w:cs="仿宋_GB2312"/>
          <w:b w:val="0"/>
          <w:bCs w:val="0"/>
          <w:lang w:eastAsia="zh-CN"/>
        </w:rPr>
        <w:t>一般公共服务（</w:t>
      </w:r>
      <w:r>
        <w:rPr>
          <w:rStyle w:val="22"/>
          <w:rFonts w:hint="eastAsia" w:ascii="仿宋_GB2312" w:hAnsi="宋体" w:eastAsia="仿宋_GB2312" w:cs="仿宋_GB2312"/>
          <w:b w:val="0"/>
          <w:bCs w:val="0"/>
          <w:lang w:val="en-US"/>
        </w:rPr>
        <w:t>201</w:t>
      </w:r>
      <w:r>
        <w:rPr>
          <w:rStyle w:val="22"/>
          <w:rFonts w:hint="eastAsia" w:ascii="仿宋_GB2312" w:hAnsi="宋体" w:eastAsia="仿宋_GB2312" w:cs="仿宋_GB2312"/>
          <w:b w:val="0"/>
          <w:bCs w:val="0"/>
          <w:lang w:eastAsia="zh-CN"/>
        </w:rPr>
        <w:t>）政府办公厅（室）及相关机构（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）一般行政管理事</w:t>
      </w:r>
      <w:r>
        <w:rPr>
          <w:rStyle w:val="22"/>
          <w:rFonts w:hint="eastAsia" w:cs="仿宋_GB2312"/>
          <w:b w:val="0"/>
          <w:bCs w:val="0"/>
          <w:lang w:val="en-US" w:eastAsia="zh-CN"/>
        </w:rPr>
        <w:t>务</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02</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155.89</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14:paraId="1CE3622E">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3.</w:t>
      </w:r>
      <w:r>
        <w:rPr>
          <w:rStyle w:val="22"/>
          <w:rFonts w:hint="eastAsia" w:ascii="仿宋_GB2312" w:hAnsi="宋体" w:eastAsia="仿宋_GB2312" w:cs="仿宋_GB2312"/>
          <w:b w:val="0"/>
          <w:bCs w:val="0"/>
          <w:lang w:eastAsia="zh-CN"/>
        </w:rPr>
        <w:t>社会保障和就业（</w:t>
      </w:r>
      <w:r>
        <w:rPr>
          <w:rStyle w:val="22"/>
          <w:rFonts w:hint="eastAsia" w:ascii="仿宋_GB2312" w:hAnsi="宋体" w:eastAsia="仿宋_GB2312" w:cs="仿宋_GB2312"/>
          <w:b w:val="0"/>
          <w:bCs w:val="0"/>
          <w:lang w:val="en-US"/>
        </w:rPr>
        <w:t>208</w:t>
      </w:r>
      <w:r>
        <w:rPr>
          <w:rStyle w:val="22"/>
          <w:rFonts w:hint="eastAsia" w:ascii="仿宋_GB2312" w:hAnsi="宋体" w:eastAsia="仿宋_GB2312" w:cs="仿宋_GB2312"/>
          <w:b w:val="0"/>
          <w:bCs w:val="0"/>
          <w:lang w:eastAsia="zh-CN"/>
        </w:rPr>
        <w:t>）行政事业单位养老支出（</w:t>
      </w:r>
      <w:r>
        <w:rPr>
          <w:rStyle w:val="22"/>
          <w:rFonts w:hint="eastAsia" w:ascii="仿宋_GB2312" w:hAnsi="宋体" w:eastAsia="仿宋_GB2312" w:cs="仿宋_GB2312"/>
          <w:b w:val="0"/>
          <w:bCs w:val="0"/>
          <w:lang w:val="en-US"/>
        </w:rPr>
        <w:t>05</w:t>
      </w:r>
      <w:r>
        <w:rPr>
          <w:rStyle w:val="22"/>
          <w:rFonts w:hint="eastAsia" w:ascii="仿宋_GB2312" w:hAnsi="宋体" w:eastAsia="仿宋_GB2312" w:cs="仿宋_GB2312"/>
          <w:b w:val="0"/>
          <w:bCs w:val="0"/>
          <w:lang w:eastAsia="zh-CN"/>
        </w:rPr>
        <w:t>）机关事业单位基本养老保险缴费支出（</w:t>
      </w:r>
      <w:r>
        <w:rPr>
          <w:rStyle w:val="22"/>
          <w:rFonts w:hint="eastAsia" w:ascii="仿宋_GB2312" w:hAnsi="宋体" w:eastAsia="仿宋_GB2312" w:cs="仿宋_GB2312"/>
          <w:b w:val="0"/>
          <w:bCs w:val="0"/>
          <w:lang w:val="en-US"/>
        </w:rPr>
        <w:t>05</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31.86</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14:paraId="2BE5AEB6">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4.</w:t>
      </w:r>
      <w:r>
        <w:rPr>
          <w:rStyle w:val="22"/>
          <w:rFonts w:hint="eastAsia" w:ascii="仿宋_GB2312" w:hAnsi="宋体" w:eastAsia="仿宋_GB2312" w:cs="仿宋_GB2312"/>
          <w:b w:val="0"/>
          <w:bCs w:val="0"/>
          <w:lang w:eastAsia="zh-CN"/>
        </w:rPr>
        <w:t>社会保障和就业（</w:t>
      </w:r>
      <w:r>
        <w:rPr>
          <w:rStyle w:val="22"/>
          <w:rFonts w:hint="eastAsia" w:ascii="仿宋_GB2312" w:hAnsi="宋体" w:eastAsia="仿宋_GB2312" w:cs="仿宋_GB2312"/>
          <w:b w:val="0"/>
          <w:bCs w:val="0"/>
          <w:lang w:val="en-US"/>
        </w:rPr>
        <w:t>208</w:t>
      </w:r>
      <w:r>
        <w:rPr>
          <w:rStyle w:val="22"/>
          <w:rFonts w:hint="eastAsia" w:ascii="仿宋_GB2312" w:hAnsi="宋体" w:eastAsia="仿宋_GB2312" w:cs="仿宋_GB2312"/>
          <w:b w:val="0"/>
          <w:bCs w:val="0"/>
          <w:lang w:eastAsia="zh-CN"/>
        </w:rPr>
        <w:t>）行政事业单位养老支出（</w:t>
      </w:r>
      <w:r>
        <w:rPr>
          <w:rStyle w:val="22"/>
          <w:rFonts w:hint="eastAsia" w:ascii="仿宋_GB2312" w:hAnsi="宋体" w:eastAsia="仿宋_GB2312" w:cs="仿宋_GB2312"/>
          <w:b w:val="0"/>
          <w:bCs w:val="0"/>
          <w:lang w:val="en-US"/>
        </w:rPr>
        <w:t>05</w:t>
      </w:r>
      <w:r>
        <w:rPr>
          <w:rStyle w:val="22"/>
          <w:rFonts w:hint="eastAsia" w:ascii="仿宋_GB2312" w:hAnsi="宋体" w:eastAsia="仿宋_GB2312" w:cs="仿宋_GB2312"/>
          <w:b w:val="0"/>
          <w:bCs w:val="0"/>
          <w:lang w:eastAsia="zh-CN"/>
        </w:rPr>
        <w:t>）机关事业单位职业年金缴费支出（</w:t>
      </w:r>
      <w:r>
        <w:rPr>
          <w:rStyle w:val="22"/>
          <w:rFonts w:hint="eastAsia" w:ascii="仿宋_GB2312" w:hAnsi="宋体" w:eastAsia="仿宋_GB2312" w:cs="仿宋_GB2312"/>
          <w:b w:val="0"/>
          <w:bCs w:val="0"/>
          <w:lang w:val="en-US"/>
        </w:rPr>
        <w:t>06</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15.15</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14:paraId="33313858">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5.</w:t>
      </w:r>
      <w:r>
        <w:rPr>
          <w:rStyle w:val="22"/>
          <w:rFonts w:hint="eastAsia" w:ascii="仿宋_GB2312" w:hAnsi="宋体" w:eastAsia="仿宋_GB2312" w:cs="仿宋_GB2312"/>
          <w:b w:val="0"/>
          <w:bCs w:val="0"/>
          <w:lang w:eastAsia="zh-CN"/>
        </w:rPr>
        <w:t>卫生健康（</w:t>
      </w:r>
      <w:r>
        <w:rPr>
          <w:rStyle w:val="22"/>
          <w:rFonts w:hint="eastAsia" w:ascii="仿宋_GB2312" w:hAnsi="宋体" w:eastAsia="仿宋_GB2312" w:cs="仿宋_GB2312"/>
          <w:b w:val="0"/>
          <w:bCs w:val="0"/>
          <w:lang w:val="en-US"/>
        </w:rPr>
        <w:t>210</w:t>
      </w:r>
      <w:r>
        <w:rPr>
          <w:rStyle w:val="22"/>
          <w:rFonts w:hint="eastAsia" w:ascii="仿宋_GB2312" w:hAnsi="宋体" w:eastAsia="仿宋_GB2312" w:cs="仿宋_GB2312"/>
          <w:b w:val="0"/>
          <w:bCs w:val="0"/>
          <w:lang w:eastAsia="zh-CN"/>
        </w:rPr>
        <w:t>）行政事业单位医疗（</w:t>
      </w:r>
      <w:r>
        <w:rPr>
          <w:rStyle w:val="22"/>
          <w:rFonts w:hint="eastAsia" w:ascii="仿宋_GB2312" w:hAnsi="宋体" w:eastAsia="仿宋_GB2312" w:cs="仿宋_GB2312"/>
          <w:b w:val="0"/>
          <w:bCs w:val="0"/>
          <w:lang w:val="en-US"/>
        </w:rPr>
        <w:t>11</w:t>
      </w:r>
      <w:r>
        <w:rPr>
          <w:rStyle w:val="22"/>
          <w:rFonts w:hint="eastAsia" w:ascii="仿宋_GB2312" w:hAnsi="宋体" w:eastAsia="仿宋_GB2312" w:cs="仿宋_GB2312"/>
          <w:b w:val="0"/>
          <w:bCs w:val="0"/>
          <w:lang w:eastAsia="zh-CN"/>
        </w:rPr>
        <w:t>）行政单位医疗（</w:t>
      </w:r>
      <w:r>
        <w:rPr>
          <w:rStyle w:val="22"/>
          <w:rFonts w:hint="eastAsia" w:ascii="仿宋_GB2312" w:hAnsi="宋体" w:eastAsia="仿宋_GB2312" w:cs="仿宋_GB2312"/>
          <w:b w:val="0"/>
          <w:bCs w:val="0"/>
          <w:lang w:val="en-US"/>
        </w:rPr>
        <w:t>01</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11.11</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14:paraId="4552F924">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6.</w:t>
      </w:r>
      <w:r>
        <w:rPr>
          <w:rStyle w:val="22"/>
          <w:rFonts w:hint="eastAsia" w:ascii="仿宋_GB2312" w:hAnsi="宋体" w:eastAsia="仿宋_GB2312" w:cs="仿宋_GB2312"/>
          <w:b w:val="0"/>
          <w:bCs w:val="0"/>
          <w:lang w:eastAsia="zh-CN"/>
        </w:rPr>
        <w:t>卫生健康（</w:t>
      </w:r>
      <w:r>
        <w:rPr>
          <w:rStyle w:val="22"/>
          <w:rFonts w:hint="eastAsia" w:ascii="仿宋_GB2312" w:hAnsi="宋体" w:eastAsia="仿宋_GB2312" w:cs="仿宋_GB2312"/>
          <w:b w:val="0"/>
          <w:bCs w:val="0"/>
          <w:lang w:val="en-US"/>
        </w:rPr>
        <w:t>210</w:t>
      </w:r>
      <w:r>
        <w:rPr>
          <w:rStyle w:val="22"/>
          <w:rFonts w:hint="eastAsia" w:ascii="仿宋_GB2312" w:hAnsi="宋体" w:eastAsia="仿宋_GB2312" w:cs="仿宋_GB2312"/>
          <w:b w:val="0"/>
          <w:bCs w:val="0"/>
          <w:lang w:eastAsia="zh-CN"/>
        </w:rPr>
        <w:t>）行政事业单位医疗（</w:t>
      </w:r>
      <w:r>
        <w:rPr>
          <w:rStyle w:val="22"/>
          <w:rFonts w:hint="eastAsia" w:ascii="仿宋_GB2312" w:hAnsi="宋体" w:eastAsia="仿宋_GB2312" w:cs="仿宋_GB2312"/>
          <w:b w:val="0"/>
          <w:bCs w:val="0"/>
          <w:lang w:val="en-US"/>
        </w:rPr>
        <w:t>11</w:t>
      </w:r>
      <w:r>
        <w:rPr>
          <w:rStyle w:val="22"/>
          <w:rFonts w:hint="eastAsia" w:ascii="仿宋_GB2312" w:hAnsi="宋体" w:eastAsia="仿宋_GB2312" w:cs="仿宋_GB2312"/>
          <w:b w:val="0"/>
          <w:bCs w:val="0"/>
          <w:lang w:eastAsia="zh-CN"/>
        </w:rPr>
        <w:t>）公务员医疗补助（</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3.32</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14:paraId="386CD70E">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01-1</w:t>
      </w:r>
      <w:r>
        <w:rPr>
          <w:rStyle w:val="22"/>
          <w:rFonts w:hint="eastAsia" w:ascii="仿宋_GB2312" w:hAnsi="宋体" w:eastAsia="仿宋_GB2312" w:cs="仿宋_GB2312"/>
          <w:b w:val="0"/>
          <w:bCs w:val="0"/>
          <w:lang w:eastAsia="zh-CN"/>
        </w:rPr>
        <w:t>表和财决</w:t>
      </w:r>
      <w:r>
        <w:rPr>
          <w:rStyle w:val="22"/>
          <w:rFonts w:hint="eastAsia" w:ascii="仿宋_GB2312" w:hAnsi="宋体" w:eastAsia="仿宋_GB2312" w:cs="仿宋_GB2312"/>
          <w:b w:val="0"/>
          <w:bCs w:val="0"/>
          <w:lang w:val="en-US"/>
        </w:rPr>
        <w:t>08</w:t>
      </w:r>
      <w:r>
        <w:rPr>
          <w:rStyle w:val="22"/>
          <w:rFonts w:hint="eastAsia" w:ascii="仿宋_GB2312" w:hAnsi="宋体" w:eastAsia="仿宋_GB2312" w:cs="仿宋_GB2312"/>
          <w:b w:val="0"/>
          <w:bCs w:val="0"/>
          <w:lang w:eastAsia="zh-CN"/>
        </w:rPr>
        <w:t>表，仅罗列本部门涉及的全部功能分类科目，至项级。上述“预算”口径为全年预算数。）</w:t>
      </w:r>
    </w:p>
    <w:p w14:paraId="4A586711">
      <w:pPr>
        <w:pStyle w:val="2"/>
        <w:spacing w:before="93" w:beforeLines="30" w:beforeAutospacing="0" w:after="0" w:afterAutospacing="0"/>
        <w:ind w:left="0" w:right="0" w:firstLine="602" w:firstLineChars="200"/>
        <w:outlineLvl w:val="1"/>
        <w:rPr>
          <w:b/>
          <w:bCs w:val="0"/>
          <w:lang w:val="en-US"/>
        </w:rPr>
      </w:pPr>
      <w:bookmarkStart w:id="55" w:name="_Toc23412"/>
      <w:bookmarkEnd w:id="55"/>
      <w:bookmarkStart w:id="56" w:name="_Toc30966"/>
      <w:bookmarkEnd w:id="56"/>
      <w:bookmarkStart w:id="57" w:name="_Toc1152"/>
      <w:bookmarkEnd w:id="57"/>
      <w:bookmarkStart w:id="58" w:name="_Toc32564"/>
      <w:bookmarkStart w:id="59" w:name="_Toc19528"/>
      <w:r>
        <w:rPr>
          <w:b/>
          <w:bCs w:val="0"/>
          <w:lang w:eastAsia="zh-CN"/>
        </w:rPr>
        <w:t>六</w:t>
      </w:r>
      <w:bookmarkEnd w:id="58"/>
      <w:r>
        <w:rPr>
          <w:rStyle w:val="22"/>
          <w:rFonts w:hint="eastAsia" w:ascii="仿宋_GB2312" w:hAnsi="宋体" w:eastAsia="仿宋_GB2312" w:cs="仿宋_GB2312"/>
          <w:b w:val="0"/>
          <w:bCs w:val="0"/>
          <w:lang w:eastAsia="zh-CN"/>
        </w:rPr>
        <w:t>、一</w:t>
      </w:r>
      <w:r>
        <w:rPr>
          <w:b/>
          <w:bCs w:val="0"/>
          <w:lang w:eastAsia="zh-CN"/>
        </w:rPr>
        <w:t>般公共预算财政拨款基本支出决算情况说明</w:t>
      </w:r>
      <w:bookmarkEnd w:id="59"/>
      <w:r>
        <w:rPr>
          <w:b/>
          <w:bCs w:val="0"/>
          <w:lang w:val="en-US"/>
        </w:rPr>
        <w:t xml:space="preserve">   </w:t>
      </w:r>
    </w:p>
    <w:p w14:paraId="0CB8D364">
      <w:pPr>
        <w:pStyle w:val="2"/>
        <w:spacing w:before="93" w:beforeLines="30" w:beforeAutospacing="0" w:after="0" w:afterAutospacing="0"/>
        <w:ind w:left="0" w:right="0" w:firstLine="600" w:firstLineChars="200"/>
      </w:pPr>
      <w:r>
        <w:rPr>
          <w:lang w:val="en-US"/>
        </w:rPr>
        <w:t>2022</w:t>
      </w:r>
      <w:r>
        <w:rPr>
          <w:lang w:eastAsia="zh-CN"/>
        </w:rPr>
        <w:t>年一般公共预算财政拨款基本支出</w:t>
      </w:r>
      <w:r>
        <w:rPr>
          <w:lang w:val="en-US"/>
        </w:rPr>
        <w:t>587.91</w:t>
      </w:r>
      <w:r>
        <w:rPr>
          <w:lang w:eastAsia="zh-CN"/>
        </w:rPr>
        <w:t>万元，其中：</w:t>
      </w:r>
    </w:p>
    <w:p w14:paraId="721C0013">
      <w:pPr>
        <w:pStyle w:val="2"/>
        <w:spacing w:before="93" w:beforeLines="30" w:beforeAutospacing="0" w:after="0" w:afterAutospacing="0"/>
        <w:ind w:left="0" w:right="0" w:firstLine="600" w:firstLineChars="200"/>
      </w:pPr>
      <w:r>
        <w:rPr>
          <w:lang w:eastAsia="zh-CN"/>
        </w:rPr>
        <w:t>人员经费</w:t>
      </w:r>
      <w:r>
        <w:rPr>
          <w:lang w:val="en-US"/>
        </w:rPr>
        <w:t>507.59</w:t>
      </w:r>
      <w:r>
        <w:rPr>
          <w:lang w:eastAsia="zh-CN"/>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69F51C1">
      <w:pPr>
        <w:pStyle w:val="2"/>
        <w:spacing w:before="93" w:beforeLines="30" w:beforeAutospacing="0" w:after="0" w:afterAutospacing="0"/>
        <w:ind w:left="0" w:right="0" w:firstLine="600" w:firstLineChars="200"/>
      </w:pPr>
      <w:r>
        <w:rPr>
          <w:lang w:eastAsia="zh-CN"/>
        </w:rPr>
        <w:t>公用经费</w:t>
      </w:r>
      <w:r>
        <w:rPr>
          <w:lang w:val="en-US"/>
        </w:rPr>
        <w:t>80.32</w:t>
      </w:r>
      <w:r>
        <w:rPr>
          <w:lang w:eastAsia="zh-CN"/>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03AF674">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07</w:t>
      </w:r>
      <w:r>
        <w:rPr>
          <w:rStyle w:val="22"/>
          <w:rFonts w:hint="eastAsia" w:ascii="仿宋_GB2312" w:hAnsi="宋体" w:eastAsia="仿宋_GB2312" w:cs="仿宋_GB2312"/>
          <w:b w:val="0"/>
          <w:bCs w:val="0"/>
          <w:lang w:eastAsia="zh-CN"/>
        </w:rPr>
        <w:t>表和财决</w:t>
      </w:r>
      <w:r>
        <w:rPr>
          <w:rStyle w:val="22"/>
          <w:rFonts w:hint="eastAsia" w:ascii="仿宋_GB2312" w:hAnsi="宋体" w:eastAsia="仿宋_GB2312" w:cs="仿宋_GB2312"/>
          <w:b w:val="0"/>
          <w:bCs w:val="0"/>
          <w:lang w:val="en-US"/>
        </w:rPr>
        <w:t>08-1</w:t>
      </w:r>
      <w:r>
        <w:rPr>
          <w:rStyle w:val="22"/>
          <w:rFonts w:hint="eastAsia" w:ascii="仿宋_GB2312" w:hAnsi="宋体" w:eastAsia="仿宋_GB2312" w:cs="仿宋_GB2312"/>
          <w:b w:val="0"/>
          <w:bCs w:val="0"/>
          <w:lang w:eastAsia="zh-CN"/>
        </w:rPr>
        <w:t>表，仅罗列本部门实际支出涉及的经济分类科目。）</w:t>
      </w:r>
      <w:r>
        <w:rPr>
          <w:b/>
          <w:bCs w:val="0"/>
          <w:lang w:eastAsia="zh-CN"/>
        </w:rPr>
        <w:t xml:space="preserve"> </w:t>
      </w:r>
    </w:p>
    <w:p w14:paraId="73946223">
      <w:pPr>
        <w:pStyle w:val="2"/>
        <w:spacing w:before="93" w:beforeLines="30" w:beforeAutospacing="0" w:after="0" w:afterAutospacing="0"/>
        <w:ind w:left="0" w:right="0" w:firstLine="602" w:firstLineChars="200"/>
        <w:outlineLvl w:val="1"/>
        <w:rPr>
          <w:b/>
          <w:bCs w:val="0"/>
          <w:lang w:val="en-US"/>
        </w:rPr>
      </w:pPr>
      <w:bookmarkStart w:id="60" w:name="_Toc5910"/>
      <w:bookmarkEnd w:id="60"/>
      <w:bookmarkStart w:id="61" w:name="_Toc19477"/>
      <w:bookmarkEnd w:id="61"/>
      <w:bookmarkStart w:id="62" w:name="_Toc8027"/>
      <w:bookmarkEnd w:id="62"/>
      <w:bookmarkStart w:id="63" w:name="_Toc15626"/>
      <w:bookmarkStart w:id="64" w:name="_Toc31443"/>
      <w:r>
        <w:rPr>
          <w:b/>
          <w:bCs w:val="0"/>
          <w:lang w:eastAsia="zh-CN"/>
        </w:rPr>
        <w:t>七、“三公”经费财政拨款支出决算情况说明</w:t>
      </w:r>
      <w:bookmarkEnd w:id="63"/>
      <w:bookmarkEnd w:id="64"/>
    </w:p>
    <w:p w14:paraId="10E3B0F0">
      <w:pPr>
        <w:pStyle w:val="2"/>
        <w:spacing w:before="93" w:beforeLines="30" w:beforeAutospacing="0" w:after="0" w:afterAutospacing="0"/>
        <w:ind w:left="0" w:right="0" w:firstLine="602" w:firstLineChars="200"/>
        <w:outlineLvl w:val="2"/>
      </w:pPr>
      <w:bookmarkStart w:id="65" w:name="_Toc5466"/>
      <w:r>
        <w:rPr>
          <w:rStyle w:val="22"/>
          <w:rFonts w:hint="eastAsia" w:ascii="仿宋_GB2312" w:hAnsi="宋体" w:eastAsia="仿宋_GB2312" w:cs="仿宋_GB2312"/>
          <w:lang w:eastAsia="zh-CN"/>
        </w:rPr>
        <w:t>（一）“三公”经费财政拨款支出决算总体情况说明</w:t>
      </w:r>
      <w:bookmarkEnd w:id="65"/>
    </w:p>
    <w:p w14:paraId="1AC0709E">
      <w:pPr>
        <w:pStyle w:val="2"/>
        <w:spacing w:before="93" w:beforeLines="30" w:beforeAutospacing="0" w:after="0" w:afterAutospacing="0"/>
        <w:ind w:left="0" w:right="0" w:firstLine="600" w:firstLineChars="200"/>
      </w:pPr>
      <w:r>
        <w:rPr>
          <w:lang w:val="en-US"/>
        </w:rPr>
        <w:t>2022</w:t>
      </w:r>
      <w:r>
        <w:rPr>
          <w:lang w:eastAsia="zh-CN"/>
        </w:rPr>
        <w:t>年“三公”经费财政拨款支出决算为</w:t>
      </w:r>
      <w:r>
        <w:rPr>
          <w:lang w:val="en-US"/>
        </w:rPr>
        <w:t>39.22</w:t>
      </w:r>
      <w:r>
        <w:rPr>
          <w:lang w:eastAsia="zh-CN"/>
        </w:rPr>
        <w:t>万元，完成预算</w:t>
      </w:r>
      <w:r>
        <w:rPr>
          <w:lang w:val="en-US"/>
        </w:rPr>
        <w:t>100.00%</w:t>
      </w:r>
      <w:r>
        <w:rPr>
          <w:lang w:eastAsia="zh-CN"/>
        </w:rPr>
        <w:t>，决算数与预算数持平的主要原因是按预算安排使用经费。</w:t>
      </w:r>
    </w:p>
    <w:p w14:paraId="3221779B">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（注：上述“预算”口径为全年预算数，包括一般公共预算和政府性基金预算财政拨款支出决算情况。）</w:t>
      </w:r>
    </w:p>
    <w:p w14:paraId="3411A89E">
      <w:pPr>
        <w:pStyle w:val="2"/>
        <w:spacing w:before="93" w:beforeLines="30" w:beforeAutospacing="0" w:after="0" w:afterAutospacing="0"/>
        <w:ind w:left="0" w:right="0" w:firstLine="602" w:firstLineChars="200"/>
        <w:outlineLvl w:val="2"/>
      </w:pPr>
      <w:bookmarkStart w:id="66" w:name="_Toc26174"/>
      <w:r>
        <w:rPr>
          <w:rStyle w:val="22"/>
          <w:rFonts w:hint="eastAsia" w:ascii="仿宋_GB2312" w:hAnsi="宋体" w:eastAsia="仿宋_GB2312" w:cs="仿宋_GB2312"/>
          <w:lang w:eastAsia="zh-CN"/>
        </w:rPr>
        <w:t>（二）“三公”经费财政拨款支出决算具体情况说明</w:t>
      </w:r>
      <w:bookmarkEnd w:id="66"/>
    </w:p>
    <w:p w14:paraId="15CF58B0">
      <w:pPr>
        <w:pStyle w:val="2"/>
        <w:spacing w:before="93" w:beforeLines="30" w:beforeAutospacing="0" w:after="0" w:afterAutospacing="0"/>
        <w:ind w:left="0" w:right="0" w:firstLine="600" w:firstLineChars="200"/>
      </w:pPr>
      <w:r>
        <w:rPr>
          <w:lang w:val="en-US"/>
        </w:rPr>
        <w:t>2022</w:t>
      </w:r>
      <w:r>
        <w:rPr>
          <w:lang w:eastAsia="zh-CN"/>
        </w:rPr>
        <w:t>年“三公”经费财政拨款支出决算中，因公出国（境）费支出决算</w:t>
      </w:r>
      <w:r>
        <w:rPr>
          <w:lang w:val="en-US"/>
        </w:rPr>
        <w:t>0.00</w:t>
      </w:r>
      <w:r>
        <w:rPr>
          <w:lang w:eastAsia="zh-CN"/>
        </w:rPr>
        <w:t>万元，占</w:t>
      </w:r>
      <w:r>
        <w:rPr>
          <w:lang w:val="en-US"/>
        </w:rPr>
        <w:t>0.00%</w:t>
      </w:r>
      <w:r>
        <w:rPr>
          <w:lang w:eastAsia="zh-CN"/>
        </w:rPr>
        <w:t>；公务用车购置及运行维护费支出决算</w:t>
      </w:r>
      <w:r>
        <w:rPr>
          <w:lang w:val="en-US"/>
        </w:rPr>
        <w:t>39.22</w:t>
      </w:r>
      <w:r>
        <w:rPr>
          <w:lang w:eastAsia="zh-CN"/>
        </w:rPr>
        <w:t>万元，占</w:t>
      </w:r>
      <w:r>
        <w:rPr>
          <w:lang w:val="en-US"/>
        </w:rPr>
        <w:t>100.00%</w:t>
      </w:r>
      <w:r>
        <w:rPr>
          <w:lang w:eastAsia="zh-CN"/>
        </w:rPr>
        <w:t>；公务接待费支出决算</w:t>
      </w:r>
      <w:r>
        <w:rPr>
          <w:lang w:val="en-US"/>
        </w:rPr>
        <w:t>0.00</w:t>
      </w:r>
      <w:r>
        <w:rPr>
          <w:lang w:eastAsia="zh-CN"/>
        </w:rPr>
        <w:t>万元，占</w:t>
      </w:r>
      <w:r>
        <w:rPr>
          <w:lang w:val="en-US"/>
        </w:rPr>
        <w:t>0.00%</w:t>
      </w:r>
      <w:r>
        <w:rPr>
          <w:lang w:eastAsia="zh-CN"/>
        </w:rPr>
        <w:t>。具体情况如下：</w:t>
      </w:r>
    </w:p>
    <w:p w14:paraId="56AB07D3">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files\\9647883\\FileRecv\\mobilefile\\../Users/ADMINI~1/AppData/Local/Temp/~tmp%7bfc4b13ec-2974-4e1d-84c2-0cfba31922e3%7d4787160.files/~tmp%7bfc4b13ec-2974-4e1d-84c2-0cfba31922e3%7d478716010522.png" \* MERGEFORMATINET </w:instrText>
      </w:r>
      <w:r>
        <w:rPr>
          <w:lang w:val="en-US"/>
        </w:rPr>
        <w:fldChar w:fldCharType="separate"/>
      </w:r>
      <w:r>
        <w:rPr>
          <w:lang w:val="en-US"/>
        </w:rPr>
        <w:pict>
          <v:shape id="_x0000_i1031" o:spt="75" type="#_x0000_t75" style="height:222.75pt;width:366.75pt;" filled="f" o:preferrelative="t" stroked="f" coordsize="21600,21600">
            <v:path/>
            <v:fill on="f" focussize="0,0"/>
            <v:stroke on="f" joinstyle="miter"/>
            <v:imagedata r:id="rId17" r:href="rId18" o:title=""/>
            <o:lock v:ext="edit" aspectratio="t"/>
            <w10:wrap type="none"/>
            <w10:anchorlock/>
          </v:shape>
        </w:pict>
      </w:r>
      <w:r>
        <w:rPr>
          <w:lang w:val="en-US"/>
        </w:rPr>
        <w:fldChar w:fldCharType="end"/>
      </w:r>
      <w:r>
        <w:rPr>
          <w:sz w:val="24"/>
          <w:szCs w:val="24"/>
          <w:lang w:eastAsia="zh-CN"/>
        </w:rPr>
        <w:t>（图</w:t>
      </w:r>
      <w:r>
        <w:rPr>
          <w:sz w:val="24"/>
          <w:szCs w:val="24"/>
          <w:lang w:val="en-US"/>
        </w:rPr>
        <w:t>7</w:t>
      </w:r>
      <w:r>
        <w:rPr>
          <w:sz w:val="24"/>
          <w:szCs w:val="24"/>
          <w:lang w:eastAsia="zh-CN"/>
        </w:rPr>
        <w:t>：“三公”经费财政拨款支出结构）（饼状图）</w:t>
      </w:r>
    </w:p>
    <w:p w14:paraId="35573366">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val="en-US"/>
        </w:rPr>
        <w:t>1.</w:t>
      </w:r>
      <w:r>
        <w:rPr>
          <w:rStyle w:val="22"/>
          <w:rFonts w:hint="eastAsia" w:ascii="仿宋_GB2312" w:hAnsi="宋体" w:eastAsia="仿宋_GB2312" w:cs="仿宋_GB2312"/>
          <w:lang w:eastAsia="zh-CN"/>
        </w:rPr>
        <w:t>因公出国（境）经费支出</w:t>
      </w:r>
      <w:r>
        <w:rPr>
          <w:lang w:val="en-US"/>
        </w:rPr>
        <w:t>0.00</w:t>
      </w:r>
      <w:r>
        <w:rPr>
          <w:lang w:eastAsia="zh-CN"/>
        </w:rPr>
        <w:t>万元，</w:t>
      </w:r>
      <w:r>
        <w:rPr>
          <w:rStyle w:val="22"/>
          <w:rFonts w:hint="eastAsia" w:ascii="仿宋_GB2312" w:hAnsi="宋体" w:eastAsia="仿宋_GB2312" w:cs="仿宋_GB2312"/>
          <w:lang w:eastAsia="zh-CN"/>
        </w:rPr>
        <w:t>完成预算</w:t>
      </w:r>
      <w:r>
        <w:rPr>
          <w:rStyle w:val="22"/>
          <w:rFonts w:hint="eastAsia" w:ascii="仿宋_GB2312" w:hAnsi="宋体" w:eastAsia="仿宋_GB2312" w:cs="仿宋_GB2312"/>
          <w:lang w:val="en-US"/>
        </w:rPr>
        <w:t>0.00%</w:t>
      </w:r>
      <w:r>
        <w:rPr>
          <w:rStyle w:val="22"/>
          <w:rFonts w:hint="eastAsia" w:ascii="仿宋_GB2312" w:hAnsi="宋体" w:eastAsia="仿宋_GB2312" w:cs="仿宋_GB2312"/>
          <w:lang w:eastAsia="zh-CN"/>
        </w:rPr>
        <w:t>。</w:t>
      </w:r>
      <w:r>
        <w:rPr>
          <w:lang w:eastAsia="zh-CN"/>
        </w:rPr>
        <w:t>全年安排因公出国（境）团组</w:t>
      </w:r>
      <w:r>
        <w:rPr>
          <w:lang w:val="en-US"/>
        </w:rPr>
        <w:t>0</w:t>
      </w:r>
      <w:r>
        <w:rPr>
          <w:lang w:eastAsia="zh-CN"/>
        </w:rPr>
        <w:t>次，出国（境）</w:t>
      </w:r>
      <w:r>
        <w:rPr>
          <w:lang w:val="en-US"/>
        </w:rPr>
        <w:t>0</w:t>
      </w:r>
      <w:r>
        <w:rPr>
          <w:lang w:eastAsia="zh-CN"/>
        </w:rPr>
        <w:t>人。因公出国（境）支出决算比</w:t>
      </w:r>
      <w:r>
        <w:rPr>
          <w:lang w:val="en-US"/>
        </w:rPr>
        <w:t>2021</w:t>
      </w:r>
      <w:r>
        <w:rPr>
          <w:lang w:eastAsia="zh-CN"/>
        </w:rPr>
        <w:t>年无变化，增长</w:t>
      </w:r>
      <w:r>
        <w:rPr>
          <w:lang w:val="en-US"/>
        </w:rPr>
        <w:t>0.00%</w:t>
      </w:r>
      <w:r>
        <w:rPr>
          <w:lang w:eastAsia="zh-CN"/>
        </w:rPr>
        <w:t>，主要原因是均未产生。</w:t>
      </w:r>
    </w:p>
    <w:p w14:paraId="0E83B745">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val="en-US"/>
        </w:rPr>
        <w:t>2.</w:t>
      </w:r>
      <w:r>
        <w:rPr>
          <w:rStyle w:val="22"/>
          <w:rFonts w:hint="eastAsia" w:ascii="仿宋_GB2312" w:hAnsi="宋体" w:eastAsia="仿宋_GB2312" w:cs="仿宋_GB2312"/>
          <w:lang w:eastAsia="zh-CN"/>
        </w:rPr>
        <w:t>公务用车购置及运行维护费支出</w:t>
      </w:r>
      <w:r>
        <w:rPr>
          <w:lang w:val="en-US"/>
        </w:rPr>
        <w:t>39.22</w:t>
      </w:r>
      <w:r>
        <w:rPr>
          <w:lang w:eastAsia="zh-CN"/>
        </w:rPr>
        <w:t>万元</w:t>
      </w:r>
      <w:r>
        <w:rPr>
          <w:lang w:val="en-US"/>
        </w:rPr>
        <w:t>,</w:t>
      </w:r>
      <w:r>
        <w:rPr>
          <w:rStyle w:val="22"/>
          <w:rFonts w:hint="eastAsia" w:ascii="仿宋_GB2312" w:hAnsi="宋体" w:eastAsia="仿宋_GB2312" w:cs="仿宋_GB2312"/>
          <w:lang w:eastAsia="zh-CN"/>
        </w:rPr>
        <w:t>完成预算</w:t>
      </w:r>
      <w:r>
        <w:rPr>
          <w:rStyle w:val="22"/>
          <w:rFonts w:hint="eastAsia" w:ascii="仿宋_GB2312" w:hAnsi="宋体" w:eastAsia="仿宋_GB2312" w:cs="仿宋_GB2312"/>
          <w:lang w:val="en-US"/>
        </w:rPr>
        <w:t>100.00%</w:t>
      </w:r>
      <w:r>
        <w:rPr>
          <w:rStyle w:val="22"/>
          <w:rFonts w:hint="eastAsia" w:ascii="仿宋_GB2312" w:hAnsi="宋体" w:eastAsia="仿宋_GB2312" w:cs="仿宋_GB2312"/>
          <w:lang w:eastAsia="zh-CN"/>
        </w:rPr>
        <w:t>。</w:t>
      </w:r>
      <w:r>
        <w:rPr>
          <w:lang w:eastAsia="zh-CN"/>
        </w:rPr>
        <w:t>公务用车购置及运行维护费支出决算比</w:t>
      </w:r>
      <w:r>
        <w:rPr>
          <w:lang w:val="en-US"/>
        </w:rPr>
        <w:t>2021</w:t>
      </w:r>
      <w:r>
        <w:rPr>
          <w:lang w:eastAsia="zh-CN"/>
        </w:rPr>
        <w:t>年增加</w:t>
      </w:r>
      <w:r>
        <w:rPr>
          <w:lang w:val="en-US"/>
        </w:rPr>
        <w:t>-21.51</w:t>
      </w:r>
      <w:r>
        <w:rPr>
          <w:lang w:eastAsia="zh-CN"/>
        </w:rPr>
        <w:t>万元，增长</w:t>
      </w:r>
      <w:r>
        <w:rPr>
          <w:lang w:val="en-US"/>
        </w:rPr>
        <w:t>-35.42%</w:t>
      </w:r>
      <w:r>
        <w:rPr>
          <w:lang w:eastAsia="zh-CN"/>
        </w:rPr>
        <w:t>。主要原因是上年公车维修较多，今年相对于去年车辆故障少。</w:t>
      </w:r>
    </w:p>
    <w:p w14:paraId="4F5749D4">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eastAsia="zh-CN"/>
        </w:rPr>
        <w:t>公务用车运行维护费支出</w:t>
      </w:r>
      <w:r>
        <w:rPr>
          <w:lang w:val="en-US"/>
        </w:rPr>
        <w:t>39.22</w:t>
      </w:r>
      <w:r>
        <w:rPr>
          <w:lang w:eastAsia="zh-CN"/>
        </w:rPr>
        <w:t>万元。主要用于在北京、成都、马尔康等地开展政务联络后勤保障服务工作、机要、信访稳控工作、招商引资及农民工服务保障等工作所需的公务用车燃料费、维修费、过路过桥费、保险费等支出。</w:t>
      </w:r>
    </w:p>
    <w:p w14:paraId="1DF0D97A">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val="en-US"/>
        </w:rPr>
        <w:t>3.</w:t>
      </w:r>
      <w:r>
        <w:rPr>
          <w:rStyle w:val="22"/>
          <w:rFonts w:hint="eastAsia" w:ascii="仿宋_GB2312" w:hAnsi="宋体" w:eastAsia="仿宋_GB2312" w:cs="仿宋_GB2312"/>
          <w:lang w:eastAsia="zh-CN"/>
        </w:rPr>
        <w:t>公务接待费支出</w:t>
      </w:r>
      <w:r>
        <w:rPr>
          <w:lang w:val="en-US"/>
        </w:rPr>
        <w:t>0.00</w:t>
      </w:r>
      <w:r>
        <w:rPr>
          <w:lang w:eastAsia="zh-CN"/>
        </w:rPr>
        <w:t>万元，</w:t>
      </w:r>
      <w:r>
        <w:rPr>
          <w:rStyle w:val="22"/>
          <w:rFonts w:hint="eastAsia" w:ascii="仿宋_GB2312" w:hAnsi="宋体" w:eastAsia="仿宋_GB2312" w:cs="仿宋_GB2312"/>
          <w:lang w:eastAsia="zh-CN"/>
        </w:rPr>
        <w:t>完成预算</w:t>
      </w:r>
      <w:r>
        <w:rPr>
          <w:rStyle w:val="22"/>
          <w:rFonts w:hint="eastAsia" w:ascii="仿宋_GB2312" w:hAnsi="宋体" w:eastAsia="仿宋_GB2312" w:cs="仿宋_GB2312"/>
          <w:lang w:val="en-US"/>
        </w:rPr>
        <w:t>100%</w:t>
      </w:r>
      <w:r>
        <w:rPr>
          <w:rStyle w:val="22"/>
          <w:rFonts w:hint="eastAsia" w:ascii="仿宋_GB2312" w:hAnsi="宋体" w:eastAsia="仿宋_GB2312" w:cs="仿宋_GB2312"/>
          <w:lang w:eastAsia="zh-CN"/>
        </w:rPr>
        <w:t>。</w:t>
      </w:r>
      <w:r>
        <w:rPr>
          <w:lang w:eastAsia="zh-CN"/>
        </w:rPr>
        <w:t>公务接待费支出决算比</w:t>
      </w:r>
      <w:r>
        <w:rPr>
          <w:lang w:val="en-US"/>
        </w:rPr>
        <w:t>2021</w:t>
      </w:r>
      <w:r>
        <w:rPr>
          <w:lang w:eastAsia="zh-CN"/>
        </w:rPr>
        <w:t>年增加</w:t>
      </w:r>
      <w:r>
        <w:rPr>
          <w:lang w:val="en-US"/>
        </w:rPr>
        <w:t>-2.00</w:t>
      </w:r>
      <w:r>
        <w:rPr>
          <w:lang w:eastAsia="zh-CN"/>
        </w:rPr>
        <w:t>万元，增长</w:t>
      </w:r>
      <w:r>
        <w:rPr>
          <w:lang w:val="en-US"/>
        </w:rPr>
        <w:t>-100.00%</w:t>
      </w:r>
      <w:r>
        <w:rPr>
          <w:lang w:eastAsia="zh-CN"/>
        </w:rPr>
        <w:t>。主要原因是今年未接到相关接待工作。</w:t>
      </w:r>
    </w:p>
    <w:p w14:paraId="1D70B7B7">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eastAsia="zh-CN"/>
        </w:rPr>
        <w:t>国内公务接待支出</w:t>
      </w:r>
      <w:r>
        <w:rPr>
          <w:lang w:val="en-US"/>
        </w:rPr>
        <w:t>0.00</w:t>
      </w:r>
      <w:r>
        <w:rPr>
          <w:lang w:eastAsia="zh-CN"/>
        </w:rPr>
        <w:t>万元。国内公务接待</w:t>
      </w:r>
      <w:r>
        <w:rPr>
          <w:lang w:val="en-US"/>
        </w:rPr>
        <w:t>0</w:t>
      </w:r>
      <w:r>
        <w:rPr>
          <w:lang w:eastAsia="zh-CN"/>
        </w:rPr>
        <w:t>批次，</w:t>
      </w:r>
      <w:r>
        <w:rPr>
          <w:lang w:val="en-US"/>
        </w:rPr>
        <w:t>0</w:t>
      </w:r>
      <w:r>
        <w:rPr>
          <w:lang w:eastAsia="zh-CN"/>
        </w:rPr>
        <w:t>人次（不包括陪同人员），共计支出</w:t>
      </w:r>
      <w:r>
        <w:rPr>
          <w:lang w:val="en-US"/>
        </w:rPr>
        <w:t>0.00</w:t>
      </w:r>
      <w:r>
        <w:rPr>
          <w:lang w:eastAsia="zh-CN"/>
        </w:rPr>
        <w:t>万元。</w:t>
      </w:r>
    </w:p>
    <w:p w14:paraId="49F8F747">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eastAsia="zh-CN"/>
        </w:rPr>
        <w:t>外事接待支出</w:t>
      </w:r>
      <w:r>
        <w:rPr>
          <w:lang w:val="en-US"/>
        </w:rPr>
        <w:t>0.00</w:t>
      </w:r>
      <w:r>
        <w:rPr>
          <w:lang w:eastAsia="zh-CN"/>
        </w:rPr>
        <w:t>万元，外事接待</w:t>
      </w:r>
      <w:r>
        <w:rPr>
          <w:lang w:val="en-US"/>
        </w:rPr>
        <w:t>0</w:t>
      </w:r>
      <w:r>
        <w:rPr>
          <w:lang w:eastAsia="zh-CN"/>
        </w:rPr>
        <w:t>批次，</w:t>
      </w:r>
      <w:r>
        <w:rPr>
          <w:lang w:val="en-US"/>
        </w:rPr>
        <w:t>0</w:t>
      </w:r>
      <w:r>
        <w:rPr>
          <w:lang w:eastAsia="zh-CN"/>
        </w:rPr>
        <w:t>人，共计支出</w:t>
      </w:r>
      <w:r>
        <w:rPr>
          <w:lang w:val="en-US"/>
        </w:rPr>
        <w:t>0.00</w:t>
      </w:r>
      <w:r>
        <w:rPr>
          <w:lang w:eastAsia="zh-CN"/>
        </w:rPr>
        <w:t xml:space="preserve">万元。 </w:t>
      </w:r>
    </w:p>
    <w:p w14:paraId="1311D12F">
      <w:pPr>
        <w:pStyle w:val="2"/>
        <w:spacing w:before="93" w:beforeLines="30" w:beforeAutospacing="0" w:after="0" w:afterAutospacing="0"/>
        <w:ind w:left="0" w:right="0" w:firstLine="602" w:firstLineChars="200"/>
        <w:outlineLvl w:val="1"/>
        <w:rPr>
          <w:b/>
          <w:bCs w:val="0"/>
          <w:lang w:val="en-US"/>
        </w:rPr>
      </w:pPr>
      <w:bookmarkStart w:id="67" w:name="_Toc9280"/>
      <w:bookmarkEnd w:id="67"/>
      <w:bookmarkStart w:id="68" w:name="_Toc7967"/>
      <w:bookmarkEnd w:id="68"/>
      <w:bookmarkStart w:id="69" w:name="_Toc5650"/>
      <w:bookmarkEnd w:id="69"/>
      <w:bookmarkStart w:id="70" w:name="_Toc6490"/>
      <w:bookmarkStart w:id="71" w:name="_Toc9013"/>
      <w:r>
        <w:rPr>
          <w:b/>
          <w:bCs w:val="0"/>
          <w:lang w:eastAsia="zh-CN"/>
        </w:rPr>
        <w:t>八、政府性基金预算支出决算情况说明</w:t>
      </w:r>
      <w:bookmarkEnd w:id="70"/>
      <w:bookmarkEnd w:id="71"/>
    </w:p>
    <w:p w14:paraId="1282A0FE">
      <w:pPr>
        <w:pStyle w:val="2"/>
        <w:spacing w:before="93" w:beforeLines="30" w:beforeAutospacing="0" w:after="0" w:afterAutospacing="0"/>
        <w:ind w:left="0" w:right="0" w:firstLine="600" w:firstLineChars="200"/>
      </w:pPr>
      <w:r>
        <w:rPr>
          <w:lang w:val="en-US"/>
        </w:rPr>
        <w:t>2022</w:t>
      </w:r>
      <w:r>
        <w:rPr>
          <w:lang w:eastAsia="zh-CN"/>
        </w:rPr>
        <w:t>年政府性基金预算财政拨款支出</w:t>
      </w:r>
      <w:r>
        <w:rPr>
          <w:lang w:val="en-US"/>
        </w:rPr>
        <w:t>0.00</w:t>
      </w:r>
      <w:r>
        <w:rPr>
          <w:lang w:eastAsia="zh-CN"/>
        </w:rPr>
        <w:t>万元。</w:t>
      </w:r>
    </w:p>
    <w:p w14:paraId="62F8A20D">
      <w:pPr>
        <w:pStyle w:val="2"/>
        <w:spacing w:before="93" w:beforeLines="30" w:beforeAutospacing="0" w:after="0" w:afterAutospacing="0"/>
        <w:ind w:left="0" w:right="0" w:firstLine="602" w:firstLineChars="200"/>
        <w:outlineLvl w:val="1"/>
        <w:rPr>
          <w:b/>
          <w:bCs w:val="0"/>
          <w:lang w:val="en-US"/>
        </w:rPr>
      </w:pPr>
      <w:bookmarkStart w:id="72" w:name="_Toc25938"/>
      <w:bookmarkEnd w:id="72"/>
      <w:bookmarkStart w:id="73" w:name="_Toc29740"/>
      <w:bookmarkEnd w:id="73"/>
      <w:bookmarkStart w:id="74" w:name="_Toc3975"/>
      <w:bookmarkEnd w:id="74"/>
      <w:bookmarkStart w:id="75" w:name="_Toc14621"/>
      <w:bookmarkStart w:id="76" w:name="_Toc20187"/>
      <w:r>
        <w:rPr>
          <w:b/>
          <w:bCs w:val="0"/>
          <w:lang w:eastAsia="zh-CN"/>
        </w:rPr>
        <w:t>九、国有资本经营预算支出决算情况说明</w:t>
      </w:r>
      <w:bookmarkEnd w:id="75"/>
      <w:bookmarkEnd w:id="76"/>
    </w:p>
    <w:p w14:paraId="354D1BD8">
      <w:pPr>
        <w:pStyle w:val="2"/>
        <w:spacing w:before="93" w:beforeLines="30" w:beforeAutospacing="0" w:after="0" w:afterAutospacing="0"/>
        <w:ind w:left="0" w:right="0" w:firstLine="600" w:firstLineChars="200"/>
      </w:pPr>
      <w:r>
        <w:rPr>
          <w:lang w:val="en-US"/>
        </w:rPr>
        <w:t>2022</w:t>
      </w:r>
      <w:r>
        <w:rPr>
          <w:lang w:eastAsia="zh-CN"/>
        </w:rPr>
        <w:t>年国有资本经营预算财政拨款支出</w:t>
      </w:r>
      <w:r>
        <w:rPr>
          <w:lang w:val="en-US"/>
        </w:rPr>
        <w:t>0.00</w:t>
      </w:r>
      <w:r>
        <w:rPr>
          <w:lang w:eastAsia="zh-CN"/>
        </w:rPr>
        <w:t xml:space="preserve">万元。 </w:t>
      </w:r>
    </w:p>
    <w:p w14:paraId="4C549417">
      <w:pPr>
        <w:pStyle w:val="2"/>
        <w:spacing w:before="93" w:beforeLines="30" w:beforeAutospacing="0" w:after="0" w:afterAutospacing="0"/>
        <w:ind w:left="0" w:right="0" w:firstLine="602" w:firstLineChars="200"/>
        <w:outlineLvl w:val="1"/>
        <w:rPr>
          <w:b/>
          <w:bCs w:val="0"/>
          <w:lang w:val="en-US"/>
        </w:rPr>
      </w:pPr>
      <w:bookmarkStart w:id="77" w:name="_Toc13983"/>
      <w:bookmarkEnd w:id="77"/>
      <w:bookmarkStart w:id="78" w:name="_Toc24259"/>
      <w:bookmarkEnd w:id="78"/>
      <w:bookmarkStart w:id="79" w:name="_Toc31035"/>
      <w:bookmarkEnd w:id="79"/>
      <w:bookmarkStart w:id="80" w:name="_Toc28477"/>
      <w:bookmarkStart w:id="81" w:name="_Toc14820"/>
      <w:r>
        <w:rPr>
          <w:b/>
          <w:bCs w:val="0"/>
          <w:lang w:eastAsia="zh-CN"/>
        </w:rPr>
        <w:t>十、其他重要事项的情况说明</w:t>
      </w:r>
      <w:bookmarkEnd w:id="80"/>
      <w:bookmarkEnd w:id="81"/>
    </w:p>
    <w:p w14:paraId="2FED5B6E">
      <w:pPr>
        <w:pStyle w:val="2"/>
        <w:spacing w:before="93" w:beforeLines="30" w:beforeAutospacing="0" w:after="0" w:afterAutospacing="0"/>
        <w:ind w:left="0" w:right="0" w:firstLine="602" w:firstLineChars="200"/>
        <w:outlineLvl w:val="2"/>
      </w:pPr>
      <w:bookmarkStart w:id="82" w:name="_Toc2713"/>
      <w:r>
        <w:rPr>
          <w:rStyle w:val="22"/>
          <w:rFonts w:hint="eastAsia" w:ascii="仿宋_GB2312" w:hAnsi="宋体" w:eastAsia="仿宋_GB2312" w:cs="仿宋_GB2312"/>
          <w:lang w:eastAsia="zh-CN"/>
        </w:rPr>
        <w:t>（一）机关运行经费支出情况</w:t>
      </w:r>
      <w:bookmarkEnd w:id="82"/>
    </w:p>
    <w:p w14:paraId="154EF1FF">
      <w:pPr>
        <w:pStyle w:val="2"/>
        <w:spacing w:before="93" w:beforeLines="30" w:beforeAutospacing="0" w:after="0" w:afterAutospacing="0"/>
        <w:ind w:left="0" w:right="0" w:firstLine="600" w:firstLineChars="200"/>
      </w:pPr>
      <w:r>
        <w:rPr>
          <w:lang w:val="en-US"/>
        </w:rPr>
        <w:t>2022</w:t>
      </w:r>
      <w:r>
        <w:rPr>
          <w:lang w:eastAsia="zh-CN"/>
        </w:rPr>
        <w:t>年，四川省阿坝州人民政府驻北京联络处机关运行经费支出</w:t>
      </w:r>
      <w:r>
        <w:rPr>
          <w:lang w:val="en-US"/>
        </w:rPr>
        <w:t>80.32</w:t>
      </w:r>
      <w:r>
        <w:rPr>
          <w:lang w:eastAsia="zh-CN"/>
        </w:rPr>
        <w:t>万元，比</w:t>
      </w:r>
      <w:r>
        <w:rPr>
          <w:lang w:val="en-US"/>
        </w:rPr>
        <w:t>2021</w:t>
      </w:r>
      <w:r>
        <w:rPr>
          <w:lang w:eastAsia="zh-CN"/>
        </w:rPr>
        <w:t>年增加</w:t>
      </w:r>
      <w:r>
        <w:rPr>
          <w:lang w:val="en-US"/>
        </w:rPr>
        <w:t>-481.42</w:t>
      </w:r>
      <w:r>
        <w:rPr>
          <w:lang w:eastAsia="zh-CN"/>
        </w:rPr>
        <w:t>万元，增长</w:t>
      </w:r>
      <w:r>
        <w:rPr>
          <w:lang w:val="en-US"/>
        </w:rPr>
        <w:t>-85.70%</w:t>
      </w:r>
      <w:r>
        <w:rPr>
          <w:lang w:eastAsia="zh-CN"/>
        </w:rPr>
        <w:t>（或与</w:t>
      </w:r>
      <w:r>
        <w:rPr>
          <w:lang w:val="en-US"/>
        </w:rPr>
        <w:t>2021</w:t>
      </w:r>
      <w:r>
        <w:rPr>
          <w:lang w:eastAsia="zh-CN"/>
        </w:rPr>
        <w:t>年决算数持平）。主要原因是较</w:t>
      </w:r>
      <w:r>
        <w:rPr>
          <w:lang w:val="en-US"/>
        </w:rPr>
        <w:t>2021</w:t>
      </w:r>
      <w:r>
        <w:rPr>
          <w:lang w:eastAsia="zh-CN"/>
        </w:rPr>
        <w:t>年减少了一次性支出，北京办公区维修改造及办公家具和设备购置。</w:t>
      </w:r>
    </w:p>
    <w:p w14:paraId="79DF0ADC">
      <w:pPr>
        <w:pStyle w:val="2"/>
        <w:spacing w:before="93" w:beforeLines="30" w:beforeAutospacing="0" w:after="0" w:afterAutospacing="0"/>
        <w:ind w:left="0" w:right="0" w:firstLine="600" w:firstLineChars="200"/>
        <w:rPr>
          <w:rStyle w:val="22"/>
          <w:rFonts w:hint="eastAsia" w:ascii="仿宋_GB2312" w:hAnsi="宋体" w:eastAsia="仿宋_GB2312" w:cs="仿宋_GB2312"/>
          <w:b w:val="0"/>
          <w:bCs w:val="0"/>
          <w:lang w:eastAsia="zh-CN"/>
        </w:rPr>
      </w:pPr>
      <w:r>
        <w:rPr>
          <w:rStyle w:val="22"/>
          <w:rFonts w:hint="eastAsia" w:ascii="仿宋_GB2312" w:hAnsi="宋体" w:eastAsia="仿宋_GB2312" w:cs="仿宋_GB2312"/>
          <w:b w:val="0"/>
          <w:bCs w:val="0"/>
          <w:lang w:eastAsia="zh-CN"/>
        </w:rPr>
        <w:t>（注：数据来源于财决附</w:t>
      </w:r>
      <w:r>
        <w:rPr>
          <w:rStyle w:val="22"/>
          <w:rFonts w:hint="eastAsia" w:ascii="仿宋_GB2312" w:hAnsi="宋体" w:eastAsia="仿宋_GB2312" w:cs="仿宋_GB2312"/>
          <w:b w:val="0"/>
          <w:bCs w:val="0"/>
          <w:lang w:val="en-US" w:eastAsia="zh-CN"/>
        </w:rPr>
        <w:t>03</w:t>
      </w:r>
      <w:r>
        <w:rPr>
          <w:rStyle w:val="22"/>
          <w:rFonts w:hint="eastAsia" w:ascii="仿宋_GB2312" w:hAnsi="宋体" w:eastAsia="仿宋_GB2312" w:cs="仿宋_GB2312"/>
          <w:b w:val="0"/>
          <w:bCs w:val="0"/>
          <w:lang w:eastAsia="zh-CN"/>
        </w:rPr>
        <w:t>表）</w:t>
      </w:r>
    </w:p>
    <w:p w14:paraId="7EAC9B27">
      <w:pPr>
        <w:pStyle w:val="2"/>
        <w:spacing w:before="93" w:beforeLines="30" w:beforeAutospacing="0" w:after="0" w:afterAutospacing="0"/>
        <w:ind w:left="0" w:right="0" w:firstLine="602" w:firstLineChars="200"/>
        <w:outlineLvl w:val="2"/>
      </w:pPr>
      <w:bookmarkStart w:id="83" w:name="_Toc17792"/>
      <w:r>
        <w:rPr>
          <w:rStyle w:val="22"/>
          <w:rFonts w:hint="eastAsia" w:ascii="仿宋_GB2312" w:hAnsi="宋体" w:eastAsia="仿宋_GB2312" w:cs="仿宋_GB2312"/>
          <w:lang w:eastAsia="zh-CN"/>
        </w:rPr>
        <w:t>（二）政府采购支出情况</w:t>
      </w:r>
      <w:bookmarkEnd w:id="83"/>
    </w:p>
    <w:p w14:paraId="164402E8">
      <w:pPr>
        <w:pStyle w:val="2"/>
        <w:spacing w:before="93" w:beforeLines="30" w:beforeAutospacing="0" w:after="0" w:afterAutospacing="0"/>
        <w:ind w:left="0" w:right="0" w:firstLine="600" w:firstLineChars="200"/>
      </w:pPr>
      <w:r>
        <w:rPr>
          <w:lang w:val="en-US"/>
        </w:rPr>
        <w:t>2022</w:t>
      </w:r>
      <w:r>
        <w:rPr>
          <w:lang w:eastAsia="zh-CN"/>
        </w:rPr>
        <w:t>年，四川省阿坝州人民政府驻北京联络处政府采购支出总额</w:t>
      </w:r>
      <w:r>
        <w:rPr>
          <w:lang w:val="en-US"/>
        </w:rPr>
        <w:t>0.00</w:t>
      </w:r>
      <w:r>
        <w:rPr>
          <w:lang w:eastAsia="zh-CN"/>
        </w:rPr>
        <w:t>万元，其中：政府采购货物支出</w:t>
      </w:r>
      <w:r>
        <w:rPr>
          <w:lang w:val="en-US"/>
        </w:rPr>
        <w:t>0.00</w:t>
      </w:r>
      <w:r>
        <w:rPr>
          <w:lang w:eastAsia="zh-CN"/>
        </w:rPr>
        <w:t>万元、政府采购工程支出</w:t>
      </w:r>
      <w:r>
        <w:rPr>
          <w:lang w:val="en-US"/>
        </w:rPr>
        <w:t>0.00</w:t>
      </w:r>
      <w:r>
        <w:rPr>
          <w:lang w:eastAsia="zh-CN"/>
        </w:rPr>
        <w:t>万元、政府采购服务支出</w:t>
      </w:r>
      <w:r>
        <w:rPr>
          <w:lang w:val="en-US"/>
        </w:rPr>
        <w:t>0.00</w:t>
      </w:r>
      <w:r>
        <w:rPr>
          <w:lang w:eastAsia="zh-CN"/>
        </w:rPr>
        <w:t>万元。授予中小企业合同金额</w:t>
      </w:r>
      <w:r>
        <w:rPr>
          <w:lang w:val="en-US"/>
        </w:rPr>
        <w:t>0.00</w:t>
      </w:r>
      <w:r>
        <w:rPr>
          <w:lang w:eastAsia="zh-CN"/>
        </w:rPr>
        <w:t>万元，占政府采购支出总额的</w:t>
      </w:r>
      <w:r>
        <w:rPr>
          <w:lang w:val="en-US"/>
        </w:rPr>
        <w:t>0.00%</w:t>
      </w:r>
      <w:r>
        <w:rPr>
          <w:lang w:eastAsia="zh-CN"/>
        </w:rPr>
        <w:t>，其中：授予小微企业合同金额</w:t>
      </w:r>
      <w:r>
        <w:rPr>
          <w:lang w:val="en-US"/>
        </w:rPr>
        <w:t>0.00</w:t>
      </w:r>
      <w:r>
        <w:rPr>
          <w:lang w:eastAsia="zh-CN"/>
        </w:rPr>
        <w:t>万元，占政府采购支出总额的</w:t>
      </w:r>
      <w:r>
        <w:rPr>
          <w:lang w:val="en-US"/>
        </w:rPr>
        <w:t>0.00%</w:t>
      </w:r>
      <w:r>
        <w:rPr>
          <w:lang w:eastAsia="zh-CN"/>
        </w:rPr>
        <w:t>。</w:t>
      </w:r>
    </w:p>
    <w:p w14:paraId="38C2278F">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（注：数据来源于财决附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表）</w:t>
      </w:r>
    </w:p>
    <w:p w14:paraId="5B1D17E4">
      <w:pPr>
        <w:pStyle w:val="2"/>
        <w:spacing w:before="93" w:beforeLines="30" w:beforeAutospacing="0" w:after="0" w:afterAutospacing="0"/>
        <w:ind w:left="0" w:right="0" w:firstLine="602" w:firstLineChars="200"/>
        <w:outlineLvl w:val="2"/>
      </w:pPr>
      <w:bookmarkStart w:id="84" w:name="_Toc23365"/>
      <w:r>
        <w:rPr>
          <w:rStyle w:val="22"/>
          <w:rFonts w:hint="eastAsia" w:ascii="仿宋_GB2312" w:hAnsi="宋体" w:eastAsia="仿宋_GB2312" w:cs="仿宋_GB2312"/>
          <w:lang w:eastAsia="zh-CN"/>
        </w:rPr>
        <w:t>（三）国有资产占有使用情况</w:t>
      </w:r>
      <w:bookmarkEnd w:id="84"/>
    </w:p>
    <w:p w14:paraId="295DCFB3">
      <w:pPr>
        <w:pStyle w:val="2"/>
        <w:spacing w:before="93" w:beforeLines="30" w:beforeAutospacing="0" w:after="0" w:afterAutospacing="0"/>
        <w:ind w:left="0" w:right="0" w:firstLine="600" w:firstLineChars="200"/>
      </w:pPr>
      <w:r>
        <w:rPr>
          <w:lang w:eastAsia="zh-CN"/>
        </w:rPr>
        <w:t>截至</w:t>
      </w:r>
      <w:r>
        <w:rPr>
          <w:lang w:val="en-US"/>
        </w:rPr>
        <w:t>2022</w:t>
      </w:r>
      <w:r>
        <w:rPr>
          <w:lang w:eastAsia="zh-CN"/>
        </w:rPr>
        <w:t>年</w:t>
      </w:r>
      <w:r>
        <w:rPr>
          <w:lang w:val="en-US"/>
        </w:rPr>
        <w:t>12</w:t>
      </w:r>
      <w:r>
        <w:rPr>
          <w:lang w:eastAsia="zh-CN"/>
        </w:rPr>
        <w:t>月</w:t>
      </w:r>
      <w:r>
        <w:rPr>
          <w:lang w:val="en-US"/>
        </w:rPr>
        <w:t>31</w:t>
      </w:r>
      <w:r>
        <w:rPr>
          <w:lang w:eastAsia="zh-CN"/>
        </w:rPr>
        <w:t>日，四川省阿坝州人民政府驻北京联络处共有车辆</w:t>
      </w:r>
      <w:r>
        <w:rPr>
          <w:lang w:val="en-US"/>
        </w:rPr>
        <w:t>9</w:t>
      </w:r>
      <w:r>
        <w:rPr>
          <w:lang w:eastAsia="zh-CN"/>
        </w:rPr>
        <w:t>辆，其中：主要领导干部用车</w:t>
      </w:r>
      <w:r>
        <w:rPr>
          <w:lang w:val="en-US"/>
        </w:rPr>
        <w:t>0</w:t>
      </w:r>
      <w:r>
        <w:rPr>
          <w:lang w:eastAsia="zh-CN"/>
        </w:rPr>
        <w:t>辆、机要通信用车</w:t>
      </w:r>
      <w:r>
        <w:rPr>
          <w:lang w:val="en-US"/>
        </w:rPr>
        <w:t>0</w:t>
      </w:r>
      <w:r>
        <w:rPr>
          <w:lang w:eastAsia="zh-CN"/>
        </w:rPr>
        <w:t>辆、应急保障用车</w:t>
      </w:r>
      <w:r>
        <w:rPr>
          <w:lang w:val="en-US"/>
        </w:rPr>
        <w:t>0</w:t>
      </w:r>
      <w:r>
        <w:rPr>
          <w:lang w:eastAsia="zh-CN"/>
        </w:rPr>
        <w:t>辆、其他用车</w:t>
      </w:r>
      <w:r>
        <w:rPr>
          <w:lang w:val="en-US"/>
        </w:rPr>
        <w:t>9</w:t>
      </w:r>
      <w:r>
        <w:rPr>
          <w:lang w:eastAsia="zh-CN"/>
        </w:rPr>
        <w:t>辆，其他用车主要是用于北京、成都两地政务联络接送机、接送领导，机要收发文件、信访维稳工作、招商引资等工作，单位日常运行中车辆的使用，及到州内各县出差等，单价</w:t>
      </w:r>
      <w:r>
        <w:rPr>
          <w:lang w:val="en-US"/>
        </w:rPr>
        <w:t>100</w:t>
      </w:r>
      <w:r>
        <w:rPr>
          <w:lang w:eastAsia="zh-CN"/>
        </w:rPr>
        <w:t>万元（含）以上设备（不含车辆）</w:t>
      </w:r>
      <w:r>
        <w:rPr>
          <w:lang w:val="en-US"/>
        </w:rPr>
        <w:t>0</w:t>
      </w:r>
      <w:r>
        <w:rPr>
          <w:lang w:eastAsia="zh-CN"/>
        </w:rPr>
        <w:t>台（套）。</w:t>
      </w:r>
    </w:p>
    <w:p w14:paraId="0B6DF452">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表，按部门决算报表填报数据罗列车辆情况。）</w:t>
      </w:r>
    </w:p>
    <w:p w14:paraId="3AB1C211">
      <w:pPr>
        <w:pStyle w:val="2"/>
        <w:spacing w:before="93" w:beforeLines="30" w:beforeAutospacing="0" w:after="0" w:afterAutospacing="0"/>
        <w:ind w:left="0" w:right="0" w:firstLine="602" w:firstLineChars="200"/>
        <w:outlineLvl w:val="2"/>
      </w:pPr>
      <w:bookmarkStart w:id="85" w:name="_Toc15928"/>
      <w:r>
        <w:rPr>
          <w:rStyle w:val="22"/>
          <w:rFonts w:hint="eastAsia" w:ascii="仿宋_GB2312" w:hAnsi="宋体" w:eastAsia="仿宋_GB2312" w:cs="仿宋_GB2312"/>
          <w:lang w:eastAsia="zh-CN"/>
        </w:rPr>
        <w:t>（四）预算绩效管理情况</w:t>
      </w:r>
      <w:bookmarkEnd w:id="85"/>
    </w:p>
    <w:p w14:paraId="6919C89E">
      <w:pPr>
        <w:pStyle w:val="2"/>
        <w:spacing w:before="93" w:beforeLines="30" w:beforeAutospacing="0" w:after="0" w:afterAutospacing="0"/>
        <w:ind w:left="0" w:right="0" w:firstLine="600" w:firstLineChars="200"/>
      </w:pPr>
      <w:r>
        <w:rPr>
          <w:lang w:eastAsia="zh-CN"/>
        </w:rPr>
        <w:t>根据预算绩效管理要求，本部门在</w:t>
      </w:r>
      <w:r>
        <w:rPr>
          <w:lang w:val="en-US"/>
        </w:rPr>
        <w:t>2022</w:t>
      </w:r>
      <w:r>
        <w:rPr>
          <w:lang w:eastAsia="zh-CN"/>
        </w:rPr>
        <w:t>年度预算编制阶段，组织对招商引资、政务联络、信访维稳工作经费、成都办公场所租赁等</w:t>
      </w:r>
      <w:r>
        <w:rPr>
          <w:lang w:val="en-US"/>
        </w:rPr>
        <w:t>4</w:t>
      </w:r>
      <w:r>
        <w:rPr>
          <w:lang w:eastAsia="zh-CN"/>
        </w:rPr>
        <w:t>个项目开展了预算事前绩效评估，对</w:t>
      </w:r>
      <w:r>
        <w:rPr>
          <w:lang w:val="en-US"/>
        </w:rPr>
        <w:t>2</w:t>
      </w:r>
      <w:r>
        <w:rPr>
          <w:lang w:eastAsia="zh-CN"/>
        </w:rPr>
        <w:t>个项目编制了绩效目标，预算执行过程中，选取</w:t>
      </w:r>
      <w:r>
        <w:rPr>
          <w:lang w:val="en-US"/>
        </w:rPr>
        <w:t>2</w:t>
      </w:r>
      <w:r>
        <w:rPr>
          <w:lang w:eastAsia="zh-CN"/>
        </w:rPr>
        <w:t>个项目开展绩效监控。</w:t>
      </w:r>
    </w:p>
    <w:p w14:paraId="0C32B0AC">
      <w:pPr>
        <w:pStyle w:val="2"/>
        <w:spacing w:before="93" w:beforeLines="30" w:beforeAutospacing="0" w:after="0" w:afterAutospacing="0"/>
        <w:ind w:left="0" w:right="0" w:firstLine="600" w:firstLineChars="200"/>
      </w:pPr>
      <w:r>
        <w:rPr>
          <w:lang w:eastAsia="zh-CN"/>
        </w:rPr>
        <w:t>组织对</w:t>
      </w:r>
      <w:r>
        <w:rPr>
          <w:lang w:val="en-US"/>
        </w:rPr>
        <w:t>2022</w:t>
      </w:r>
      <w:r>
        <w:rPr>
          <w:lang w:eastAsia="zh-CN"/>
        </w:rPr>
        <w:t>年度一般公共预算、政府性基金预算、国有资本经营预算、社会保险基金预算以及资本资产、债券资金等全面开展绩效自评，形成阿坝州人民政府驻北京联络处部门整体绩效自评报告、成都办公场所（九寨沟饭店三楼）租赁费项目、政务联络项目等专项预算项目绩效自评报告，其中，阿坝州人民政府驻北京联络处部门整体（含部门预算项目）绩效自评得分为</w:t>
      </w:r>
      <w:r>
        <w:rPr>
          <w:lang w:val="en-US"/>
        </w:rPr>
        <w:t>99.4</w:t>
      </w:r>
      <w:r>
        <w:rPr>
          <w:lang w:eastAsia="zh-CN"/>
        </w:rPr>
        <w:t>分，绩效自评综述：我单位</w:t>
      </w:r>
      <w:r>
        <w:rPr>
          <w:lang w:val="en-US"/>
        </w:rPr>
        <w:t>2022</w:t>
      </w:r>
      <w:r>
        <w:rPr>
          <w:lang w:eastAsia="zh-CN"/>
        </w:rPr>
        <w:t xml:space="preserve">年度整体支出情况良好，资金使用规范，管理制度齐全，预算信息公开及时完整，资产管理使用规范，为保障机构正常运转，发挥了保障有效履行职能职责和完成各项工作任务的重要支撑作用，全面实现了部门预算绩效目标，财政资金使用效果良好；无专项预算项目。绩效自评报告详见附件。 </w:t>
      </w:r>
    </w:p>
    <w:p w14:paraId="5DFC403E">
      <w:pPr>
        <w:rPr>
          <w:rStyle w:val="22"/>
          <w:rFonts w:hint="eastAsia" w:ascii="仿宋_GB2312" w:hAnsi="宋体" w:eastAsia="仿宋_GB2312" w:cs="仿宋_GB2312"/>
          <w:sz w:val="36"/>
          <w:szCs w:val="36"/>
          <w:lang w:eastAsia="zh-CN"/>
        </w:rPr>
      </w:pPr>
      <w:bookmarkStart w:id="86" w:name="_Toc11572"/>
      <w:bookmarkEnd w:id="86"/>
      <w:bookmarkStart w:id="87" w:name="_Toc6531"/>
      <w:bookmarkEnd w:id="87"/>
      <w:bookmarkStart w:id="88" w:name="_Toc26162"/>
      <w:bookmarkEnd w:id="88"/>
      <w:bookmarkStart w:id="89" w:name="_Toc394"/>
      <w:bookmarkStart w:id="90" w:name="_Toc21898"/>
      <w:r>
        <w:rPr>
          <w:rStyle w:val="22"/>
          <w:rFonts w:hint="eastAsia" w:ascii="仿宋_GB2312" w:hAnsi="宋体" w:eastAsia="仿宋_GB2312" w:cs="仿宋_GB2312"/>
          <w:sz w:val="36"/>
          <w:szCs w:val="36"/>
          <w:lang w:eastAsia="zh-CN"/>
        </w:rPr>
        <w:br w:type="page"/>
      </w:r>
    </w:p>
    <w:p w14:paraId="1F734174">
      <w:pPr>
        <w:pStyle w:val="2"/>
        <w:spacing w:before="93" w:beforeLines="30" w:beforeAutospacing="0" w:after="0" w:afterAutospacing="0"/>
        <w:ind w:left="0" w:right="0" w:firstLine="723" w:firstLineChars="200"/>
        <w:jc w:val="center"/>
        <w:outlineLvl w:val="0"/>
        <w:rPr>
          <w:sz w:val="36"/>
          <w:szCs w:val="36"/>
          <w:lang w:val="en-US"/>
        </w:rPr>
      </w:pPr>
      <w:r>
        <w:rPr>
          <w:rStyle w:val="22"/>
          <w:rFonts w:hint="eastAsia" w:ascii="仿宋_GB2312" w:hAnsi="宋体" w:eastAsia="仿宋_GB2312" w:cs="仿宋_GB2312"/>
          <w:sz w:val="36"/>
          <w:szCs w:val="36"/>
          <w:lang w:eastAsia="zh-CN"/>
        </w:rPr>
        <w:t>第三部分 名词解释</w:t>
      </w:r>
      <w:bookmarkEnd w:id="89"/>
      <w:bookmarkEnd w:id="90"/>
    </w:p>
    <w:p w14:paraId="3E3DA485">
      <w:pPr>
        <w:pStyle w:val="2"/>
        <w:spacing w:before="93" w:beforeLines="30" w:beforeAutospacing="0" w:after="0" w:afterAutospacing="0"/>
        <w:ind w:left="0" w:right="0" w:firstLine="600" w:firstLineChars="200"/>
        <w:outlineLvl w:val="1"/>
      </w:pPr>
      <w:bookmarkStart w:id="91" w:name="_Toc4725"/>
      <w:bookmarkEnd w:id="91"/>
      <w:bookmarkStart w:id="92" w:name="_Toc8956"/>
      <w:bookmarkEnd w:id="92"/>
      <w:bookmarkStart w:id="93" w:name="_Toc2854"/>
      <w:bookmarkEnd w:id="93"/>
      <w:bookmarkStart w:id="94" w:name="_Toc14402"/>
      <w:bookmarkStart w:id="95" w:name="_Toc10305"/>
      <w:r>
        <w:rPr>
          <w:lang w:val="en-US"/>
        </w:rPr>
        <w:t>1</w:t>
      </w:r>
      <w:r>
        <w:rPr>
          <w:rFonts w:hint="eastAsia"/>
          <w:lang w:val="en-US" w:eastAsia="zh-CN"/>
        </w:rPr>
        <w:t>.</w:t>
      </w:r>
      <w:r>
        <w:rPr>
          <w:lang w:eastAsia="zh-CN"/>
        </w:rPr>
        <w:t>财政拨款收入：指单位从同级财政部门取得的财政预算资金</w:t>
      </w:r>
      <w:bookmarkEnd w:id="94"/>
      <w:r>
        <w:rPr>
          <w:lang w:eastAsia="zh-CN"/>
        </w:rPr>
        <w:t>。</w:t>
      </w:r>
      <w:bookmarkEnd w:id="95"/>
    </w:p>
    <w:p w14:paraId="6EB3AB17">
      <w:pPr>
        <w:pStyle w:val="2"/>
        <w:spacing w:before="93" w:beforeLines="30" w:beforeAutospacing="0" w:after="0" w:afterAutospacing="0"/>
        <w:ind w:left="0" w:right="0" w:firstLine="600" w:firstLineChars="200"/>
      </w:pPr>
      <w:r>
        <w:rPr>
          <w:lang w:val="en-US"/>
        </w:rPr>
        <w:t>2</w:t>
      </w:r>
      <w:r>
        <w:rPr>
          <w:rFonts w:hint="eastAsia"/>
          <w:lang w:val="en-US" w:eastAsia="zh-CN"/>
        </w:rPr>
        <w:t>.</w:t>
      </w:r>
      <w:r>
        <w:rPr>
          <w:lang w:eastAsia="zh-CN"/>
        </w:rPr>
        <w:t>年初结转和结余：指以前年度尚未完成、结转到本年按有关规定继续使用的资金。</w:t>
      </w:r>
    </w:p>
    <w:p w14:paraId="1B278F74">
      <w:pPr>
        <w:pStyle w:val="2"/>
        <w:spacing w:before="93" w:beforeLines="30" w:beforeAutospacing="0" w:after="0" w:afterAutospacing="0"/>
        <w:ind w:left="0" w:right="0" w:firstLine="600" w:firstLineChars="200"/>
      </w:pPr>
      <w:r>
        <w:rPr>
          <w:lang w:val="en-US"/>
        </w:rPr>
        <w:t>3</w:t>
      </w:r>
      <w:r>
        <w:rPr>
          <w:rFonts w:hint="eastAsia"/>
          <w:lang w:val="en-US" w:eastAsia="zh-CN"/>
        </w:rPr>
        <w:t>.</w:t>
      </w:r>
      <w:r>
        <w:rPr>
          <w:lang w:eastAsia="zh-CN"/>
        </w:rPr>
        <w:t>年末结转和结余：指单位按有关规定结转到下年或以后年度继续使用的资金。</w:t>
      </w:r>
    </w:p>
    <w:p w14:paraId="4C4339A5">
      <w:pPr>
        <w:pStyle w:val="2"/>
        <w:spacing w:before="93" w:beforeLines="30" w:beforeAutospacing="0" w:after="0" w:afterAutospacing="0"/>
        <w:ind w:left="0" w:right="0" w:firstLine="600" w:firstLineChars="200"/>
      </w:pPr>
      <w:r>
        <w:rPr>
          <w:lang w:val="en-US"/>
        </w:rPr>
        <w:t>4</w:t>
      </w:r>
      <w:r>
        <w:rPr>
          <w:rFonts w:hint="eastAsia"/>
          <w:lang w:val="en-US" w:eastAsia="zh-CN"/>
        </w:rPr>
        <w:t>.</w:t>
      </w:r>
      <w:r>
        <w:rPr>
          <w:lang w:eastAsia="zh-CN"/>
        </w:rPr>
        <w:t>一般公共服务（</w:t>
      </w:r>
      <w:r>
        <w:rPr>
          <w:lang w:val="en-US"/>
        </w:rPr>
        <w:t>201</w:t>
      </w:r>
      <w:r>
        <w:rPr>
          <w:lang w:eastAsia="zh-CN"/>
        </w:rPr>
        <w:t>）政府办公厅（室）及相关机构（款）行政运行（</w:t>
      </w:r>
      <w:r>
        <w:rPr>
          <w:lang w:val="en-US"/>
        </w:rPr>
        <w:t>01</w:t>
      </w:r>
      <w:r>
        <w:rPr>
          <w:lang w:eastAsia="zh-CN"/>
        </w:rPr>
        <w:t>）：指反映行政单位（包括实行公务员管理的事业单位）的基本支出。</w:t>
      </w:r>
    </w:p>
    <w:p w14:paraId="7A750005">
      <w:pPr>
        <w:pStyle w:val="2"/>
        <w:spacing w:before="93" w:beforeLines="30" w:beforeAutospacing="0" w:after="0" w:afterAutospacing="0"/>
        <w:ind w:left="0" w:right="0" w:firstLine="600" w:firstLineChars="200"/>
      </w:pPr>
      <w:r>
        <w:rPr>
          <w:lang w:val="en-US"/>
        </w:rPr>
        <w:t>5</w:t>
      </w:r>
      <w:r>
        <w:rPr>
          <w:rFonts w:hint="eastAsia"/>
          <w:lang w:val="en-US" w:eastAsia="zh-CN"/>
        </w:rPr>
        <w:t>.</w:t>
      </w:r>
      <w:r>
        <w:rPr>
          <w:lang w:eastAsia="zh-CN"/>
        </w:rPr>
        <w:t>一般公共服务（</w:t>
      </w:r>
      <w:r>
        <w:rPr>
          <w:lang w:val="en-US"/>
        </w:rPr>
        <w:t>201</w:t>
      </w:r>
      <w:r>
        <w:rPr>
          <w:lang w:eastAsia="zh-CN"/>
        </w:rPr>
        <w:t>）政府办公厅（室）及相关机构（款）一般行政管理事</w:t>
      </w:r>
      <w:r>
        <w:rPr>
          <w:rFonts w:hint="eastAsia"/>
          <w:lang w:val="en-US" w:eastAsia="zh-CN"/>
        </w:rPr>
        <w:t>务</w:t>
      </w:r>
      <w:r>
        <w:rPr>
          <w:lang w:eastAsia="zh-CN"/>
        </w:rPr>
        <w:t>（</w:t>
      </w:r>
      <w:r>
        <w:rPr>
          <w:lang w:val="en-US"/>
        </w:rPr>
        <w:t>02</w:t>
      </w:r>
      <w:r>
        <w:rPr>
          <w:lang w:eastAsia="zh-CN"/>
        </w:rPr>
        <w:t>）：指反映行政单位（包括实行公务员管理的事业单位）未单独设置项及科目的其他项目支出。</w:t>
      </w:r>
    </w:p>
    <w:p w14:paraId="377C7ACA">
      <w:pPr>
        <w:pStyle w:val="2"/>
        <w:spacing w:before="93" w:beforeLines="30" w:beforeAutospacing="0" w:after="0" w:afterAutospacing="0"/>
        <w:ind w:left="0" w:right="0" w:firstLine="600" w:firstLineChars="200"/>
      </w:pPr>
      <w:r>
        <w:rPr>
          <w:lang w:val="en-US"/>
        </w:rPr>
        <w:t>6</w:t>
      </w:r>
      <w:r>
        <w:rPr>
          <w:rFonts w:hint="eastAsia"/>
          <w:lang w:val="en-US" w:eastAsia="zh-CN"/>
        </w:rPr>
        <w:t>.</w:t>
      </w:r>
      <w:r>
        <w:rPr>
          <w:lang w:eastAsia="zh-CN"/>
        </w:rPr>
        <w:t>社会保障和就业（</w:t>
      </w:r>
      <w:r>
        <w:rPr>
          <w:lang w:val="en-US"/>
        </w:rPr>
        <w:t>208</w:t>
      </w:r>
      <w:r>
        <w:rPr>
          <w:lang w:eastAsia="zh-CN"/>
        </w:rPr>
        <w:t>）行政事业单位养老支出（</w:t>
      </w:r>
      <w:r>
        <w:rPr>
          <w:lang w:val="en-US"/>
        </w:rPr>
        <w:t>05</w:t>
      </w:r>
      <w:r>
        <w:rPr>
          <w:lang w:eastAsia="zh-CN"/>
        </w:rPr>
        <w:t>）机关事业单位基本养老保险缴费支出（</w:t>
      </w:r>
      <w:r>
        <w:rPr>
          <w:lang w:val="en-US"/>
        </w:rPr>
        <w:t>05</w:t>
      </w:r>
      <w:r>
        <w:rPr>
          <w:lang w:eastAsia="zh-CN"/>
        </w:rPr>
        <w:t>）：指反映机关事业单位实施养老保险制度由单位缴纳的养老保险支出。</w:t>
      </w:r>
    </w:p>
    <w:p w14:paraId="57954A03">
      <w:pPr>
        <w:pStyle w:val="2"/>
        <w:spacing w:before="93" w:beforeLines="30" w:beforeAutospacing="0" w:after="0" w:afterAutospacing="0"/>
        <w:ind w:left="0" w:right="0" w:firstLine="600" w:firstLineChars="200"/>
      </w:pPr>
      <w:r>
        <w:rPr>
          <w:lang w:val="en-US"/>
        </w:rPr>
        <w:t>7</w:t>
      </w:r>
      <w:r>
        <w:rPr>
          <w:rFonts w:hint="eastAsia"/>
          <w:lang w:val="en-US" w:eastAsia="zh-CN"/>
        </w:rPr>
        <w:t>.</w:t>
      </w:r>
      <w:r>
        <w:rPr>
          <w:lang w:eastAsia="zh-CN"/>
        </w:rPr>
        <w:t>社会保障和就业（</w:t>
      </w:r>
      <w:r>
        <w:rPr>
          <w:lang w:val="en-US"/>
        </w:rPr>
        <w:t>208</w:t>
      </w:r>
      <w:r>
        <w:rPr>
          <w:lang w:eastAsia="zh-CN"/>
        </w:rPr>
        <w:t>）行政事业单位养老支出（</w:t>
      </w:r>
      <w:r>
        <w:rPr>
          <w:lang w:val="en-US"/>
        </w:rPr>
        <w:t>05</w:t>
      </w:r>
      <w:r>
        <w:rPr>
          <w:lang w:eastAsia="zh-CN"/>
        </w:rPr>
        <w:t>）机关事业单位职业年金缴费支出（</w:t>
      </w:r>
      <w:r>
        <w:rPr>
          <w:lang w:val="en-US"/>
        </w:rPr>
        <w:t>06</w:t>
      </w:r>
      <w:r>
        <w:rPr>
          <w:lang w:eastAsia="zh-CN"/>
        </w:rPr>
        <w:t>）：指反映机关事业单位实施养老保险制度由单位实际缴纳的职业年金支出。</w:t>
      </w:r>
    </w:p>
    <w:p w14:paraId="21FAED77">
      <w:pPr>
        <w:pStyle w:val="2"/>
        <w:spacing w:before="93" w:beforeLines="30" w:beforeAutospacing="0" w:after="0" w:afterAutospacing="0"/>
        <w:ind w:left="0" w:right="0" w:firstLine="600" w:firstLineChars="200"/>
      </w:pPr>
      <w:r>
        <w:rPr>
          <w:lang w:val="en-US"/>
        </w:rPr>
        <w:t>8</w:t>
      </w:r>
      <w:r>
        <w:rPr>
          <w:rFonts w:hint="eastAsia"/>
          <w:lang w:val="en-US" w:eastAsia="zh-CN"/>
        </w:rPr>
        <w:t>.</w:t>
      </w:r>
      <w:r>
        <w:rPr>
          <w:lang w:eastAsia="zh-CN"/>
        </w:rPr>
        <w:t>卫生健康（</w:t>
      </w:r>
      <w:r>
        <w:rPr>
          <w:lang w:val="en-US"/>
        </w:rPr>
        <w:t>210</w:t>
      </w:r>
      <w:r>
        <w:rPr>
          <w:lang w:eastAsia="zh-CN"/>
        </w:rPr>
        <w:t>）行政事业单位医疗（</w:t>
      </w:r>
      <w:r>
        <w:rPr>
          <w:lang w:val="en-US"/>
        </w:rPr>
        <w:t>11</w:t>
      </w:r>
      <w:r>
        <w:rPr>
          <w:lang w:eastAsia="zh-CN"/>
        </w:rPr>
        <w:t>）行政单位医疗（</w:t>
      </w:r>
      <w:r>
        <w:rPr>
          <w:lang w:val="en-US"/>
        </w:rPr>
        <w:t>01</w:t>
      </w:r>
      <w:r>
        <w:rPr>
          <w:lang w:eastAsia="zh-CN"/>
        </w:rPr>
        <w:t>）：指反映财政部门安排的行政单位（包括实行公务员管理的事业单位）基本医疗保险缴费经费，未参加医疗保险的行政单位的公费医疗金凤，按国家规定享受离休人员、红军老战士待遇人员的医疗经费。</w:t>
      </w:r>
    </w:p>
    <w:p w14:paraId="02C8D151">
      <w:pPr>
        <w:pStyle w:val="2"/>
        <w:spacing w:before="93" w:beforeLines="30" w:beforeAutospacing="0" w:after="0" w:afterAutospacing="0"/>
        <w:ind w:left="0" w:right="0" w:firstLine="600" w:firstLineChars="200"/>
      </w:pPr>
      <w:r>
        <w:rPr>
          <w:lang w:val="en-US"/>
        </w:rPr>
        <w:t>9</w:t>
      </w:r>
      <w:r>
        <w:rPr>
          <w:rFonts w:hint="eastAsia"/>
          <w:lang w:val="en-US" w:eastAsia="zh-CN"/>
        </w:rPr>
        <w:t>.</w:t>
      </w:r>
      <w:r>
        <w:rPr>
          <w:lang w:eastAsia="zh-CN"/>
        </w:rPr>
        <w:t>卫生健康（</w:t>
      </w:r>
      <w:r>
        <w:rPr>
          <w:lang w:val="en-US"/>
        </w:rPr>
        <w:t>210</w:t>
      </w:r>
      <w:r>
        <w:rPr>
          <w:lang w:eastAsia="zh-CN"/>
        </w:rPr>
        <w:t>）行政事业单位医疗（</w:t>
      </w:r>
      <w:r>
        <w:rPr>
          <w:lang w:val="en-US"/>
        </w:rPr>
        <w:t>11</w:t>
      </w:r>
      <w:r>
        <w:rPr>
          <w:lang w:eastAsia="zh-CN"/>
        </w:rPr>
        <w:t>）公务员医疗补助（</w:t>
      </w:r>
      <w:r>
        <w:rPr>
          <w:lang w:val="en-US"/>
        </w:rPr>
        <w:t>03</w:t>
      </w:r>
      <w:r>
        <w:rPr>
          <w:lang w:eastAsia="zh-CN"/>
        </w:rPr>
        <w:t>）：指反映财政部门安排的公务员（包括实行公务员管理的事业单位）医疗补助经费。</w:t>
      </w:r>
    </w:p>
    <w:p w14:paraId="24E463F4">
      <w:pPr>
        <w:pStyle w:val="2"/>
        <w:spacing w:before="93" w:beforeLines="30" w:beforeAutospacing="0" w:after="0" w:afterAutospacing="0"/>
        <w:ind w:left="0" w:right="0" w:firstLine="600" w:firstLineChars="200"/>
      </w:pPr>
      <w:r>
        <w:rPr>
          <w:lang w:val="en-US"/>
        </w:rPr>
        <w:t>10</w:t>
      </w:r>
      <w:r>
        <w:rPr>
          <w:lang w:eastAsia="zh-CN"/>
        </w:rPr>
        <w:t>、住房保障支出（</w:t>
      </w:r>
      <w:r>
        <w:rPr>
          <w:lang w:val="en-US"/>
        </w:rPr>
        <w:t>221</w:t>
      </w:r>
      <w:r>
        <w:rPr>
          <w:lang w:eastAsia="zh-CN"/>
        </w:rPr>
        <w:t>）住房改革支出（</w:t>
      </w:r>
      <w:r>
        <w:rPr>
          <w:lang w:val="en-US"/>
        </w:rPr>
        <w:t>02</w:t>
      </w:r>
      <w:r>
        <w:rPr>
          <w:lang w:eastAsia="zh-CN"/>
        </w:rPr>
        <w:t>）住房公积金（</w:t>
      </w:r>
      <w:r>
        <w:rPr>
          <w:lang w:val="en-US"/>
        </w:rPr>
        <w:t>01</w:t>
      </w:r>
      <w:r>
        <w:rPr>
          <w:lang w:eastAsia="zh-CN"/>
        </w:rPr>
        <w:t>）：指反映行政事业单位按人力资源和社会保障部、财政部规定的基本工资和津贴补贴以及规定比列为职工缴纳的住房公积金。</w:t>
      </w:r>
    </w:p>
    <w:p w14:paraId="4D8C81D0">
      <w:pPr>
        <w:pStyle w:val="2"/>
        <w:spacing w:before="93" w:beforeLines="30" w:beforeAutospacing="0" w:after="0" w:afterAutospacing="0"/>
        <w:ind w:left="0" w:right="0" w:firstLine="600" w:firstLineChars="200"/>
      </w:pPr>
      <w:r>
        <w:rPr>
          <w:lang w:val="en-US"/>
        </w:rPr>
        <w:t>11</w:t>
      </w:r>
      <w:r>
        <w:rPr>
          <w:rFonts w:hint="eastAsia"/>
          <w:lang w:val="en-US" w:eastAsia="zh-CN"/>
        </w:rPr>
        <w:t>.</w:t>
      </w:r>
      <w:r>
        <w:rPr>
          <w:lang w:eastAsia="zh-CN"/>
        </w:rPr>
        <w:t>基本支出：指为保障机构正常运转、完成日常工作任务而发生的人员支出和公用支出。</w:t>
      </w:r>
    </w:p>
    <w:p w14:paraId="6DFC2FD2">
      <w:pPr>
        <w:pStyle w:val="2"/>
        <w:spacing w:before="93" w:beforeLines="30" w:beforeAutospacing="0" w:after="0" w:afterAutospacing="0"/>
        <w:ind w:left="0" w:right="0" w:firstLine="600" w:firstLineChars="200"/>
      </w:pPr>
      <w:r>
        <w:rPr>
          <w:lang w:val="en-US"/>
        </w:rPr>
        <w:t>12</w:t>
      </w:r>
      <w:r>
        <w:rPr>
          <w:rFonts w:hint="eastAsia"/>
          <w:lang w:val="en-US" w:eastAsia="zh-CN"/>
        </w:rPr>
        <w:t>.</w:t>
      </w:r>
      <w:r>
        <w:rPr>
          <w:lang w:eastAsia="zh-CN"/>
        </w:rPr>
        <w:t>项目支出：指在基本支出之外为完成特定行政任务和事业发展目标所发生的支出。</w:t>
      </w:r>
    </w:p>
    <w:p w14:paraId="32B1B7F8">
      <w:pPr>
        <w:pStyle w:val="2"/>
        <w:spacing w:before="93" w:beforeLines="30" w:beforeAutospacing="0" w:after="0" w:afterAutospacing="0"/>
        <w:ind w:left="0" w:right="0" w:firstLine="600" w:firstLineChars="200"/>
      </w:pPr>
      <w:r>
        <w:rPr>
          <w:lang w:val="en-US"/>
        </w:rPr>
        <w:t>13</w:t>
      </w:r>
      <w:r>
        <w:rPr>
          <w:rFonts w:hint="eastAsia"/>
          <w:lang w:val="en-US" w:eastAsia="zh-CN"/>
        </w:rPr>
        <w:t>.</w:t>
      </w:r>
      <w:r>
        <w:rPr>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2C5E141">
      <w:pPr>
        <w:pStyle w:val="2"/>
        <w:spacing w:before="93" w:beforeLines="30" w:beforeAutospacing="0" w:after="0" w:afterAutospacing="0"/>
        <w:ind w:left="0" w:right="0" w:firstLine="600" w:firstLineChars="200"/>
      </w:pPr>
      <w:r>
        <w:rPr>
          <w:lang w:val="en-US"/>
        </w:rPr>
        <w:t>14</w:t>
      </w:r>
      <w:r>
        <w:rPr>
          <w:rFonts w:hint="eastAsia"/>
          <w:lang w:val="en-US" w:eastAsia="zh-CN"/>
        </w:rPr>
        <w:t>.</w:t>
      </w:r>
      <w:r>
        <w:rPr>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3551D5">
      <w:pPr>
        <w:rPr>
          <w:rStyle w:val="22"/>
          <w:rFonts w:hint="eastAsia" w:ascii="仿宋_GB2312" w:hAnsi="宋体" w:eastAsia="仿宋_GB2312" w:cs="仿宋_GB2312"/>
          <w:sz w:val="36"/>
          <w:szCs w:val="36"/>
          <w:lang w:eastAsia="zh-CN"/>
        </w:rPr>
      </w:pPr>
      <w:bookmarkStart w:id="96" w:name="_Toc4284"/>
      <w:bookmarkEnd w:id="96"/>
      <w:bookmarkStart w:id="97" w:name="_Toc30705"/>
      <w:bookmarkEnd w:id="97"/>
      <w:bookmarkStart w:id="98" w:name="_Toc7612"/>
      <w:bookmarkEnd w:id="98"/>
      <w:bookmarkStart w:id="99" w:name="_Toc19279"/>
      <w:bookmarkStart w:id="100" w:name="_Toc645"/>
      <w:r>
        <w:rPr>
          <w:rStyle w:val="22"/>
          <w:rFonts w:hint="eastAsia" w:ascii="仿宋_GB2312" w:hAnsi="宋体" w:eastAsia="仿宋_GB2312" w:cs="仿宋_GB2312"/>
          <w:sz w:val="36"/>
          <w:szCs w:val="36"/>
          <w:lang w:eastAsia="zh-CN"/>
        </w:rPr>
        <w:br w:type="page"/>
      </w:r>
    </w:p>
    <w:p w14:paraId="0C4899F2">
      <w:pPr>
        <w:pStyle w:val="2"/>
        <w:spacing w:before="93" w:beforeLines="30" w:beforeAutospacing="0" w:after="0" w:afterAutospacing="0"/>
        <w:ind w:left="0" w:right="0" w:firstLine="640" w:firstLineChars="200"/>
        <w:jc w:val="left"/>
        <w:outlineLvl w:val="0"/>
        <w:rPr>
          <w:sz w:val="36"/>
          <w:szCs w:val="36"/>
          <w:lang w:val="en-US"/>
        </w:rPr>
      </w:pPr>
      <w:r>
        <w:rPr>
          <w:rStyle w:val="22"/>
          <w:rFonts w:hint="eastAsia" w:ascii="黑体" w:hAnsi="黑体" w:eastAsia="黑体" w:cs="黑体"/>
          <w:b w:val="0"/>
          <w:bCs/>
          <w:sz w:val="32"/>
          <w:szCs w:val="32"/>
          <w:lang w:eastAsia="zh-CN"/>
        </w:rPr>
        <w:t>附件</w:t>
      </w:r>
      <w:r>
        <w:rPr>
          <w:rStyle w:val="22"/>
          <w:rFonts w:hint="eastAsia" w:ascii="黑体" w:hAnsi="黑体" w:eastAsia="黑体" w:cs="黑体"/>
          <w:b w:val="0"/>
          <w:bCs/>
          <w:sz w:val="32"/>
          <w:szCs w:val="32"/>
          <w:lang w:val="en-US" w:eastAsia="zh-CN"/>
        </w:rPr>
        <w:t xml:space="preserve">              </w:t>
      </w:r>
      <w:r>
        <w:rPr>
          <w:rStyle w:val="22"/>
          <w:rFonts w:hint="eastAsia" w:ascii="仿宋_GB2312" w:hAnsi="宋体" w:eastAsia="仿宋_GB2312" w:cs="仿宋_GB2312"/>
          <w:sz w:val="36"/>
          <w:szCs w:val="36"/>
          <w:lang w:eastAsia="zh-CN"/>
        </w:rPr>
        <w:t xml:space="preserve">第四部分 </w:t>
      </w:r>
      <w:bookmarkEnd w:id="99"/>
      <w:bookmarkEnd w:id="100"/>
    </w:p>
    <w:p w14:paraId="506F3408">
      <w:pPr>
        <w:pStyle w:val="2"/>
        <w:spacing w:before="93" w:beforeLines="30" w:beforeAutospacing="0" w:after="0" w:afterAutospacing="0"/>
        <w:ind w:left="0" w:right="0" w:firstLine="880" w:firstLineChars="200"/>
        <w:jc w:val="center"/>
        <w:rPr>
          <w:rFonts w:hint="eastAsia" w:ascii="方正小标宋简体" w:hAnsi="方正小标宋简体" w:eastAsia="方正小标宋简体" w:cs="方正小标宋简体"/>
          <w:b w:val="0"/>
          <w:bCs w:val="0"/>
          <w:sz w:val="44"/>
          <w:szCs w:val="44"/>
        </w:rPr>
      </w:pPr>
      <w:bookmarkStart w:id="101" w:name="_Toc31374"/>
      <w:bookmarkEnd w:id="101"/>
      <w:bookmarkStart w:id="102" w:name="_Toc9635"/>
      <w:bookmarkEnd w:id="102"/>
      <w:bookmarkStart w:id="103" w:name="_Toc27781"/>
      <w:bookmarkEnd w:id="103"/>
      <w:r>
        <w:rPr>
          <w:rFonts w:hint="eastAsia" w:ascii="方正小标宋简体" w:hAnsi="方正小标宋简体" w:eastAsia="方正小标宋简体" w:cs="方正小标宋简体"/>
          <w:b w:val="0"/>
          <w:bCs w:val="0"/>
          <w:sz w:val="44"/>
          <w:szCs w:val="44"/>
          <w:lang w:val="en-US"/>
        </w:rPr>
        <w:t>2022</w:t>
      </w:r>
      <w:r>
        <w:rPr>
          <w:rFonts w:hint="eastAsia" w:ascii="方正小标宋简体" w:hAnsi="方正小标宋简体" w:eastAsia="方正小标宋简体" w:cs="方正小标宋简体"/>
          <w:b w:val="0"/>
          <w:bCs w:val="0"/>
          <w:sz w:val="44"/>
          <w:szCs w:val="44"/>
          <w:lang w:eastAsia="zh-CN"/>
        </w:rPr>
        <w:t>年阿坝州政府驻北京联络处部门整体绩效评价报告</w:t>
      </w:r>
    </w:p>
    <w:p w14:paraId="09831758">
      <w:pPr>
        <w:pStyle w:val="2"/>
        <w:spacing w:before="93" w:beforeLines="30" w:beforeAutospacing="0" w:after="0" w:afterAutospacing="0"/>
        <w:ind w:left="0" w:right="0" w:firstLine="640" w:firstLineChars="200"/>
        <w:outlineLvl w:val="1"/>
        <w:rPr>
          <w:sz w:val="32"/>
          <w:szCs w:val="32"/>
        </w:rPr>
      </w:pPr>
      <w:bookmarkStart w:id="104" w:name="_Toc17390"/>
      <w:bookmarkEnd w:id="104"/>
      <w:bookmarkStart w:id="105" w:name="_Toc24451"/>
      <w:bookmarkEnd w:id="105"/>
      <w:bookmarkStart w:id="106" w:name="_Toc16426"/>
      <w:bookmarkEnd w:id="106"/>
      <w:bookmarkStart w:id="107" w:name="_Toc6700"/>
      <w:bookmarkStart w:id="108" w:name="_Toc26418"/>
      <w:r>
        <w:rPr>
          <w:sz w:val="32"/>
          <w:szCs w:val="32"/>
          <w:lang w:eastAsia="zh-CN"/>
        </w:rPr>
        <w:t>一、部门（单位）基本情况</w:t>
      </w:r>
      <w:bookmarkEnd w:id="107"/>
      <w:bookmarkEnd w:id="108"/>
    </w:p>
    <w:p w14:paraId="72DB9BE1">
      <w:pPr>
        <w:pStyle w:val="2"/>
        <w:spacing w:before="93" w:beforeLines="30" w:beforeAutospacing="0" w:after="0" w:afterAutospacing="0"/>
        <w:ind w:left="0" w:right="0" w:firstLine="600" w:firstLineChars="200"/>
      </w:pPr>
      <w:r>
        <w:rPr>
          <w:lang w:eastAsia="zh-CN"/>
        </w:rPr>
        <w:t>（一）机构组成。阿坝州人民政府驻外联络办公室所属一级预算单位，单位性质为参照公务员法管理事业单位。下设</w:t>
      </w:r>
      <w:r>
        <w:rPr>
          <w:lang w:val="en-US"/>
        </w:rPr>
        <w:t>5</w:t>
      </w:r>
      <w:r>
        <w:rPr>
          <w:lang w:eastAsia="zh-CN"/>
        </w:rPr>
        <w:t>个职能科室分别为：</w:t>
      </w:r>
      <w:r>
        <w:rPr>
          <w:lang w:val="en-US"/>
        </w:rPr>
        <w:t>1.</w:t>
      </w:r>
      <w:r>
        <w:rPr>
          <w:lang w:eastAsia="zh-CN"/>
        </w:rPr>
        <w:t>综合科。</w:t>
      </w:r>
      <w:r>
        <w:rPr>
          <w:lang w:val="en-US"/>
        </w:rPr>
        <w:t>2.</w:t>
      </w:r>
      <w:r>
        <w:rPr>
          <w:lang w:eastAsia="zh-CN"/>
        </w:rPr>
        <w:t>政务联络科。</w:t>
      </w:r>
      <w:r>
        <w:rPr>
          <w:lang w:val="en-US"/>
        </w:rPr>
        <w:t>3.</w:t>
      </w:r>
      <w:r>
        <w:rPr>
          <w:lang w:eastAsia="zh-CN"/>
        </w:rPr>
        <w:t>经济合作科。</w:t>
      </w:r>
      <w:r>
        <w:rPr>
          <w:lang w:val="en-US"/>
        </w:rPr>
        <w:t>4.</w:t>
      </w:r>
      <w:r>
        <w:rPr>
          <w:lang w:eastAsia="zh-CN"/>
        </w:rPr>
        <w:t>信访联络科。</w:t>
      </w:r>
      <w:r>
        <w:rPr>
          <w:lang w:val="en-US"/>
        </w:rPr>
        <w:t>5.</w:t>
      </w:r>
      <w:r>
        <w:rPr>
          <w:lang w:eastAsia="zh-CN"/>
        </w:rPr>
        <w:t>成都联络科</w:t>
      </w:r>
    </w:p>
    <w:p w14:paraId="1BADDA89">
      <w:pPr>
        <w:pStyle w:val="2"/>
        <w:spacing w:before="93" w:beforeLines="30" w:beforeAutospacing="0" w:after="0" w:afterAutospacing="0"/>
        <w:ind w:left="0" w:right="0" w:firstLine="600" w:firstLineChars="200"/>
        <w:outlineLvl w:val="2"/>
      </w:pPr>
      <w:bookmarkStart w:id="109" w:name="_Toc689"/>
      <w:r>
        <w:rPr>
          <w:lang w:eastAsia="zh-CN"/>
        </w:rPr>
        <w:t>（二）机构职能和人员概况。</w:t>
      </w:r>
      <w:bookmarkEnd w:id="109"/>
    </w:p>
    <w:p w14:paraId="68AA4E54">
      <w:pPr>
        <w:pStyle w:val="2"/>
        <w:spacing w:before="93" w:beforeLines="30" w:beforeAutospacing="0" w:after="0" w:afterAutospacing="0"/>
        <w:ind w:left="0" w:right="0" w:firstLine="600" w:firstLineChars="200"/>
      </w:pPr>
      <w:r>
        <w:rPr>
          <w:lang w:eastAsia="zh-CN"/>
        </w:rPr>
        <w:t>州政府驻北京联络处的主要职责是</w:t>
      </w:r>
      <w:r>
        <w:rPr>
          <w:lang w:val="en-US"/>
        </w:rPr>
        <w:t>:</w:t>
      </w:r>
      <w:r>
        <w:rPr>
          <w:lang w:eastAsia="zh-CN"/>
        </w:rPr>
        <w:t>在州委、州政府的领导下积极做好在驻地及其周边地区的政务联络、商会指导服务、机要电报、政务服务等工作，协助各相关部门做好社会管理、区域合作、招商引资、宣传推介、信访维稳、政务接待等工作。</w:t>
      </w:r>
    </w:p>
    <w:p w14:paraId="55895820">
      <w:pPr>
        <w:pStyle w:val="2"/>
        <w:spacing w:before="93" w:beforeLines="30" w:beforeAutospacing="0" w:after="0" w:afterAutospacing="0"/>
        <w:ind w:left="0" w:right="0" w:firstLine="600" w:firstLineChars="200"/>
      </w:pPr>
      <w:r>
        <w:rPr>
          <w:lang w:eastAsia="zh-CN"/>
        </w:rPr>
        <w:t>我单位总编制</w:t>
      </w:r>
      <w:r>
        <w:rPr>
          <w:lang w:val="en-US"/>
        </w:rPr>
        <w:t>21</w:t>
      </w:r>
      <w:r>
        <w:rPr>
          <w:lang w:eastAsia="zh-CN"/>
        </w:rPr>
        <w:t>名，其中：参照公务员法管理人员</w:t>
      </w:r>
      <w:r>
        <w:rPr>
          <w:lang w:val="en-US"/>
        </w:rPr>
        <w:t>18</w:t>
      </w:r>
      <w:r>
        <w:rPr>
          <w:lang w:eastAsia="zh-CN"/>
        </w:rPr>
        <w:t>名。在职人员总数</w:t>
      </w:r>
      <w:r>
        <w:rPr>
          <w:lang w:val="en-US"/>
        </w:rPr>
        <w:t>18</w:t>
      </w:r>
      <w:r>
        <w:rPr>
          <w:lang w:eastAsia="zh-CN"/>
        </w:rPr>
        <w:t>名，离休人员</w:t>
      </w:r>
      <w:r>
        <w:rPr>
          <w:lang w:val="en-US"/>
        </w:rPr>
        <w:t>1</w:t>
      </w:r>
      <w:r>
        <w:rPr>
          <w:lang w:eastAsia="zh-CN"/>
        </w:rPr>
        <w:t>名。</w:t>
      </w:r>
    </w:p>
    <w:p w14:paraId="083DB59D">
      <w:pPr>
        <w:pStyle w:val="2"/>
        <w:spacing w:before="93" w:beforeLines="30" w:beforeAutospacing="0" w:after="0" w:afterAutospacing="0"/>
        <w:ind w:left="0" w:right="0" w:firstLine="600" w:firstLineChars="200"/>
        <w:outlineLvl w:val="2"/>
      </w:pPr>
      <w:bookmarkStart w:id="110" w:name="_Toc10189"/>
      <w:r>
        <w:rPr>
          <w:lang w:eastAsia="zh-CN"/>
        </w:rPr>
        <w:t>（三）年度主要工作任务。</w:t>
      </w:r>
      <w:bookmarkEnd w:id="110"/>
    </w:p>
    <w:p w14:paraId="3E76622E">
      <w:pPr>
        <w:pStyle w:val="2"/>
        <w:spacing w:before="93" w:beforeLines="30" w:beforeAutospacing="0" w:after="0" w:afterAutospacing="0"/>
        <w:ind w:left="0" w:right="0" w:firstLine="600" w:firstLineChars="200"/>
      </w:pPr>
      <w:r>
        <w:rPr>
          <w:lang w:eastAsia="zh-CN"/>
        </w:rPr>
        <w:t xml:space="preserve">积极做好在驻地及其周边地区的政务联络、商会指导服务、机要电报、政务服务等工作，协助各相关部门做好社会管理、区域合作、招商引资、宣传推介、信访维稳、政务接待等工作。 </w:t>
      </w:r>
    </w:p>
    <w:p w14:paraId="45667177">
      <w:pPr>
        <w:pStyle w:val="2"/>
        <w:spacing w:before="93" w:beforeLines="30" w:beforeAutospacing="0" w:after="0" w:afterAutospacing="0"/>
        <w:ind w:left="0" w:right="0" w:firstLine="600" w:firstLineChars="200"/>
      </w:pPr>
      <w:r>
        <w:rPr>
          <w:lang w:eastAsia="zh-CN"/>
        </w:rPr>
        <w:t>（四）部门整体支出绩效目标。我单位整体绩效目标为：为保障单位工作正常开展，提升单位整体履职效能，一是加强与国家部委局、省级部门和各市（州）的联系联络，做好国家部委局、省级部门和各市（州）在与我州政务联系中在京、在蓉的相关接待工作及相关后勤服务工作，制定</w:t>
      </w:r>
      <w:r>
        <w:rPr>
          <w:lang w:val="en-US"/>
        </w:rPr>
        <w:t>3</w:t>
      </w:r>
      <w:r>
        <w:rPr>
          <w:lang w:eastAsia="zh-CN"/>
        </w:rPr>
        <w:t>篇相关规章制度；二是负责办理我办驻地的机要密码电报接收、登记、呈送等工作，确保机要密码电报工作高效和准确；三是加强推进我州区域经济各项事业方面的对外交流合作，加强招商引资方面的协调配合，加大对我州全域旅游文化类项目、旅游类项目，净土阿坝项目的宣传推介，以及州籍商会的联系服务工作；四是做好信访维稳和信访联络工作；五是抓好机关党建工作，开展谈心谈话</w:t>
      </w:r>
      <w:r>
        <w:rPr>
          <w:lang w:val="en-US"/>
        </w:rPr>
        <w:t>44</w:t>
      </w:r>
      <w:r>
        <w:rPr>
          <w:lang w:eastAsia="zh-CN"/>
        </w:rPr>
        <w:t>人次，廉政集体谈话</w:t>
      </w:r>
      <w:r>
        <w:rPr>
          <w:lang w:val="en-US"/>
        </w:rPr>
        <w:t>44</w:t>
      </w:r>
      <w:r>
        <w:rPr>
          <w:lang w:eastAsia="zh-CN"/>
        </w:rPr>
        <w:t>人次，发表网评文章</w:t>
      </w:r>
      <w:r>
        <w:rPr>
          <w:lang w:val="en-US"/>
        </w:rPr>
        <w:t>7</w:t>
      </w:r>
      <w:r>
        <w:rPr>
          <w:lang w:eastAsia="zh-CN"/>
        </w:rPr>
        <w:t>篇。预算编制阶段人大针对绩效目标质量审查并无问题反馈；部门绩效目标制定已纳入本部门集体决策范围。年度工作任务与实际相符。依据评分标准，该指标得</w:t>
      </w:r>
      <w:r>
        <w:rPr>
          <w:lang w:val="en-US"/>
        </w:rPr>
        <w:t>10</w:t>
      </w:r>
      <w:r>
        <w:rPr>
          <w:lang w:eastAsia="zh-CN"/>
        </w:rPr>
        <w:t>分。</w:t>
      </w:r>
    </w:p>
    <w:p w14:paraId="05093DD7">
      <w:pPr>
        <w:pStyle w:val="2"/>
        <w:spacing w:before="93" w:beforeLines="30" w:beforeAutospacing="0" w:after="0" w:afterAutospacing="0"/>
        <w:ind w:left="0" w:right="0" w:firstLine="600" w:firstLineChars="200"/>
        <w:outlineLvl w:val="1"/>
      </w:pPr>
      <w:bookmarkStart w:id="111" w:name="_Toc12181"/>
      <w:bookmarkEnd w:id="111"/>
      <w:bookmarkStart w:id="112" w:name="_Toc18897"/>
      <w:bookmarkEnd w:id="112"/>
      <w:bookmarkStart w:id="113" w:name="_Toc5356"/>
      <w:bookmarkEnd w:id="113"/>
      <w:bookmarkStart w:id="114" w:name="_Toc1516"/>
      <w:bookmarkStart w:id="115" w:name="_Toc5404"/>
      <w:r>
        <w:rPr>
          <w:lang w:eastAsia="zh-CN"/>
        </w:rPr>
        <w:t>二、部门财政资金收支情况</w:t>
      </w:r>
      <w:bookmarkEnd w:id="114"/>
      <w:bookmarkEnd w:id="115"/>
    </w:p>
    <w:p w14:paraId="47D1E5DB">
      <w:pPr>
        <w:pStyle w:val="2"/>
        <w:spacing w:before="93" w:beforeLines="30" w:beforeAutospacing="0" w:after="0" w:afterAutospacing="0"/>
        <w:ind w:left="0" w:right="0" w:firstLine="600" w:firstLineChars="200"/>
      </w:pPr>
      <w:r>
        <w:rPr>
          <w:lang w:eastAsia="zh-CN"/>
        </w:rPr>
        <w:t>（一）部门财政资金收入情况。我单位</w:t>
      </w:r>
      <w:r>
        <w:rPr>
          <w:lang w:val="en-US"/>
        </w:rPr>
        <w:t>2022</w:t>
      </w:r>
      <w:r>
        <w:rPr>
          <w:lang w:eastAsia="zh-CN"/>
        </w:rPr>
        <w:t>年预算收入</w:t>
      </w:r>
      <w:r>
        <w:rPr>
          <w:lang w:val="en-US"/>
        </w:rPr>
        <w:t>682.04</w:t>
      </w:r>
      <w:r>
        <w:rPr>
          <w:lang w:eastAsia="zh-CN"/>
        </w:rPr>
        <w:t>万元，为一般公共预算财政拨款收入。我单位</w:t>
      </w:r>
      <w:r>
        <w:rPr>
          <w:lang w:val="en-US"/>
        </w:rPr>
        <w:t>2022</w:t>
      </w:r>
      <w:r>
        <w:rPr>
          <w:lang w:eastAsia="zh-CN"/>
        </w:rPr>
        <w:t>年决算收入</w:t>
      </w:r>
      <w:r>
        <w:rPr>
          <w:lang w:val="en-US"/>
        </w:rPr>
        <w:t>682.04</w:t>
      </w:r>
      <w:r>
        <w:rPr>
          <w:lang w:eastAsia="zh-CN"/>
        </w:rPr>
        <w:t>万元，为一般公共预算财政拨款收入。</w:t>
      </w:r>
    </w:p>
    <w:p w14:paraId="4390711A">
      <w:pPr>
        <w:pStyle w:val="2"/>
        <w:spacing w:before="93" w:beforeLines="30" w:beforeAutospacing="0" w:after="0" w:afterAutospacing="0"/>
        <w:ind w:left="0" w:right="0" w:firstLine="600" w:firstLineChars="200"/>
      </w:pPr>
      <w:r>
        <w:rPr>
          <w:lang w:eastAsia="zh-CN"/>
        </w:rPr>
        <w:t>（二）部门财政资金支出情况。我单位</w:t>
      </w:r>
      <w:r>
        <w:rPr>
          <w:lang w:val="en-US"/>
        </w:rPr>
        <w:t>2022</w:t>
      </w:r>
      <w:r>
        <w:rPr>
          <w:lang w:eastAsia="zh-CN"/>
        </w:rPr>
        <w:t>年预算支出</w:t>
      </w:r>
      <w:r>
        <w:rPr>
          <w:lang w:val="en-US"/>
        </w:rPr>
        <w:t>682.04</w:t>
      </w:r>
      <w:r>
        <w:rPr>
          <w:lang w:eastAsia="zh-CN"/>
        </w:rPr>
        <w:t>万元，为一般公共预算财政拨款支出。我单位</w:t>
      </w:r>
      <w:r>
        <w:rPr>
          <w:lang w:val="en-US"/>
        </w:rPr>
        <w:t>2022</w:t>
      </w:r>
      <w:r>
        <w:rPr>
          <w:lang w:eastAsia="zh-CN"/>
        </w:rPr>
        <w:t>年决算支出</w:t>
      </w:r>
      <w:r>
        <w:rPr>
          <w:lang w:val="en-US"/>
        </w:rPr>
        <w:t>682.04</w:t>
      </w:r>
      <w:r>
        <w:rPr>
          <w:lang w:eastAsia="zh-CN"/>
        </w:rPr>
        <w:t>万元，为一般公共预算财政拨款支出。其中：基本支出</w:t>
      </w:r>
      <w:r>
        <w:rPr>
          <w:lang w:val="en-US"/>
        </w:rPr>
        <w:t>503.08</w:t>
      </w:r>
      <w:r>
        <w:rPr>
          <w:lang w:eastAsia="zh-CN"/>
        </w:rPr>
        <w:t>万元，占决算支出</w:t>
      </w:r>
      <w:r>
        <w:rPr>
          <w:lang w:val="en-US"/>
        </w:rPr>
        <w:t>73.76%</w:t>
      </w:r>
      <w:r>
        <w:rPr>
          <w:lang w:eastAsia="zh-CN"/>
        </w:rPr>
        <w:t>，项目支出</w:t>
      </w:r>
      <w:r>
        <w:rPr>
          <w:lang w:val="en-US"/>
        </w:rPr>
        <w:t>178.96</w:t>
      </w:r>
      <w:r>
        <w:rPr>
          <w:lang w:eastAsia="zh-CN"/>
        </w:rPr>
        <w:t>万元，占决算支出</w:t>
      </w:r>
      <w:r>
        <w:rPr>
          <w:lang w:val="en-US"/>
        </w:rPr>
        <w:t>26.24%</w:t>
      </w:r>
      <w:r>
        <w:rPr>
          <w:lang w:eastAsia="zh-CN"/>
        </w:rPr>
        <w:t>。按经济分类：工资福利支出</w:t>
      </w:r>
      <w:r>
        <w:rPr>
          <w:lang w:val="en-US"/>
        </w:rPr>
        <w:t>357.60</w:t>
      </w:r>
      <w:r>
        <w:rPr>
          <w:lang w:eastAsia="zh-CN"/>
        </w:rPr>
        <w:t>万元，占决算支出</w:t>
      </w:r>
      <w:r>
        <w:rPr>
          <w:lang w:val="en-US"/>
        </w:rPr>
        <w:t>52.43%</w:t>
      </w:r>
      <w:r>
        <w:rPr>
          <w:lang w:eastAsia="zh-CN"/>
        </w:rPr>
        <w:t>，商品和服务支出</w:t>
      </w:r>
      <w:r>
        <w:rPr>
          <w:lang w:val="en-US"/>
        </w:rPr>
        <w:t>304.44</w:t>
      </w:r>
      <w:r>
        <w:rPr>
          <w:lang w:eastAsia="zh-CN"/>
        </w:rPr>
        <w:t>万元，占决算支出</w:t>
      </w:r>
      <w:r>
        <w:rPr>
          <w:lang w:val="en-US"/>
        </w:rPr>
        <w:t>44.64%</w:t>
      </w:r>
      <w:r>
        <w:rPr>
          <w:lang w:eastAsia="zh-CN"/>
        </w:rPr>
        <w:t>，对个人和家庭的补助</w:t>
      </w:r>
      <w:r>
        <w:rPr>
          <w:lang w:val="en-US"/>
        </w:rPr>
        <w:t>20.00</w:t>
      </w:r>
      <w:r>
        <w:rPr>
          <w:lang w:eastAsia="zh-CN"/>
        </w:rPr>
        <w:t>万元，占决算支出</w:t>
      </w:r>
      <w:r>
        <w:rPr>
          <w:lang w:val="en-US"/>
        </w:rPr>
        <w:t>2.93%</w:t>
      </w:r>
      <w:r>
        <w:rPr>
          <w:lang w:eastAsia="zh-CN"/>
        </w:rPr>
        <w:t>。</w:t>
      </w:r>
    </w:p>
    <w:p w14:paraId="6BBDFECE">
      <w:pPr>
        <w:pStyle w:val="2"/>
        <w:spacing w:before="93" w:beforeLines="30" w:beforeAutospacing="0" w:after="0" w:afterAutospacing="0"/>
        <w:ind w:left="0" w:right="0" w:firstLine="600" w:firstLineChars="200"/>
      </w:pPr>
      <w:r>
        <w:rPr>
          <w:lang w:eastAsia="zh-CN"/>
        </w:rPr>
        <w:t>三、部门整体预算绩效管理情况（涉及到有专项预算的部门，专项预算项目自评报告作为附件报送；特定目标类部门预算项目绩效目标自评表作为附表报送）</w:t>
      </w:r>
    </w:p>
    <w:p w14:paraId="7B814954">
      <w:pPr>
        <w:pStyle w:val="2"/>
        <w:spacing w:before="93" w:beforeLines="30" w:beforeAutospacing="0" w:after="0" w:afterAutospacing="0"/>
        <w:ind w:left="0" w:right="0" w:firstLine="600" w:firstLineChars="200"/>
        <w:outlineLvl w:val="2"/>
      </w:pPr>
      <w:bookmarkStart w:id="116" w:name="_Toc11514"/>
      <w:r>
        <w:rPr>
          <w:lang w:eastAsia="zh-CN"/>
        </w:rPr>
        <w:t>（一）部门预算项目绩效管理。</w:t>
      </w:r>
      <w:bookmarkEnd w:id="116"/>
    </w:p>
    <w:p w14:paraId="3C9C01C9">
      <w:pPr>
        <w:pStyle w:val="2"/>
        <w:spacing w:before="93" w:beforeLines="30" w:beforeAutospacing="0" w:after="0" w:afterAutospacing="0"/>
        <w:ind w:left="0" w:right="0" w:firstLine="600" w:firstLineChars="200"/>
      </w:pPr>
      <w:r>
        <w:rPr>
          <w:lang w:val="en-US"/>
        </w:rPr>
        <w:t>1.</w:t>
      </w:r>
      <w:r>
        <w:rPr>
          <w:lang w:eastAsia="zh-CN"/>
        </w:rPr>
        <w:t>目标管理</w:t>
      </w:r>
    </w:p>
    <w:p w14:paraId="4EAE3E9C">
      <w:pPr>
        <w:pStyle w:val="2"/>
        <w:spacing w:before="93" w:beforeLines="30" w:beforeAutospacing="0" w:after="0" w:afterAutospacing="0"/>
        <w:ind w:left="0" w:right="0" w:firstLine="600" w:firstLineChars="200"/>
      </w:pPr>
      <w:r>
        <w:rPr>
          <w:lang w:eastAsia="zh-CN"/>
        </w:rPr>
        <w:t>（</w:t>
      </w:r>
      <w:r>
        <w:rPr>
          <w:lang w:val="en-US"/>
        </w:rPr>
        <w:t>1</w:t>
      </w:r>
      <w:r>
        <w:rPr>
          <w:lang w:eastAsia="zh-CN"/>
        </w:rPr>
        <w:t>）目标制定</w:t>
      </w:r>
    </w:p>
    <w:p w14:paraId="2271E150">
      <w:pPr>
        <w:pStyle w:val="2"/>
        <w:spacing w:before="93" w:beforeLines="30" w:beforeAutospacing="0" w:after="0" w:afterAutospacing="0"/>
        <w:ind w:left="0" w:right="0" w:firstLine="600" w:firstLineChars="200"/>
      </w:pPr>
      <w:r>
        <w:rPr>
          <w:lang w:eastAsia="zh-CN"/>
        </w:rPr>
        <w:t>我单位整体绩效目标为：为保障单位工作正常开展，提升单位整体履职效能，一是加强与国家部委局、省级部门和各市（州）的联系联络，做好国家部委局、省级部门和各市（州）在与我州政务联系中在京、在蓉的相关接待工作及相关后勤服务工作，制定</w:t>
      </w:r>
      <w:r>
        <w:rPr>
          <w:lang w:val="en-US"/>
        </w:rPr>
        <w:t>3</w:t>
      </w:r>
      <w:r>
        <w:rPr>
          <w:lang w:eastAsia="zh-CN"/>
        </w:rPr>
        <w:t>篇相关规章制度；二是负责办理我办驻地的机要密码电报接收、登记、呈送等工作，确保机要密码电报工作高效和准确；三是加强推进我州区域经济各项事业方面的对外交流合作，加强招商引资方面的协调配合，加大对我州全域旅游文化类项目、旅游类项目，净土阿坝项目的宣传推介，以及州籍商会的联系服务工作；四是做好信访维稳和信访联络工作；五是抓好机关党建工作，开展谈心谈话</w:t>
      </w:r>
      <w:r>
        <w:rPr>
          <w:lang w:val="en-US"/>
        </w:rPr>
        <w:t>44</w:t>
      </w:r>
      <w:r>
        <w:rPr>
          <w:lang w:eastAsia="zh-CN"/>
        </w:rPr>
        <w:t>人次，廉政集体谈话</w:t>
      </w:r>
      <w:r>
        <w:rPr>
          <w:lang w:val="en-US"/>
        </w:rPr>
        <w:t>44</w:t>
      </w:r>
      <w:r>
        <w:rPr>
          <w:lang w:eastAsia="zh-CN"/>
        </w:rPr>
        <w:t>人次，发表网评文章</w:t>
      </w:r>
      <w:r>
        <w:rPr>
          <w:lang w:val="en-US"/>
        </w:rPr>
        <w:t>7</w:t>
      </w:r>
      <w:r>
        <w:rPr>
          <w:lang w:eastAsia="zh-CN"/>
        </w:rPr>
        <w:t>篇。预算编制阶段人大针对绩效目标质量审查并无问题反馈；部门绩效目标制定已纳入本部门集体决策范围。年度工作任务与实际相符。依据评分标准，该指标得</w:t>
      </w:r>
      <w:r>
        <w:rPr>
          <w:lang w:val="en-US"/>
        </w:rPr>
        <w:t>10</w:t>
      </w:r>
      <w:r>
        <w:rPr>
          <w:lang w:eastAsia="zh-CN"/>
        </w:rPr>
        <w:t>分。</w:t>
      </w:r>
    </w:p>
    <w:p w14:paraId="78D62FE8">
      <w:pPr>
        <w:pStyle w:val="2"/>
        <w:spacing w:before="93" w:beforeLines="30" w:beforeAutospacing="0" w:after="0" w:afterAutospacing="0"/>
        <w:ind w:left="0" w:right="0" w:firstLine="600" w:firstLineChars="200"/>
      </w:pPr>
      <w:r>
        <w:rPr>
          <w:lang w:eastAsia="zh-CN"/>
        </w:rPr>
        <w:t>（</w:t>
      </w:r>
      <w:r>
        <w:rPr>
          <w:lang w:val="en-US"/>
        </w:rPr>
        <w:t>2</w:t>
      </w:r>
      <w:r>
        <w:rPr>
          <w:lang w:eastAsia="zh-CN"/>
        </w:rPr>
        <w:t>）目标实现</w:t>
      </w:r>
    </w:p>
    <w:p w14:paraId="3B3EB922">
      <w:pPr>
        <w:pStyle w:val="2"/>
        <w:spacing w:before="93" w:beforeLines="30" w:beforeAutospacing="0" w:after="0" w:afterAutospacing="0"/>
        <w:ind w:left="0" w:right="0" w:firstLine="600" w:firstLineChars="200"/>
      </w:pPr>
      <w:r>
        <w:rPr>
          <w:lang w:eastAsia="zh-CN"/>
        </w:rPr>
        <w:t>我单位整体绩效目标实现较好，部门整体绩效目标与预期目标未发生偏离。依据评分标准，该指标得</w:t>
      </w:r>
      <w:r>
        <w:rPr>
          <w:lang w:val="en-US"/>
        </w:rPr>
        <w:t>10</w:t>
      </w:r>
      <w:r>
        <w:rPr>
          <w:lang w:eastAsia="zh-CN"/>
        </w:rPr>
        <w:t>分。</w:t>
      </w:r>
    </w:p>
    <w:p w14:paraId="3802C822">
      <w:pPr>
        <w:pStyle w:val="2"/>
        <w:spacing w:before="93" w:beforeLines="30" w:beforeAutospacing="0" w:after="0" w:afterAutospacing="0"/>
        <w:ind w:left="0" w:right="0" w:firstLine="600" w:firstLineChars="200"/>
      </w:pPr>
      <w:r>
        <w:rPr>
          <w:lang w:val="en-US"/>
        </w:rPr>
        <w:t>2.</w:t>
      </w:r>
      <w:r>
        <w:rPr>
          <w:lang w:eastAsia="zh-CN"/>
        </w:rPr>
        <w:t>过程控制</w:t>
      </w:r>
    </w:p>
    <w:p w14:paraId="6A4B6CAF">
      <w:pPr>
        <w:pStyle w:val="2"/>
        <w:spacing w:before="93" w:beforeLines="30" w:beforeAutospacing="0" w:after="0" w:afterAutospacing="0"/>
        <w:ind w:left="0" w:right="0" w:firstLine="600" w:firstLineChars="200"/>
      </w:pPr>
      <w:r>
        <w:rPr>
          <w:lang w:eastAsia="zh-CN"/>
        </w:rPr>
        <w:t>（</w:t>
      </w:r>
      <w:r>
        <w:rPr>
          <w:lang w:val="en-US"/>
        </w:rPr>
        <w:t>1</w:t>
      </w:r>
      <w:r>
        <w:rPr>
          <w:lang w:eastAsia="zh-CN"/>
        </w:rPr>
        <w:t>）执行进度</w:t>
      </w:r>
    </w:p>
    <w:p w14:paraId="0B926603">
      <w:pPr>
        <w:pStyle w:val="2"/>
        <w:spacing w:before="93" w:beforeLines="30" w:beforeAutospacing="0" w:after="0" w:afterAutospacing="0"/>
        <w:ind w:left="0" w:right="0" w:firstLine="600" w:firstLineChars="200"/>
      </w:pPr>
      <w:r>
        <w:rPr>
          <w:lang w:eastAsia="zh-CN"/>
        </w:rPr>
        <w:t>我单位</w:t>
      </w:r>
      <w:r>
        <w:rPr>
          <w:lang w:val="en-US"/>
        </w:rPr>
        <w:t>1-6</w:t>
      </w:r>
      <w:r>
        <w:rPr>
          <w:lang w:eastAsia="zh-CN"/>
        </w:rPr>
        <w:t>月、</w:t>
      </w:r>
      <w:r>
        <w:rPr>
          <w:lang w:val="en-US"/>
        </w:rPr>
        <w:t>1-9</w:t>
      </w:r>
      <w:r>
        <w:rPr>
          <w:lang w:eastAsia="zh-CN"/>
        </w:rPr>
        <w:t>月及</w:t>
      </w:r>
      <w:r>
        <w:rPr>
          <w:lang w:val="en-US"/>
        </w:rPr>
        <w:t>1-11</w:t>
      </w:r>
      <w:r>
        <w:rPr>
          <w:lang w:eastAsia="zh-CN"/>
        </w:rPr>
        <w:t>月资金执行进度良好。依据评分标准，该指标得</w:t>
      </w:r>
      <w:r>
        <w:rPr>
          <w:lang w:val="en-US"/>
        </w:rPr>
        <w:t>8</w:t>
      </w:r>
      <w:r>
        <w:rPr>
          <w:lang w:eastAsia="zh-CN"/>
        </w:rPr>
        <w:t>分。</w:t>
      </w:r>
    </w:p>
    <w:p w14:paraId="08F32534">
      <w:pPr>
        <w:pStyle w:val="2"/>
        <w:spacing w:before="93" w:beforeLines="30" w:beforeAutospacing="0" w:after="0" w:afterAutospacing="0"/>
        <w:ind w:left="0" w:right="0" w:firstLine="600" w:firstLineChars="200"/>
      </w:pPr>
      <w:r>
        <w:rPr>
          <w:lang w:eastAsia="zh-CN"/>
        </w:rPr>
        <w:t>（</w:t>
      </w:r>
      <w:r>
        <w:rPr>
          <w:lang w:val="en-US"/>
        </w:rPr>
        <w:t>2</w:t>
      </w:r>
      <w:r>
        <w:rPr>
          <w:lang w:eastAsia="zh-CN"/>
        </w:rPr>
        <w:t>）同步调整</w:t>
      </w:r>
    </w:p>
    <w:p w14:paraId="7B68E575">
      <w:pPr>
        <w:pStyle w:val="2"/>
        <w:spacing w:before="93" w:beforeLines="30" w:beforeAutospacing="0" w:after="0" w:afterAutospacing="0"/>
        <w:ind w:left="0" w:right="0" w:firstLine="600" w:firstLineChars="200"/>
      </w:pPr>
      <w:r>
        <w:rPr>
          <w:lang w:eastAsia="zh-CN"/>
        </w:rPr>
        <w:t>我单位在部门预算执行中，预算调整和绩效目标调整同步实现。依据评分标准，该指标得</w:t>
      </w:r>
      <w:r>
        <w:rPr>
          <w:lang w:val="en-US"/>
        </w:rPr>
        <w:t>6</w:t>
      </w:r>
      <w:r>
        <w:rPr>
          <w:lang w:eastAsia="zh-CN"/>
        </w:rPr>
        <w:t>分。</w:t>
      </w:r>
    </w:p>
    <w:p w14:paraId="3E33E4D9">
      <w:pPr>
        <w:pStyle w:val="2"/>
        <w:spacing w:before="93" w:beforeLines="30" w:beforeAutospacing="0" w:after="0" w:afterAutospacing="0"/>
        <w:ind w:left="0" w:right="0" w:firstLine="600" w:firstLineChars="200"/>
      </w:pPr>
      <w:r>
        <w:rPr>
          <w:lang w:eastAsia="zh-CN"/>
        </w:rPr>
        <w:t>（</w:t>
      </w:r>
      <w:r>
        <w:rPr>
          <w:lang w:val="en-US"/>
        </w:rPr>
        <w:t>3</w:t>
      </w:r>
      <w:r>
        <w:rPr>
          <w:lang w:eastAsia="zh-CN"/>
        </w:rPr>
        <w:t>）及时处置</w:t>
      </w:r>
    </w:p>
    <w:p w14:paraId="31A0D758">
      <w:pPr>
        <w:pStyle w:val="2"/>
        <w:spacing w:before="93" w:beforeLines="30" w:beforeAutospacing="0" w:after="0" w:afterAutospacing="0"/>
        <w:ind w:left="0" w:right="0" w:firstLine="600" w:firstLineChars="200"/>
      </w:pPr>
      <w:r>
        <w:rPr>
          <w:lang w:eastAsia="zh-CN"/>
        </w:rPr>
        <w:t>根据财政厅组织开展对绩效运行监控及时提出预算收回、调整处置意见，我单位部门绩效运行监控处置情况良好。依据评分标准，该指标得</w:t>
      </w:r>
      <w:r>
        <w:rPr>
          <w:lang w:val="en-US"/>
        </w:rPr>
        <w:t>6</w:t>
      </w:r>
      <w:r>
        <w:rPr>
          <w:lang w:eastAsia="zh-CN"/>
        </w:rPr>
        <w:t>分。</w:t>
      </w:r>
    </w:p>
    <w:p w14:paraId="0C8A79E0">
      <w:pPr>
        <w:pStyle w:val="2"/>
        <w:spacing w:before="93" w:beforeLines="30" w:beforeAutospacing="0" w:after="0" w:afterAutospacing="0"/>
        <w:ind w:left="0" w:right="0" w:firstLine="600" w:firstLineChars="200"/>
      </w:pPr>
      <w:r>
        <w:rPr>
          <w:lang w:eastAsia="zh-CN"/>
        </w:rPr>
        <w:t>（</w:t>
      </w:r>
      <w:r>
        <w:rPr>
          <w:lang w:val="en-US"/>
        </w:rPr>
        <w:t>4</w:t>
      </w:r>
      <w:r>
        <w:rPr>
          <w:lang w:eastAsia="zh-CN"/>
        </w:rPr>
        <w:t>）预算结余率（低效无效率）</w:t>
      </w:r>
    </w:p>
    <w:p w14:paraId="311C3D88">
      <w:pPr>
        <w:pStyle w:val="2"/>
        <w:spacing w:before="93" w:beforeLines="30" w:beforeAutospacing="0" w:after="0" w:afterAutospacing="0"/>
        <w:ind w:left="0" w:right="0" w:firstLine="600" w:firstLineChars="200"/>
      </w:pPr>
      <w:r>
        <w:rPr>
          <w:lang w:eastAsia="zh-CN"/>
        </w:rPr>
        <w:t>我单位</w:t>
      </w:r>
      <w:r>
        <w:rPr>
          <w:lang w:val="en-US"/>
        </w:rPr>
        <w:t>2022</w:t>
      </w:r>
      <w:r>
        <w:rPr>
          <w:lang w:eastAsia="zh-CN"/>
        </w:rPr>
        <w:t>年决算收入</w:t>
      </w:r>
      <w:r>
        <w:rPr>
          <w:lang w:val="en-US"/>
        </w:rPr>
        <w:t>682.04</w:t>
      </w:r>
      <w:r>
        <w:rPr>
          <w:lang w:eastAsia="zh-CN"/>
        </w:rPr>
        <w:t>万元，决算支出</w:t>
      </w:r>
      <w:r>
        <w:rPr>
          <w:lang w:val="en-US"/>
        </w:rPr>
        <w:t>682.04</w:t>
      </w:r>
      <w:r>
        <w:rPr>
          <w:lang w:eastAsia="zh-CN"/>
        </w:rPr>
        <w:t>万元，执行进度为</w:t>
      </w:r>
      <w:r>
        <w:rPr>
          <w:lang w:val="en-US"/>
        </w:rPr>
        <w:t>100%</w:t>
      </w:r>
      <w:r>
        <w:rPr>
          <w:lang w:eastAsia="zh-CN"/>
        </w:rPr>
        <w:t>，无结转结余。依据评分标准，该指标得</w:t>
      </w:r>
      <w:r>
        <w:rPr>
          <w:lang w:val="en-US"/>
        </w:rPr>
        <w:t>10</w:t>
      </w:r>
      <w:r>
        <w:rPr>
          <w:lang w:eastAsia="zh-CN"/>
        </w:rPr>
        <w:t>分。</w:t>
      </w:r>
    </w:p>
    <w:p w14:paraId="69630C33">
      <w:pPr>
        <w:pStyle w:val="2"/>
        <w:spacing w:before="93" w:beforeLines="30" w:beforeAutospacing="0" w:after="0" w:afterAutospacing="0"/>
        <w:ind w:left="0" w:right="0" w:firstLine="600" w:firstLineChars="200"/>
      </w:pPr>
      <w:r>
        <w:rPr>
          <w:lang w:val="en-US"/>
        </w:rPr>
        <w:t>3.</w:t>
      </w:r>
      <w:r>
        <w:rPr>
          <w:lang w:eastAsia="zh-CN"/>
        </w:rPr>
        <w:t>部门预算项目绩效</w:t>
      </w:r>
    </w:p>
    <w:p w14:paraId="2ECD1AF1">
      <w:pPr>
        <w:pStyle w:val="2"/>
        <w:spacing w:before="93" w:beforeLines="30" w:beforeAutospacing="0" w:after="0" w:afterAutospacing="0"/>
        <w:ind w:left="0" w:right="0" w:firstLine="600" w:firstLineChars="200"/>
      </w:pPr>
      <w:r>
        <w:rPr>
          <w:lang w:eastAsia="zh-CN"/>
        </w:rPr>
        <w:t>我单位针对特定目标类部门预算项目数量，分段选取部分特定目标类部门预算项目实施评价并打分。依据评分标准，该指标得</w:t>
      </w:r>
      <w:r>
        <w:rPr>
          <w:lang w:val="en-US"/>
        </w:rPr>
        <w:t>29.40</w:t>
      </w:r>
      <w:r>
        <w:rPr>
          <w:lang w:eastAsia="zh-CN"/>
        </w:rPr>
        <w:t>分。</w:t>
      </w:r>
    </w:p>
    <w:p w14:paraId="3DDC9B05">
      <w:pPr>
        <w:pStyle w:val="2"/>
        <w:spacing w:before="93" w:beforeLines="30" w:beforeAutospacing="0" w:after="0" w:afterAutospacing="0"/>
        <w:ind w:left="0" w:right="0" w:firstLine="600" w:firstLineChars="200"/>
      </w:pPr>
      <w:r>
        <w:rPr>
          <w:lang w:eastAsia="zh-CN"/>
        </w:rPr>
        <w:t>结果应用情况。</w:t>
      </w:r>
    </w:p>
    <w:p w14:paraId="2FDF4052">
      <w:pPr>
        <w:pStyle w:val="2"/>
        <w:spacing w:before="93" w:beforeLines="30" w:beforeAutospacing="0" w:after="0" w:afterAutospacing="0"/>
        <w:ind w:left="0" w:right="0" w:firstLine="600" w:firstLineChars="200"/>
      </w:pPr>
      <w:r>
        <w:rPr>
          <w:lang w:val="en-US"/>
        </w:rPr>
        <w:t>1.</w:t>
      </w:r>
      <w:r>
        <w:rPr>
          <w:lang w:eastAsia="zh-CN"/>
        </w:rPr>
        <w:t>内部应用</w:t>
      </w:r>
    </w:p>
    <w:p w14:paraId="7C4B459D">
      <w:pPr>
        <w:pStyle w:val="2"/>
        <w:spacing w:before="93" w:beforeLines="30" w:beforeAutospacing="0" w:after="0" w:afterAutospacing="0"/>
        <w:ind w:left="0" w:right="0" w:firstLine="600" w:firstLineChars="200"/>
      </w:pPr>
      <w:r>
        <w:rPr>
          <w:lang w:eastAsia="zh-CN"/>
        </w:rPr>
        <w:t>预算挂钩：我单位已将内设机构绩效管理情况纳入内部考核体系。依据评分标准，该指标得</w:t>
      </w:r>
      <w:r>
        <w:rPr>
          <w:lang w:val="en-US"/>
        </w:rPr>
        <w:t>4</w:t>
      </w:r>
      <w:r>
        <w:rPr>
          <w:lang w:eastAsia="zh-CN"/>
        </w:rPr>
        <w:t>分。</w:t>
      </w:r>
    </w:p>
    <w:p w14:paraId="4FC0CB40">
      <w:pPr>
        <w:pStyle w:val="2"/>
        <w:spacing w:before="93" w:beforeLines="30" w:beforeAutospacing="0" w:after="0" w:afterAutospacing="0"/>
        <w:ind w:left="0" w:right="0" w:firstLine="600" w:firstLineChars="200"/>
      </w:pPr>
      <w:r>
        <w:rPr>
          <w:lang w:val="en-US"/>
        </w:rPr>
        <w:t>2.</w:t>
      </w:r>
      <w:r>
        <w:rPr>
          <w:lang w:eastAsia="zh-CN"/>
        </w:rPr>
        <w:t>信息公开</w:t>
      </w:r>
    </w:p>
    <w:p w14:paraId="660A2811">
      <w:pPr>
        <w:pStyle w:val="2"/>
        <w:spacing w:before="93" w:beforeLines="30" w:beforeAutospacing="0" w:after="0" w:afterAutospacing="0"/>
        <w:ind w:left="0" w:right="0" w:firstLine="600" w:firstLineChars="200"/>
      </w:pPr>
      <w:r>
        <w:rPr>
          <w:lang w:eastAsia="zh-CN"/>
        </w:rPr>
        <w:t>自评公开：我单位已按要求将部门整体绩效自评情况和自行组织的评价情况向社会公开。依据评分标准，该指标得</w:t>
      </w:r>
      <w:r>
        <w:rPr>
          <w:lang w:val="en-US"/>
        </w:rPr>
        <w:t>4</w:t>
      </w:r>
      <w:r>
        <w:rPr>
          <w:lang w:eastAsia="zh-CN"/>
        </w:rPr>
        <w:t>分。</w:t>
      </w:r>
    </w:p>
    <w:p w14:paraId="6C893759">
      <w:pPr>
        <w:pStyle w:val="2"/>
        <w:spacing w:before="93" w:beforeLines="30" w:beforeAutospacing="0" w:after="0" w:afterAutospacing="0"/>
        <w:ind w:left="0" w:right="0" w:firstLine="600" w:firstLineChars="200"/>
        <w:rPr>
          <w:lang w:val="en-US"/>
        </w:rPr>
      </w:pPr>
    </w:p>
    <w:p w14:paraId="2AF4FD1F">
      <w:pPr>
        <w:pStyle w:val="2"/>
        <w:spacing w:before="93" w:beforeLines="30" w:beforeAutospacing="0" w:after="0" w:afterAutospacing="0"/>
        <w:ind w:left="0" w:right="0" w:firstLine="600" w:firstLineChars="200"/>
      </w:pPr>
      <w:r>
        <w:rPr>
          <w:lang w:val="en-US"/>
        </w:rPr>
        <w:t>3.</w:t>
      </w:r>
      <w:r>
        <w:rPr>
          <w:lang w:eastAsia="zh-CN"/>
        </w:rPr>
        <w:t>整改反馈</w:t>
      </w:r>
    </w:p>
    <w:p w14:paraId="14C3AFBA">
      <w:pPr>
        <w:pStyle w:val="2"/>
        <w:spacing w:before="93" w:beforeLines="30" w:beforeAutospacing="0" w:after="0" w:afterAutospacing="0"/>
        <w:ind w:left="0" w:right="0" w:firstLine="600" w:firstLineChars="200"/>
      </w:pPr>
      <w:r>
        <w:rPr>
          <w:lang w:eastAsia="zh-CN"/>
        </w:rPr>
        <w:t>（</w:t>
      </w:r>
      <w:r>
        <w:rPr>
          <w:lang w:val="en-US"/>
        </w:rPr>
        <w:t>1</w:t>
      </w:r>
      <w:r>
        <w:rPr>
          <w:lang w:eastAsia="zh-CN"/>
        </w:rPr>
        <w:t>）问题整改</w:t>
      </w:r>
    </w:p>
    <w:p w14:paraId="244D310D">
      <w:pPr>
        <w:pStyle w:val="2"/>
        <w:spacing w:before="93" w:beforeLines="30" w:beforeAutospacing="0" w:after="0" w:afterAutospacing="0"/>
        <w:ind w:left="0" w:right="0" w:firstLine="600" w:firstLineChars="200"/>
      </w:pPr>
      <w:r>
        <w:rPr>
          <w:lang w:eastAsia="zh-CN"/>
        </w:rPr>
        <w:t>我单位</w:t>
      </w:r>
      <w:r>
        <w:rPr>
          <w:lang w:val="en-US"/>
        </w:rPr>
        <w:t>2022</w:t>
      </w:r>
      <w:r>
        <w:rPr>
          <w:lang w:eastAsia="zh-CN"/>
        </w:rPr>
        <w:t>年进行了绩效目标审核，并开展了事中绩效监控，对</w:t>
      </w:r>
      <w:r>
        <w:rPr>
          <w:lang w:val="en-US"/>
        </w:rPr>
        <w:t>2021</w:t>
      </w:r>
      <w:r>
        <w:rPr>
          <w:lang w:eastAsia="zh-CN"/>
        </w:rPr>
        <w:t>年绩效预算项目开展了事后绩效自评价。针对绩效管理结果中存在的问题进行了整改，对绩效预算管理方式进行了改进。依据评分标准，该指标得</w:t>
      </w:r>
      <w:r>
        <w:rPr>
          <w:lang w:val="en-US"/>
        </w:rPr>
        <w:t>3</w:t>
      </w:r>
      <w:r>
        <w:rPr>
          <w:lang w:eastAsia="zh-CN"/>
        </w:rPr>
        <w:t>分。</w:t>
      </w:r>
    </w:p>
    <w:p w14:paraId="02065492">
      <w:pPr>
        <w:pStyle w:val="2"/>
        <w:spacing w:before="93" w:beforeLines="30" w:beforeAutospacing="0" w:after="0" w:afterAutospacing="0"/>
        <w:ind w:left="0" w:right="0" w:firstLine="600" w:firstLineChars="200"/>
      </w:pPr>
      <w:r>
        <w:rPr>
          <w:lang w:eastAsia="zh-CN"/>
        </w:rPr>
        <w:t>（</w:t>
      </w:r>
      <w:r>
        <w:rPr>
          <w:lang w:val="en-US"/>
        </w:rPr>
        <w:t>2</w:t>
      </w:r>
      <w:r>
        <w:rPr>
          <w:lang w:eastAsia="zh-CN"/>
        </w:rPr>
        <w:t>）应用反馈</w:t>
      </w:r>
    </w:p>
    <w:p w14:paraId="12CAA32B">
      <w:pPr>
        <w:pStyle w:val="2"/>
        <w:spacing w:before="93" w:beforeLines="30" w:beforeAutospacing="0" w:after="0" w:afterAutospacing="0"/>
        <w:ind w:left="0" w:right="0" w:firstLine="600" w:firstLineChars="200"/>
      </w:pPr>
      <w:r>
        <w:rPr>
          <w:lang w:eastAsia="zh-CN"/>
        </w:rPr>
        <w:t>我单位已按要求及时向财政部门反馈问题整改及结果应用情况。依据评分标准，该指标得</w:t>
      </w:r>
      <w:r>
        <w:rPr>
          <w:lang w:val="en-US"/>
        </w:rPr>
        <w:t>3</w:t>
      </w:r>
      <w:r>
        <w:rPr>
          <w:lang w:eastAsia="zh-CN"/>
        </w:rPr>
        <w:t>分。</w:t>
      </w:r>
    </w:p>
    <w:p w14:paraId="04BB80F3">
      <w:pPr>
        <w:pStyle w:val="2"/>
        <w:spacing w:before="93" w:beforeLines="30" w:beforeAutospacing="0" w:after="0" w:afterAutospacing="0"/>
        <w:ind w:left="0" w:right="0" w:firstLine="600" w:firstLineChars="200"/>
      </w:pPr>
      <w:r>
        <w:rPr>
          <w:lang w:val="en-US"/>
        </w:rPr>
        <w:t>4.</w:t>
      </w:r>
      <w:r>
        <w:rPr>
          <w:lang w:eastAsia="zh-CN"/>
        </w:rPr>
        <w:t>自评质量。</w:t>
      </w:r>
    </w:p>
    <w:p w14:paraId="0CA785B9">
      <w:pPr>
        <w:pStyle w:val="2"/>
        <w:spacing w:before="93" w:beforeLines="30" w:beforeAutospacing="0" w:after="0" w:afterAutospacing="0"/>
        <w:ind w:left="0" w:right="0" w:firstLine="600" w:firstLineChars="200"/>
      </w:pPr>
      <w:r>
        <w:rPr>
          <w:lang w:eastAsia="zh-CN"/>
        </w:rPr>
        <w:t>自评质量：我单位整体支出自评得分与评价组抽查得分差异在</w:t>
      </w:r>
      <w:r>
        <w:rPr>
          <w:lang w:val="en-US"/>
        </w:rPr>
        <w:t>10%</w:t>
      </w:r>
      <w:r>
        <w:rPr>
          <w:lang w:eastAsia="zh-CN"/>
        </w:rPr>
        <w:t>以内。依据评分标准，该指标得</w:t>
      </w:r>
      <w:r>
        <w:rPr>
          <w:lang w:val="en-US"/>
        </w:rPr>
        <w:t>6</w:t>
      </w:r>
      <w:r>
        <w:rPr>
          <w:lang w:eastAsia="zh-CN"/>
        </w:rPr>
        <w:t>分。</w:t>
      </w:r>
    </w:p>
    <w:p w14:paraId="02CEC814">
      <w:pPr>
        <w:pStyle w:val="2"/>
        <w:spacing w:before="93" w:beforeLines="30" w:beforeAutospacing="0" w:after="0" w:afterAutospacing="0"/>
        <w:ind w:left="0" w:right="0" w:firstLine="600" w:firstLineChars="200"/>
      </w:pPr>
      <w:r>
        <w:rPr>
          <w:lang w:eastAsia="zh-CN"/>
        </w:rPr>
        <w:t>四、评价结论及建议</w:t>
      </w:r>
    </w:p>
    <w:p w14:paraId="2530C730">
      <w:pPr>
        <w:pStyle w:val="2"/>
        <w:spacing w:before="93" w:beforeLines="30" w:beforeAutospacing="0" w:after="0" w:afterAutospacing="0"/>
        <w:ind w:left="0" w:right="0" w:firstLine="600" w:firstLineChars="200"/>
        <w:outlineLvl w:val="2"/>
      </w:pPr>
      <w:bookmarkStart w:id="117" w:name="_Toc9456"/>
      <w:r>
        <w:rPr>
          <w:lang w:eastAsia="zh-CN"/>
        </w:rPr>
        <w:t>（一）评价结论。</w:t>
      </w:r>
      <w:bookmarkEnd w:id="117"/>
    </w:p>
    <w:p w14:paraId="69EBBC40">
      <w:pPr>
        <w:pStyle w:val="2"/>
        <w:spacing w:before="93" w:beforeLines="30" w:beforeAutospacing="0" w:after="0" w:afterAutospacing="0"/>
        <w:ind w:left="0" w:right="0" w:firstLine="600" w:firstLineChars="200"/>
      </w:pPr>
      <w:r>
        <w:rPr>
          <w:lang w:eastAsia="zh-CN"/>
        </w:rPr>
        <w:t>我单位</w:t>
      </w:r>
      <w:r>
        <w:rPr>
          <w:lang w:val="en-US"/>
        </w:rPr>
        <w:t>2022</w:t>
      </w:r>
      <w:r>
        <w:rPr>
          <w:lang w:eastAsia="zh-CN"/>
        </w:rPr>
        <w:t>年度整体支出情况良好，资金使用规范，管理制度齐全，预算信息公开及时完整，资产管理使用规范，为保障机构正常运转，发挥了保障有效履行职能职责和完成各项工作任务的重要支撑作用，全面实现了部门预算绩效目标，财政资金使用效果良好，我单位</w:t>
      </w:r>
      <w:r>
        <w:rPr>
          <w:lang w:val="en-US"/>
        </w:rPr>
        <w:t>2022</w:t>
      </w:r>
      <w:r>
        <w:rPr>
          <w:lang w:eastAsia="zh-CN"/>
        </w:rPr>
        <w:t>年整体支出绩效评价自评得分</w:t>
      </w:r>
      <w:r>
        <w:rPr>
          <w:lang w:val="en-US"/>
        </w:rPr>
        <w:t>99.40</w:t>
      </w:r>
      <w:r>
        <w:rPr>
          <w:lang w:eastAsia="zh-CN"/>
        </w:rPr>
        <w:t>分。</w:t>
      </w:r>
    </w:p>
    <w:p w14:paraId="7088EB81">
      <w:pPr>
        <w:pStyle w:val="2"/>
        <w:spacing w:before="93" w:beforeLines="30" w:beforeAutospacing="0" w:after="0" w:afterAutospacing="0"/>
        <w:ind w:left="0" w:right="0" w:firstLine="600" w:firstLineChars="200"/>
      </w:pPr>
      <w:r>
        <w:rPr>
          <w:lang w:eastAsia="zh-CN"/>
        </w:rPr>
        <w:t>（二）存在问题。无。</w:t>
      </w:r>
    </w:p>
    <w:p w14:paraId="2D847928">
      <w:pPr>
        <w:pStyle w:val="2"/>
        <w:spacing w:before="93" w:beforeLines="30" w:beforeAutospacing="0" w:after="0" w:afterAutospacing="0"/>
        <w:ind w:left="0" w:right="0" w:firstLine="600" w:firstLineChars="200"/>
      </w:pPr>
      <w:r>
        <w:rPr>
          <w:lang w:eastAsia="zh-CN"/>
        </w:rPr>
        <w:t>（三）改进建议。无。</w:t>
      </w:r>
    </w:p>
    <w:p w14:paraId="5A9ABF4D">
      <w:pPr>
        <w:pStyle w:val="2"/>
        <w:spacing w:before="93" w:beforeLines="30" w:beforeAutospacing="0" w:after="0" w:afterAutospacing="0"/>
        <w:ind w:left="0" w:right="0" w:firstLine="600" w:firstLineChars="200"/>
      </w:pPr>
      <w:r>
        <w:rPr>
          <w:lang w:eastAsia="zh-CN"/>
        </w:rPr>
        <w:t>无</w:t>
      </w:r>
      <w:r>
        <w:rPr>
          <w:lang w:val="en-US"/>
        </w:rPr>
        <w:t>2022</w:t>
      </w:r>
      <w:r>
        <w:rPr>
          <w:lang w:eastAsia="zh-CN"/>
        </w:rPr>
        <w:t>年专项预算项目支出</w:t>
      </w:r>
      <w:r>
        <w:rPr>
          <w:rFonts w:hint="eastAsia"/>
          <w:lang w:eastAsia="zh-CN"/>
        </w:rPr>
        <w:t>，</w:t>
      </w:r>
      <w:r>
        <w:rPr>
          <w:lang w:eastAsia="zh-CN"/>
        </w:rPr>
        <w:t>无两个及以上</w:t>
      </w:r>
      <w:r>
        <w:rPr>
          <w:lang w:val="en-US"/>
        </w:rPr>
        <w:t>100</w:t>
      </w:r>
      <w:r>
        <w:rPr>
          <w:lang w:eastAsia="zh-CN"/>
        </w:rPr>
        <w:t>万元以上特定目标类部门预算项目</w:t>
      </w:r>
      <w:r>
        <w:rPr>
          <w:rFonts w:hint="eastAsia"/>
          <w:lang w:eastAsia="zh-CN"/>
        </w:rPr>
        <w:t>。</w:t>
      </w:r>
    </w:p>
    <w:tbl>
      <w:tblPr>
        <w:tblStyle w:val="14"/>
        <w:tblW w:w="88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7"/>
        <w:gridCol w:w="1027"/>
        <w:gridCol w:w="988"/>
        <w:gridCol w:w="1007"/>
        <w:gridCol w:w="728"/>
        <w:gridCol w:w="675"/>
        <w:gridCol w:w="472"/>
        <w:gridCol w:w="1049"/>
        <w:gridCol w:w="651"/>
        <w:gridCol w:w="566"/>
        <w:gridCol w:w="869"/>
      </w:tblGrid>
      <w:tr w14:paraId="4E983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0613E">
            <w:pPr>
              <w:textAlignment w:val="center"/>
              <w:rPr>
                <w:color w:val="000000"/>
                <w:sz w:val="18"/>
                <w:szCs w:val="18"/>
                <w:lang w:val="en-US"/>
              </w:rPr>
            </w:pP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14:paraId="0ADFA28A">
            <w:pPr>
              <w:textAlignment w:val="center"/>
              <w:rPr>
                <w:color w:val="000000"/>
                <w:sz w:val="18"/>
                <w:szCs w:val="18"/>
                <w:lang w:val="en-US"/>
              </w:rPr>
            </w:pPr>
            <w:r>
              <w:rPr>
                <w:b/>
                <w:bCs w:val="0"/>
                <w:sz w:val="30"/>
                <w:szCs w:val="30"/>
              </w:rPr>
              <w:t>部门预算项目支出绩效自评表（</w:t>
            </w:r>
            <w:r>
              <w:rPr>
                <w:b/>
                <w:bCs w:val="0"/>
                <w:sz w:val="30"/>
                <w:szCs w:val="30"/>
                <w:lang w:val="en-US"/>
              </w:rPr>
              <w:t>2022</w:t>
            </w:r>
            <w:r>
              <w:rPr>
                <w:b/>
                <w:bCs w:val="0"/>
                <w:sz w:val="30"/>
                <w:szCs w:val="30"/>
              </w:rPr>
              <w:t>年度）</w:t>
            </w:r>
          </w:p>
        </w:tc>
      </w:tr>
      <w:tr w14:paraId="6DE8F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74932">
            <w:pPr>
              <w:textAlignment w:val="center"/>
              <w:rPr>
                <w:color w:val="000000"/>
                <w:sz w:val="18"/>
                <w:szCs w:val="18"/>
                <w:lang w:val="en-US"/>
              </w:rPr>
            </w:pPr>
            <w:r>
              <w:rPr>
                <w:color w:val="000000"/>
                <w:sz w:val="18"/>
                <w:szCs w:val="18"/>
              </w:rPr>
              <w:t>项目名称</w:t>
            </w: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14:paraId="6AEB6099">
            <w:pPr>
              <w:textAlignment w:val="center"/>
              <w:rPr>
                <w:color w:val="000000"/>
                <w:sz w:val="18"/>
                <w:szCs w:val="18"/>
                <w:lang w:val="en-US"/>
              </w:rPr>
            </w:pPr>
            <w:r>
              <w:rPr>
                <w:color w:val="000000"/>
                <w:sz w:val="18"/>
                <w:szCs w:val="18"/>
                <w:lang w:val="en-US"/>
              </w:rPr>
              <w:t>51320022T000000352665-</w:t>
            </w:r>
            <w:r>
              <w:rPr>
                <w:color w:val="000000"/>
                <w:sz w:val="18"/>
                <w:szCs w:val="18"/>
              </w:rPr>
              <w:t>成都办公场所（九寨沟饭店三楼）租赁费</w:t>
            </w:r>
          </w:p>
        </w:tc>
      </w:tr>
      <w:tr w14:paraId="385E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81850">
            <w:pPr>
              <w:textAlignment w:val="center"/>
              <w:rPr>
                <w:color w:val="000000"/>
                <w:sz w:val="18"/>
                <w:szCs w:val="18"/>
                <w:lang w:val="en-US"/>
              </w:rPr>
            </w:pPr>
            <w:r>
              <w:rPr>
                <w:color w:val="000000"/>
                <w:sz w:val="18"/>
                <w:szCs w:val="18"/>
              </w:rPr>
              <w:t>主管部门</w:t>
            </w:r>
          </w:p>
        </w:tc>
        <w:tc>
          <w:tcPr>
            <w:tcW w:w="3870" w:type="dxa"/>
            <w:gridSpan w:val="5"/>
            <w:tcBorders>
              <w:top w:val="single" w:color="000000" w:sz="4" w:space="0"/>
              <w:left w:val="nil"/>
              <w:bottom w:val="single" w:color="000000" w:sz="4" w:space="0"/>
              <w:right w:val="single" w:color="000000" w:sz="4" w:space="0"/>
            </w:tcBorders>
            <w:shd w:val="clear" w:color="auto" w:fill="auto"/>
            <w:vAlign w:val="center"/>
          </w:tcPr>
          <w:p w14:paraId="6B343627">
            <w:pPr>
              <w:textAlignment w:val="center"/>
              <w:rPr>
                <w:color w:val="000000"/>
                <w:sz w:val="18"/>
                <w:szCs w:val="18"/>
                <w:lang w:val="en-US"/>
              </w:rPr>
            </w:pPr>
            <w:r>
              <w:rPr>
                <w:color w:val="000000"/>
                <w:sz w:val="18"/>
                <w:szCs w:val="18"/>
              </w:rPr>
              <w:t>州政府驻外联络办部门</w:t>
            </w:r>
          </w:p>
        </w:tc>
        <w:tc>
          <w:tcPr>
            <w:tcW w:w="1049" w:type="dxa"/>
            <w:shd w:val="clear" w:color="auto" w:fill="auto"/>
            <w:vAlign w:val="center"/>
          </w:tcPr>
          <w:p w14:paraId="77CF4004">
            <w:pPr>
              <w:textAlignment w:val="center"/>
              <w:rPr>
                <w:color w:val="000000"/>
                <w:sz w:val="18"/>
                <w:szCs w:val="18"/>
                <w:lang w:val="en-US"/>
              </w:rPr>
            </w:pPr>
            <w:r>
              <w:rPr>
                <w:color w:val="000000"/>
                <w:sz w:val="18"/>
                <w:szCs w:val="18"/>
              </w:rPr>
              <w:t>实施单位 （盖章）</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CE9C14">
            <w:pPr>
              <w:jc w:val="center"/>
              <w:textAlignment w:val="center"/>
              <w:rPr>
                <w:color w:val="000000"/>
                <w:sz w:val="18"/>
                <w:szCs w:val="18"/>
                <w:lang w:val="en-US"/>
              </w:rPr>
            </w:pPr>
            <w:r>
              <w:rPr>
                <w:color w:val="000000"/>
                <w:sz w:val="18"/>
                <w:szCs w:val="18"/>
              </w:rPr>
              <w:t>州政府驻外联络办</w:t>
            </w:r>
          </w:p>
        </w:tc>
      </w:tr>
      <w:tr w14:paraId="61D9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67" w:type="dxa"/>
            <w:vMerge w:val="restart"/>
            <w:tcBorders>
              <w:top w:val="nil"/>
              <w:left w:val="single" w:color="000000" w:sz="4" w:space="0"/>
              <w:bottom w:val="single" w:color="000000" w:sz="4" w:space="0"/>
              <w:right w:val="single" w:color="000000" w:sz="4" w:space="0"/>
            </w:tcBorders>
            <w:shd w:val="clear" w:color="auto" w:fill="auto"/>
            <w:vAlign w:val="center"/>
          </w:tcPr>
          <w:p w14:paraId="0EF8BB4B">
            <w:pPr>
              <w:textAlignment w:val="center"/>
              <w:rPr>
                <w:color w:val="000000"/>
                <w:sz w:val="18"/>
                <w:szCs w:val="18"/>
                <w:lang w:val="en-US"/>
              </w:rPr>
            </w:pPr>
            <w:r>
              <w:rPr>
                <w:color w:val="000000"/>
                <w:sz w:val="18"/>
                <w:szCs w:val="18"/>
              </w:rPr>
              <w:t>项目基本情况</w:t>
            </w:r>
          </w:p>
        </w:tc>
        <w:tc>
          <w:tcPr>
            <w:tcW w:w="1027" w:type="dxa"/>
            <w:vMerge w:val="restart"/>
            <w:tcBorders>
              <w:top w:val="nil"/>
              <w:left w:val="nil"/>
              <w:bottom w:val="single" w:color="000000" w:sz="4" w:space="0"/>
              <w:right w:val="single" w:color="000000" w:sz="4" w:space="0"/>
            </w:tcBorders>
            <w:shd w:val="clear" w:color="auto" w:fill="auto"/>
            <w:vAlign w:val="center"/>
          </w:tcPr>
          <w:p w14:paraId="4C41BA4F">
            <w:pPr>
              <w:textAlignment w:val="center"/>
              <w:rPr>
                <w:color w:val="000000"/>
                <w:sz w:val="18"/>
                <w:szCs w:val="18"/>
                <w:lang w:val="en-US"/>
              </w:rPr>
            </w:pPr>
            <w:r>
              <w:rPr>
                <w:color w:val="000000"/>
                <w:sz w:val="18"/>
                <w:szCs w:val="18"/>
                <w:lang w:val="en-US"/>
              </w:rPr>
              <w:t>1.</w:t>
            </w:r>
            <w:r>
              <w:rPr>
                <w:color w:val="000000"/>
                <w:sz w:val="18"/>
                <w:szCs w:val="18"/>
              </w:rPr>
              <w:t>项目年度目标完成情况</w:t>
            </w:r>
          </w:p>
        </w:tc>
        <w:tc>
          <w:tcPr>
            <w:tcW w:w="3870" w:type="dxa"/>
            <w:gridSpan w:val="5"/>
            <w:tcBorders>
              <w:top w:val="single" w:color="000000" w:sz="4" w:space="0"/>
              <w:left w:val="nil"/>
              <w:bottom w:val="single" w:color="000000" w:sz="4" w:space="0"/>
              <w:right w:val="single" w:color="000000" w:sz="4" w:space="0"/>
            </w:tcBorders>
            <w:shd w:val="clear" w:color="auto" w:fill="auto"/>
            <w:vAlign w:val="center"/>
          </w:tcPr>
          <w:p w14:paraId="3866788C">
            <w:pPr>
              <w:jc w:val="center"/>
              <w:textAlignment w:val="center"/>
              <w:rPr>
                <w:color w:val="000000"/>
                <w:sz w:val="18"/>
                <w:szCs w:val="18"/>
                <w:lang w:val="en-US"/>
              </w:rPr>
            </w:pPr>
            <w:r>
              <w:rPr>
                <w:color w:val="000000"/>
                <w:sz w:val="18"/>
                <w:szCs w:val="18"/>
              </w:rPr>
              <w:t>项目年度目标</w:t>
            </w:r>
          </w:p>
        </w:tc>
        <w:tc>
          <w:tcPr>
            <w:tcW w:w="3135" w:type="dxa"/>
            <w:gridSpan w:val="4"/>
            <w:tcBorders>
              <w:top w:val="single" w:color="000000" w:sz="4" w:space="0"/>
              <w:left w:val="nil"/>
              <w:bottom w:val="single" w:color="000000" w:sz="4" w:space="0"/>
              <w:right w:val="single" w:color="000000" w:sz="4" w:space="0"/>
            </w:tcBorders>
            <w:shd w:val="clear" w:color="auto" w:fill="auto"/>
            <w:vAlign w:val="center"/>
          </w:tcPr>
          <w:p w14:paraId="106ADBB0">
            <w:pPr>
              <w:jc w:val="center"/>
              <w:textAlignment w:val="center"/>
              <w:rPr>
                <w:color w:val="000000"/>
                <w:sz w:val="18"/>
                <w:szCs w:val="18"/>
                <w:lang w:val="en-US"/>
              </w:rPr>
            </w:pPr>
            <w:r>
              <w:rPr>
                <w:color w:val="000000"/>
                <w:sz w:val="18"/>
                <w:szCs w:val="18"/>
              </w:rPr>
              <w:t>年度目标完成情况</w:t>
            </w:r>
          </w:p>
        </w:tc>
      </w:tr>
      <w:tr w14:paraId="046A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379D3328">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14:paraId="75A943A9">
            <w:pPr>
              <w:rPr>
                <w:rFonts w:hint="default" w:ascii="Times New Roman" w:hAnsi="Times New Roman" w:cs="Times New Roman"/>
                <w:sz w:val="20"/>
                <w:szCs w:val="20"/>
              </w:rPr>
            </w:pPr>
          </w:p>
        </w:tc>
        <w:tc>
          <w:tcPr>
            <w:tcW w:w="3870" w:type="dxa"/>
            <w:gridSpan w:val="5"/>
            <w:tcBorders>
              <w:top w:val="single" w:color="000000" w:sz="4" w:space="0"/>
              <w:left w:val="nil"/>
              <w:bottom w:val="single" w:color="000000" w:sz="4" w:space="0"/>
              <w:right w:val="single" w:color="000000" w:sz="4" w:space="0"/>
            </w:tcBorders>
            <w:shd w:val="clear" w:color="auto" w:fill="auto"/>
            <w:vAlign w:val="center"/>
          </w:tcPr>
          <w:p w14:paraId="1219F412">
            <w:pPr>
              <w:textAlignment w:val="center"/>
              <w:rPr>
                <w:color w:val="000000"/>
                <w:sz w:val="18"/>
                <w:szCs w:val="18"/>
                <w:lang w:val="en-US"/>
              </w:rPr>
            </w:pPr>
            <w:r>
              <w:rPr>
                <w:color w:val="000000"/>
                <w:sz w:val="18"/>
                <w:szCs w:val="18"/>
              </w:rPr>
              <w:t>为保障单位基本办公用房需求，及时缴纳成都办公场所（九寨沟饭店三楼）租赁费，提高办公人员工作环境水平，保障各项工作顺利开展，提高办公人员满意度。</w:t>
            </w:r>
          </w:p>
        </w:tc>
        <w:tc>
          <w:tcPr>
            <w:tcW w:w="3135" w:type="dxa"/>
            <w:gridSpan w:val="4"/>
            <w:tcBorders>
              <w:top w:val="single" w:color="000000" w:sz="4" w:space="0"/>
              <w:left w:val="nil"/>
              <w:bottom w:val="single" w:color="000000" w:sz="4" w:space="0"/>
              <w:right w:val="single" w:color="000000" w:sz="4" w:space="0"/>
            </w:tcBorders>
            <w:shd w:val="clear" w:color="auto" w:fill="auto"/>
            <w:vAlign w:val="center"/>
          </w:tcPr>
          <w:p w14:paraId="3E99B22D">
            <w:pPr>
              <w:textAlignment w:val="center"/>
              <w:rPr>
                <w:color w:val="000000"/>
                <w:sz w:val="18"/>
                <w:szCs w:val="18"/>
                <w:lang w:val="en-US"/>
              </w:rPr>
            </w:pPr>
            <w:r>
              <w:rPr>
                <w:color w:val="000000"/>
                <w:sz w:val="18"/>
                <w:szCs w:val="18"/>
              </w:rPr>
              <w:t>已完成租赁费的缴纳。</w:t>
            </w:r>
          </w:p>
        </w:tc>
      </w:tr>
      <w:tr w14:paraId="272E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52D03024">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6C078CAE">
            <w:pPr>
              <w:textAlignment w:val="center"/>
              <w:rPr>
                <w:color w:val="000000"/>
                <w:sz w:val="18"/>
                <w:szCs w:val="18"/>
                <w:lang w:val="en-US"/>
              </w:rPr>
            </w:pPr>
            <w:r>
              <w:rPr>
                <w:color w:val="000000"/>
                <w:sz w:val="18"/>
                <w:szCs w:val="18"/>
                <w:lang w:val="en-US"/>
              </w:rPr>
              <w:t>2.</w:t>
            </w:r>
            <w:r>
              <w:rPr>
                <w:color w:val="000000"/>
                <w:sz w:val="18"/>
                <w:szCs w:val="18"/>
              </w:rPr>
              <w:t>项目实施内容及过程概述</w:t>
            </w: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14:paraId="4467C811">
            <w:pPr>
              <w:textAlignment w:val="center"/>
              <w:rPr>
                <w:color w:val="000000"/>
                <w:sz w:val="18"/>
                <w:szCs w:val="18"/>
                <w:lang w:val="en-US"/>
              </w:rPr>
            </w:pPr>
            <w:r>
              <w:rPr>
                <w:color w:val="000000"/>
                <w:sz w:val="18"/>
                <w:szCs w:val="18"/>
              </w:rPr>
              <w:t>项目主要内容为：及时缴纳成都办公场所（九寨沟饭店三楼）租赁费，提高办公人员工作环境水平，提高办公人员的满意度。</w:t>
            </w:r>
          </w:p>
        </w:tc>
      </w:tr>
      <w:tr w14:paraId="124F4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867" w:type="dxa"/>
            <w:vMerge w:val="restart"/>
            <w:tcBorders>
              <w:top w:val="nil"/>
              <w:left w:val="single" w:color="000000" w:sz="4" w:space="0"/>
              <w:bottom w:val="single" w:color="000000" w:sz="4" w:space="0"/>
              <w:right w:val="single" w:color="000000" w:sz="4" w:space="0"/>
            </w:tcBorders>
            <w:shd w:val="clear" w:color="auto" w:fill="auto"/>
            <w:vAlign w:val="center"/>
          </w:tcPr>
          <w:p w14:paraId="634BD22B">
            <w:pPr>
              <w:jc w:val="center"/>
              <w:textAlignment w:val="center"/>
              <w:rPr>
                <w:color w:val="000000"/>
                <w:sz w:val="18"/>
                <w:szCs w:val="18"/>
                <w:lang w:val="en-US"/>
              </w:rPr>
            </w:pPr>
            <w:r>
              <w:rPr>
                <w:color w:val="000000"/>
                <w:sz w:val="18"/>
                <w:szCs w:val="18"/>
              </w:rPr>
              <w:t>预算执行情况（</w:t>
            </w:r>
            <w:r>
              <w:rPr>
                <w:color w:val="000000"/>
                <w:sz w:val="18"/>
                <w:szCs w:val="18"/>
                <w:lang w:val="en-US"/>
              </w:rPr>
              <w:t>10</w:t>
            </w:r>
            <w:r>
              <w:rPr>
                <w:color w:val="000000"/>
                <w:sz w:val="18"/>
                <w:szCs w:val="18"/>
              </w:rPr>
              <w:t>分）</w:t>
            </w: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56F5A37A">
            <w:pPr>
              <w:jc w:val="center"/>
              <w:textAlignment w:val="center"/>
              <w:rPr>
                <w:color w:val="000000"/>
                <w:sz w:val="18"/>
                <w:szCs w:val="18"/>
                <w:lang w:val="en-US"/>
              </w:rPr>
            </w:pPr>
            <w:r>
              <w:rPr>
                <w:color w:val="000000"/>
                <w:sz w:val="18"/>
                <w:szCs w:val="18"/>
              </w:rPr>
              <w:t>年度预算数（万元）</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06BD8017">
            <w:pPr>
              <w:jc w:val="center"/>
              <w:textAlignment w:val="center"/>
              <w:rPr>
                <w:color w:val="000000"/>
                <w:sz w:val="18"/>
                <w:szCs w:val="18"/>
                <w:lang w:val="en-US"/>
              </w:rPr>
            </w:pPr>
            <w:r>
              <w:rPr>
                <w:color w:val="000000"/>
                <w:sz w:val="18"/>
                <w:szCs w:val="18"/>
              </w:rPr>
              <w:t>年初预算</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564CDB7C">
            <w:pPr>
              <w:jc w:val="center"/>
              <w:textAlignment w:val="center"/>
              <w:rPr>
                <w:color w:val="000000"/>
                <w:sz w:val="18"/>
                <w:szCs w:val="18"/>
                <w:lang w:val="en-US"/>
              </w:rPr>
            </w:pPr>
            <w:r>
              <w:rPr>
                <w:color w:val="000000"/>
                <w:sz w:val="18"/>
                <w:szCs w:val="18"/>
              </w:rPr>
              <w:t>调整后预算数</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14:paraId="3F651C41">
            <w:pPr>
              <w:jc w:val="center"/>
              <w:textAlignment w:val="center"/>
              <w:rPr>
                <w:color w:val="000000"/>
                <w:sz w:val="18"/>
                <w:szCs w:val="18"/>
                <w:lang w:val="en-US"/>
              </w:rPr>
            </w:pPr>
            <w:r>
              <w:rPr>
                <w:color w:val="000000"/>
                <w:sz w:val="18"/>
                <w:szCs w:val="18"/>
              </w:rPr>
              <w:t>预算执行数</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7910150B">
            <w:pPr>
              <w:jc w:val="center"/>
              <w:textAlignment w:val="center"/>
              <w:rPr>
                <w:color w:val="000000"/>
                <w:sz w:val="18"/>
                <w:szCs w:val="18"/>
                <w:lang w:val="en-US"/>
              </w:rPr>
            </w:pPr>
            <w:r>
              <w:rPr>
                <w:color w:val="000000"/>
                <w:sz w:val="18"/>
                <w:szCs w:val="18"/>
              </w:rPr>
              <w:t>预算执行率</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69748D6E">
            <w:pPr>
              <w:jc w:val="center"/>
              <w:textAlignment w:val="center"/>
              <w:rPr>
                <w:color w:val="000000"/>
                <w:sz w:val="18"/>
                <w:szCs w:val="18"/>
                <w:lang w:val="en-US"/>
              </w:rPr>
            </w:pPr>
            <w:r>
              <w:rPr>
                <w:color w:val="000000"/>
                <w:sz w:val="18"/>
                <w:szCs w:val="18"/>
              </w:rPr>
              <w:t>权重</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00869D07">
            <w:pPr>
              <w:jc w:val="center"/>
              <w:textAlignment w:val="center"/>
              <w:rPr>
                <w:color w:val="000000"/>
                <w:sz w:val="18"/>
                <w:szCs w:val="18"/>
                <w:lang w:val="en-US"/>
              </w:rPr>
            </w:pPr>
            <w:r>
              <w:rPr>
                <w:color w:val="000000"/>
                <w:sz w:val="18"/>
                <w:szCs w:val="18"/>
              </w:rPr>
              <w:t>得分</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7B9DE856">
            <w:pPr>
              <w:jc w:val="center"/>
              <w:textAlignment w:val="center"/>
              <w:rPr>
                <w:color w:val="000000"/>
                <w:sz w:val="18"/>
                <w:szCs w:val="18"/>
                <w:lang w:val="en-US"/>
              </w:rPr>
            </w:pPr>
            <w:r>
              <w:rPr>
                <w:color w:val="000000"/>
                <w:sz w:val="18"/>
                <w:szCs w:val="18"/>
              </w:rPr>
              <w:t>原因</w:t>
            </w:r>
          </w:p>
        </w:tc>
      </w:tr>
      <w:tr w14:paraId="5B7F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27BE3839">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04FF574D">
            <w:pPr>
              <w:jc w:val="center"/>
              <w:textAlignment w:val="center"/>
              <w:rPr>
                <w:color w:val="000000"/>
                <w:sz w:val="18"/>
                <w:szCs w:val="18"/>
                <w:lang w:val="en-US"/>
              </w:rPr>
            </w:pPr>
            <w:r>
              <w:rPr>
                <w:color w:val="000000"/>
                <w:sz w:val="18"/>
                <w:szCs w:val="18"/>
              </w:rPr>
              <w:t>总额</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06BFE8EF">
            <w:pPr>
              <w:jc w:val="center"/>
              <w:textAlignment w:val="center"/>
              <w:rPr>
                <w:color w:val="000000"/>
                <w:sz w:val="18"/>
                <w:szCs w:val="18"/>
                <w:lang w:val="en-US"/>
              </w:rPr>
            </w:pPr>
            <w:r>
              <w:rPr>
                <w:color w:val="000000"/>
                <w:sz w:val="18"/>
                <w:szCs w:val="18"/>
                <w:lang w:val="en-US"/>
              </w:rPr>
              <w:t>72.96</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164CFB6E">
            <w:pPr>
              <w:jc w:val="center"/>
              <w:textAlignment w:val="center"/>
              <w:rPr>
                <w:color w:val="000000"/>
                <w:sz w:val="18"/>
                <w:szCs w:val="18"/>
                <w:lang w:val="en-US"/>
              </w:rPr>
            </w:pPr>
            <w:r>
              <w:rPr>
                <w:color w:val="000000"/>
                <w:sz w:val="18"/>
                <w:szCs w:val="18"/>
                <w:lang w:val="en-US"/>
              </w:rPr>
              <w:t>72.96</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14:paraId="25D13D88">
            <w:pPr>
              <w:jc w:val="center"/>
              <w:textAlignment w:val="center"/>
              <w:rPr>
                <w:color w:val="000000"/>
                <w:sz w:val="18"/>
                <w:szCs w:val="18"/>
                <w:lang w:val="en-US"/>
              </w:rPr>
            </w:pPr>
            <w:r>
              <w:rPr>
                <w:color w:val="000000"/>
                <w:sz w:val="18"/>
                <w:szCs w:val="18"/>
                <w:lang w:val="en-US"/>
              </w:rPr>
              <w:t>72.96</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5FA41BA7">
            <w:pPr>
              <w:jc w:val="center"/>
              <w:textAlignment w:val="center"/>
              <w:rPr>
                <w:color w:val="000000"/>
                <w:sz w:val="18"/>
                <w:szCs w:val="18"/>
                <w:lang w:val="en-US"/>
              </w:rPr>
            </w:pPr>
            <w:r>
              <w:rPr>
                <w:color w:val="000000"/>
                <w:sz w:val="18"/>
                <w:szCs w:val="18"/>
                <w:lang w:val="en-US"/>
              </w:rPr>
              <w:t>100.00%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2F0510F0">
            <w:pPr>
              <w:jc w:val="center"/>
              <w:textAlignment w:val="center"/>
              <w:rPr>
                <w:color w:val="000000"/>
                <w:sz w:val="18"/>
                <w:szCs w:val="18"/>
                <w:lang w:val="en-US"/>
              </w:rPr>
            </w:pPr>
            <w:r>
              <w:rPr>
                <w:color w:val="000000"/>
                <w:sz w:val="18"/>
                <w:szCs w:val="18"/>
                <w:lang w:val="en-US"/>
              </w:rPr>
              <w:t>5</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569F6546">
            <w:pPr>
              <w:jc w:val="center"/>
              <w:textAlignment w:val="center"/>
              <w:rPr>
                <w:color w:val="000000"/>
                <w:sz w:val="18"/>
                <w:szCs w:val="18"/>
                <w:lang w:val="en-US"/>
              </w:rPr>
            </w:pPr>
            <w:r>
              <w:rPr>
                <w:color w:val="000000"/>
                <w:sz w:val="18"/>
                <w:szCs w:val="18"/>
                <w:lang w:val="en-US"/>
              </w:rPr>
              <w:t>5</w:t>
            </w:r>
          </w:p>
        </w:tc>
        <w:tc>
          <w:tcPr>
            <w:tcW w:w="869" w:type="dxa"/>
            <w:vMerge w:val="restart"/>
            <w:tcBorders>
              <w:top w:val="nil"/>
              <w:left w:val="nil"/>
              <w:bottom w:val="single" w:color="000000" w:sz="4" w:space="0"/>
              <w:right w:val="single" w:color="000000" w:sz="4" w:space="0"/>
            </w:tcBorders>
            <w:shd w:val="clear" w:color="auto" w:fill="auto"/>
            <w:vAlign w:val="center"/>
          </w:tcPr>
          <w:p w14:paraId="36493BEE">
            <w:pPr>
              <w:rPr>
                <w:i/>
                <w:iCs/>
                <w:color w:val="000000"/>
                <w:sz w:val="18"/>
                <w:szCs w:val="18"/>
                <w:lang w:val="en-US"/>
              </w:rPr>
            </w:pPr>
          </w:p>
        </w:tc>
      </w:tr>
      <w:tr w14:paraId="02B27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403ABCCF">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5816A240">
            <w:pPr>
              <w:jc w:val="center"/>
              <w:textAlignment w:val="center"/>
              <w:rPr>
                <w:color w:val="000000"/>
                <w:sz w:val="18"/>
                <w:szCs w:val="18"/>
                <w:lang w:val="en-US"/>
              </w:rPr>
            </w:pPr>
            <w:r>
              <w:rPr>
                <w:color w:val="000000"/>
                <w:sz w:val="18"/>
                <w:szCs w:val="18"/>
              </w:rPr>
              <w:t>其中：财政资金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2CDED721">
            <w:pPr>
              <w:jc w:val="center"/>
              <w:textAlignment w:val="center"/>
              <w:rPr>
                <w:color w:val="000000"/>
                <w:sz w:val="18"/>
                <w:szCs w:val="18"/>
                <w:lang w:val="en-US"/>
              </w:rPr>
            </w:pPr>
            <w:r>
              <w:rPr>
                <w:color w:val="000000"/>
                <w:sz w:val="18"/>
                <w:szCs w:val="18"/>
                <w:lang w:val="en-US"/>
              </w:rPr>
              <w:t>72.96</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76E1F680">
            <w:pPr>
              <w:jc w:val="center"/>
              <w:textAlignment w:val="center"/>
              <w:rPr>
                <w:color w:val="000000"/>
                <w:sz w:val="18"/>
                <w:szCs w:val="18"/>
                <w:lang w:val="en-US"/>
              </w:rPr>
            </w:pPr>
            <w:r>
              <w:rPr>
                <w:color w:val="000000"/>
                <w:sz w:val="18"/>
                <w:szCs w:val="18"/>
                <w:lang w:val="en-US"/>
              </w:rPr>
              <w:t>72.96</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14:paraId="107D0AEE">
            <w:pPr>
              <w:jc w:val="center"/>
              <w:textAlignment w:val="center"/>
              <w:rPr>
                <w:color w:val="000000"/>
                <w:sz w:val="18"/>
                <w:szCs w:val="18"/>
                <w:lang w:val="en-US"/>
              </w:rPr>
            </w:pPr>
            <w:r>
              <w:rPr>
                <w:color w:val="000000"/>
                <w:sz w:val="18"/>
                <w:szCs w:val="18"/>
                <w:lang w:val="en-US"/>
              </w:rPr>
              <w:t>72.96</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458B1D74">
            <w:pPr>
              <w:jc w:val="center"/>
              <w:textAlignment w:val="center"/>
              <w:rPr>
                <w:color w:val="000000"/>
                <w:sz w:val="18"/>
                <w:szCs w:val="18"/>
                <w:lang w:val="en-US"/>
              </w:rPr>
            </w:pPr>
            <w:r>
              <w:rPr>
                <w:color w:val="000000"/>
                <w:sz w:val="18"/>
                <w:szCs w:val="18"/>
                <w:lang w:val="en-US"/>
              </w:rPr>
              <w:t>100.00%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5ABAC53B">
            <w:pPr>
              <w:jc w:val="center"/>
              <w:textAlignment w:val="center"/>
              <w:rPr>
                <w:color w:val="000000"/>
                <w:sz w:val="18"/>
                <w:szCs w:val="18"/>
                <w:lang w:val="en-US"/>
              </w:rPr>
            </w:pPr>
            <w:r>
              <w:rPr>
                <w:color w:val="000000"/>
                <w:sz w:val="18"/>
                <w:szCs w:val="18"/>
                <w:lang w:val="en-US"/>
              </w:rPr>
              <w:t>5</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1E61B1D8">
            <w:pPr>
              <w:jc w:val="center"/>
              <w:textAlignment w:val="center"/>
              <w:rPr>
                <w:color w:val="000000"/>
                <w:sz w:val="18"/>
                <w:szCs w:val="18"/>
                <w:lang w:val="en-US"/>
              </w:rPr>
            </w:pPr>
            <w:r>
              <w:rPr>
                <w:color w:val="000000"/>
                <w:sz w:val="18"/>
                <w:szCs w:val="18"/>
                <w:lang w:val="en-US"/>
              </w:rPr>
              <w:t>5</w:t>
            </w:r>
          </w:p>
        </w:tc>
        <w:tc>
          <w:tcPr>
            <w:tcW w:w="869" w:type="dxa"/>
            <w:vMerge w:val="continue"/>
            <w:tcBorders>
              <w:top w:val="nil"/>
              <w:left w:val="nil"/>
              <w:bottom w:val="single" w:color="000000" w:sz="4" w:space="0"/>
              <w:right w:val="single" w:color="000000" w:sz="4" w:space="0"/>
            </w:tcBorders>
            <w:shd w:val="clear" w:color="auto" w:fill="auto"/>
            <w:vAlign w:val="center"/>
          </w:tcPr>
          <w:p w14:paraId="5C2EFA34">
            <w:pPr>
              <w:rPr>
                <w:rFonts w:hint="default" w:ascii="Times New Roman" w:hAnsi="Times New Roman" w:cs="Times New Roman"/>
                <w:sz w:val="20"/>
                <w:szCs w:val="20"/>
              </w:rPr>
            </w:pPr>
          </w:p>
        </w:tc>
      </w:tr>
      <w:tr w14:paraId="644AB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2DFC2BEA">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685990F5">
            <w:pPr>
              <w:jc w:val="center"/>
              <w:textAlignment w:val="center"/>
              <w:rPr>
                <w:color w:val="000000"/>
                <w:sz w:val="18"/>
                <w:szCs w:val="18"/>
                <w:lang w:val="en-US"/>
              </w:rPr>
            </w:pPr>
            <w:r>
              <w:rPr>
                <w:color w:val="000000"/>
                <w:sz w:val="18"/>
                <w:szCs w:val="18"/>
              </w:rPr>
              <w:t>财政专户管理资金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2162599A">
            <w:pPr>
              <w:jc w:val="center"/>
              <w:textAlignment w:val="center"/>
              <w:rPr>
                <w:color w:val="000000"/>
                <w:sz w:val="18"/>
                <w:szCs w:val="18"/>
                <w:lang w:val="en-US"/>
              </w:rPr>
            </w:pPr>
            <w:r>
              <w:rPr>
                <w:color w:val="000000"/>
                <w:sz w:val="18"/>
                <w:szCs w:val="18"/>
                <w:lang w:val="en-US"/>
              </w:rPr>
              <w:t>0.00</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4BC0B3A9">
            <w:pPr>
              <w:jc w:val="center"/>
              <w:textAlignment w:val="center"/>
              <w:rPr>
                <w:color w:val="000000"/>
                <w:sz w:val="18"/>
                <w:szCs w:val="18"/>
                <w:lang w:val="en-US"/>
              </w:rPr>
            </w:pPr>
            <w:r>
              <w:rPr>
                <w:color w:val="000000"/>
                <w:sz w:val="18"/>
                <w:szCs w:val="18"/>
                <w:lang w:val="en-US"/>
              </w:rPr>
              <w:t>0.00</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14:paraId="50E4B16A">
            <w:pPr>
              <w:jc w:val="center"/>
              <w:textAlignment w:val="center"/>
              <w:rPr>
                <w:color w:val="000000"/>
                <w:sz w:val="18"/>
                <w:szCs w:val="18"/>
                <w:lang w:val="en-US"/>
              </w:rPr>
            </w:pPr>
            <w:r>
              <w:rPr>
                <w:color w:val="000000"/>
                <w:sz w:val="18"/>
                <w:szCs w:val="18"/>
                <w:lang w:val="en-US"/>
              </w:rPr>
              <w:t>0.00</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05585176">
            <w:pPr>
              <w:jc w:val="center"/>
              <w:textAlignment w:val="center"/>
              <w:rPr>
                <w:color w:val="000000"/>
                <w:sz w:val="18"/>
                <w:szCs w:val="18"/>
                <w:lang w:val="en-US"/>
              </w:rPr>
            </w:pPr>
            <w:r>
              <w:rPr>
                <w:color w:val="000000"/>
                <w:sz w:val="18"/>
                <w:szCs w:val="18"/>
                <w:lang w:val="en-US"/>
              </w:rPr>
              <w:t>0.00%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1FA134AD">
            <w:pPr>
              <w:jc w:val="center"/>
              <w:textAlignment w:val="center"/>
              <w:rPr>
                <w:color w:val="000000"/>
                <w:sz w:val="18"/>
                <w:szCs w:val="18"/>
                <w:lang w:val="en-US"/>
              </w:rPr>
            </w:pPr>
            <w:r>
              <w:rPr>
                <w:color w:val="000000"/>
                <w:sz w:val="18"/>
                <w:szCs w:val="18"/>
                <w:lang w:val="en-US"/>
              </w:rPr>
              <w:t>/</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4DE141A3">
            <w:pPr>
              <w:jc w:val="center"/>
              <w:textAlignment w:val="center"/>
              <w:rPr>
                <w:color w:val="000000"/>
                <w:sz w:val="18"/>
                <w:szCs w:val="18"/>
                <w:lang w:val="en-US"/>
              </w:rPr>
            </w:pPr>
            <w:r>
              <w:rPr>
                <w:color w:val="000000"/>
                <w:sz w:val="18"/>
                <w:szCs w:val="18"/>
                <w:lang w:val="en-US"/>
              </w:rPr>
              <w:t>/</w:t>
            </w:r>
          </w:p>
        </w:tc>
        <w:tc>
          <w:tcPr>
            <w:tcW w:w="869" w:type="dxa"/>
            <w:vMerge w:val="continue"/>
            <w:tcBorders>
              <w:top w:val="nil"/>
              <w:left w:val="nil"/>
              <w:bottom w:val="single" w:color="000000" w:sz="4" w:space="0"/>
              <w:right w:val="single" w:color="000000" w:sz="4" w:space="0"/>
            </w:tcBorders>
            <w:shd w:val="clear" w:color="auto" w:fill="auto"/>
            <w:vAlign w:val="center"/>
          </w:tcPr>
          <w:p w14:paraId="5ED71F58">
            <w:pPr>
              <w:rPr>
                <w:rFonts w:hint="default" w:ascii="Times New Roman" w:hAnsi="Times New Roman" w:cs="Times New Roman"/>
                <w:sz w:val="20"/>
                <w:szCs w:val="20"/>
              </w:rPr>
            </w:pPr>
          </w:p>
        </w:tc>
      </w:tr>
      <w:tr w14:paraId="06E1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1362B61D">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781EC320">
            <w:pPr>
              <w:jc w:val="center"/>
              <w:textAlignment w:val="center"/>
              <w:rPr>
                <w:color w:val="000000"/>
                <w:sz w:val="18"/>
                <w:szCs w:val="18"/>
                <w:lang w:val="en-US"/>
              </w:rPr>
            </w:pPr>
            <w:r>
              <w:rPr>
                <w:color w:val="000000"/>
                <w:sz w:val="18"/>
                <w:szCs w:val="18"/>
              </w:rPr>
              <w:t>单位资金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290EAAA3">
            <w:pPr>
              <w:jc w:val="center"/>
              <w:textAlignment w:val="center"/>
              <w:rPr>
                <w:color w:val="000000"/>
                <w:sz w:val="18"/>
                <w:szCs w:val="18"/>
                <w:lang w:val="en-US"/>
              </w:rPr>
            </w:pPr>
            <w:r>
              <w:rPr>
                <w:color w:val="000000"/>
                <w:sz w:val="18"/>
                <w:szCs w:val="18"/>
                <w:lang w:val="en-US"/>
              </w:rPr>
              <w:t>0.00</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765D3A3B">
            <w:pPr>
              <w:jc w:val="center"/>
              <w:textAlignment w:val="center"/>
              <w:rPr>
                <w:color w:val="000000"/>
                <w:sz w:val="18"/>
                <w:szCs w:val="18"/>
                <w:lang w:val="en-US"/>
              </w:rPr>
            </w:pPr>
            <w:r>
              <w:rPr>
                <w:color w:val="000000"/>
                <w:sz w:val="18"/>
                <w:szCs w:val="18"/>
                <w:lang w:val="en-US"/>
              </w:rPr>
              <w:t>0.00</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14:paraId="2FAED6F4">
            <w:pPr>
              <w:jc w:val="center"/>
              <w:textAlignment w:val="center"/>
              <w:rPr>
                <w:color w:val="000000"/>
                <w:sz w:val="18"/>
                <w:szCs w:val="18"/>
                <w:lang w:val="en-US"/>
              </w:rPr>
            </w:pPr>
            <w:r>
              <w:rPr>
                <w:color w:val="000000"/>
                <w:sz w:val="18"/>
                <w:szCs w:val="18"/>
                <w:lang w:val="en-US"/>
              </w:rPr>
              <w:t>0.00</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27BC1CBB">
            <w:pPr>
              <w:jc w:val="center"/>
              <w:textAlignment w:val="center"/>
              <w:rPr>
                <w:color w:val="000000"/>
                <w:sz w:val="18"/>
                <w:szCs w:val="18"/>
                <w:lang w:val="en-US"/>
              </w:rPr>
            </w:pPr>
            <w:r>
              <w:rPr>
                <w:color w:val="000000"/>
                <w:sz w:val="18"/>
                <w:szCs w:val="18"/>
                <w:lang w:val="en-US"/>
              </w:rPr>
              <w:t>0.00%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0507AA10">
            <w:pPr>
              <w:jc w:val="center"/>
              <w:textAlignment w:val="center"/>
              <w:rPr>
                <w:color w:val="000000"/>
                <w:sz w:val="18"/>
                <w:szCs w:val="18"/>
                <w:lang w:val="en-US"/>
              </w:rPr>
            </w:pPr>
            <w:r>
              <w:rPr>
                <w:color w:val="000000"/>
                <w:sz w:val="18"/>
                <w:szCs w:val="18"/>
                <w:lang w:val="en-US"/>
              </w:rPr>
              <w:t>/</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5EA7931E">
            <w:pPr>
              <w:jc w:val="center"/>
              <w:textAlignment w:val="center"/>
              <w:rPr>
                <w:color w:val="000000"/>
                <w:sz w:val="18"/>
                <w:szCs w:val="18"/>
                <w:lang w:val="en-US"/>
              </w:rPr>
            </w:pPr>
            <w:r>
              <w:rPr>
                <w:color w:val="000000"/>
                <w:sz w:val="18"/>
                <w:szCs w:val="18"/>
                <w:lang w:val="en-US"/>
              </w:rPr>
              <w:t>/</w:t>
            </w:r>
          </w:p>
        </w:tc>
        <w:tc>
          <w:tcPr>
            <w:tcW w:w="869" w:type="dxa"/>
            <w:vMerge w:val="continue"/>
            <w:tcBorders>
              <w:top w:val="nil"/>
              <w:left w:val="nil"/>
              <w:bottom w:val="single" w:color="000000" w:sz="4" w:space="0"/>
              <w:right w:val="single" w:color="000000" w:sz="4" w:space="0"/>
            </w:tcBorders>
            <w:shd w:val="clear" w:color="auto" w:fill="auto"/>
            <w:vAlign w:val="center"/>
          </w:tcPr>
          <w:p w14:paraId="29F555E5">
            <w:pPr>
              <w:rPr>
                <w:rFonts w:hint="default" w:ascii="Times New Roman" w:hAnsi="Times New Roman" w:cs="Times New Roman"/>
                <w:sz w:val="20"/>
                <w:szCs w:val="20"/>
              </w:rPr>
            </w:pPr>
          </w:p>
        </w:tc>
      </w:tr>
      <w:tr w14:paraId="2BA76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4EC4552F">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173D4801">
            <w:pPr>
              <w:jc w:val="center"/>
              <w:textAlignment w:val="center"/>
              <w:rPr>
                <w:color w:val="000000"/>
                <w:sz w:val="18"/>
                <w:szCs w:val="18"/>
                <w:lang w:val="en-US"/>
              </w:rPr>
            </w:pPr>
            <w:r>
              <w:rPr>
                <w:color w:val="000000"/>
                <w:sz w:val="18"/>
                <w:szCs w:val="18"/>
              </w:rPr>
              <w:t>其他资金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6486FEF8">
            <w:pPr>
              <w:jc w:val="center"/>
              <w:rPr>
                <w:i/>
                <w:iCs/>
                <w:color w:val="000000"/>
                <w:sz w:val="16"/>
                <w:szCs w:val="16"/>
                <w:lang w:val="en-US"/>
              </w:rPr>
            </w:pP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4D63A818">
            <w:pPr>
              <w:jc w:val="center"/>
              <w:rPr>
                <w:i/>
                <w:iCs/>
                <w:color w:val="000000"/>
                <w:sz w:val="16"/>
                <w:szCs w:val="16"/>
                <w:lang w:val="en-US"/>
              </w:rPr>
            </w:pP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14:paraId="7F448324">
            <w:pPr>
              <w:jc w:val="center"/>
              <w:rPr>
                <w:i/>
                <w:iCs/>
                <w:color w:val="000000"/>
                <w:sz w:val="16"/>
                <w:szCs w:val="16"/>
                <w:lang w:val="en-US"/>
              </w:rPr>
            </w:pP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4602AE22">
            <w:pPr>
              <w:jc w:val="center"/>
              <w:rPr>
                <w:i/>
                <w:iCs/>
                <w:color w:val="000000"/>
                <w:sz w:val="16"/>
                <w:szCs w:val="16"/>
                <w:lang w:val="en-US"/>
              </w:rPr>
            </w:pPr>
          </w:p>
        </w:tc>
        <w:tc>
          <w:tcPr>
            <w:tcW w:w="651" w:type="dxa"/>
            <w:tcBorders>
              <w:top w:val="single" w:color="000000" w:sz="4" w:space="0"/>
              <w:left w:val="nil"/>
              <w:bottom w:val="single" w:color="000000" w:sz="4" w:space="0"/>
              <w:right w:val="single" w:color="000000" w:sz="4" w:space="0"/>
            </w:tcBorders>
            <w:shd w:val="clear" w:color="auto" w:fill="auto"/>
            <w:vAlign w:val="center"/>
          </w:tcPr>
          <w:p w14:paraId="43D5EC43">
            <w:pPr>
              <w:jc w:val="center"/>
              <w:textAlignment w:val="center"/>
              <w:rPr>
                <w:color w:val="000000"/>
                <w:sz w:val="18"/>
                <w:szCs w:val="18"/>
                <w:lang w:val="en-US"/>
              </w:rPr>
            </w:pPr>
            <w:r>
              <w:rPr>
                <w:color w:val="000000"/>
                <w:sz w:val="18"/>
                <w:szCs w:val="18"/>
                <w:lang w:val="en-US"/>
              </w:rPr>
              <w:t>/</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3285D336">
            <w:pPr>
              <w:jc w:val="center"/>
              <w:textAlignment w:val="center"/>
              <w:rPr>
                <w:color w:val="000000"/>
                <w:sz w:val="18"/>
                <w:szCs w:val="18"/>
                <w:lang w:val="en-US"/>
              </w:rPr>
            </w:pPr>
            <w:r>
              <w:rPr>
                <w:color w:val="000000"/>
                <w:sz w:val="18"/>
                <w:szCs w:val="18"/>
                <w:lang w:val="en-US"/>
              </w:rPr>
              <w:t>/</w:t>
            </w:r>
          </w:p>
        </w:tc>
        <w:tc>
          <w:tcPr>
            <w:tcW w:w="869" w:type="dxa"/>
            <w:vMerge w:val="continue"/>
            <w:tcBorders>
              <w:top w:val="nil"/>
              <w:left w:val="nil"/>
              <w:bottom w:val="single" w:color="000000" w:sz="4" w:space="0"/>
              <w:right w:val="single" w:color="000000" w:sz="4" w:space="0"/>
            </w:tcBorders>
            <w:shd w:val="clear" w:color="auto" w:fill="auto"/>
            <w:vAlign w:val="center"/>
          </w:tcPr>
          <w:p w14:paraId="172DAB88">
            <w:pPr>
              <w:rPr>
                <w:rFonts w:hint="default" w:ascii="Times New Roman" w:hAnsi="Times New Roman" w:cs="Times New Roman"/>
                <w:sz w:val="20"/>
                <w:szCs w:val="20"/>
              </w:rPr>
            </w:pPr>
          </w:p>
        </w:tc>
      </w:tr>
      <w:tr w14:paraId="62B5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67" w:type="dxa"/>
            <w:vMerge w:val="restart"/>
            <w:tcBorders>
              <w:top w:val="nil"/>
              <w:left w:val="single" w:color="000000" w:sz="4" w:space="0"/>
              <w:bottom w:val="single" w:color="000000" w:sz="4" w:space="0"/>
              <w:right w:val="single" w:color="000000" w:sz="4" w:space="0"/>
            </w:tcBorders>
            <w:shd w:val="clear" w:color="auto" w:fill="auto"/>
            <w:vAlign w:val="center"/>
          </w:tcPr>
          <w:p w14:paraId="20192CB0">
            <w:pPr>
              <w:jc w:val="center"/>
              <w:textAlignment w:val="center"/>
              <w:rPr>
                <w:color w:val="000000"/>
                <w:sz w:val="18"/>
                <w:szCs w:val="18"/>
                <w:lang w:val="en-US"/>
              </w:rPr>
            </w:pPr>
            <w:r>
              <w:rPr>
                <w:color w:val="000000"/>
                <w:sz w:val="18"/>
                <w:szCs w:val="18"/>
              </w:rPr>
              <w:t>绩效指标（</w:t>
            </w:r>
            <w:r>
              <w:rPr>
                <w:color w:val="000000"/>
                <w:sz w:val="18"/>
                <w:szCs w:val="18"/>
                <w:lang w:val="en-US"/>
              </w:rPr>
              <w:t>90</w:t>
            </w:r>
            <w:r>
              <w:rPr>
                <w:color w:val="000000"/>
                <w:sz w:val="18"/>
                <w:szCs w:val="18"/>
              </w:rPr>
              <w:t>分）</w:t>
            </w: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166B9352">
            <w:pPr>
              <w:jc w:val="center"/>
              <w:textAlignment w:val="center"/>
              <w:rPr>
                <w:color w:val="000000"/>
                <w:sz w:val="18"/>
                <w:szCs w:val="18"/>
                <w:lang w:val="en-US"/>
              </w:rPr>
            </w:pPr>
            <w:r>
              <w:rPr>
                <w:color w:val="000000"/>
                <w:sz w:val="18"/>
                <w:szCs w:val="18"/>
              </w:rPr>
              <w:t>一级指标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0C4107EC">
            <w:pPr>
              <w:jc w:val="center"/>
              <w:textAlignment w:val="center"/>
              <w:rPr>
                <w:color w:val="000000"/>
                <w:sz w:val="18"/>
                <w:szCs w:val="18"/>
                <w:lang w:val="en-US"/>
              </w:rPr>
            </w:pPr>
            <w:r>
              <w:rPr>
                <w:color w:val="000000"/>
                <w:sz w:val="18"/>
                <w:szCs w:val="18"/>
              </w:rPr>
              <w:t>二级指标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6FAF8D5A">
            <w:pPr>
              <w:jc w:val="center"/>
              <w:textAlignment w:val="center"/>
              <w:rPr>
                <w:color w:val="000000"/>
                <w:sz w:val="18"/>
                <w:szCs w:val="18"/>
                <w:lang w:val="en-US"/>
              </w:rPr>
            </w:pPr>
            <w:r>
              <w:rPr>
                <w:color w:val="000000"/>
                <w:sz w:val="18"/>
                <w:szCs w:val="18"/>
              </w:rPr>
              <w:t>三级指标</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6E4F493B">
            <w:pPr>
              <w:jc w:val="center"/>
              <w:textAlignment w:val="center"/>
              <w:rPr>
                <w:color w:val="000000"/>
                <w:sz w:val="18"/>
                <w:szCs w:val="18"/>
                <w:lang w:val="en-US"/>
              </w:rPr>
            </w:pPr>
            <w:r>
              <w:rPr>
                <w:color w:val="000000"/>
                <w:sz w:val="18"/>
                <w:szCs w:val="18"/>
              </w:rPr>
              <w:t>指标性质</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53B8A560">
            <w:pPr>
              <w:jc w:val="center"/>
              <w:textAlignment w:val="center"/>
              <w:rPr>
                <w:color w:val="000000"/>
                <w:sz w:val="18"/>
                <w:szCs w:val="18"/>
                <w:lang w:val="en-US"/>
              </w:rPr>
            </w:pPr>
            <w:r>
              <w:rPr>
                <w:color w:val="000000"/>
                <w:sz w:val="18"/>
                <w:szCs w:val="18"/>
              </w:rPr>
              <w:t>指标值</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3001E82D">
            <w:pPr>
              <w:jc w:val="center"/>
              <w:textAlignment w:val="center"/>
              <w:rPr>
                <w:color w:val="000000"/>
                <w:sz w:val="18"/>
                <w:szCs w:val="18"/>
                <w:lang w:val="en-US"/>
              </w:rPr>
            </w:pPr>
            <w:r>
              <w:rPr>
                <w:color w:val="000000"/>
                <w:sz w:val="18"/>
                <w:szCs w:val="18"/>
              </w:rPr>
              <w:t>度量单位</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4D9B2F0B">
            <w:pPr>
              <w:jc w:val="center"/>
              <w:textAlignment w:val="center"/>
              <w:rPr>
                <w:color w:val="000000"/>
                <w:sz w:val="18"/>
                <w:szCs w:val="18"/>
                <w:lang w:val="en-US"/>
              </w:rPr>
            </w:pPr>
            <w:r>
              <w:rPr>
                <w:color w:val="000000"/>
                <w:sz w:val="18"/>
                <w:szCs w:val="18"/>
              </w:rPr>
              <w:t>完成值</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122A18BA">
            <w:pPr>
              <w:jc w:val="center"/>
              <w:textAlignment w:val="center"/>
              <w:rPr>
                <w:color w:val="000000"/>
                <w:sz w:val="18"/>
                <w:szCs w:val="18"/>
                <w:lang w:val="en-US"/>
              </w:rPr>
            </w:pPr>
            <w:r>
              <w:rPr>
                <w:color w:val="000000"/>
                <w:sz w:val="18"/>
                <w:szCs w:val="18"/>
              </w:rPr>
              <w:t>权重</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32A7A6CF">
            <w:pPr>
              <w:jc w:val="center"/>
              <w:textAlignment w:val="center"/>
              <w:rPr>
                <w:color w:val="000000"/>
                <w:sz w:val="18"/>
                <w:szCs w:val="18"/>
                <w:lang w:val="en-US"/>
              </w:rPr>
            </w:pPr>
            <w:r>
              <w:rPr>
                <w:color w:val="000000"/>
                <w:sz w:val="18"/>
                <w:szCs w:val="18"/>
              </w:rPr>
              <w:t>得分</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369F7A1C">
            <w:pPr>
              <w:jc w:val="center"/>
              <w:textAlignment w:val="center"/>
              <w:rPr>
                <w:color w:val="000000"/>
                <w:sz w:val="18"/>
                <w:szCs w:val="18"/>
                <w:lang w:val="en-US"/>
              </w:rPr>
            </w:pPr>
            <w:r>
              <w:rPr>
                <w:color w:val="000000"/>
                <w:sz w:val="18"/>
                <w:szCs w:val="18"/>
              </w:rPr>
              <w:t>未完成原因分析</w:t>
            </w:r>
          </w:p>
        </w:tc>
      </w:tr>
      <w:tr w14:paraId="384DF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13604C0D">
            <w:pPr>
              <w:rPr>
                <w:rFonts w:hint="default" w:ascii="Times New Roman" w:hAnsi="Times New Roman" w:cs="Times New Roman"/>
                <w:sz w:val="20"/>
                <w:szCs w:val="20"/>
              </w:rPr>
            </w:pPr>
          </w:p>
        </w:tc>
        <w:tc>
          <w:tcPr>
            <w:tcW w:w="1027" w:type="dxa"/>
            <w:vMerge w:val="restart"/>
            <w:tcBorders>
              <w:top w:val="nil"/>
              <w:left w:val="nil"/>
              <w:bottom w:val="single" w:color="000000" w:sz="4" w:space="0"/>
              <w:right w:val="single" w:color="000000" w:sz="4" w:space="0"/>
            </w:tcBorders>
            <w:shd w:val="clear" w:color="auto" w:fill="auto"/>
            <w:vAlign w:val="center"/>
          </w:tcPr>
          <w:p w14:paraId="304E30A0">
            <w:pPr>
              <w:jc w:val="center"/>
              <w:textAlignment w:val="center"/>
              <w:rPr>
                <w:color w:val="000000"/>
                <w:sz w:val="18"/>
                <w:szCs w:val="18"/>
                <w:lang w:val="en-US"/>
              </w:rPr>
            </w:pPr>
            <w:r>
              <w:rPr>
                <w:color w:val="000000"/>
                <w:sz w:val="18"/>
                <w:szCs w:val="18"/>
              </w:rPr>
              <w:t>产出指标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45B6C9EC">
            <w:pPr>
              <w:jc w:val="center"/>
              <w:textAlignment w:val="center"/>
              <w:rPr>
                <w:color w:val="000000"/>
                <w:sz w:val="18"/>
                <w:szCs w:val="18"/>
                <w:lang w:val="en-US"/>
              </w:rPr>
            </w:pPr>
            <w:r>
              <w:rPr>
                <w:color w:val="000000"/>
                <w:sz w:val="18"/>
                <w:szCs w:val="18"/>
              </w:rPr>
              <w:t>数量指标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1E34A8B1">
            <w:pPr>
              <w:jc w:val="center"/>
              <w:textAlignment w:val="center"/>
              <w:rPr>
                <w:color w:val="000000"/>
                <w:sz w:val="18"/>
                <w:szCs w:val="18"/>
                <w:lang w:val="en-US"/>
              </w:rPr>
            </w:pPr>
            <w:r>
              <w:rPr>
                <w:color w:val="000000"/>
                <w:sz w:val="18"/>
                <w:szCs w:val="18"/>
              </w:rPr>
              <w:t>租赁费缴纳完成率</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62EA8E7A">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3F3ADC94">
            <w:pPr>
              <w:jc w:val="center"/>
              <w:textAlignment w:val="center"/>
              <w:rPr>
                <w:color w:val="000000"/>
                <w:sz w:val="18"/>
                <w:szCs w:val="18"/>
                <w:lang w:val="en-US"/>
              </w:rPr>
            </w:pPr>
            <w:r>
              <w:rPr>
                <w:color w:val="000000"/>
                <w:sz w:val="18"/>
                <w:szCs w:val="18"/>
                <w:lang w:val="en-US"/>
              </w:rPr>
              <w:t>=100</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461A7684">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580EE320">
            <w:pPr>
              <w:jc w:val="center"/>
              <w:textAlignment w:val="center"/>
              <w:rPr>
                <w:i/>
                <w:iCs/>
                <w:color w:val="000000"/>
                <w:sz w:val="16"/>
                <w:szCs w:val="16"/>
                <w:lang w:val="en-US"/>
              </w:rPr>
            </w:pPr>
            <w:r>
              <w:rPr>
                <w:i/>
                <w:iCs/>
                <w:color w:val="000000"/>
                <w:sz w:val="16"/>
                <w:szCs w:val="16"/>
                <w:lang w:val="en-US"/>
              </w:rPr>
              <w:t>100%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790E5FDC">
            <w:pPr>
              <w:jc w:val="center"/>
              <w:textAlignment w:val="center"/>
              <w:rPr>
                <w:color w:val="000000"/>
                <w:sz w:val="18"/>
                <w:szCs w:val="18"/>
                <w:lang w:val="en-US"/>
              </w:rPr>
            </w:pPr>
            <w:r>
              <w:rPr>
                <w:color w:val="000000"/>
                <w:sz w:val="18"/>
                <w:szCs w:val="18"/>
                <w:lang w:val="en-US"/>
              </w:rPr>
              <w:t>10</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4B532CD5">
            <w:pPr>
              <w:jc w:val="center"/>
              <w:textAlignment w:val="center"/>
              <w:rPr>
                <w:color w:val="000000"/>
                <w:sz w:val="18"/>
                <w:szCs w:val="18"/>
                <w:lang w:val="en-US"/>
              </w:rPr>
            </w:pPr>
            <w:r>
              <w:rPr>
                <w:color w:val="000000"/>
                <w:sz w:val="18"/>
                <w:szCs w:val="18"/>
                <w:lang w:val="en-US"/>
              </w:rPr>
              <w:t>10</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521CE69E">
            <w:pPr>
              <w:jc w:val="center"/>
              <w:rPr>
                <w:i/>
                <w:iCs/>
                <w:color w:val="000000"/>
                <w:sz w:val="16"/>
                <w:szCs w:val="16"/>
                <w:lang w:val="en-US"/>
              </w:rPr>
            </w:pPr>
          </w:p>
        </w:tc>
      </w:tr>
      <w:tr w14:paraId="2CB82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4AB71C68">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14:paraId="4809B11C">
            <w:pPr>
              <w:rPr>
                <w:rFonts w:hint="default" w:ascii="Times New Roman" w:hAnsi="Times New Roman" w:cs="Times New Roman"/>
                <w:sz w:val="20"/>
                <w:szCs w:val="20"/>
              </w:rPr>
            </w:pPr>
          </w:p>
        </w:tc>
        <w:tc>
          <w:tcPr>
            <w:tcW w:w="988" w:type="dxa"/>
            <w:tcBorders>
              <w:top w:val="single" w:color="000000" w:sz="4" w:space="0"/>
              <w:left w:val="nil"/>
              <w:bottom w:val="single" w:color="000000" w:sz="4" w:space="0"/>
              <w:right w:val="single" w:color="000000" w:sz="4" w:space="0"/>
            </w:tcBorders>
            <w:shd w:val="clear" w:color="auto" w:fill="auto"/>
            <w:vAlign w:val="center"/>
          </w:tcPr>
          <w:p w14:paraId="0FDBE467">
            <w:pPr>
              <w:jc w:val="center"/>
              <w:textAlignment w:val="center"/>
              <w:rPr>
                <w:color w:val="000000"/>
                <w:sz w:val="18"/>
                <w:szCs w:val="18"/>
                <w:lang w:val="en-US"/>
              </w:rPr>
            </w:pPr>
            <w:r>
              <w:rPr>
                <w:color w:val="000000"/>
                <w:sz w:val="18"/>
                <w:szCs w:val="18"/>
              </w:rPr>
              <w:t>质量指标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44A8C2FB">
            <w:pPr>
              <w:jc w:val="center"/>
              <w:textAlignment w:val="center"/>
              <w:rPr>
                <w:color w:val="000000"/>
                <w:sz w:val="18"/>
                <w:szCs w:val="18"/>
                <w:lang w:val="en-US"/>
              </w:rPr>
            </w:pPr>
            <w:r>
              <w:rPr>
                <w:color w:val="000000"/>
                <w:sz w:val="18"/>
                <w:szCs w:val="18"/>
              </w:rPr>
              <w:t>租赁费缴纳足额率</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0ED4F675">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4141A6D4">
            <w:pPr>
              <w:jc w:val="center"/>
              <w:textAlignment w:val="center"/>
              <w:rPr>
                <w:color w:val="000000"/>
                <w:sz w:val="18"/>
                <w:szCs w:val="18"/>
                <w:lang w:val="en-US"/>
              </w:rPr>
            </w:pPr>
            <w:r>
              <w:rPr>
                <w:color w:val="000000"/>
                <w:sz w:val="18"/>
                <w:szCs w:val="18"/>
                <w:lang w:val="en-US"/>
              </w:rPr>
              <w:t>=100</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697EBB54">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6B06B055">
            <w:pPr>
              <w:jc w:val="center"/>
              <w:textAlignment w:val="center"/>
              <w:rPr>
                <w:i/>
                <w:iCs/>
                <w:color w:val="000000"/>
                <w:sz w:val="16"/>
                <w:szCs w:val="16"/>
                <w:lang w:val="en-US"/>
              </w:rPr>
            </w:pPr>
            <w:r>
              <w:rPr>
                <w:i/>
                <w:iCs/>
                <w:color w:val="000000"/>
                <w:sz w:val="16"/>
                <w:szCs w:val="16"/>
                <w:lang w:val="en-US"/>
              </w:rPr>
              <w:t>100%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3CE71A2B">
            <w:pPr>
              <w:jc w:val="center"/>
              <w:textAlignment w:val="center"/>
              <w:rPr>
                <w:color w:val="000000"/>
                <w:sz w:val="18"/>
                <w:szCs w:val="18"/>
                <w:lang w:val="en-US"/>
              </w:rPr>
            </w:pPr>
            <w:r>
              <w:rPr>
                <w:color w:val="000000"/>
                <w:sz w:val="18"/>
                <w:szCs w:val="18"/>
                <w:lang w:val="en-US"/>
              </w:rPr>
              <w:t>15</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0BAC445D">
            <w:pPr>
              <w:jc w:val="center"/>
              <w:textAlignment w:val="center"/>
              <w:rPr>
                <w:color w:val="000000"/>
                <w:sz w:val="18"/>
                <w:szCs w:val="18"/>
                <w:lang w:val="en-US"/>
              </w:rPr>
            </w:pPr>
            <w:r>
              <w:rPr>
                <w:color w:val="000000"/>
                <w:sz w:val="18"/>
                <w:szCs w:val="18"/>
                <w:lang w:val="en-US"/>
              </w:rPr>
              <w:t>15</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34E51456">
            <w:pPr>
              <w:rPr>
                <w:color w:val="000000"/>
                <w:sz w:val="18"/>
                <w:szCs w:val="18"/>
                <w:lang w:val="en-US"/>
              </w:rPr>
            </w:pPr>
          </w:p>
        </w:tc>
      </w:tr>
      <w:tr w14:paraId="4BF8E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65D9AC22">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14:paraId="63DC71A3">
            <w:pPr>
              <w:rPr>
                <w:rFonts w:hint="default" w:ascii="Times New Roman" w:hAnsi="Times New Roman" w:cs="Times New Roman"/>
                <w:sz w:val="20"/>
                <w:szCs w:val="20"/>
              </w:rPr>
            </w:pPr>
          </w:p>
        </w:tc>
        <w:tc>
          <w:tcPr>
            <w:tcW w:w="988" w:type="dxa"/>
            <w:tcBorders>
              <w:top w:val="single" w:color="000000" w:sz="4" w:space="0"/>
              <w:left w:val="nil"/>
              <w:bottom w:val="single" w:color="000000" w:sz="4" w:space="0"/>
              <w:right w:val="single" w:color="000000" w:sz="4" w:space="0"/>
            </w:tcBorders>
            <w:shd w:val="clear" w:color="auto" w:fill="auto"/>
            <w:vAlign w:val="center"/>
          </w:tcPr>
          <w:p w14:paraId="3F74A419">
            <w:pPr>
              <w:jc w:val="center"/>
              <w:textAlignment w:val="center"/>
              <w:rPr>
                <w:color w:val="000000"/>
                <w:sz w:val="18"/>
                <w:szCs w:val="18"/>
                <w:lang w:val="en-US"/>
              </w:rPr>
            </w:pPr>
            <w:r>
              <w:rPr>
                <w:color w:val="000000"/>
                <w:sz w:val="18"/>
                <w:szCs w:val="18"/>
              </w:rPr>
              <w:t>时效指标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1ACD8F3F">
            <w:pPr>
              <w:jc w:val="center"/>
              <w:textAlignment w:val="center"/>
              <w:rPr>
                <w:color w:val="000000"/>
                <w:sz w:val="18"/>
                <w:szCs w:val="18"/>
                <w:lang w:val="en-US"/>
              </w:rPr>
            </w:pPr>
            <w:r>
              <w:rPr>
                <w:color w:val="000000"/>
                <w:sz w:val="18"/>
                <w:szCs w:val="18"/>
              </w:rPr>
              <w:t>租赁费缴纳完成时间</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7CA0F893">
            <w:pPr>
              <w:jc w:val="center"/>
              <w:textAlignment w:val="center"/>
              <w:rPr>
                <w:color w:val="000000"/>
                <w:sz w:val="18"/>
                <w:szCs w:val="18"/>
                <w:lang w:val="en-US"/>
              </w:rPr>
            </w:pPr>
            <w:r>
              <w:rPr>
                <w:color w:val="000000"/>
                <w:sz w:val="18"/>
                <w:szCs w:val="18"/>
              </w:rPr>
              <w:t>定性</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358D37F0">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7EEB544D">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4731C280">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110FB753">
            <w:pPr>
              <w:jc w:val="center"/>
              <w:textAlignment w:val="center"/>
              <w:rPr>
                <w:color w:val="000000"/>
                <w:sz w:val="18"/>
                <w:szCs w:val="18"/>
                <w:lang w:val="en-US"/>
              </w:rPr>
            </w:pPr>
            <w:r>
              <w:rPr>
                <w:color w:val="000000"/>
                <w:sz w:val="18"/>
                <w:szCs w:val="18"/>
                <w:lang w:val="en-US"/>
              </w:rPr>
              <w:t>15</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3826BE9A">
            <w:pPr>
              <w:jc w:val="center"/>
              <w:textAlignment w:val="center"/>
              <w:rPr>
                <w:color w:val="000000"/>
                <w:sz w:val="18"/>
                <w:szCs w:val="18"/>
                <w:lang w:val="en-US"/>
              </w:rPr>
            </w:pPr>
            <w:r>
              <w:rPr>
                <w:color w:val="000000"/>
                <w:sz w:val="18"/>
                <w:szCs w:val="18"/>
                <w:lang w:val="en-US"/>
              </w:rPr>
              <w:t>13</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3E89F808">
            <w:pPr>
              <w:rPr>
                <w:color w:val="000000"/>
                <w:sz w:val="18"/>
                <w:szCs w:val="18"/>
                <w:lang w:val="en-US"/>
              </w:rPr>
            </w:pPr>
          </w:p>
        </w:tc>
      </w:tr>
      <w:tr w14:paraId="24ED6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1FBCFC9B">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14:paraId="08199D8D">
            <w:pPr>
              <w:rPr>
                <w:rFonts w:hint="default" w:ascii="Times New Roman" w:hAnsi="Times New Roman" w:cs="Times New Roman"/>
                <w:sz w:val="20"/>
                <w:szCs w:val="20"/>
              </w:rPr>
            </w:pPr>
          </w:p>
        </w:tc>
        <w:tc>
          <w:tcPr>
            <w:tcW w:w="988" w:type="dxa"/>
            <w:tcBorders>
              <w:top w:val="single" w:color="000000" w:sz="4" w:space="0"/>
              <w:left w:val="nil"/>
              <w:bottom w:val="single" w:color="000000" w:sz="4" w:space="0"/>
              <w:right w:val="single" w:color="000000" w:sz="4" w:space="0"/>
            </w:tcBorders>
            <w:shd w:val="clear" w:color="auto" w:fill="auto"/>
            <w:vAlign w:val="center"/>
          </w:tcPr>
          <w:p w14:paraId="3EA46E1C">
            <w:pPr>
              <w:jc w:val="center"/>
              <w:textAlignment w:val="center"/>
              <w:rPr>
                <w:color w:val="000000"/>
                <w:sz w:val="18"/>
                <w:szCs w:val="18"/>
                <w:lang w:val="en-US"/>
              </w:rPr>
            </w:pPr>
            <w:r>
              <w:rPr>
                <w:color w:val="000000"/>
                <w:sz w:val="18"/>
                <w:szCs w:val="18"/>
              </w:rPr>
              <w:t>成本指标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107AE2BA">
            <w:pPr>
              <w:jc w:val="center"/>
              <w:textAlignment w:val="center"/>
              <w:rPr>
                <w:color w:val="000000"/>
                <w:sz w:val="18"/>
                <w:szCs w:val="18"/>
                <w:lang w:val="en-US"/>
              </w:rPr>
            </w:pPr>
            <w:r>
              <w:rPr>
                <w:color w:val="000000"/>
                <w:sz w:val="18"/>
                <w:szCs w:val="18"/>
              </w:rPr>
              <w:t>项目总成本</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7A7180F8">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7834BC21">
            <w:pPr>
              <w:jc w:val="center"/>
              <w:textAlignment w:val="center"/>
              <w:rPr>
                <w:color w:val="000000"/>
                <w:sz w:val="18"/>
                <w:szCs w:val="18"/>
                <w:lang w:val="en-US"/>
              </w:rPr>
            </w:pPr>
            <w:r>
              <w:rPr>
                <w:color w:val="000000"/>
                <w:sz w:val="18"/>
                <w:szCs w:val="18"/>
              </w:rPr>
              <w:t>≤</w:t>
            </w:r>
            <w:r>
              <w:rPr>
                <w:color w:val="000000"/>
                <w:sz w:val="18"/>
                <w:szCs w:val="18"/>
                <w:lang w:val="en-US"/>
              </w:rPr>
              <w:t>72.96</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4D7B5A32">
            <w:pPr>
              <w:jc w:val="center"/>
              <w:textAlignment w:val="center"/>
              <w:rPr>
                <w:color w:val="000000"/>
                <w:sz w:val="18"/>
                <w:szCs w:val="18"/>
                <w:lang w:val="en-US"/>
              </w:rPr>
            </w:pPr>
            <w:r>
              <w:rPr>
                <w:color w:val="000000"/>
                <w:sz w:val="18"/>
                <w:szCs w:val="18"/>
              </w:rPr>
              <w:t>万元</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4D49B683">
            <w:pPr>
              <w:jc w:val="center"/>
              <w:textAlignment w:val="center"/>
              <w:rPr>
                <w:color w:val="000000"/>
                <w:sz w:val="18"/>
                <w:szCs w:val="18"/>
                <w:lang w:val="en-US"/>
              </w:rPr>
            </w:pPr>
            <w:r>
              <w:rPr>
                <w:color w:val="000000"/>
                <w:sz w:val="18"/>
                <w:szCs w:val="18"/>
                <w:lang w:val="en-US"/>
              </w:rPr>
              <w:t>=72.96</w:t>
            </w:r>
            <w:r>
              <w:rPr>
                <w:color w:val="000000"/>
                <w:sz w:val="18"/>
                <w:szCs w:val="18"/>
              </w:rPr>
              <w:t>万元</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41F69268">
            <w:pPr>
              <w:jc w:val="center"/>
              <w:textAlignment w:val="center"/>
              <w:rPr>
                <w:color w:val="000000"/>
                <w:sz w:val="18"/>
                <w:szCs w:val="18"/>
                <w:lang w:val="en-US"/>
              </w:rPr>
            </w:pPr>
            <w:r>
              <w:rPr>
                <w:color w:val="000000"/>
                <w:sz w:val="18"/>
                <w:szCs w:val="18"/>
                <w:lang w:val="en-US"/>
              </w:rPr>
              <w:t>10</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3F8BF88E">
            <w:pPr>
              <w:jc w:val="center"/>
              <w:textAlignment w:val="center"/>
              <w:rPr>
                <w:color w:val="000000"/>
                <w:sz w:val="18"/>
                <w:szCs w:val="18"/>
                <w:lang w:val="en-US"/>
              </w:rPr>
            </w:pPr>
            <w:r>
              <w:rPr>
                <w:color w:val="000000"/>
                <w:sz w:val="18"/>
                <w:szCs w:val="18"/>
                <w:lang w:val="en-US"/>
              </w:rPr>
              <w:t>10</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2E666D89">
            <w:pPr>
              <w:rPr>
                <w:color w:val="000000"/>
                <w:sz w:val="18"/>
                <w:szCs w:val="18"/>
                <w:lang w:val="en-US"/>
              </w:rPr>
            </w:pPr>
          </w:p>
        </w:tc>
      </w:tr>
      <w:tr w14:paraId="6063C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77803BBE">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024B5C7E">
            <w:pPr>
              <w:jc w:val="center"/>
              <w:textAlignment w:val="center"/>
              <w:rPr>
                <w:color w:val="000000"/>
                <w:sz w:val="18"/>
                <w:szCs w:val="18"/>
                <w:lang w:val="en-US"/>
              </w:rPr>
            </w:pPr>
            <w:r>
              <w:rPr>
                <w:color w:val="000000"/>
                <w:sz w:val="18"/>
                <w:szCs w:val="18"/>
              </w:rPr>
              <w:t>效果指标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00224CB2">
            <w:pPr>
              <w:jc w:val="center"/>
              <w:textAlignment w:val="center"/>
              <w:rPr>
                <w:color w:val="000000"/>
                <w:sz w:val="18"/>
                <w:szCs w:val="18"/>
                <w:lang w:val="en-US"/>
              </w:rPr>
            </w:pPr>
            <w:r>
              <w:rPr>
                <w:color w:val="000000"/>
                <w:sz w:val="18"/>
                <w:szCs w:val="18"/>
              </w:rPr>
              <w:t>社会效益指标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70678AF8">
            <w:pPr>
              <w:jc w:val="center"/>
              <w:textAlignment w:val="center"/>
              <w:rPr>
                <w:color w:val="000000"/>
                <w:sz w:val="18"/>
                <w:szCs w:val="18"/>
                <w:lang w:val="en-US"/>
              </w:rPr>
            </w:pPr>
            <w:r>
              <w:rPr>
                <w:color w:val="000000"/>
                <w:sz w:val="18"/>
                <w:szCs w:val="18"/>
              </w:rPr>
              <w:t>提升办公人员工作环境水平</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34B28247">
            <w:pPr>
              <w:jc w:val="center"/>
              <w:textAlignment w:val="center"/>
              <w:rPr>
                <w:color w:val="000000"/>
                <w:sz w:val="18"/>
                <w:szCs w:val="18"/>
                <w:lang w:val="en-US"/>
              </w:rPr>
            </w:pPr>
            <w:r>
              <w:rPr>
                <w:color w:val="000000"/>
                <w:sz w:val="18"/>
                <w:szCs w:val="18"/>
              </w:rPr>
              <w:t>定性</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11104047">
            <w:pPr>
              <w:jc w:val="center"/>
              <w:textAlignment w:val="center"/>
              <w:rPr>
                <w:color w:val="000000"/>
                <w:sz w:val="18"/>
                <w:szCs w:val="18"/>
                <w:lang w:val="en-US"/>
              </w:rPr>
            </w:pPr>
            <w:r>
              <w:rPr>
                <w:color w:val="000000"/>
                <w:sz w:val="18"/>
                <w:szCs w:val="18"/>
              </w:rPr>
              <w:t>高中低</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4DAB3EFF">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65B48CAD">
            <w:pPr>
              <w:jc w:val="center"/>
              <w:textAlignment w:val="center"/>
              <w:rPr>
                <w:color w:val="000000"/>
                <w:sz w:val="18"/>
                <w:szCs w:val="18"/>
                <w:lang w:val="en-US"/>
              </w:rPr>
            </w:pPr>
            <w:r>
              <w:rPr>
                <w:color w:val="000000"/>
                <w:sz w:val="18"/>
                <w:szCs w:val="18"/>
              </w:rPr>
              <w:t>高</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459A4B72">
            <w:pPr>
              <w:jc w:val="center"/>
              <w:textAlignment w:val="center"/>
              <w:rPr>
                <w:color w:val="000000"/>
                <w:sz w:val="18"/>
                <w:szCs w:val="18"/>
                <w:lang w:val="en-US"/>
              </w:rPr>
            </w:pPr>
            <w:r>
              <w:rPr>
                <w:color w:val="000000"/>
                <w:sz w:val="18"/>
                <w:szCs w:val="18"/>
                <w:lang w:val="en-US"/>
              </w:rPr>
              <w:t>30</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29190C0C">
            <w:pPr>
              <w:jc w:val="center"/>
              <w:textAlignment w:val="center"/>
              <w:rPr>
                <w:color w:val="000000"/>
                <w:sz w:val="18"/>
                <w:szCs w:val="18"/>
                <w:lang w:val="en-US"/>
              </w:rPr>
            </w:pPr>
            <w:r>
              <w:rPr>
                <w:color w:val="000000"/>
                <w:sz w:val="18"/>
                <w:szCs w:val="18"/>
                <w:lang w:val="en-US"/>
              </w:rPr>
              <w:t>30</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30CC1765">
            <w:pPr>
              <w:rPr>
                <w:color w:val="000000"/>
                <w:sz w:val="18"/>
                <w:szCs w:val="18"/>
                <w:lang w:val="en-US"/>
              </w:rPr>
            </w:pPr>
          </w:p>
        </w:tc>
      </w:tr>
      <w:tr w14:paraId="5251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14:paraId="0E1C1E57">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14:paraId="5D3E2A56">
            <w:pPr>
              <w:jc w:val="center"/>
              <w:textAlignment w:val="center"/>
              <w:rPr>
                <w:color w:val="000000"/>
                <w:sz w:val="18"/>
                <w:szCs w:val="18"/>
                <w:lang w:val="en-US"/>
              </w:rPr>
            </w:pPr>
            <w:r>
              <w:rPr>
                <w:color w:val="000000"/>
                <w:sz w:val="18"/>
                <w:szCs w:val="18"/>
              </w:rPr>
              <w:t>满意度指标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14:paraId="11DF78CA">
            <w:pPr>
              <w:jc w:val="center"/>
              <w:textAlignment w:val="center"/>
              <w:rPr>
                <w:color w:val="000000"/>
                <w:sz w:val="18"/>
                <w:szCs w:val="18"/>
                <w:lang w:val="en-US"/>
              </w:rPr>
            </w:pPr>
            <w:r>
              <w:rPr>
                <w:color w:val="000000"/>
                <w:sz w:val="18"/>
                <w:szCs w:val="18"/>
              </w:rPr>
              <w:t>群众满意度指标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14:paraId="33187BCE">
            <w:pPr>
              <w:jc w:val="center"/>
              <w:textAlignment w:val="center"/>
              <w:rPr>
                <w:color w:val="000000"/>
                <w:sz w:val="18"/>
                <w:szCs w:val="18"/>
                <w:lang w:val="en-US"/>
              </w:rPr>
            </w:pPr>
            <w:r>
              <w:rPr>
                <w:color w:val="000000"/>
                <w:sz w:val="18"/>
                <w:szCs w:val="18"/>
              </w:rPr>
              <w:t>办公人员满意度</w:t>
            </w:r>
          </w:p>
        </w:tc>
        <w:tc>
          <w:tcPr>
            <w:tcW w:w="728" w:type="dxa"/>
            <w:tcBorders>
              <w:top w:val="single" w:color="000000" w:sz="4" w:space="0"/>
              <w:left w:val="nil"/>
              <w:bottom w:val="single" w:color="000000" w:sz="4" w:space="0"/>
              <w:right w:val="single" w:color="000000" w:sz="4" w:space="0"/>
            </w:tcBorders>
            <w:shd w:val="clear" w:color="auto" w:fill="auto"/>
            <w:vAlign w:val="center"/>
          </w:tcPr>
          <w:p w14:paraId="493AB5EB">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14:paraId="0C4F0A81">
            <w:pPr>
              <w:jc w:val="center"/>
              <w:textAlignment w:val="center"/>
              <w:rPr>
                <w:color w:val="000000"/>
                <w:sz w:val="18"/>
                <w:szCs w:val="18"/>
                <w:lang w:val="en-US"/>
              </w:rPr>
            </w:pPr>
            <w:r>
              <w:rPr>
                <w:color w:val="000000"/>
                <w:sz w:val="18"/>
                <w:szCs w:val="18"/>
              </w:rPr>
              <w:t>≥</w:t>
            </w:r>
            <w:r>
              <w:rPr>
                <w:color w:val="000000"/>
                <w:sz w:val="18"/>
                <w:szCs w:val="18"/>
                <w:lang w:val="en-US"/>
              </w:rPr>
              <w:t>95</w:t>
            </w:r>
          </w:p>
        </w:tc>
        <w:tc>
          <w:tcPr>
            <w:tcW w:w="472" w:type="dxa"/>
            <w:tcBorders>
              <w:top w:val="single" w:color="000000" w:sz="4" w:space="0"/>
              <w:left w:val="nil"/>
              <w:bottom w:val="single" w:color="000000" w:sz="4" w:space="0"/>
              <w:right w:val="single" w:color="000000" w:sz="4" w:space="0"/>
            </w:tcBorders>
            <w:shd w:val="clear" w:color="auto" w:fill="auto"/>
            <w:vAlign w:val="center"/>
          </w:tcPr>
          <w:p w14:paraId="718EA7E3">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14:paraId="5362178F">
            <w:pPr>
              <w:jc w:val="center"/>
              <w:textAlignment w:val="center"/>
              <w:rPr>
                <w:color w:val="000000"/>
                <w:sz w:val="18"/>
                <w:szCs w:val="18"/>
                <w:lang w:val="en-US"/>
              </w:rPr>
            </w:pPr>
            <w:r>
              <w:rPr>
                <w:color w:val="000000"/>
                <w:sz w:val="18"/>
                <w:szCs w:val="18"/>
                <w:lang w:val="en-US"/>
              </w:rPr>
              <w:t>=100%</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639444A7">
            <w:pPr>
              <w:jc w:val="center"/>
              <w:textAlignment w:val="center"/>
              <w:rPr>
                <w:color w:val="000000"/>
                <w:sz w:val="18"/>
                <w:szCs w:val="18"/>
                <w:lang w:val="en-US"/>
              </w:rPr>
            </w:pPr>
            <w:r>
              <w:rPr>
                <w:color w:val="000000"/>
                <w:sz w:val="18"/>
                <w:szCs w:val="18"/>
                <w:lang w:val="en-US"/>
              </w:rPr>
              <w:t>10</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4CCC41E5">
            <w:pPr>
              <w:jc w:val="center"/>
              <w:textAlignment w:val="center"/>
              <w:rPr>
                <w:color w:val="000000"/>
                <w:sz w:val="18"/>
                <w:szCs w:val="18"/>
                <w:lang w:val="en-US"/>
              </w:rPr>
            </w:pPr>
            <w:r>
              <w:rPr>
                <w:color w:val="000000"/>
                <w:sz w:val="18"/>
                <w:szCs w:val="18"/>
                <w:lang w:val="en-US"/>
              </w:rPr>
              <w:t>10</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197FB2A3">
            <w:pPr>
              <w:rPr>
                <w:color w:val="000000"/>
                <w:sz w:val="18"/>
                <w:szCs w:val="18"/>
                <w:lang w:val="en-US"/>
              </w:rPr>
            </w:pPr>
          </w:p>
        </w:tc>
      </w:tr>
      <w:tr w14:paraId="14A4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68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9AFDBA">
            <w:pPr>
              <w:jc w:val="center"/>
              <w:textAlignment w:val="center"/>
              <w:rPr>
                <w:color w:val="000000"/>
                <w:sz w:val="18"/>
                <w:szCs w:val="18"/>
                <w:lang w:val="en-US"/>
              </w:rPr>
            </w:pPr>
            <w:r>
              <w:rPr>
                <w:color w:val="000000"/>
                <w:sz w:val="18"/>
                <w:szCs w:val="18"/>
              </w:rPr>
              <w:t>合计</w:t>
            </w:r>
          </w:p>
        </w:tc>
        <w:tc>
          <w:tcPr>
            <w:tcW w:w="651" w:type="dxa"/>
            <w:tcBorders>
              <w:top w:val="single" w:color="000000" w:sz="4" w:space="0"/>
              <w:left w:val="nil"/>
              <w:bottom w:val="single" w:color="000000" w:sz="4" w:space="0"/>
              <w:right w:val="single" w:color="000000" w:sz="4" w:space="0"/>
            </w:tcBorders>
            <w:shd w:val="clear" w:color="auto" w:fill="auto"/>
            <w:vAlign w:val="center"/>
          </w:tcPr>
          <w:p w14:paraId="013969AF">
            <w:pPr>
              <w:jc w:val="center"/>
              <w:textAlignment w:val="center"/>
              <w:rPr>
                <w:color w:val="000000"/>
                <w:sz w:val="18"/>
                <w:szCs w:val="18"/>
                <w:lang w:val="en-US"/>
              </w:rPr>
            </w:pPr>
            <w:r>
              <w:rPr>
                <w:color w:val="000000"/>
                <w:sz w:val="18"/>
                <w:szCs w:val="18"/>
                <w:lang w:val="en-US"/>
              </w:rPr>
              <w:t>100</w:t>
            </w:r>
          </w:p>
        </w:tc>
        <w:tc>
          <w:tcPr>
            <w:tcW w:w="566" w:type="dxa"/>
            <w:tcBorders>
              <w:top w:val="single" w:color="000000" w:sz="4" w:space="0"/>
              <w:left w:val="nil"/>
              <w:bottom w:val="single" w:color="000000" w:sz="4" w:space="0"/>
              <w:right w:val="single" w:color="000000" w:sz="4" w:space="0"/>
            </w:tcBorders>
            <w:shd w:val="clear" w:color="auto" w:fill="auto"/>
            <w:vAlign w:val="center"/>
          </w:tcPr>
          <w:p w14:paraId="79539B2C">
            <w:pPr>
              <w:jc w:val="center"/>
              <w:textAlignment w:val="center"/>
              <w:rPr>
                <w:color w:val="000000"/>
                <w:sz w:val="18"/>
                <w:szCs w:val="18"/>
                <w:lang w:val="en-US"/>
              </w:rPr>
            </w:pPr>
            <w:r>
              <w:rPr>
                <w:color w:val="000000"/>
                <w:sz w:val="18"/>
                <w:szCs w:val="18"/>
                <w:lang w:val="en-US"/>
              </w:rPr>
              <w:t>98</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23FB11A9">
            <w:pPr>
              <w:rPr>
                <w:color w:val="000000"/>
                <w:sz w:val="18"/>
                <w:szCs w:val="18"/>
                <w:lang w:val="en-US"/>
              </w:rPr>
            </w:pPr>
          </w:p>
        </w:tc>
      </w:tr>
      <w:tr w14:paraId="6249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04F9">
            <w:pPr>
              <w:jc w:val="center"/>
              <w:textAlignment w:val="center"/>
              <w:rPr>
                <w:color w:val="000000"/>
                <w:sz w:val="18"/>
                <w:szCs w:val="18"/>
                <w:lang w:val="en-US"/>
              </w:rPr>
            </w:pPr>
            <w:r>
              <w:rPr>
                <w:color w:val="000000"/>
                <w:sz w:val="18"/>
                <w:szCs w:val="18"/>
              </w:rPr>
              <w:t>评价结论</w:t>
            </w:r>
          </w:p>
        </w:tc>
        <w:tc>
          <w:tcPr>
            <w:tcW w:w="8032" w:type="dxa"/>
            <w:gridSpan w:val="10"/>
            <w:tcBorders>
              <w:top w:val="single" w:color="000000" w:sz="4" w:space="0"/>
              <w:left w:val="nil"/>
              <w:bottom w:val="single" w:color="000000" w:sz="4" w:space="0"/>
              <w:right w:val="single" w:color="000000" w:sz="4" w:space="0"/>
            </w:tcBorders>
            <w:shd w:val="clear" w:color="auto" w:fill="auto"/>
            <w:vAlign w:val="center"/>
          </w:tcPr>
          <w:p w14:paraId="198BC0FF">
            <w:pPr>
              <w:textAlignment w:val="center"/>
              <w:rPr>
                <w:i/>
                <w:iCs/>
                <w:color w:val="000000"/>
                <w:sz w:val="16"/>
                <w:szCs w:val="16"/>
                <w:lang w:val="en-US"/>
              </w:rPr>
            </w:pPr>
            <w:r>
              <w:rPr>
                <w:i/>
                <w:iCs/>
                <w:color w:val="000000"/>
                <w:sz w:val="16"/>
                <w:szCs w:val="16"/>
              </w:rPr>
              <w:t>该项目已完成办公租赁费的缴纳，自评得分为</w:t>
            </w:r>
            <w:r>
              <w:rPr>
                <w:i/>
                <w:iCs/>
                <w:color w:val="000000"/>
                <w:sz w:val="16"/>
                <w:szCs w:val="16"/>
                <w:lang w:val="en-US"/>
              </w:rPr>
              <w:t>98</w:t>
            </w:r>
            <w:r>
              <w:rPr>
                <w:i/>
                <w:iCs/>
                <w:color w:val="000000"/>
                <w:sz w:val="16"/>
                <w:szCs w:val="16"/>
              </w:rPr>
              <w:t>分。</w:t>
            </w:r>
          </w:p>
        </w:tc>
      </w:tr>
      <w:tr w14:paraId="311C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728">
            <w:pPr>
              <w:jc w:val="center"/>
              <w:textAlignment w:val="center"/>
              <w:rPr>
                <w:color w:val="000000"/>
                <w:sz w:val="18"/>
                <w:szCs w:val="18"/>
                <w:lang w:val="en-US"/>
              </w:rPr>
            </w:pPr>
            <w:r>
              <w:rPr>
                <w:color w:val="000000"/>
                <w:sz w:val="18"/>
                <w:szCs w:val="18"/>
              </w:rPr>
              <w:t>存在问题</w:t>
            </w:r>
          </w:p>
        </w:tc>
        <w:tc>
          <w:tcPr>
            <w:tcW w:w="8032" w:type="dxa"/>
            <w:gridSpan w:val="10"/>
            <w:tcBorders>
              <w:top w:val="single" w:color="000000" w:sz="4" w:space="0"/>
              <w:left w:val="nil"/>
              <w:bottom w:val="single" w:color="000000" w:sz="4" w:space="0"/>
              <w:right w:val="single" w:color="000000" w:sz="4" w:space="0"/>
            </w:tcBorders>
            <w:shd w:val="clear" w:color="auto" w:fill="auto"/>
            <w:vAlign w:val="center"/>
          </w:tcPr>
          <w:p w14:paraId="2B8D941C">
            <w:pPr>
              <w:textAlignment w:val="center"/>
              <w:rPr>
                <w:i/>
                <w:iCs/>
                <w:color w:val="000000"/>
                <w:sz w:val="16"/>
                <w:szCs w:val="16"/>
                <w:lang w:val="en-US"/>
              </w:rPr>
            </w:pPr>
            <w:r>
              <w:rPr>
                <w:i/>
                <w:iCs/>
                <w:color w:val="000000"/>
                <w:sz w:val="16"/>
                <w:szCs w:val="16"/>
              </w:rPr>
              <w:t>因租户未及时打发票进行结算，导致前期资金执行进度较缓，造成财政资金使用效益低下的问题。</w:t>
            </w:r>
          </w:p>
        </w:tc>
      </w:tr>
      <w:tr w14:paraId="2CB8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8CD3E">
            <w:pPr>
              <w:jc w:val="center"/>
              <w:textAlignment w:val="center"/>
              <w:rPr>
                <w:color w:val="000000"/>
                <w:sz w:val="18"/>
                <w:szCs w:val="18"/>
                <w:lang w:val="en-US"/>
              </w:rPr>
            </w:pPr>
            <w:r>
              <w:rPr>
                <w:color w:val="000000"/>
                <w:sz w:val="18"/>
                <w:szCs w:val="18"/>
              </w:rPr>
              <w:t>改进措施</w:t>
            </w: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14:paraId="1B3B84B5">
            <w:pPr>
              <w:textAlignment w:val="center"/>
              <w:rPr>
                <w:i/>
                <w:iCs/>
                <w:color w:val="000000"/>
                <w:sz w:val="16"/>
                <w:szCs w:val="16"/>
                <w:lang w:val="en-US"/>
              </w:rPr>
            </w:pPr>
            <w:r>
              <w:rPr>
                <w:i/>
                <w:iCs/>
                <w:color w:val="000000"/>
                <w:sz w:val="16"/>
                <w:szCs w:val="16"/>
              </w:rPr>
              <w:t>进一步明确项目资金监管主体和责任，提高财政资金的使用效益。</w:t>
            </w:r>
          </w:p>
        </w:tc>
      </w:tr>
      <w:tr w14:paraId="52B28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BDE6F">
            <w:pPr>
              <w:textAlignment w:val="center"/>
              <w:rPr>
                <w:color w:val="000000"/>
                <w:sz w:val="18"/>
                <w:szCs w:val="18"/>
                <w:lang w:val="en-US"/>
              </w:rPr>
            </w:pPr>
            <w:r>
              <w:rPr>
                <w:color w:val="000000"/>
                <w:sz w:val="18"/>
                <w:szCs w:val="18"/>
              </w:rPr>
              <w:t>项目负责人：王萍</w:t>
            </w:r>
          </w:p>
        </w:tc>
        <w:tc>
          <w:tcPr>
            <w:tcW w:w="4282" w:type="dxa"/>
            <w:gridSpan w:val="6"/>
            <w:tcBorders>
              <w:top w:val="single" w:color="000000" w:sz="4" w:space="0"/>
              <w:left w:val="nil"/>
              <w:bottom w:val="single" w:color="000000" w:sz="4" w:space="0"/>
              <w:right w:val="single" w:color="000000" w:sz="4" w:space="0"/>
            </w:tcBorders>
            <w:shd w:val="clear" w:color="auto" w:fill="auto"/>
            <w:vAlign w:val="center"/>
          </w:tcPr>
          <w:p w14:paraId="20123512">
            <w:pPr>
              <w:textAlignment w:val="center"/>
              <w:rPr>
                <w:color w:val="000000"/>
                <w:sz w:val="18"/>
                <w:szCs w:val="18"/>
                <w:lang w:val="en-US"/>
              </w:rPr>
            </w:pPr>
            <w:r>
              <w:rPr>
                <w:color w:val="000000"/>
                <w:sz w:val="18"/>
                <w:szCs w:val="18"/>
              </w:rPr>
              <w:t>财务负责人：张兴建</w:t>
            </w:r>
          </w:p>
        </w:tc>
      </w:tr>
    </w:tbl>
    <w:p w14:paraId="32114053">
      <w:pPr>
        <w:pStyle w:val="35"/>
        <w:spacing w:before="0" w:beforeAutospacing="0"/>
      </w:pPr>
      <w:r>
        <w:rPr>
          <w:lang w:val="en-US"/>
        </w:rPr>
        <w:t xml:space="preserve"> </w:t>
      </w:r>
    </w:p>
    <w:p w14:paraId="54CAAD01">
      <w:pPr>
        <w:pStyle w:val="35"/>
        <w:spacing w:before="0" w:beforeAutospacing="0"/>
      </w:pPr>
      <w:r>
        <w:rPr>
          <w:lang w:val="en-US"/>
        </w:rPr>
        <w:t xml:space="preserve"> </w:t>
      </w:r>
    </w:p>
    <w:tbl>
      <w:tblPr>
        <w:tblStyle w:val="14"/>
        <w:tblW w:w="94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828"/>
        <w:gridCol w:w="1061"/>
        <w:gridCol w:w="1004"/>
        <w:gridCol w:w="1049"/>
        <w:gridCol w:w="1061"/>
        <w:gridCol w:w="1049"/>
        <w:gridCol w:w="846"/>
        <w:gridCol w:w="695"/>
        <w:gridCol w:w="691"/>
        <w:gridCol w:w="635"/>
      </w:tblGrid>
      <w:tr w14:paraId="0E71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CEB748">
            <w:pPr>
              <w:jc w:val="center"/>
              <w:textAlignment w:val="center"/>
              <w:rPr>
                <w:b/>
                <w:bCs/>
                <w:color w:val="000000"/>
                <w:sz w:val="30"/>
                <w:szCs w:val="30"/>
                <w:lang w:val="en-US"/>
              </w:rPr>
            </w:pPr>
            <w:r>
              <w:rPr>
                <w:b/>
                <w:bCs/>
                <w:color w:val="000000"/>
                <w:sz w:val="30"/>
                <w:szCs w:val="30"/>
              </w:rPr>
              <w:t>部门预算项目支出绩效自评表（</w:t>
            </w:r>
            <w:r>
              <w:rPr>
                <w:b/>
                <w:bCs/>
                <w:color w:val="000000"/>
                <w:sz w:val="30"/>
                <w:szCs w:val="30"/>
                <w:lang w:val="en-US"/>
              </w:rPr>
              <w:t>2022</w:t>
            </w:r>
            <w:r>
              <w:rPr>
                <w:b/>
                <w:bCs/>
                <w:color w:val="000000"/>
                <w:sz w:val="30"/>
                <w:szCs w:val="30"/>
              </w:rPr>
              <w:t>年度）</w:t>
            </w:r>
          </w:p>
        </w:tc>
      </w:tr>
      <w:tr w14:paraId="1C7C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011DB">
            <w:pPr>
              <w:textAlignment w:val="center"/>
              <w:rPr>
                <w:color w:val="000000"/>
                <w:sz w:val="18"/>
                <w:szCs w:val="18"/>
                <w:lang w:val="en-US"/>
              </w:rPr>
            </w:pPr>
            <w:r>
              <w:rPr>
                <w:color w:val="000000"/>
                <w:sz w:val="18"/>
                <w:szCs w:val="18"/>
              </w:rPr>
              <w:t>项目名称</w:t>
            </w:r>
          </w:p>
        </w:tc>
        <w:tc>
          <w:tcPr>
            <w:tcW w:w="8100" w:type="dxa"/>
            <w:gridSpan w:val="9"/>
            <w:tcBorders>
              <w:top w:val="single" w:color="000000" w:sz="4" w:space="0"/>
              <w:left w:val="nil"/>
              <w:bottom w:val="single" w:color="000000" w:sz="4" w:space="0"/>
              <w:right w:val="single" w:color="000000" w:sz="4" w:space="0"/>
            </w:tcBorders>
            <w:shd w:val="clear" w:color="auto" w:fill="auto"/>
            <w:vAlign w:val="center"/>
          </w:tcPr>
          <w:p w14:paraId="4CB35B9C">
            <w:pPr>
              <w:textAlignment w:val="center"/>
              <w:rPr>
                <w:color w:val="000000"/>
                <w:sz w:val="18"/>
                <w:szCs w:val="18"/>
                <w:lang w:val="en-US"/>
              </w:rPr>
            </w:pPr>
            <w:r>
              <w:rPr>
                <w:color w:val="000000"/>
                <w:sz w:val="18"/>
                <w:szCs w:val="18"/>
                <w:lang w:val="en-US"/>
              </w:rPr>
              <w:t>51320021T000000061125-</w:t>
            </w:r>
            <w:r>
              <w:rPr>
                <w:color w:val="000000"/>
                <w:sz w:val="18"/>
                <w:szCs w:val="18"/>
              </w:rPr>
              <w:t>政务联络</w:t>
            </w:r>
          </w:p>
        </w:tc>
      </w:tr>
      <w:tr w14:paraId="6B946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0CD83">
            <w:pPr>
              <w:textAlignment w:val="center"/>
              <w:rPr>
                <w:color w:val="000000"/>
                <w:sz w:val="18"/>
                <w:szCs w:val="18"/>
                <w:lang w:val="en-US"/>
              </w:rPr>
            </w:pPr>
            <w:r>
              <w:rPr>
                <w:color w:val="000000"/>
                <w:sz w:val="18"/>
                <w:szCs w:val="18"/>
              </w:rPr>
              <w:t>主管部门</w:t>
            </w:r>
          </w:p>
        </w:tc>
        <w:tc>
          <w:tcPr>
            <w:tcW w:w="5340" w:type="dxa"/>
            <w:gridSpan w:val="5"/>
            <w:tcBorders>
              <w:top w:val="single" w:color="000000" w:sz="4" w:space="0"/>
              <w:left w:val="nil"/>
              <w:bottom w:val="single" w:color="000000" w:sz="4" w:space="0"/>
              <w:right w:val="single" w:color="000000" w:sz="4" w:space="0"/>
            </w:tcBorders>
            <w:shd w:val="clear" w:color="auto" w:fill="auto"/>
            <w:vAlign w:val="center"/>
          </w:tcPr>
          <w:p w14:paraId="758B9874">
            <w:pPr>
              <w:textAlignment w:val="center"/>
              <w:rPr>
                <w:color w:val="000000"/>
                <w:sz w:val="18"/>
                <w:szCs w:val="18"/>
                <w:lang w:val="en-US"/>
              </w:rPr>
            </w:pPr>
            <w:r>
              <w:rPr>
                <w:color w:val="000000"/>
                <w:sz w:val="18"/>
                <w:szCs w:val="18"/>
              </w:rPr>
              <w:t>州政府驻外联络办部门</w:t>
            </w:r>
          </w:p>
        </w:tc>
        <w:tc>
          <w:tcPr>
            <w:tcW w:w="705" w:type="dxa"/>
            <w:shd w:val="clear" w:color="auto" w:fill="auto"/>
            <w:vAlign w:val="center"/>
          </w:tcPr>
          <w:p w14:paraId="0C068CE8">
            <w:pPr>
              <w:textAlignment w:val="center"/>
              <w:rPr>
                <w:color w:val="000000"/>
                <w:sz w:val="18"/>
                <w:szCs w:val="18"/>
                <w:lang w:val="en-US"/>
              </w:rPr>
            </w:pPr>
            <w:r>
              <w:rPr>
                <w:color w:val="000000"/>
                <w:sz w:val="18"/>
                <w:szCs w:val="18"/>
              </w:rPr>
              <w:t>实施单位 （盖章）</w:t>
            </w:r>
          </w:p>
        </w:tc>
        <w:tc>
          <w:tcPr>
            <w:tcW w:w="2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4AB91D">
            <w:pPr>
              <w:jc w:val="center"/>
              <w:textAlignment w:val="center"/>
              <w:rPr>
                <w:color w:val="000000"/>
                <w:sz w:val="18"/>
                <w:szCs w:val="18"/>
                <w:lang w:val="en-US"/>
              </w:rPr>
            </w:pPr>
            <w:r>
              <w:rPr>
                <w:color w:val="000000"/>
                <w:sz w:val="18"/>
                <w:szCs w:val="18"/>
              </w:rPr>
              <w:t>州政府驻外联络办</w:t>
            </w:r>
          </w:p>
        </w:tc>
      </w:tr>
      <w:tr w14:paraId="568C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55" w:type="dxa"/>
            <w:vMerge w:val="restart"/>
            <w:tcBorders>
              <w:top w:val="nil"/>
              <w:left w:val="single" w:color="000000" w:sz="4" w:space="0"/>
              <w:bottom w:val="single" w:color="000000" w:sz="4" w:space="0"/>
              <w:right w:val="single" w:color="000000" w:sz="4" w:space="0"/>
            </w:tcBorders>
            <w:shd w:val="clear" w:color="auto" w:fill="auto"/>
            <w:vAlign w:val="center"/>
          </w:tcPr>
          <w:p w14:paraId="63B4E6DC">
            <w:pPr>
              <w:textAlignment w:val="center"/>
              <w:rPr>
                <w:color w:val="000000"/>
                <w:sz w:val="18"/>
                <w:szCs w:val="18"/>
                <w:lang w:val="en-US"/>
              </w:rPr>
            </w:pPr>
            <w:r>
              <w:rPr>
                <w:color w:val="000000"/>
                <w:sz w:val="18"/>
                <w:szCs w:val="18"/>
              </w:rPr>
              <w:t>项目基本情况</w:t>
            </w:r>
          </w:p>
        </w:tc>
        <w:tc>
          <w:tcPr>
            <w:tcW w:w="840" w:type="dxa"/>
            <w:vMerge w:val="restart"/>
            <w:tcBorders>
              <w:top w:val="nil"/>
              <w:left w:val="nil"/>
              <w:bottom w:val="single" w:color="000000" w:sz="4" w:space="0"/>
              <w:right w:val="single" w:color="000000" w:sz="4" w:space="0"/>
            </w:tcBorders>
            <w:shd w:val="clear" w:color="auto" w:fill="auto"/>
            <w:vAlign w:val="center"/>
          </w:tcPr>
          <w:p w14:paraId="1A6783E0">
            <w:pPr>
              <w:textAlignment w:val="center"/>
              <w:rPr>
                <w:color w:val="000000"/>
                <w:sz w:val="18"/>
                <w:szCs w:val="18"/>
                <w:lang w:val="en-US"/>
              </w:rPr>
            </w:pPr>
            <w:r>
              <w:rPr>
                <w:color w:val="000000"/>
                <w:sz w:val="18"/>
                <w:szCs w:val="18"/>
                <w:lang w:val="en-US"/>
              </w:rPr>
              <w:t>1.</w:t>
            </w:r>
            <w:r>
              <w:rPr>
                <w:color w:val="000000"/>
                <w:sz w:val="18"/>
                <w:szCs w:val="18"/>
              </w:rPr>
              <w:t>项目年度目标完成情况</w:t>
            </w:r>
          </w:p>
        </w:tc>
        <w:tc>
          <w:tcPr>
            <w:tcW w:w="5340" w:type="dxa"/>
            <w:gridSpan w:val="5"/>
            <w:tcBorders>
              <w:top w:val="single" w:color="000000" w:sz="4" w:space="0"/>
              <w:left w:val="nil"/>
              <w:bottom w:val="single" w:color="000000" w:sz="4" w:space="0"/>
              <w:right w:val="single" w:color="000000" w:sz="4" w:space="0"/>
            </w:tcBorders>
            <w:shd w:val="clear" w:color="auto" w:fill="auto"/>
            <w:vAlign w:val="center"/>
          </w:tcPr>
          <w:p w14:paraId="34E6A91F">
            <w:pPr>
              <w:jc w:val="center"/>
              <w:textAlignment w:val="center"/>
              <w:rPr>
                <w:color w:val="000000"/>
                <w:sz w:val="18"/>
                <w:szCs w:val="18"/>
                <w:lang w:val="en-US"/>
              </w:rPr>
            </w:pPr>
            <w:r>
              <w:rPr>
                <w:color w:val="000000"/>
                <w:sz w:val="18"/>
                <w:szCs w:val="18"/>
              </w:rPr>
              <w:t>项目年度目标</w:t>
            </w:r>
          </w:p>
        </w:tc>
        <w:tc>
          <w:tcPr>
            <w:tcW w:w="2760" w:type="dxa"/>
            <w:gridSpan w:val="4"/>
            <w:tcBorders>
              <w:top w:val="single" w:color="000000" w:sz="4" w:space="0"/>
              <w:left w:val="nil"/>
              <w:bottom w:val="single" w:color="000000" w:sz="4" w:space="0"/>
              <w:right w:val="single" w:color="000000" w:sz="4" w:space="0"/>
            </w:tcBorders>
            <w:shd w:val="clear" w:color="auto" w:fill="auto"/>
            <w:vAlign w:val="center"/>
          </w:tcPr>
          <w:p w14:paraId="4BF95D8E">
            <w:pPr>
              <w:jc w:val="center"/>
              <w:textAlignment w:val="center"/>
              <w:rPr>
                <w:color w:val="000000"/>
                <w:sz w:val="18"/>
                <w:szCs w:val="18"/>
                <w:lang w:val="en-US"/>
              </w:rPr>
            </w:pPr>
            <w:r>
              <w:rPr>
                <w:color w:val="000000"/>
                <w:sz w:val="18"/>
                <w:szCs w:val="18"/>
              </w:rPr>
              <w:t>年度目标完成情况</w:t>
            </w:r>
          </w:p>
        </w:tc>
      </w:tr>
      <w:tr w14:paraId="6B159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0"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55249FB9">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10764653">
            <w:pPr>
              <w:rPr>
                <w:rFonts w:hint="default" w:ascii="Times New Roman" w:hAnsi="Times New Roman" w:cs="Times New Roman"/>
                <w:sz w:val="20"/>
                <w:szCs w:val="20"/>
              </w:rPr>
            </w:pPr>
          </w:p>
        </w:tc>
        <w:tc>
          <w:tcPr>
            <w:tcW w:w="5340" w:type="dxa"/>
            <w:gridSpan w:val="5"/>
            <w:tcBorders>
              <w:top w:val="single" w:color="000000" w:sz="4" w:space="0"/>
              <w:left w:val="nil"/>
              <w:bottom w:val="single" w:color="000000" w:sz="4" w:space="0"/>
              <w:right w:val="single" w:color="000000" w:sz="4" w:space="0"/>
            </w:tcBorders>
            <w:shd w:val="clear" w:color="auto" w:fill="auto"/>
            <w:vAlign w:val="center"/>
          </w:tcPr>
          <w:p w14:paraId="1F0CD6D8">
            <w:pPr>
              <w:textAlignment w:val="center"/>
              <w:rPr>
                <w:color w:val="000000"/>
                <w:sz w:val="18"/>
                <w:szCs w:val="18"/>
                <w:lang w:val="en-US"/>
              </w:rPr>
            </w:pPr>
            <w:r>
              <w:rPr>
                <w:color w:val="000000"/>
                <w:sz w:val="18"/>
                <w:szCs w:val="18"/>
              </w:rPr>
              <w:t>　一是强化向上对接。充分发挥驻地在外的地理和区位优势，工作为融合联络、协调、服务、处置等多元化相融合的政务联络服务机制，主动加强与国家部委局和省级部门的对接联系，为我州向上争取政策和项目牵好线，高质量完成了全国两会、省“两会”等重大节会服务工作，参与州委、州政府领导到国务院扶贫开发领导小组办公室、交通部、农业部、林业部等部门汇报工作、争取政策的中间协调工作确保了有效衔接。二是强化对外交流。加强与各省（市）驻京机构和各市（州）驻蓉机构的联系，以驻京、驻蓉机构为桥梁，加强与全国各省（市）和省内各市（州）的交往互动，密切我州在政治、经济、科技、文化、社会等方面的对外合作和友好往来。三是强化跨界联系。逐步加强与文化艺术、科学技术、社会科学、经济、工商、农业、教育、医药卫生等界别的联系，力争为我州发展汇聚各方优势资源。四是强化商会指导服务。加强对阿坝州籍在外商会、在外企业的指导服务工作，维护州籍企业合法权益。五是强化政务接待。按公务接待管理办法和厉行节约要求认真做好州委、州政府和州公务服务中心通知的成都地区机场迎送、车辆保障、食宿安排等公务接待工作，高质量做好了川甘青三省交界地区五州边际协作会议、创建全国民族团结进步示范州国检组等重要公务接待任务。</w:t>
            </w:r>
          </w:p>
        </w:tc>
        <w:tc>
          <w:tcPr>
            <w:tcW w:w="2760" w:type="dxa"/>
            <w:gridSpan w:val="4"/>
            <w:tcBorders>
              <w:top w:val="single" w:color="000000" w:sz="4" w:space="0"/>
              <w:left w:val="nil"/>
              <w:bottom w:val="single" w:color="000000" w:sz="4" w:space="0"/>
              <w:right w:val="single" w:color="000000" w:sz="4" w:space="0"/>
            </w:tcBorders>
            <w:shd w:val="clear" w:color="auto" w:fill="auto"/>
            <w:vAlign w:val="center"/>
          </w:tcPr>
          <w:p w14:paraId="2E86AA42">
            <w:pPr>
              <w:textAlignment w:val="center"/>
              <w:rPr>
                <w:color w:val="000000"/>
                <w:sz w:val="18"/>
                <w:szCs w:val="18"/>
                <w:lang w:val="en-US"/>
              </w:rPr>
            </w:pPr>
            <w:r>
              <w:rPr>
                <w:color w:val="000000"/>
                <w:sz w:val="18"/>
                <w:szCs w:val="18"/>
                <w:lang w:val="en-US"/>
              </w:rPr>
              <w:t>1.</w:t>
            </w:r>
            <w:r>
              <w:rPr>
                <w:color w:val="000000"/>
                <w:sz w:val="18"/>
                <w:szCs w:val="18"/>
              </w:rPr>
              <w:t>完成重大节会服务、汇报工作；</w:t>
            </w:r>
            <w:r>
              <w:rPr>
                <w:color w:val="000000"/>
                <w:sz w:val="18"/>
                <w:szCs w:val="18"/>
                <w:lang w:val="en-US"/>
              </w:rPr>
              <w:br w:type="textWrapping"/>
            </w:r>
            <w:r>
              <w:rPr>
                <w:color w:val="000000"/>
                <w:sz w:val="18"/>
                <w:szCs w:val="18"/>
                <w:lang w:val="en-US"/>
              </w:rPr>
              <w:t>2.</w:t>
            </w:r>
            <w:r>
              <w:rPr>
                <w:color w:val="000000"/>
                <w:sz w:val="18"/>
                <w:szCs w:val="18"/>
              </w:rPr>
              <w:t>完成对外交流工作；</w:t>
            </w:r>
            <w:r>
              <w:rPr>
                <w:color w:val="000000"/>
                <w:sz w:val="18"/>
                <w:szCs w:val="18"/>
                <w:lang w:val="en-US"/>
              </w:rPr>
              <w:br w:type="textWrapping"/>
            </w:r>
            <w:r>
              <w:rPr>
                <w:color w:val="000000"/>
                <w:sz w:val="18"/>
                <w:szCs w:val="18"/>
                <w:lang w:val="en-US"/>
              </w:rPr>
              <w:t>3.</w:t>
            </w:r>
            <w:r>
              <w:rPr>
                <w:color w:val="000000"/>
                <w:sz w:val="18"/>
                <w:szCs w:val="18"/>
              </w:rPr>
              <w:t>已加强与文化艺术、科学技术、社会科学、经济、工商、农业、教育、医药卫生等界别的联系；</w:t>
            </w:r>
            <w:r>
              <w:rPr>
                <w:color w:val="000000"/>
                <w:sz w:val="18"/>
                <w:szCs w:val="18"/>
                <w:lang w:val="en-US"/>
              </w:rPr>
              <w:br w:type="textWrapping"/>
            </w:r>
            <w:r>
              <w:rPr>
                <w:color w:val="000000"/>
                <w:sz w:val="18"/>
                <w:szCs w:val="18"/>
                <w:lang w:val="en-US"/>
              </w:rPr>
              <w:t>4.</w:t>
            </w:r>
            <w:r>
              <w:rPr>
                <w:color w:val="000000"/>
                <w:sz w:val="18"/>
                <w:szCs w:val="18"/>
              </w:rPr>
              <w:t>完成商会指导服务工作；</w:t>
            </w:r>
            <w:r>
              <w:rPr>
                <w:color w:val="000000"/>
                <w:sz w:val="18"/>
                <w:szCs w:val="18"/>
                <w:lang w:val="en-US"/>
              </w:rPr>
              <w:br w:type="textWrapping"/>
            </w:r>
            <w:r>
              <w:rPr>
                <w:color w:val="000000"/>
                <w:sz w:val="18"/>
                <w:szCs w:val="18"/>
                <w:lang w:val="en-US"/>
              </w:rPr>
              <w:t>5.</w:t>
            </w:r>
            <w:r>
              <w:rPr>
                <w:color w:val="000000"/>
                <w:sz w:val="18"/>
                <w:szCs w:val="18"/>
              </w:rPr>
              <w:t>完成政务接待工作。</w:t>
            </w:r>
          </w:p>
        </w:tc>
      </w:tr>
      <w:tr w14:paraId="4CB9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2BCD6D01">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799C655A">
            <w:pPr>
              <w:textAlignment w:val="center"/>
              <w:rPr>
                <w:color w:val="000000"/>
                <w:sz w:val="18"/>
                <w:szCs w:val="18"/>
                <w:lang w:val="en-US"/>
              </w:rPr>
            </w:pPr>
            <w:r>
              <w:rPr>
                <w:color w:val="000000"/>
                <w:sz w:val="18"/>
                <w:szCs w:val="18"/>
                <w:lang w:val="en-US"/>
              </w:rPr>
              <w:t>2.</w:t>
            </w:r>
            <w:r>
              <w:rPr>
                <w:color w:val="000000"/>
                <w:sz w:val="18"/>
                <w:szCs w:val="18"/>
              </w:rPr>
              <w:t>项目实施内容及过程概述</w:t>
            </w:r>
          </w:p>
        </w:tc>
        <w:tc>
          <w:tcPr>
            <w:tcW w:w="8100" w:type="dxa"/>
            <w:gridSpan w:val="9"/>
            <w:tcBorders>
              <w:top w:val="single" w:color="000000" w:sz="4" w:space="0"/>
              <w:left w:val="nil"/>
              <w:bottom w:val="single" w:color="000000" w:sz="4" w:space="0"/>
              <w:right w:val="single" w:color="000000" w:sz="4" w:space="0"/>
            </w:tcBorders>
            <w:shd w:val="clear" w:color="auto" w:fill="auto"/>
            <w:vAlign w:val="center"/>
          </w:tcPr>
          <w:p w14:paraId="500CCCFD">
            <w:pPr>
              <w:textAlignment w:val="center"/>
              <w:rPr>
                <w:color w:val="000000"/>
                <w:sz w:val="18"/>
                <w:szCs w:val="18"/>
                <w:lang w:val="en-US"/>
              </w:rPr>
            </w:pPr>
            <w:r>
              <w:rPr>
                <w:color w:val="000000"/>
                <w:sz w:val="18"/>
                <w:szCs w:val="18"/>
              </w:rPr>
              <w:t>政务联络项目主要内容为做好州级领导、州、县（市）各部门在京在蓉开展各项公务、政务、商务活动的会务报到、材料传递、机票代购、车辆保障等服务配合工作，保障联络工作顺利开展。协助处理涉及我州群众的应急突发事件，为在京阿坝州籍群众服好务，使得服务人群满意度达到</w:t>
            </w:r>
            <w:r>
              <w:rPr>
                <w:color w:val="000000"/>
                <w:sz w:val="18"/>
                <w:szCs w:val="18"/>
                <w:lang w:val="en-US"/>
              </w:rPr>
              <w:t>100%</w:t>
            </w:r>
            <w:r>
              <w:rPr>
                <w:color w:val="000000"/>
                <w:sz w:val="18"/>
                <w:szCs w:val="18"/>
              </w:rPr>
              <w:t>。</w:t>
            </w:r>
          </w:p>
        </w:tc>
      </w:tr>
      <w:tr w14:paraId="60918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55" w:type="dxa"/>
            <w:vMerge w:val="restart"/>
            <w:tcBorders>
              <w:top w:val="nil"/>
              <w:left w:val="single" w:color="000000" w:sz="4" w:space="0"/>
              <w:bottom w:val="single" w:color="000000" w:sz="4" w:space="0"/>
              <w:right w:val="single" w:color="000000" w:sz="4" w:space="0"/>
            </w:tcBorders>
            <w:shd w:val="clear" w:color="auto" w:fill="auto"/>
            <w:vAlign w:val="center"/>
          </w:tcPr>
          <w:p w14:paraId="67002083">
            <w:pPr>
              <w:jc w:val="center"/>
              <w:textAlignment w:val="center"/>
              <w:rPr>
                <w:color w:val="000000"/>
                <w:sz w:val="18"/>
                <w:szCs w:val="18"/>
                <w:lang w:val="en-US"/>
              </w:rPr>
            </w:pPr>
            <w:r>
              <w:rPr>
                <w:color w:val="000000"/>
                <w:sz w:val="18"/>
                <w:szCs w:val="18"/>
              </w:rPr>
              <w:t>预算执行情况（</w:t>
            </w:r>
            <w:r>
              <w:rPr>
                <w:color w:val="000000"/>
                <w:sz w:val="18"/>
                <w:szCs w:val="18"/>
                <w:lang w:val="en-US"/>
              </w:rPr>
              <w:t>10</w:t>
            </w:r>
            <w:r>
              <w:rPr>
                <w:color w:val="000000"/>
                <w:sz w:val="18"/>
                <w:szCs w:val="18"/>
              </w:rPr>
              <w:t>分）</w:t>
            </w:r>
          </w:p>
        </w:tc>
        <w:tc>
          <w:tcPr>
            <w:tcW w:w="840" w:type="dxa"/>
            <w:tcBorders>
              <w:top w:val="single" w:color="000000" w:sz="4" w:space="0"/>
              <w:left w:val="nil"/>
              <w:bottom w:val="single" w:color="000000" w:sz="4" w:space="0"/>
              <w:right w:val="single" w:color="000000" w:sz="4" w:space="0"/>
            </w:tcBorders>
            <w:shd w:val="clear" w:color="auto" w:fill="auto"/>
            <w:vAlign w:val="center"/>
          </w:tcPr>
          <w:p w14:paraId="3B9252A4">
            <w:pPr>
              <w:jc w:val="center"/>
              <w:textAlignment w:val="center"/>
              <w:rPr>
                <w:color w:val="000000"/>
                <w:sz w:val="18"/>
                <w:szCs w:val="18"/>
                <w:lang w:val="en-US"/>
              </w:rPr>
            </w:pPr>
            <w:r>
              <w:rPr>
                <w:color w:val="000000"/>
                <w:sz w:val="18"/>
                <w:szCs w:val="18"/>
              </w:rPr>
              <w:t>年度预算数（万元）</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DA5B56B">
            <w:pPr>
              <w:jc w:val="center"/>
              <w:textAlignment w:val="center"/>
              <w:rPr>
                <w:color w:val="000000"/>
                <w:sz w:val="18"/>
                <w:szCs w:val="18"/>
                <w:lang w:val="en-US"/>
              </w:rPr>
            </w:pPr>
            <w:r>
              <w:rPr>
                <w:color w:val="000000"/>
                <w:sz w:val="18"/>
                <w:szCs w:val="18"/>
              </w:rPr>
              <w:t>年初预算</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0E697005">
            <w:pPr>
              <w:jc w:val="center"/>
              <w:textAlignment w:val="center"/>
              <w:rPr>
                <w:color w:val="000000"/>
                <w:sz w:val="18"/>
                <w:szCs w:val="18"/>
                <w:lang w:val="en-US"/>
              </w:rPr>
            </w:pPr>
            <w:r>
              <w:rPr>
                <w:color w:val="000000"/>
                <w:sz w:val="18"/>
                <w:szCs w:val="18"/>
              </w:rPr>
              <w:t>调整后预算数</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14:paraId="1D2C1EBA">
            <w:pPr>
              <w:jc w:val="center"/>
              <w:textAlignment w:val="center"/>
              <w:rPr>
                <w:color w:val="000000"/>
                <w:sz w:val="18"/>
                <w:szCs w:val="18"/>
                <w:lang w:val="en-US"/>
              </w:rPr>
            </w:pPr>
            <w:r>
              <w:rPr>
                <w:color w:val="000000"/>
                <w:sz w:val="18"/>
                <w:szCs w:val="18"/>
              </w:rPr>
              <w:t>预算执行数</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B510DAF">
            <w:pPr>
              <w:jc w:val="center"/>
              <w:textAlignment w:val="center"/>
              <w:rPr>
                <w:color w:val="000000"/>
                <w:sz w:val="18"/>
                <w:szCs w:val="18"/>
                <w:lang w:val="en-US"/>
              </w:rPr>
            </w:pPr>
            <w:r>
              <w:rPr>
                <w:color w:val="000000"/>
                <w:sz w:val="18"/>
                <w:szCs w:val="18"/>
              </w:rPr>
              <w:t>预算执行率</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06AA8D4">
            <w:pPr>
              <w:jc w:val="center"/>
              <w:textAlignment w:val="center"/>
              <w:rPr>
                <w:color w:val="000000"/>
                <w:sz w:val="18"/>
                <w:szCs w:val="18"/>
                <w:lang w:val="en-US"/>
              </w:rPr>
            </w:pPr>
            <w:r>
              <w:rPr>
                <w:color w:val="000000"/>
                <w:sz w:val="18"/>
                <w:szCs w:val="18"/>
              </w:rPr>
              <w:t>权重</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4376D978">
            <w:pPr>
              <w:jc w:val="center"/>
              <w:textAlignment w:val="center"/>
              <w:rPr>
                <w:color w:val="000000"/>
                <w:sz w:val="18"/>
                <w:szCs w:val="18"/>
                <w:lang w:val="en-US"/>
              </w:rPr>
            </w:pPr>
            <w:r>
              <w:rPr>
                <w:color w:val="000000"/>
                <w:sz w:val="18"/>
                <w:szCs w:val="18"/>
              </w:rPr>
              <w:t>得分</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5D5B6F5E">
            <w:pPr>
              <w:jc w:val="center"/>
              <w:textAlignment w:val="center"/>
              <w:rPr>
                <w:color w:val="000000"/>
                <w:sz w:val="18"/>
                <w:szCs w:val="18"/>
                <w:lang w:val="en-US"/>
              </w:rPr>
            </w:pPr>
            <w:r>
              <w:rPr>
                <w:color w:val="000000"/>
                <w:sz w:val="18"/>
                <w:szCs w:val="18"/>
              </w:rPr>
              <w:t>原因</w:t>
            </w:r>
          </w:p>
        </w:tc>
      </w:tr>
      <w:tr w14:paraId="409F2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77EF6B4A">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1F26DE02">
            <w:pPr>
              <w:jc w:val="center"/>
              <w:textAlignment w:val="center"/>
              <w:rPr>
                <w:color w:val="000000"/>
                <w:sz w:val="18"/>
                <w:szCs w:val="18"/>
                <w:lang w:val="en-US"/>
              </w:rPr>
            </w:pPr>
            <w:r>
              <w:rPr>
                <w:color w:val="000000"/>
                <w:sz w:val="18"/>
                <w:szCs w:val="18"/>
              </w:rPr>
              <w:t>总额</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FDEDB53">
            <w:pPr>
              <w:jc w:val="center"/>
              <w:textAlignment w:val="center"/>
              <w:rPr>
                <w:color w:val="000000"/>
                <w:sz w:val="18"/>
                <w:szCs w:val="18"/>
                <w:lang w:val="en-US"/>
              </w:rPr>
            </w:pPr>
            <w:r>
              <w:rPr>
                <w:color w:val="000000"/>
                <w:sz w:val="18"/>
                <w:szCs w:val="18"/>
                <w:lang w:val="en-US"/>
              </w:rPr>
              <w:t>58.00</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4827F4BF">
            <w:pPr>
              <w:jc w:val="center"/>
              <w:textAlignment w:val="center"/>
              <w:rPr>
                <w:color w:val="000000"/>
                <w:sz w:val="18"/>
                <w:szCs w:val="18"/>
                <w:lang w:val="en-US"/>
              </w:rPr>
            </w:pPr>
            <w:r>
              <w:rPr>
                <w:color w:val="000000"/>
                <w:sz w:val="18"/>
                <w:szCs w:val="18"/>
                <w:lang w:val="en-US"/>
              </w:rPr>
              <w:t>44.33</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14:paraId="1A4EEC9C">
            <w:pPr>
              <w:jc w:val="center"/>
              <w:textAlignment w:val="center"/>
              <w:rPr>
                <w:color w:val="000000"/>
                <w:sz w:val="18"/>
                <w:szCs w:val="18"/>
                <w:lang w:val="en-US"/>
              </w:rPr>
            </w:pPr>
            <w:r>
              <w:rPr>
                <w:color w:val="000000"/>
                <w:sz w:val="18"/>
                <w:szCs w:val="18"/>
                <w:lang w:val="en-US"/>
              </w:rPr>
              <w:t>44.33</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09E4207">
            <w:pPr>
              <w:jc w:val="center"/>
              <w:textAlignment w:val="center"/>
              <w:rPr>
                <w:color w:val="000000"/>
                <w:sz w:val="18"/>
                <w:szCs w:val="18"/>
                <w:lang w:val="en-US"/>
              </w:rPr>
            </w:pPr>
            <w:r>
              <w:rPr>
                <w:color w:val="000000"/>
                <w:sz w:val="18"/>
                <w:szCs w:val="18"/>
                <w:lang w:val="en-US"/>
              </w:rPr>
              <w:t>100.00%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5E2A5AB">
            <w:pPr>
              <w:jc w:val="center"/>
              <w:textAlignment w:val="center"/>
              <w:rPr>
                <w:color w:val="000000"/>
                <w:sz w:val="18"/>
                <w:szCs w:val="18"/>
                <w:lang w:val="en-US"/>
              </w:rPr>
            </w:pPr>
            <w:r>
              <w:rPr>
                <w:color w:val="000000"/>
                <w:sz w:val="18"/>
                <w:szCs w:val="18"/>
                <w:lang w:val="en-US"/>
              </w:rPr>
              <w:t>10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F1BC249">
            <w:pPr>
              <w:jc w:val="center"/>
              <w:textAlignment w:val="center"/>
              <w:rPr>
                <w:color w:val="000000"/>
                <w:sz w:val="18"/>
                <w:szCs w:val="18"/>
                <w:lang w:val="en-US"/>
              </w:rPr>
            </w:pPr>
            <w:r>
              <w:rPr>
                <w:color w:val="000000"/>
                <w:sz w:val="18"/>
                <w:szCs w:val="18"/>
                <w:lang w:val="en-US"/>
              </w:rPr>
              <w:t>10</w:t>
            </w:r>
          </w:p>
        </w:tc>
        <w:tc>
          <w:tcPr>
            <w:tcW w:w="645" w:type="dxa"/>
            <w:vMerge w:val="restart"/>
            <w:tcBorders>
              <w:top w:val="nil"/>
              <w:left w:val="nil"/>
              <w:bottom w:val="single" w:color="000000" w:sz="4" w:space="0"/>
              <w:right w:val="single" w:color="000000" w:sz="4" w:space="0"/>
            </w:tcBorders>
            <w:shd w:val="clear" w:color="auto" w:fill="auto"/>
            <w:vAlign w:val="center"/>
          </w:tcPr>
          <w:p w14:paraId="7C7B82BF">
            <w:pPr>
              <w:rPr>
                <w:i/>
                <w:iCs/>
                <w:color w:val="000000"/>
                <w:sz w:val="18"/>
                <w:szCs w:val="18"/>
                <w:lang w:val="en-US"/>
              </w:rPr>
            </w:pPr>
          </w:p>
        </w:tc>
      </w:tr>
      <w:tr w14:paraId="3F42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268A4A99">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56E414C4">
            <w:pPr>
              <w:jc w:val="center"/>
              <w:textAlignment w:val="center"/>
              <w:rPr>
                <w:color w:val="000000"/>
                <w:sz w:val="18"/>
                <w:szCs w:val="18"/>
                <w:lang w:val="en-US"/>
              </w:rPr>
            </w:pPr>
            <w:r>
              <w:rPr>
                <w:color w:val="000000"/>
                <w:sz w:val="18"/>
                <w:szCs w:val="18"/>
              </w:rPr>
              <w:t>其中：财政资金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5B08051">
            <w:pPr>
              <w:jc w:val="center"/>
              <w:textAlignment w:val="center"/>
              <w:rPr>
                <w:color w:val="000000"/>
                <w:sz w:val="18"/>
                <w:szCs w:val="18"/>
                <w:lang w:val="en-US"/>
              </w:rPr>
            </w:pPr>
            <w:r>
              <w:rPr>
                <w:color w:val="000000"/>
                <w:sz w:val="18"/>
                <w:szCs w:val="18"/>
                <w:lang w:val="en-US"/>
              </w:rPr>
              <w:t>58.00</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7404DE91">
            <w:pPr>
              <w:jc w:val="center"/>
              <w:textAlignment w:val="center"/>
              <w:rPr>
                <w:color w:val="000000"/>
                <w:sz w:val="18"/>
                <w:szCs w:val="18"/>
                <w:lang w:val="en-US"/>
              </w:rPr>
            </w:pPr>
            <w:r>
              <w:rPr>
                <w:color w:val="000000"/>
                <w:sz w:val="18"/>
                <w:szCs w:val="18"/>
                <w:lang w:val="en-US"/>
              </w:rPr>
              <w:t>44.33</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14:paraId="65412243">
            <w:pPr>
              <w:jc w:val="center"/>
              <w:textAlignment w:val="center"/>
              <w:rPr>
                <w:color w:val="000000"/>
                <w:sz w:val="18"/>
                <w:szCs w:val="18"/>
                <w:lang w:val="en-US"/>
              </w:rPr>
            </w:pPr>
            <w:r>
              <w:rPr>
                <w:color w:val="000000"/>
                <w:sz w:val="18"/>
                <w:szCs w:val="18"/>
                <w:lang w:val="en-US"/>
              </w:rPr>
              <w:t>44.33</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A9AB609">
            <w:pPr>
              <w:jc w:val="center"/>
              <w:textAlignment w:val="center"/>
              <w:rPr>
                <w:color w:val="000000"/>
                <w:sz w:val="18"/>
                <w:szCs w:val="18"/>
                <w:lang w:val="en-US"/>
              </w:rPr>
            </w:pPr>
            <w:r>
              <w:rPr>
                <w:color w:val="000000"/>
                <w:sz w:val="18"/>
                <w:szCs w:val="18"/>
                <w:lang w:val="en-US"/>
              </w:rPr>
              <w:t>100.00%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4BDFAF87">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B9B5F5C">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14:paraId="40E3014D">
            <w:pPr>
              <w:rPr>
                <w:rFonts w:hint="default" w:ascii="Times New Roman" w:hAnsi="Times New Roman" w:cs="Times New Roman"/>
                <w:sz w:val="20"/>
                <w:szCs w:val="20"/>
              </w:rPr>
            </w:pPr>
          </w:p>
        </w:tc>
      </w:tr>
      <w:tr w14:paraId="3CA78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5A40CA10">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48912D42">
            <w:pPr>
              <w:jc w:val="center"/>
              <w:textAlignment w:val="center"/>
              <w:rPr>
                <w:color w:val="000000"/>
                <w:sz w:val="18"/>
                <w:szCs w:val="18"/>
                <w:lang w:val="en-US"/>
              </w:rPr>
            </w:pPr>
            <w:r>
              <w:rPr>
                <w:color w:val="000000"/>
                <w:sz w:val="18"/>
                <w:szCs w:val="18"/>
              </w:rPr>
              <w:t>财政专户管理资金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9A66EE9">
            <w:pPr>
              <w:jc w:val="center"/>
              <w:textAlignment w:val="center"/>
              <w:rPr>
                <w:color w:val="000000"/>
                <w:sz w:val="18"/>
                <w:szCs w:val="18"/>
                <w:lang w:val="en-US"/>
              </w:rPr>
            </w:pPr>
            <w:r>
              <w:rPr>
                <w:color w:val="000000"/>
                <w:sz w:val="18"/>
                <w:szCs w:val="18"/>
                <w:lang w:val="en-US"/>
              </w:rPr>
              <w:t>0.00</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03E46674">
            <w:pPr>
              <w:jc w:val="center"/>
              <w:textAlignment w:val="center"/>
              <w:rPr>
                <w:color w:val="000000"/>
                <w:sz w:val="18"/>
                <w:szCs w:val="18"/>
                <w:lang w:val="en-US"/>
              </w:rPr>
            </w:pPr>
            <w:r>
              <w:rPr>
                <w:color w:val="000000"/>
                <w:sz w:val="18"/>
                <w:szCs w:val="18"/>
                <w:lang w:val="en-US"/>
              </w:rPr>
              <w:t>0.00</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14:paraId="5734F1B1">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83C6AFF">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6DEB9500">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F1E29D6">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14:paraId="4F98F9EE">
            <w:pPr>
              <w:rPr>
                <w:rFonts w:hint="default" w:ascii="Times New Roman" w:hAnsi="Times New Roman" w:cs="Times New Roman"/>
                <w:sz w:val="20"/>
                <w:szCs w:val="20"/>
              </w:rPr>
            </w:pPr>
          </w:p>
        </w:tc>
      </w:tr>
      <w:tr w14:paraId="17426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6BC67FA1">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71E6837A">
            <w:pPr>
              <w:jc w:val="center"/>
              <w:textAlignment w:val="center"/>
              <w:rPr>
                <w:color w:val="000000"/>
                <w:sz w:val="18"/>
                <w:szCs w:val="18"/>
                <w:lang w:val="en-US"/>
              </w:rPr>
            </w:pPr>
            <w:r>
              <w:rPr>
                <w:color w:val="000000"/>
                <w:sz w:val="18"/>
                <w:szCs w:val="18"/>
              </w:rPr>
              <w:t>单位资金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64C39E8">
            <w:pPr>
              <w:jc w:val="center"/>
              <w:textAlignment w:val="center"/>
              <w:rPr>
                <w:color w:val="000000"/>
                <w:sz w:val="18"/>
                <w:szCs w:val="18"/>
                <w:lang w:val="en-US"/>
              </w:rPr>
            </w:pPr>
            <w:r>
              <w:rPr>
                <w:color w:val="000000"/>
                <w:sz w:val="18"/>
                <w:szCs w:val="18"/>
                <w:lang w:val="en-US"/>
              </w:rPr>
              <w:t>0.00</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34FB5031">
            <w:pPr>
              <w:jc w:val="center"/>
              <w:textAlignment w:val="center"/>
              <w:rPr>
                <w:color w:val="000000"/>
                <w:sz w:val="18"/>
                <w:szCs w:val="18"/>
                <w:lang w:val="en-US"/>
              </w:rPr>
            </w:pPr>
            <w:r>
              <w:rPr>
                <w:color w:val="000000"/>
                <w:sz w:val="18"/>
                <w:szCs w:val="18"/>
                <w:lang w:val="en-US"/>
              </w:rPr>
              <w:t>0.00</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14:paraId="74DAC0C8">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7448118">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338CD0BE">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BBE88B3">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14:paraId="01D58DBB">
            <w:pPr>
              <w:rPr>
                <w:rFonts w:hint="default" w:ascii="Times New Roman" w:hAnsi="Times New Roman" w:cs="Times New Roman"/>
                <w:sz w:val="20"/>
                <w:szCs w:val="20"/>
              </w:rPr>
            </w:pPr>
          </w:p>
        </w:tc>
      </w:tr>
      <w:tr w14:paraId="7C24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14:paraId="52ED215F">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30BF20B9">
            <w:pPr>
              <w:jc w:val="center"/>
              <w:textAlignment w:val="center"/>
              <w:rPr>
                <w:color w:val="000000"/>
                <w:sz w:val="18"/>
                <w:szCs w:val="18"/>
                <w:lang w:val="en-US"/>
              </w:rPr>
            </w:pPr>
            <w:r>
              <w:rPr>
                <w:color w:val="000000"/>
                <w:sz w:val="18"/>
                <w:szCs w:val="18"/>
              </w:rPr>
              <w:t>其他资金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4AF9C7E">
            <w:pPr>
              <w:jc w:val="center"/>
              <w:rPr>
                <w:i/>
                <w:iCs/>
                <w:color w:val="000000"/>
                <w:sz w:val="16"/>
                <w:szCs w:val="16"/>
                <w:lang w:val="en-US"/>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4D69C975">
            <w:pPr>
              <w:jc w:val="center"/>
              <w:rPr>
                <w:i/>
                <w:iCs/>
                <w:color w:val="000000"/>
                <w:sz w:val="16"/>
                <w:szCs w:val="16"/>
                <w:lang w:val="en-US"/>
              </w:rPr>
            </w:pP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14:paraId="5564C015">
            <w:pPr>
              <w:jc w:val="center"/>
              <w:rPr>
                <w:i/>
                <w:iCs/>
                <w:color w:val="000000"/>
                <w:sz w:val="16"/>
                <w:szCs w:val="16"/>
                <w:lang w:val="en-US"/>
              </w:rPr>
            </w:pP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3C79A20">
            <w:pPr>
              <w:jc w:val="center"/>
              <w:rPr>
                <w:i/>
                <w:iCs/>
                <w:color w:val="000000"/>
                <w:sz w:val="16"/>
                <w:szCs w:val="16"/>
                <w:lang w:val="en-US"/>
              </w:rPr>
            </w:pPr>
          </w:p>
        </w:tc>
        <w:tc>
          <w:tcPr>
            <w:tcW w:w="705" w:type="dxa"/>
            <w:tcBorders>
              <w:top w:val="single" w:color="000000" w:sz="4" w:space="0"/>
              <w:left w:val="nil"/>
              <w:bottom w:val="single" w:color="000000" w:sz="4" w:space="0"/>
              <w:right w:val="single" w:color="000000" w:sz="4" w:space="0"/>
            </w:tcBorders>
            <w:shd w:val="clear" w:color="auto" w:fill="auto"/>
            <w:vAlign w:val="center"/>
          </w:tcPr>
          <w:p w14:paraId="4AAAA6F0">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E03DBFC">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14:paraId="6344F5AE">
            <w:pPr>
              <w:rPr>
                <w:rFonts w:hint="default" w:ascii="Times New Roman" w:hAnsi="Times New Roman" w:cs="Times New Roman"/>
                <w:sz w:val="20"/>
                <w:szCs w:val="20"/>
              </w:rPr>
            </w:pPr>
          </w:p>
        </w:tc>
      </w:tr>
      <w:tr w14:paraId="0390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55" w:type="dxa"/>
            <w:vMerge w:val="restart"/>
            <w:tcBorders>
              <w:top w:val="nil"/>
              <w:left w:val="single" w:color="000000" w:sz="4" w:space="0"/>
              <w:bottom w:val="nil"/>
              <w:right w:val="single" w:color="000000" w:sz="4" w:space="0"/>
            </w:tcBorders>
            <w:shd w:val="clear" w:color="auto" w:fill="auto"/>
            <w:vAlign w:val="center"/>
          </w:tcPr>
          <w:p w14:paraId="6ADC5406">
            <w:pPr>
              <w:jc w:val="center"/>
              <w:textAlignment w:val="center"/>
              <w:rPr>
                <w:color w:val="000000"/>
                <w:sz w:val="18"/>
                <w:szCs w:val="18"/>
                <w:lang w:val="en-US"/>
              </w:rPr>
            </w:pPr>
            <w:r>
              <w:rPr>
                <w:color w:val="000000"/>
                <w:sz w:val="18"/>
                <w:szCs w:val="18"/>
              </w:rPr>
              <w:t>绩效指标（</w:t>
            </w:r>
            <w:r>
              <w:rPr>
                <w:color w:val="000000"/>
                <w:sz w:val="18"/>
                <w:szCs w:val="18"/>
                <w:lang w:val="en-US"/>
              </w:rPr>
              <w:t>90</w:t>
            </w:r>
            <w:r>
              <w:rPr>
                <w:color w:val="000000"/>
                <w:sz w:val="18"/>
                <w:szCs w:val="18"/>
              </w:rPr>
              <w:t>分）</w:t>
            </w:r>
          </w:p>
        </w:tc>
        <w:tc>
          <w:tcPr>
            <w:tcW w:w="840" w:type="dxa"/>
            <w:tcBorders>
              <w:top w:val="single" w:color="000000" w:sz="4" w:space="0"/>
              <w:left w:val="nil"/>
              <w:bottom w:val="single" w:color="000000" w:sz="4" w:space="0"/>
              <w:right w:val="single" w:color="000000" w:sz="4" w:space="0"/>
            </w:tcBorders>
            <w:shd w:val="clear" w:color="auto" w:fill="auto"/>
            <w:vAlign w:val="center"/>
          </w:tcPr>
          <w:p w14:paraId="0501A8A4">
            <w:pPr>
              <w:jc w:val="center"/>
              <w:textAlignment w:val="center"/>
              <w:rPr>
                <w:color w:val="000000"/>
                <w:sz w:val="18"/>
                <w:szCs w:val="18"/>
                <w:lang w:val="en-US"/>
              </w:rPr>
            </w:pPr>
            <w:r>
              <w:rPr>
                <w:color w:val="000000"/>
                <w:sz w:val="18"/>
                <w:szCs w:val="18"/>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68989DA">
            <w:pPr>
              <w:jc w:val="center"/>
              <w:textAlignment w:val="center"/>
              <w:rPr>
                <w:color w:val="000000"/>
                <w:sz w:val="18"/>
                <w:szCs w:val="18"/>
                <w:lang w:val="en-US"/>
              </w:rPr>
            </w:pPr>
            <w:r>
              <w:rPr>
                <w:color w:val="000000"/>
                <w:sz w:val="18"/>
                <w:szCs w:val="18"/>
              </w:rPr>
              <w:t>二级指标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31538130">
            <w:pPr>
              <w:jc w:val="center"/>
              <w:textAlignment w:val="center"/>
              <w:rPr>
                <w:color w:val="000000"/>
                <w:sz w:val="18"/>
                <w:szCs w:val="18"/>
                <w:lang w:val="en-US"/>
              </w:rPr>
            </w:pPr>
            <w:r>
              <w:rPr>
                <w:color w:val="000000"/>
                <w:sz w:val="18"/>
                <w:szCs w:val="18"/>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7C7F8A4">
            <w:pPr>
              <w:jc w:val="center"/>
              <w:textAlignment w:val="center"/>
              <w:rPr>
                <w:color w:val="000000"/>
                <w:sz w:val="18"/>
                <w:szCs w:val="18"/>
                <w:lang w:val="en-US"/>
              </w:rPr>
            </w:pPr>
            <w:r>
              <w:rPr>
                <w:color w:val="000000"/>
                <w:sz w:val="18"/>
                <w:szCs w:val="18"/>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9C07DB5">
            <w:pPr>
              <w:jc w:val="center"/>
              <w:textAlignment w:val="center"/>
              <w:rPr>
                <w:color w:val="000000"/>
                <w:sz w:val="18"/>
                <w:szCs w:val="18"/>
                <w:lang w:val="en-US"/>
              </w:rPr>
            </w:pPr>
            <w:r>
              <w:rPr>
                <w:color w:val="000000"/>
                <w:sz w:val="18"/>
                <w:szCs w:val="18"/>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8D68F82">
            <w:pPr>
              <w:jc w:val="center"/>
              <w:textAlignment w:val="center"/>
              <w:rPr>
                <w:color w:val="000000"/>
                <w:sz w:val="18"/>
                <w:szCs w:val="18"/>
                <w:lang w:val="en-US"/>
              </w:rPr>
            </w:pPr>
            <w:r>
              <w:rPr>
                <w:color w:val="000000"/>
                <w:sz w:val="18"/>
                <w:szCs w:val="18"/>
              </w:rPr>
              <w:t>度量单位</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619E4BCD">
            <w:pPr>
              <w:jc w:val="center"/>
              <w:textAlignment w:val="center"/>
              <w:rPr>
                <w:color w:val="000000"/>
                <w:sz w:val="18"/>
                <w:szCs w:val="18"/>
                <w:lang w:val="en-US"/>
              </w:rPr>
            </w:pPr>
            <w:r>
              <w:rPr>
                <w:color w:val="000000"/>
                <w:sz w:val="18"/>
                <w:szCs w:val="18"/>
              </w:rPr>
              <w:t>完成值</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4B63425B">
            <w:pPr>
              <w:jc w:val="center"/>
              <w:textAlignment w:val="center"/>
              <w:rPr>
                <w:color w:val="000000"/>
                <w:sz w:val="18"/>
                <w:szCs w:val="18"/>
                <w:lang w:val="en-US"/>
              </w:rPr>
            </w:pPr>
            <w:r>
              <w:rPr>
                <w:color w:val="000000"/>
                <w:sz w:val="18"/>
                <w:szCs w:val="18"/>
              </w:rPr>
              <w:t>权重</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2782136">
            <w:pPr>
              <w:jc w:val="center"/>
              <w:textAlignment w:val="center"/>
              <w:rPr>
                <w:color w:val="000000"/>
                <w:sz w:val="18"/>
                <w:szCs w:val="18"/>
                <w:lang w:val="en-US"/>
              </w:rPr>
            </w:pPr>
            <w:r>
              <w:rPr>
                <w:color w:val="000000"/>
                <w:sz w:val="18"/>
                <w:szCs w:val="18"/>
              </w:rPr>
              <w:t>得分</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4AF11CC9">
            <w:pPr>
              <w:jc w:val="center"/>
              <w:textAlignment w:val="center"/>
              <w:rPr>
                <w:color w:val="000000"/>
                <w:sz w:val="18"/>
                <w:szCs w:val="18"/>
                <w:lang w:val="en-US"/>
              </w:rPr>
            </w:pPr>
            <w:r>
              <w:rPr>
                <w:color w:val="000000"/>
                <w:sz w:val="18"/>
                <w:szCs w:val="18"/>
              </w:rPr>
              <w:t>未完成原因分析</w:t>
            </w:r>
          </w:p>
        </w:tc>
      </w:tr>
      <w:tr w14:paraId="28C3A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4F079E51">
            <w:pPr>
              <w:rPr>
                <w:rFonts w:hint="default" w:ascii="Times New Roman" w:hAnsi="Times New Roman" w:cs="Times New Roman"/>
                <w:sz w:val="20"/>
                <w:szCs w:val="20"/>
              </w:rPr>
            </w:pPr>
          </w:p>
        </w:tc>
        <w:tc>
          <w:tcPr>
            <w:tcW w:w="840" w:type="dxa"/>
            <w:vMerge w:val="restart"/>
            <w:tcBorders>
              <w:top w:val="nil"/>
              <w:left w:val="nil"/>
              <w:bottom w:val="single" w:color="000000" w:sz="4" w:space="0"/>
              <w:right w:val="single" w:color="000000" w:sz="4" w:space="0"/>
            </w:tcBorders>
            <w:shd w:val="clear" w:color="auto" w:fill="auto"/>
            <w:vAlign w:val="center"/>
          </w:tcPr>
          <w:p w14:paraId="19375FD5">
            <w:pPr>
              <w:jc w:val="center"/>
              <w:textAlignment w:val="center"/>
              <w:rPr>
                <w:color w:val="000000"/>
                <w:sz w:val="18"/>
                <w:szCs w:val="18"/>
                <w:lang w:val="en-US"/>
              </w:rPr>
            </w:pPr>
            <w:r>
              <w:rPr>
                <w:color w:val="000000"/>
                <w:sz w:val="18"/>
                <w:szCs w:val="18"/>
              </w:rPr>
              <w:t>产出指标</w:t>
            </w:r>
          </w:p>
        </w:tc>
        <w:tc>
          <w:tcPr>
            <w:tcW w:w="1080" w:type="dxa"/>
            <w:vMerge w:val="restart"/>
            <w:tcBorders>
              <w:top w:val="nil"/>
              <w:left w:val="nil"/>
              <w:bottom w:val="single" w:color="000000" w:sz="4" w:space="0"/>
              <w:right w:val="single" w:color="000000" w:sz="4" w:space="0"/>
            </w:tcBorders>
            <w:shd w:val="clear" w:color="auto" w:fill="auto"/>
            <w:vAlign w:val="center"/>
          </w:tcPr>
          <w:p w14:paraId="078D8554">
            <w:pPr>
              <w:jc w:val="center"/>
              <w:textAlignment w:val="center"/>
              <w:rPr>
                <w:color w:val="000000"/>
                <w:sz w:val="18"/>
                <w:szCs w:val="18"/>
                <w:lang w:val="en-US"/>
              </w:rPr>
            </w:pPr>
            <w:r>
              <w:rPr>
                <w:color w:val="000000"/>
                <w:sz w:val="18"/>
                <w:szCs w:val="18"/>
              </w:rPr>
              <w:t>数量指标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3C47A8EC">
            <w:pPr>
              <w:jc w:val="center"/>
              <w:textAlignment w:val="center"/>
              <w:rPr>
                <w:color w:val="000000"/>
                <w:sz w:val="18"/>
                <w:szCs w:val="18"/>
                <w:lang w:val="en-US"/>
              </w:rPr>
            </w:pPr>
            <w:r>
              <w:rPr>
                <w:color w:val="000000"/>
                <w:sz w:val="18"/>
                <w:szCs w:val="18"/>
              </w:rPr>
              <w:t>政务接待人次</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3F426AE">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BAE3480">
            <w:pPr>
              <w:jc w:val="center"/>
              <w:textAlignment w:val="center"/>
              <w:rPr>
                <w:color w:val="000000"/>
                <w:sz w:val="18"/>
                <w:szCs w:val="18"/>
                <w:lang w:val="en-US"/>
              </w:rPr>
            </w:pPr>
            <w:r>
              <w:rPr>
                <w:color w:val="000000"/>
                <w:sz w:val="18"/>
                <w:szCs w:val="18"/>
              </w:rPr>
              <w:t>≥</w:t>
            </w:r>
            <w:r>
              <w:rPr>
                <w:color w:val="000000"/>
                <w:sz w:val="18"/>
                <w:szCs w:val="18"/>
                <w:lang w:val="en-US"/>
              </w:rPr>
              <w:t>258</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0F00AE3">
            <w:pPr>
              <w:jc w:val="center"/>
              <w:textAlignment w:val="center"/>
              <w:rPr>
                <w:color w:val="000000"/>
                <w:sz w:val="18"/>
                <w:szCs w:val="18"/>
                <w:lang w:val="en-US"/>
              </w:rPr>
            </w:pP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FD96DE3">
            <w:pPr>
              <w:jc w:val="center"/>
              <w:textAlignment w:val="center"/>
              <w:rPr>
                <w:color w:val="000000"/>
                <w:sz w:val="18"/>
                <w:szCs w:val="18"/>
                <w:lang w:val="en-US"/>
              </w:rPr>
            </w:pPr>
            <w:r>
              <w:rPr>
                <w:color w:val="000000"/>
                <w:sz w:val="18"/>
                <w:szCs w:val="18"/>
                <w:lang w:val="en-US"/>
              </w:rPr>
              <w:t>258</w:t>
            </w: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391F195F">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88697F2">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7C627EDD">
            <w:pPr>
              <w:jc w:val="center"/>
              <w:rPr>
                <w:color w:val="000000"/>
                <w:sz w:val="18"/>
                <w:szCs w:val="18"/>
                <w:lang w:val="en-US"/>
              </w:rPr>
            </w:pPr>
          </w:p>
        </w:tc>
      </w:tr>
      <w:tr w14:paraId="1074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0AA4D9D8">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311D7481">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6BA138AC">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20857510">
            <w:pPr>
              <w:jc w:val="center"/>
              <w:textAlignment w:val="center"/>
              <w:rPr>
                <w:color w:val="000000"/>
                <w:sz w:val="18"/>
                <w:szCs w:val="18"/>
                <w:lang w:val="en-US"/>
              </w:rPr>
            </w:pPr>
            <w:r>
              <w:rPr>
                <w:color w:val="000000"/>
                <w:sz w:val="18"/>
                <w:szCs w:val="18"/>
              </w:rPr>
              <w:t>机场火车站等提供政务服务人次</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0BC5881">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3480ABD">
            <w:pPr>
              <w:jc w:val="center"/>
              <w:textAlignment w:val="center"/>
              <w:rPr>
                <w:color w:val="000000"/>
                <w:sz w:val="18"/>
                <w:szCs w:val="18"/>
                <w:lang w:val="en-US"/>
              </w:rPr>
            </w:pPr>
            <w:r>
              <w:rPr>
                <w:color w:val="000000"/>
                <w:sz w:val="18"/>
                <w:szCs w:val="18"/>
              </w:rPr>
              <w:t>≥</w:t>
            </w:r>
            <w:r>
              <w:rPr>
                <w:color w:val="000000"/>
                <w:sz w:val="18"/>
                <w:szCs w:val="18"/>
                <w:lang w:val="en-US"/>
              </w:rPr>
              <w:t>185</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CED90DE">
            <w:pPr>
              <w:jc w:val="center"/>
              <w:textAlignment w:val="center"/>
              <w:rPr>
                <w:color w:val="000000"/>
                <w:sz w:val="18"/>
                <w:szCs w:val="18"/>
                <w:lang w:val="en-US"/>
              </w:rPr>
            </w:pP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547356C">
            <w:pPr>
              <w:jc w:val="center"/>
              <w:textAlignment w:val="center"/>
              <w:rPr>
                <w:color w:val="000000"/>
                <w:sz w:val="18"/>
                <w:szCs w:val="18"/>
                <w:lang w:val="en-US"/>
              </w:rPr>
            </w:pPr>
            <w:r>
              <w:rPr>
                <w:color w:val="000000"/>
                <w:sz w:val="18"/>
                <w:szCs w:val="18"/>
                <w:lang w:val="en-US"/>
              </w:rPr>
              <w:t>185</w:t>
            </w: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959197C">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E583A40">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58AFFE43">
            <w:pPr>
              <w:jc w:val="center"/>
              <w:rPr>
                <w:color w:val="000000"/>
                <w:sz w:val="18"/>
                <w:szCs w:val="18"/>
                <w:lang w:val="en-US"/>
              </w:rPr>
            </w:pPr>
          </w:p>
        </w:tc>
      </w:tr>
      <w:tr w14:paraId="5E904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3B8C63DF">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1D916349">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4D9571DB">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64954EAF">
            <w:pPr>
              <w:jc w:val="center"/>
              <w:textAlignment w:val="center"/>
              <w:rPr>
                <w:color w:val="000000"/>
                <w:sz w:val="18"/>
                <w:szCs w:val="18"/>
                <w:lang w:val="en-US"/>
              </w:rPr>
            </w:pPr>
            <w:r>
              <w:rPr>
                <w:color w:val="000000"/>
                <w:sz w:val="18"/>
                <w:szCs w:val="18"/>
              </w:rPr>
              <w:t>订购政务机票火车票份数</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9ED708F">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7F830C4">
            <w:pPr>
              <w:jc w:val="center"/>
              <w:textAlignment w:val="center"/>
              <w:rPr>
                <w:color w:val="000000"/>
                <w:sz w:val="18"/>
                <w:szCs w:val="18"/>
                <w:lang w:val="en-US"/>
              </w:rPr>
            </w:pPr>
            <w:r>
              <w:rPr>
                <w:color w:val="000000"/>
                <w:sz w:val="18"/>
                <w:szCs w:val="18"/>
              </w:rPr>
              <w:t>≥</w:t>
            </w:r>
            <w:r>
              <w:rPr>
                <w:color w:val="000000"/>
                <w:sz w:val="18"/>
                <w:szCs w:val="18"/>
                <w:lang w:val="en-US"/>
              </w:rPr>
              <w:t>276</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D0EF57E">
            <w:pPr>
              <w:jc w:val="center"/>
              <w:textAlignment w:val="center"/>
              <w:rPr>
                <w:color w:val="000000"/>
                <w:sz w:val="18"/>
                <w:szCs w:val="18"/>
                <w:lang w:val="en-US"/>
              </w:rPr>
            </w:pPr>
            <w:r>
              <w:rPr>
                <w:color w:val="000000"/>
                <w:sz w:val="18"/>
                <w:szCs w:val="18"/>
              </w:rPr>
              <w:t>份</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1A696B0">
            <w:pPr>
              <w:jc w:val="center"/>
              <w:textAlignment w:val="center"/>
              <w:rPr>
                <w:color w:val="000000"/>
                <w:sz w:val="18"/>
                <w:szCs w:val="18"/>
                <w:lang w:val="en-US"/>
              </w:rPr>
            </w:pPr>
            <w:r>
              <w:rPr>
                <w:color w:val="000000"/>
                <w:sz w:val="18"/>
                <w:szCs w:val="18"/>
                <w:lang w:val="en-US"/>
              </w:rPr>
              <w:t>276</w:t>
            </w:r>
            <w:r>
              <w:rPr>
                <w:color w:val="000000"/>
                <w:sz w:val="18"/>
                <w:szCs w:val="18"/>
              </w:rPr>
              <w:t>份</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7A1C58A">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0057DE16">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2DE06FFD">
            <w:pPr>
              <w:jc w:val="center"/>
              <w:rPr>
                <w:color w:val="000000"/>
                <w:sz w:val="18"/>
                <w:szCs w:val="18"/>
                <w:lang w:val="en-US"/>
              </w:rPr>
            </w:pPr>
          </w:p>
        </w:tc>
      </w:tr>
      <w:tr w14:paraId="44C2E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4D35F3C3">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0A459F9C">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09894BF3">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6A3BAC03">
            <w:pPr>
              <w:jc w:val="center"/>
              <w:textAlignment w:val="center"/>
              <w:rPr>
                <w:color w:val="000000"/>
                <w:sz w:val="18"/>
                <w:szCs w:val="18"/>
                <w:lang w:val="en-US"/>
              </w:rPr>
            </w:pPr>
            <w:r>
              <w:rPr>
                <w:color w:val="000000"/>
                <w:sz w:val="18"/>
                <w:szCs w:val="18"/>
              </w:rPr>
              <w:t>走访慰问在京在蓉阿坝州籍务工人员</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F66E359">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B994784">
            <w:pPr>
              <w:jc w:val="center"/>
              <w:textAlignment w:val="center"/>
              <w:rPr>
                <w:color w:val="000000"/>
                <w:sz w:val="18"/>
                <w:szCs w:val="18"/>
                <w:lang w:val="en-US"/>
              </w:rPr>
            </w:pPr>
            <w:r>
              <w:rPr>
                <w:color w:val="000000"/>
                <w:sz w:val="18"/>
                <w:szCs w:val="18"/>
              </w:rPr>
              <w:t>≥</w:t>
            </w:r>
            <w:r>
              <w:rPr>
                <w:color w:val="000000"/>
                <w:sz w:val="18"/>
                <w:szCs w:val="18"/>
                <w:lang w:val="en-US"/>
              </w:rPr>
              <w:t>23</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5C82922">
            <w:pPr>
              <w:jc w:val="center"/>
              <w:textAlignment w:val="center"/>
              <w:rPr>
                <w:color w:val="000000"/>
                <w:sz w:val="18"/>
                <w:szCs w:val="18"/>
                <w:lang w:val="en-US"/>
              </w:rPr>
            </w:pP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03074078">
            <w:pPr>
              <w:jc w:val="center"/>
              <w:textAlignment w:val="center"/>
              <w:rPr>
                <w:color w:val="000000"/>
                <w:sz w:val="18"/>
                <w:szCs w:val="18"/>
                <w:lang w:val="en-US"/>
              </w:rPr>
            </w:pPr>
            <w:r>
              <w:rPr>
                <w:color w:val="000000"/>
                <w:sz w:val="18"/>
                <w:szCs w:val="18"/>
                <w:lang w:val="en-US"/>
              </w:rPr>
              <w:t>23</w:t>
            </w: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3AA860D6">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B2F8367">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48E4BC0A">
            <w:pPr>
              <w:jc w:val="center"/>
              <w:rPr>
                <w:color w:val="000000"/>
                <w:sz w:val="18"/>
                <w:szCs w:val="18"/>
                <w:lang w:val="en-US"/>
              </w:rPr>
            </w:pPr>
          </w:p>
        </w:tc>
      </w:tr>
      <w:tr w14:paraId="1F4E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0073B2F1">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743992FA">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30A3E357">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5F69C81D">
            <w:pPr>
              <w:jc w:val="center"/>
              <w:textAlignment w:val="center"/>
              <w:rPr>
                <w:color w:val="000000"/>
                <w:sz w:val="18"/>
                <w:szCs w:val="18"/>
                <w:lang w:val="en-US"/>
              </w:rPr>
            </w:pPr>
            <w:r>
              <w:rPr>
                <w:color w:val="000000"/>
                <w:sz w:val="18"/>
                <w:szCs w:val="18"/>
              </w:rPr>
              <w:t>看望留守人员</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157093B">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B6CECEA">
            <w:pPr>
              <w:jc w:val="center"/>
              <w:textAlignment w:val="center"/>
              <w:rPr>
                <w:color w:val="000000"/>
                <w:sz w:val="18"/>
                <w:szCs w:val="18"/>
                <w:lang w:val="en-US"/>
              </w:rPr>
            </w:pPr>
            <w:r>
              <w:rPr>
                <w:color w:val="000000"/>
                <w:sz w:val="18"/>
                <w:szCs w:val="18"/>
              </w:rPr>
              <w:t>≥</w:t>
            </w:r>
            <w:r>
              <w:rPr>
                <w:color w:val="000000"/>
                <w:sz w:val="18"/>
                <w:szCs w:val="18"/>
                <w:lang w:val="en-US"/>
              </w:rPr>
              <w:t>33</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F416AD5">
            <w:pPr>
              <w:jc w:val="center"/>
              <w:textAlignment w:val="center"/>
              <w:rPr>
                <w:color w:val="000000"/>
                <w:sz w:val="18"/>
                <w:szCs w:val="18"/>
                <w:lang w:val="en-US"/>
              </w:rPr>
            </w:pP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EDEC171">
            <w:pPr>
              <w:jc w:val="center"/>
              <w:textAlignment w:val="center"/>
              <w:rPr>
                <w:color w:val="000000"/>
                <w:sz w:val="18"/>
                <w:szCs w:val="18"/>
                <w:lang w:val="en-US"/>
              </w:rPr>
            </w:pPr>
            <w:r>
              <w:rPr>
                <w:color w:val="000000"/>
                <w:sz w:val="18"/>
                <w:szCs w:val="18"/>
                <w:lang w:val="en-US"/>
              </w:rPr>
              <w:t>33</w:t>
            </w: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F370925">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0071208">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40EB29EA">
            <w:pPr>
              <w:jc w:val="center"/>
              <w:rPr>
                <w:color w:val="000000"/>
                <w:sz w:val="18"/>
                <w:szCs w:val="18"/>
                <w:lang w:val="en-US"/>
              </w:rPr>
            </w:pPr>
          </w:p>
        </w:tc>
      </w:tr>
      <w:tr w14:paraId="516F4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259F4792">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7239997C">
            <w:pPr>
              <w:rPr>
                <w:rFonts w:hint="default" w:ascii="Times New Roman" w:hAnsi="Times New Roman" w:cs="Times New Roman"/>
                <w:sz w:val="20"/>
                <w:szCs w:val="20"/>
              </w:rPr>
            </w:pPr>
          </w:p>
        </w:tc>
        <w:tc>
          <w:tcPr>
            <w:tcW w:w="1080" w:type="dxa"/>
            <w:tcBorders>
              <w:top w:val="nil"/>
              <w:left w:val="nil"/>
              <w:bottom w:val="single" w:color="000000" w:sz="4" w:space="0"/>
              <w:right w:val="single" w:color="000000" w:sz="4" w:space="0"/>
            </w:tcBorders>
            <w:shd w:val="clear" w:color="auto" w:fill="auto"/>
            <w:vAlign w:val="center"/>
          </w:tcPr>
          <w:p w14:paraId="3FA40AD2">
            <w:pPr>
              <w:jc w:val="center"/>
              <w:textAlignment w:val="center"/>
              <w:rPr>
                <w:color w:val="000000"/>
                <w:sz w:val="18"/>
                <w:szCs w:val="18"/>
                <w:lang w:val="en-US"/>
              </w:rPr>
            </w:pPr>
            <w:r>
              <w:rPr>
                <w:color w:val="000000"/>
                <w:sz w:val="18"/>
                <w:szCs w:val="18"/>
              </w:rPr>
              <w:t>质量指标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655D995A">
            <w:pPr>
              <w:jc w:val="center"/>
              <w:textAlignment w:val="center"/>
              <w:rPr>
                <w:color w:val="000000"/>
                <w:sz w:val="18"/>
                <w:szCs w:val="18"/>
                <w:lang w:val="en-US"/>
              </w:rPr>
            </w:pPr>
            <w:r>
              <w:rPr>
                <w:color w:val="000000"/>
                <w:sz w:val="18"/>
                <w:szCs w:val="18"/>
              </w:rPr>
              <w:t>接待服务质量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32D8F39">
            <w:pPr>
              <w:jc w:val="center"/>
              <w:textAlignment w:val="center"/>
              <w:rPr>
                <w:color w:val="000000"/>
                <w:sz w:val="18"/>
                <w:szCs w:val="18"/>
                <w:lang w:val="en-US"/>
              </w:rPr>
            </w:pPr>
            <w:r>
              <w:rPr>
                <w:color w:val="000000"/>
                <w:sz w:val="18"/>
                <w:szCs w:val="18"/>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FA9117F">
            <w:pPr>
              <w:jc w:val="center"/>
              <w:textAlignment w:val="center"/>
              <w:rPr>
                <w:color w:val="000000"/>
                <w:sz w:val="18"/>
                <w:szCs w:val="18"/>
                <w:lang w:val="en-US"/>
              </w:rPr>
            </w:pPr>
            <w:r>
              <w:rPr>
                <w:color w:val="000000"/>
                <w:sz w:val="18"/>
                <w:szCs w:val="18"/>
              </w:rPr>
              <w:t>高中低</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E95221A">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B8FC461">
            <w:pPr>
              <w:jc w:val="center"/>
              <w:textAlignment w:val="center"/>
              <w:rPr>
                <w:i/>
                <w:iCs/>
                <w:color w:val="000000"/>
                <w:sz w:val="16"/>
                <w:szCs w:val="16"/>
                <w:lang w:val="en-US"/>
              </w:rPr>
            </w:pPr>
            <w:r>
              <w:rPr>
                <w:i/>
                <w:iCs/>
                <w:color w:val="000000"/>
                <w:sz w:val="16"/>
                <w:szCs w:val="16"/>
              </w:rPr>
              <w:t>高</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B1C6F0B">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C30544B">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384DEE66">
            <w:pPr>
              <w:jc w:val="center"/>
              <w:rPr>
                <w:i/>
                <w:iCs/>
                <w:color w:val="000000"/>
                <w:sz w:val="16"/>
                <w:szCs w:val="16"/>
                <w:lang w:val="en-US"/>
              </w:rPr>
            </w:pPr>
          </w:p>
        </w:tc>
      </w:tr>
      <w:tr w14:paraId="64BC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36E7646E">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50FE11ED">
            <w:pPr>
              <w:rPr>
                <w:rFonts w:hint="default" w:ascii="Times New Roman" w:hAnsi="Times New Roman" w:cs="Times New Roman"/>
                <w:sz w:val="20"/>
                <w:szCs w:val="20"/>
              </w:rPr>
            </w:pPr>
          </w:p>
        </w:tc>
        <w:tc>
          <w:tcPr>
            <w:tcW w:w="1080" w:type="dxa"/>
            <w:vMerge w:val="restart"/>
            <w:tcBorders>
              <w:top w:val="nil"/>
              <w:left w:val="nil"/>
              <w:bottom w:val="single" w:color="000000" w:sz="4" w:space="0"/>
              <w:right w:val="single" w:color="000000" w:sz="4" w:space="0"/>
            </w:tcBorders>
            <w:shd w:val="clear" w:color="auto" w:fill="auto"/>
            <w:vAlign w:val="center"/>
          </w:tcPr>
          <w:p w14:paraId="590024EF">
            <w:pPr>
              <w:jc w:val="center"/>
              <w:textAlignment w:val="center"/>
              <w:rPr>
                <w:color w:val="000000"/>
                <w:sz w:val="18"/>
                <w:szCs w:val="18"/>
                <w:lang w:val="en-US"/>
              </w:rPr>
            </w:pPr>
            <w:r>
              <w:rPr>
                <w:color w:val="000000"/>
                <w:sz w:val="18"/>
                <w:szCs w:val="18"/>
              </w:rPr>
              <w:t>时效指标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71E44667">
            <w:pPr>
              <w:jc w:val="center"/>
              <w:textAlignment w:val="center"/>
              <w:rPr>
                <w:color w:val="000000"/>
                <w:sz w:val="18"/>
                <w:szCs w:val="18"/>
                <w:lang w:val="en-US"/>
              </w:rPr>
            </w:pPr>
            <w:r>
              <w:rPr>
                <w:color w:val="000000"/>
                <w:sz w:val="18"/>
                <w:szCs w:val="18"/>
              </w:rPr>
              <w:t>接待及时率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E0017F5">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8649ACA">
            <w:pPr>
              <w:jc w:val="center"/>
              <w:textAlignment w:val="center"/>
              <w:rPr>
                <w:color w:val="000000"/>
                <w:sz w:val="18"/>
                <w:szCs w:val="18"/>
                <w:lang w:val="en-US"/>
              </w:rPr>
            </w:pPr>
            <w:r>
              <w:rPr>
                <w:color w:val="000000"/>
                <w:sz w:val="18"/>
                <w:szCs w:val="18"/>
                <w:lang w:val="en-US"/>
              </w:rPr>
              <w:t>=100</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BDB3441">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631B3731">
            <w:pPr>
              <w:jc w:val="center"/>
              <w:textAlignment w:val="center"/>
              <w:rPr>
                <w:i/>
                <w:iCs/>
                <w:color w:val="000000"/>
                <w:sz w:val="16"/>
                <w:szCs w:val="16"/>
                <w:lang w:val="en-US"/>
              </w:rPr>
            </w:pPr>
            <w:r>
              <w:rPr>
                <w:i/>
                <w:iCs/>
                <w:color w:val="000000"/>
                <w:sz w:val="16"/>
                <w:szCs w:val="16"/>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E94451E">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0DCFD6C">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75961907">
            <w:pPr>
              <w:jc w:val="center"/>
              <w:rPr>
                <w:i/>
                <w:iCs/>
                <w:color w:val="000000"/>
                <w:sz w:val="16"/>
                <w:szCs w:val="16"/>
                <w:lang w:val="en-US"/>
              </w:rPr>
            </w:pPr>
          </w:p>
        </w:tc>
      </w:tr>
      <w:tr w14:paraId="4134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59E07775">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33E8A315">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321B74FD">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5DB9477F">
            <w:pPr>
              <w:jc w:val="center"/>
              <w:textAlignment w:val="center"/>
              <w:rPr>
                <w:color w:val="000000"/>
                <w:sz w:val="18"/>
                <w:szCs w:val="18"/>
                <w:lang w:val="en-US"/>
              </w:rPr>
            </w:pPr>
            <w:r>
              <w:rPr>
                <w:color w:val="000000"/>
                <w:sz w:val="18"/>
                <w:szCs w:val="18"/>
              </w:rPr>
              <w:t>慰问完成时间</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E702BBE">
            <w:pPr>
              <w:jc w:val="center"/>
              <w:textAlignment w:val="center"/>
              <w:rPr>
                <w:color w:val="000000"/>
                <w:sz w:val="18"/>
                <w:szCs w:val="18"/>
                <w:lang w:val="en-US"/>
              </w:rPr>
            </w:pPr>
            <w:r>
              <w:rPr>
                <w:color w:val="000000"/>
                <w:sz w:val="18"/>
                <w:szCs w:val="18"/>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C208441">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1848167">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2198EA84">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8BDF48B">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AB091ED">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19BFC777">
            <w:pPr>
              <w:jc w:val="center"/>
              <w:rPr>
                <w:i/>
                <w:iCs/>
                <w:color w:val="000000"/>
                <w:sz w:val="16"/>
                <w:szCs w:val="16"/>
                <w:lang w:val="en-US"/>
              </w:rPr>
            </w:pPr>
          </w:p>
        </w:tc>
      </w:tr>
      <w:tr w14:paraId="3E3D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699729C9">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33D809B4">
            <w:pPr>
              <w:rPr>
                <w:rFonts w:hint="default" w:ascii="Times New Roman" w:hAnsi="Times New Roman" w:cs="Times New Roman"/>
                <w:sz w:val="20"/>
                <w:szCs w:val="20"/>
              </w:rPr>
            </w:pPr>
          </w:p>
        </w:tc>
        <w:tc>
          <w:tcPr>
            <w:tcW w:w="1080" w:type="dxa"/>
            <w:tcBorders>
              <w:top w:val="nil"/>
              <w:left w:val="nil"/>
              <w:bottom w:val="single" w:color="000000" w:sz="4" w:space="0"/>
              <w:right w:val="single" w:color="000000" w:sz="4" w:space="0"/>
            </w:tcBorders>
            <w:shd w:val="clear" w:color="auto" w:fill="auto"/>
            <w:vAlign w:val="center"/>
          </w:tcPr>
          <w:p w14:paraId="0BA2A14A">
            <w:pPr>
              <w:jc w:val="center"/>
              <w:textAlignment w:val="center"/>
              <w:rPr>
                <w:color w:val="000000"/>
                <w:sz w:val="18"/>
                <w:szCs w:val="18"/>
                <w:lang w:val="en-US"/>
              </w:rPr>
            </w:pPr>
            <w:r>
              <w:rPr>
                <w:color w:val="000000"/>
                <w:sz w:val="18"/>
                <w:szCs w:val="18"/>
              </w:rPr>
              <w:t>成本指标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08E609EB">
            <w:pPr>
              <w:jc w:val="center"/>
              <w:textAlignment w:val="center"/>
              <w:rPr>
                <w:color w:val="000000"/>
                <w:sz w:val="18"/>
                <w:szCs w:val="18"/>
                <w:lang w:val="en-US"/>
              </w:rPr>
            </w:pPr>
            <w:r>
              <w:rPr>
                <w:color w:val="000000"/>
                <w:sz w:val="18"/>
                <w:szCs w:val="18"/>
              </w:rPr>
              <w:t>项目总成本</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916BB47">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8447EFC">
            <w:pPr>
              <w:jc w:val="center"/>
              <w:textAlignment w:val="center"/>
              <w:rPr>
                <w:color w:val="000000"/>
                <w:sz w:val="18"/>
                <w:szCs w:val="18"/>
                <w:lang w:val="en-US"/>
              </w:rPr>
            </w:pPr>
            <w:r>
              <w:rPr>
                <w:color w:val="000000"/>
                <w:sz w:val="18"/>
                <w:szCs w:val="18"/>
              </w:rPr>
              <w:t>≤</w:t>
            </w:r>
            <w:r>
              <w:rPr>
                <w:color w:val="000000"/>
                <w:sz w:val="18"/>
                <w:szCs w:val="18"/>
                <w:lang w:val="en-US"/>
              </w:rPr>
              <w:t>44.33</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7A9BB29">
            <w:pPr>
              <w:jc w:val="center"/>
              <w:textAlignment w:val="center"/>
              <w:rPr>
                <w:color w:val="000000"/>
                <w:sz w:val="18"/>
                <w:szCs w:val="18"/>
                <w:lang w:val="en-US"/>
              </w:rPr>
            </w:pPr>
            <w:r>
              <w:rPr>
                <w:color w:val="000000"/>
                <w:sz w:val="18"/>
                <w:szCs w:val="18"/>
              </w:rPr>
              <w:t>万元</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047141C">
            <w:pPr>
              <w:jc w:val="center"/>
              <w:textAlignment w:val="center"/>
              <w:rPr>
                <w:i/>
                <w:iCs/>
                <w:color w:val="000000"/>
                <w:sz w:val="16"/>
                <w:szCs w:val="16"/>
                <w:lang w:val="en-US"/>
              </w:rPr>
            </w:pPr>
            <w:r>
              <w:rPr>
                <w:i/>
                <w:iCs/>
                <w:color w:val="000000"/>
                <w:sz w:val="16"/>
                <w:szCs w:val="16"/>
                <w:lang w:val="en-US"/>
              </w:rPr>
              <w:t>44.33</w:t>
            </w:r>
            <w:r>
              <w:rPr>
                <w:i/>
                <w:iCs/>
                <w:color w:val="000000"/>
                <w:sz w:val="16"/>
                <w:szCs w:val="16"/>
              </w:rPr>
              <w:t>万元</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0F28EC64">
            <w:pPr>
              <w:jc w:val="center"/>
              <w:textAlignment w:val="center"/>
              <w:rPr>
                <w:color w:val="000000"/>
                <w:sz w:val="18"/>
                <w:szCs w:val="18"/>
                <w:lang w:val="en-US"/>
              </w:rPr>
            </w:pPr>
            <w:r>
              <w:rPr>
                <w:color w:val="000000"/>
                <w:sz w:val="18"/>
                <w:szCs w:val="18"/>
                <w:lang w:val="en-US"/>
              </w:rPr>
              <w:t>10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19418FE">
            <w:pPr>
              <w:jc w:val="center"/>
              <w:textAlignment w:val="center"/>
              <w:rPr>
                <w:color w:val="000000"/>
                <w:sz w:val="18"/>
                <w:szCs w:val="18"/>
                <w:lang w:val="en-US"/>
              </w:rPr>
            </w:pPr>
            <w:r>
              <w:rPr>
                <w:color w:val="000000"/>
                <w:sz w:val="18"/>
                <w:szCs w:val="18"/>
                <w:lang w:val="en-US"/>
              </w:rPr>
              <w:t>10</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79B893F7">
            <w:pPr>
              <w:jc w:val="center"/>
              <w:rPr>
                <w:i/>
                <w:iCs/>
                <w:color w:val="000000"/>
                <w:sz w:val="16"/>
                <w:szCs w:val="16"/>
                <w:lang w:val="en-US"/>
              </w:rPr>
            </w:pPr>
          </w:p>
        </w:tc>
      </w:tr>
      <w:tr w14:paraId="5087D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230F7EC2">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14:paraId="31D39AB2">
            <w:pPr>
              <w:jc w:val="center"/>
              <w:textAlignment w:val="center"/>
              <w:rPr>
                <w:color w:val="000000"/>
                <w:sz w:val="18"/>
                <w:szCs w:val="18"/>
                <w:lang w:val="en-US"/>
              </w:rPr>
            </w:pPr>
            <w:r>
              <w:rPr>
                <w:color w:val="000000"/>
                <w:sz w:val="18"/>
                <w:szCs w:val="18"/>
              </w:rPr>
              <w:t>效果指标</w:t>
            </w:r>
          </w:p>
        </w:tc>
        <w:tc>
          <w:tcPr>
            <w:tcW w:w="1080" w:type="dxa"/>
            <w:tcBorders>
              <w:top w:val="nil"/>
              <w:left w:val="nil"/>
              <w:bottom w:val="single" w:color="000000" w:sz="4" w:space="0"/>
              <w:right w:val="single" w:color="000000" w:sz="4" w:space="0"/>
            </w:tcBorders>
            <w:shd w:val="clear" w:color="auto" w:fill="auto"/>
            <w:vAlign w:val="center"/>
          </w:tcPr>
          <w:p w14:paraId="74B61A3F">
            <w:pPr>
              <w:jc w:val="center"/>
              <w:textAlignment w:val="center"/>
              <w:rPr>
                <w:color w:val="000000"/>
                <w:sz w:val="18"/>
                <w:szCs w:val="18"/>
                <w:lang w:val="en-US"/>
              </w:rPr>
            </w:pPr>
            <w:r>
              <w:rPr>
                <w:color w:val="000000"/>
                <w:sz w:val="18"/>
                <w:szCs w:val="18"/>
              </w:rPr>
              <w:t>社会效益指标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1FE005F1">
            <w:pPr>
              <w:jc w:val="center"/>
              <w:textAlignment w:val="center"/>
              <w:rPr>
                <w:color w:val="000000"/>
                <w:sz w:val="18"/>
                <w:szCs w:val="18"/>
                <w:lang w:val="en-US"/>
              </w:rPr>
            </w:pPr>
            <w:r>
              <w:rPr>
                <w:color w:val="000000"/>
                <w:sz w:val="18"/>
                <w:szCs w:val="18"/>
              </w:rPr>
              <w:t>保障联络工作顺利开展</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9E73237">
            <w:pPr>
              <w:jc w:val="center"/>
              <w:textAlignment w:val="center"/>
              <w:rPr>
                <w:color w:val="000000"/>
                <w:sz w:val="18"/>
                <w:szCs w:val="18"/>
                <w:lang w:val="en-US"/>
              </w:rPr>
            </w:pPr>
            <w:r>
              <w:rPr>
                <w:color w:val="000000"/>
                <w:sz w:val="18"/>
                <w:szCs w:val="18"/>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D17AFA8">
            <w:pPr>
              <w:jc w:val="center"/>
              <w:textAlignment w:val="center"/>
              <w:rPr>
                <w:color w:val="000000"/>
                <w:sz w:val="18"/>
                <w:szCs w:val="18"/>
                <w:lang w:val="en-US"/>
              </w:rPr>
            </w:pPr>
            <w:r>
              <w:rPr>
                <w:color w:val="000000"/>
                <w:sz w:val="18"/>
                <w:szCs w:val="18"/>
              </w:rPr>
              <w:t>有效保障</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DFBAA33">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6384BE95">
            <w:pPr>
              <w:jc w:val="center"/>
              <w:textAlignment w:val="center"/>
              <w:rPr>
                <w:i/>
                <w:iCs/>
                <w:color w:val="000000"/>
                <w:sz w:val="16"/>
                <w:szCs w:val="16"/>
                <w:lang w:val="en-US"/>
              </w:rPr>
            </w:pPr>
            <w:r>
              <w:rPr>
                <w:i/>
                <w:iCs/>
                <w:color w:val="000000"/>
                <w:sz w:val="16"/>
                <w:szCs w:val="16"/>
              </w:rPr>
              <w:t>有效保障</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09C6F32">
            <w:pPr>
              <w:jc w:val="center"/>
              <w:textAlignment w:val="center"/>
              <w:rPr>
                <w:color w:val="000000"/>
                <w:sz w:val="18"/>
                <w:szCs w:val="18"/>
                <w:lang w:val="en-US"/>
              </w:rPr>
            </w:pPr>
            <w:r>
              <w:rPr>
                <w:color w:val="000000"/>
                <w:sz w:val="18"/>
                <w:szCs w:val="18"/>
                <w:lang w:val="en-US"/>
              </w:rPr>
              <w:t>25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F086504">
            <w:pPr>
              <w:jc w:val="center"/>
              <w:textAlignment w:val="center"/>
              <w:rPr>
                <w:color w:val="000000"/>
                <w:sz w:val="18"/>
                <w:szCs w:val="18"/>
                <w:lang w:val="en-US"/>
              </w:rPr>
            </w:pPr>
            <w:r>
              <w:rPr>
                <w:color w:val="000000"/>
                <w:sz w:val="18"/>
                <w:szCs w:val="18"/>
                <w:lang w:val="en-US"/>
              </w:rPr>
              <w:t>23</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2A0A4AA6">
            <w:pPr>
              <w:jc w:val="center"/>
              <w:rPr>
                <w:i/>
                <w:iCs/>
                <w:color w:val="000000"/>
                <w:sz w:val="16"/>
                <w:szCs w:val="16"/>
                <w:lang w:val="en-US"/>
              </w:rPr>
            </w:pPr>
          </w:p>
        </w:tc>
      </w:tr>
      <w:tr w14:paraId="6BB61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1237437B">
            <w:pPr>
              <w:rPr>
                <w:rFonts w:hint="default" w:ascii="Times New Roman" w:hAnsi="Times New Roman" w:cs="Times New Roman"/>
                <w:sz w:val="20"/>
                <w:szCs w:val="20"/>
              </w:rPr>
            </w:pPr>
          </w:p>
        </w:tc>
        <w:tc>
          <w:tcPr>
            <w:tcW w:w="840" w:type="dxa"/>
            <w:vMerge w:val="restart"/>
            <w:tcBorders>
              <w:top w:val="nil"/>
              <w:left w:val="nil"/>
              <w:bottom w:val="nil"/>
              <w:right w:val="single" w:color="000000" w:sz="4" w:space="0"/>
            </w:tcBorders>
            <w:shd w:val="clear" w:color="auto" w:fill="auto"/>
            <w:vAlign w:val="center"/>
          </w:tcPr>
          <w:p w14:paraId="7B288AFE">
            <w:pPr>
              <w:jc w:val="center"/>
              <w:textAlignment w:val="center"/>
              <w:rPr>
                <w:color w:val="000000"/>
                <w:sz w:val="18"/>
                <w:szCs w:val="18"/>
                <w:lang w:val="en-US"/>
              </w:rPr>
            </w:pPr>
            <w:r>
              <w:rPr>
                <w:color w:val="000000"/>
                <w:sz w:val="18"/>
                <w:szCs w:val="18"/>
              </w:rPr>
              <w:t>满意度指标</w:t>
            </w:r>
          </w:p>
        </w:tc>
        <w:tc>
          <w:tcPr>
            <w:tcW w:w="1080" w:type="dxa"/>
            <w:vMerge w:val="restart"/>
            <w:tcBorders>
              <w:top w:val="nil"/>
              <w:left w:val="nil"/>
              <w:bottom w:val="nil"/>
              <w:right w:val="single" w:color="000000" w:sz="4" w:space="0"/>
            </w:tcBorders>
            <w:shd w:val="clear" w:color="auto" w:fill="auto"/>
            <w:vAlign w:val="center"/>
          </w:tcPr>
          <w:p w14:paraId="1388DEDD">
            <w:pPr>
              <w:jc w:val="center"/>
              <w:textAlignment w:val="center"/>
              <w:rPr>
                <w:color w:val="000000"/>
                <w:sz w:val="18"/>
                <w:szCs w:val="18"/>
                <w:lang w:val="en-US"/>
              </w:rPr>
            </w:pPr>
            <w:r>
              <w:rPr>
                <w:color w:val="000000"/>
                <w:sz w:val="18"/>
                <w:szCs w:val="18"/>
              </w:rPr>
              <w:t>服务对象满意度指标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1D738C21">
            <w:pPr>
              <w:jc w:val="center"/>
              <w:textAlignment w:val="center"/>
              <w:rPr>
                <w:color w:val="000000"/>
                <w:sz w:val="18"/>
                <w:szCs w:val="18"/>
                <w:lang w:val="en-US"/>
              </w:rPr>
            </w:pPr>
            <w:r>
              <w:rPr>
                <w:color w:val="000000"/>
                <w:sz w:val="18"/>
                <w:szCs w:val="18"/>
              </w:rPr>
              <w:t>接待人员满意度</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A7EEDE9">
            <w:pPr>
              <w:jc w:val="center"/>
              <w:textAlignment w:val="center"/>
              <w:rPr>
                <w:color w:val="000000"/>
                <w:sz w:val="18"/>
                <w:szCs w:val="18"/>
                <w:lang w:val="en-US"/>
              </w:rPr>
            </w:pPr>
            <w:r>
              <w:rPr>
                <w:color w:val="000000"/>
                <w:sz w:val="18"/>
                <w:szCs w:val="18"/>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DE59AF1">
            <w:pPr>
              <w:jc w:val="center"/>
              <w:textAlignment w:val="center"/>
              <w:rPr>
                <w:color w:val="000000"/>
                <w:sz w:val="18"/>
                <w:szCs w:val="18"/>
                <w:lang w:val="en-US"/>
              </w:rPr>
            </w:pPr>
            <w:r>
              <w:rPr>
                <w:color w:val="000000"/>
                <w:sz w:val="18"/>
                <w:szCs w:val="18"/>
                <w:lang w:val="en-US"/>
              </w:rPr>
              <w:t>90</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8E88C33">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3E93B727">
            <w:pPr>
              <w:jc w:val="center"/>
              <w:textAlignment w:val="center"/>
              <w:rPr>
                <w:i/>
                <w:iCs/>
                <w:color w:val="000000"/>
                <w:sz w:val="16"/>
                <w:szCs w:val="16"/>
                <w:lang w:val="en-US"/>
              </w:rPr>
            </w:pPr>
            <w:r>
              <w:rPr>
                <w:i/>
                <w:iCs/>
                <w:color w:val="000000"/>
                <w:sz w:val="16"/>
                <w:szCs w:val="16"/>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ADD4CF6">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EBD0F50">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072D895D">
            <w:pPr>
              <w:jc w:val="center"/>
              <w:rPr>
                <w:i/>
                <w:iCs/>
                <w:color w:val="000000"/>
                <w:sz w:val="16"/>
                <w:szCs w:val="16"/>
                <w:lang w:val="en-US"/>
              </w:rPr>
            </w:pPr>
          </w:p>
        </w:tc>
      </w:tr>
      <w:tr w14:paraId="5B77E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55" w:type="dxa"/>
            <w:vMerge w:val="continue"/>
            <w:tcBorders>
              <w:top w:val="nil"/>
              <w:left w:val="single" w:color="000000" w:sz="4" w:space="0"/>
              <w:bottom w:val="nil"/>
              <w:right w:val="single" w:color="000000" w:sz="4" w:space="0"/>
            </w:tcBorders>
            <w:shd w:val="clear" w:color="auto" w:fill="auto"/>
            <w:vAlign w:val="center"/>
          </w:tcPr>
          <w:p w14:paraId="04ACA1E0">
            <w:pPr>
              <w:rPr>
                <w:rFonts w:hint="default" w:ascii="Times New Roman" w:hAnsi="Times New Roman" w:cs="Times New Roman"/>
                <w:sz w:val="20"/>
                <w:szCs w:val="20"/>
              </w:rPr>
            </w:pPr>
          </w:p>
        </w:tc>
        <w:tc>
          <w:tcPr>
            <w:tcW w:w="840" w:type="dxa"/>
            <w:vMerge w:val="continue"/>
            <w:tcBorders>
              <w:top w:val="nil"/>
              <w:left w:val="nil"/>
              <w:bottom w:val="nil"/>
              <w:right w:val="single" w:color="000000" w:sz="4" w:space="0"/>
            </w:tcBorders>
            <w:shd w:val="clear" w:color="auto" w:fill="auto"/>
            <w:vAlign w:val="center"/>
          </w:tcPr>
          <w:p w14:paraId="6CF88959">
            <w:pPr>
              <w:rPr>
                <w:rFonts w:hint="default" w:ascii="Times New Roman" w:hAnsi="Times New Roman" w:cs="Times New Roman"/>
                <w:sz w:val="20"/>
                <w:szCs w:val="20"/>
              </w:rPr>
            </w:pPr>
          </w:p>
        </w:tc>
        <w:tc>
          <w:tcPr>
            <w:tcW w:w="1080" w:type="dxa"/>
            <w:vMerge w:val="continue"/>
            <w:tcBorders>
              <w:top w:val="nil"/>
              <w:left w:val="nil"/>
              <w:bottom w:val="nil"/>
              <w:right w:val="single" w:color="000000" w:sz="4" w:space="0"/>
            </w:tcBorders>
            <w:shd w:val="clear" w:color="auto" w:fill="auto"/>
            <w:vAlign w:val="center"/>
          </w:tcPr>
          <w:p w14:paraId="49F0CCBA">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47752F3F">
            <w:pPr>
              <w:jc w:val="center"/>
              <w:textAlignment w:val="center"/>
              <w:rPr>
                <w:color w:val="000000"/>
                <w:sz w:val="18"/>
                <w:szCs w:val="18"/>
                <w:lang w:val="en-US"/>
              </w:rPr>
            </w:pPr>
            <w:r>
              <w:rPr>
                <w:color w:val="000000"/>
                <w:sz w:val="18"/>
                <w:szCs w:val="18"/>
              </w:rPr>
              <w:t>阿坝州籍务工人员满意度</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AA983DD">
            <w:pPr>
              <w:jc w:val="center"/>
              <w:textAlignment w:val="center"/>
              <w:rPr>
                <w:color w:val="000000"/>
                <w:sz w:val="18"/>
                <w:szCs w:val="18"/>
                <w:lang w:val="en-US"/>
              </w:rPr>
            </w:pPr>
            <w:r>
              <w:rPr>
                <w:color w:val="000000"/>
                <w:sz w:val="18"/>
                <w:szCs w:val="18"/>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ED306E5">
            <w:pPr>
              <w:jc w:val="center"/>
              <w:textAlignment w:val="center"/>
              <w:rPr>
                <w:color w:val="000000"/>
                <w:sz w:val="18"/>
                <w:szCs w:val="18"/>
                <w:lang w:val="en-US"/>
              </w:rPr>
            </w:pPr>
            <w:r>
              <w:rPr>
                <w:color w:val="000000"/>
                <w:sz w:val="18"/>
                <w:szCs w:val="18"/>
                <w:lang w:val="en-US"/>
              </w:rPr>
              <w:t>90</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85D991F">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6CA8BB2E">
            <w:pPr>
              <w:jc w:val="center"/>
              <w:textAlignment w:val="center"/>
              <w:rPr>
                <w:i/>
                <w:iCs/>
                <w:color w:val="000000"/>
                <w:sz w:val="16"/>
                <w:szCs w:val="16"/>
                <w:lang w:val="en-US"/>
              </w:rPr>
            </w:pPr>
            <w:r>
              <w:rPr>
                <w:i/>
                <w:iCs/>
                <w:color w:val="000000"/>
                <w:sz w:val="16"/>
                <w:szCs w:val="16"/>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51BE6B3">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4DF1AA66">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67A8CFA1">
            <w:pPr>
              <w:rPr>
                <w:color w:val="000000"/>
                <w:sz w:val="18"/>
                <w:szCs w:val="18"/>
                <w:lang w:val="en-US"/>
              </w:rPr>
            </w:pPr>
          </w:p>
        </w:tc>
      </w:tr>
      <w:tr w14:paraId="06D54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4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F0752B">
            <w:pPr>
              <w:jc w:val="center"/>
              <w:textAlignment w:val="center"/>
              <w:rPr>
                <w:color w:val="000000"/>
                <w:sz w:val="18"/>
                <w:szCs w:val="18"/>
                <w:lang w:val="en-US"/>
              </w:rPr>
            </w:pPr>
            <w:r>
              <w:rPr>
                <w:color w:val="000000"/>
                <w:sz w:val="18"/>
                <w:szCs w:val="18"/>
              </w:rPr>
              <w:t>合计</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4C780C1">
            <w:pPr>
              <w:jc w:val="center"/>
              <w:textAlignment w:val="center"/>
              <w:rPr>
                <w:color w:val="000000"/>
                <w:sz w:val="18"/>
                <w:szCs w:val="18"/>
                <w:lang w:val="en-US"/>
              </w:rPr>
            </w:pPr>
            <w:r>
              <w:rPr>
                <w:color w:val="000000"/>
                <w:sz w:val="18"/>
                <w:szCs w:val="18"/>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44CA1232">
            <w:pPr>
              <w:jc w:val="center"/>
              <w:textAlignment w:val="center"/>
              <w:rPr>
                <w:color w:val="000000"/>
                <w:sz w:val="18"/>
                <w:szCs w:val="18"/>
                <w:lang w:val="en-US"/>
              </w:rPr>
            </w:pPr>
            <w:r>
              <w:rPr>
                <w:color w:val="000000"/>
                <w:sz w:val="18"/>
                <w:szCs w:val="18"/>
                <w:lang w:val="en-US"/>
              </w:rPr>
              <w:t>98</w:t>
            </w:r>
          </w:p>
        </w:tc>
        <w:tc>
          <w:tcPr>
            <w:tcW w:w="645" w:type="dxa"/>
            <w:tcBorders>
              <w:top w:val="single" w:color="000000" w:sz="4" w:space="0"/>
              <w:left w:val="nil"/>
              <w:bottom w:val="single" w:color="000000" w:sz="4" w:space="0"/>
              <w:right w:val="single" w:color="000000" w:sz="4" w:space="0"/>
            </w:tcBorders>
            <w:shd w:val="clear" w:color="auto" w:fill="auto"/>
            <w:vAlign w:val="center"/>
          </w:tcPr>
          <w:p w14:paraId="23D7006C">
            <w:pPr>
              <w:rPr>
                <w:color w:val="000000"/>
                <w:sz w:val="18"/>
                <w:szCs w:val="18"/>
                <w:lang w:val="en-US"/>
              </w:rPr>
            </w:pPr>
          </w:p>
        </w:tc>
      </w:tr>
      <w:tr w14:paraId="5456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623D">
            <w:pPr>
              <w:jc w:val="center"/>
              <w:textAlignment w:val="center"/>
              <w:rPr>
                <w:color w:val="000000"/>
                <w:sz w:val="18"/>
                <w:szCs w:val="18"/>
                <w:lang w:val="en-US"/>
              </w:rPr>
            </w:pPr>
            <w:r>
              <w:rPr>
                <w:color w:val="000000"/>
                <w:sz w:val="18"/>
                <w:szCs w:val="18"/>
              </w:rPr>
              <w:t>评价结论</w:t>
            </w:r>
          </w:p>
        </w:tc>
        <w:tc>
          <w:tcPr>
            <w:tcW w:w="8940" w:type="dxa"/>
            <w:gridSpan w:val="10"/>
            <w:tcBorders>
              <w:top w:val="single" w:color="000000" w:sz="4" w:space="0"/>
              <w:left w:val="nil"/>
              <w:bottom w:val="single" w:color="000000" w:sz="4" w:space="0"/>
              <w:right w:val="single" w:color="000000" w:sz="4" w:space="0"/>
            </w:tcBorders>
            <w:shd w:val="clear" w:color="auto" w:fill="auto"/>
            <w:vAlign w:val="center"/>
          </w:tcPr>
          <w:p w14:paraId="399B1647">
            <w:pPr>
              <w:textAlignment w:val="center"/>
              <w:rPr>
                <w:i/>
                <w:iCs/>
                <w:color w:val="000000"/>
                <w:sz w:val="16"/>
                <w:szCs w:val="16"/>
                <w:lang w:val="en-US"/>
              </w:rPr>
            </w:pPr>
            <w:r>
              <w:rPr>
                <w:i/>
                <w:iCs/>
                <w:color w:val="000000"/>
                <w:sz w:val="16"/>
                <w:szCs w:val="16"/>
              </w:rPr>
              <w:t>该项目协助处理涉及我州群众的应急突发事件，为在京阿坝州籍群众服好务，保障了联络工作顺利开展，使得服务人群满意度达到</w:t>
            </w:r>
            <w:r>
              <w:rPr>
                <w:i/>
                <w:iCs/>
                <w:color w:val="000000"/>
                <w:sz w:val="16"/>
                <w:szCs w:val="16"/>
                <w:lang w:val="en-US"/>
              </w:rPr>
              <w:t>100%</w:t>
            </w:r>
            <w:r>
              <w:rPr>
                <w:i/>
                <w:iCs/>
                <w:color w:val="000000"/>
                <w:sz w:val="16"/>
                <w:szCs w:val="16"/>
              </w:rPr>
              <w:t>。</w:t>
            </w:r>
          </w:p>
        </w:tc>
      </w:tr>
      <w:tr w14:paraId="7A77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11E6">
            <w:pPr>
              <w:jc w:val="center"/>
              <w:textAlignment w:val="center"/>
              <w:rPr>
                <w:color w:val="000000"/>
                <w:sz w:val="18"/>
                <w:szCs w:val="18"/>
                <w:lang w:val="en-US"/>
              </w:rPr>
            </w:pPr>
            <w:r>
              <w:rPr>
                <w:color w:val="000000"/>
                <w:sz w:val="18"/>
                <w:szCs w:val="18"/>
              </w:rPr>
              <w:t>存在问题</w:t>
            </w:r>
          </w:p>
        </w:tc>
        <w:tc>
          <w:tcPr>
            <w:tcW w:w="8940" w:type="dxa"/>
            <w:gridSpan w:val="10"/>
            <w:tcBorders>
              <w:top w:val="single" w:color="000000" w:sz="4" w:space="0"/>
              <w:left w:val="nil"/>
              <w:bottom w:val="single" w:color="000000" w:sz="4" w:space="0"/>
              <w:right w:val="single" w:color="000000" w:sz="4" w:space="0"/>
            </w:tcBorders>
            <w:shd w:val="clear" w:color="auto" w:fill="auto"/>
            <w:vAlign w:val="center"/>
          </w:tcPr>
          <w:p w14:paraId="0F06B0BB">
            <w:pPr>
              <w:textAlignment w:val="center"/>
              <w:rPr>
                <w:i/>
                <w:iCs/>
                <w:color w:val="000000"/>
                <w:sz w:val="16"/>
                <w:szCs w:val="16"/>
                <w:lang w:val="en-US"/>
              </w:rPr>
            </w:pPr>
            <w:r>
              <w:rPr>
                <w:i/>
                <w:iCs/>
                <w:color w:val="000000"/>
                <w:sz w:val="16"/>
                <w:szCs w:val="16"/>
              </w:rPr>
              <w:t>因疫情原因，导致资金前期执行进度缓慢，造成财政资金使用效益低下的问题。</w:t>
            </w:r>
          </w:p>
        </w:tc>
      </w:tr>
      <w:tr w14:paraId="7AA0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7092">
            <w:pPr>
              <w:jc w:val="center"/>
              <w:textAlignment w:val="center"/>
              <w:rPr>
                <w:color w:val="000000"/>
                <w:sz w:val="18"/>
                <w:szCs w:val="18"/>
                <w:lang w:val="en-US"/>
              </w:rPr>
            </w:pPr>
            <w:r>
              <w:rPr>
                <w:color w:val="000000"/>
                <w:sz w:val="18"/>
                <w:szCs w:val="18"/>
              </w:rPr>
              <w:t>改进措施</w:t>
            </w:r>
          </w:p>
        </w:tc>
        <w:tc>
          <w:tcPr>
            <w:tcW w:w="8940" w:type="dxa"/>
            <w:gridSpan w:val="10"/>
            <w:tcBorders>
              <w:top w:val="single" w:color="000000" w:sz="4" w:space="0"/>
              <w:left w:val="nil"/>
              <w:bottom w:val="single" w:color="000000" w:sz="4" w:space="0"/>
              <w:right w:val="single" w:color="000000" w:sz="4" w:space="0"/>
            </w:tcBorders>
            <w:shd w:val="clear" w:color="auto" w:fill="auto"/>
            <w:vAlign w:val="center"/>
          </w:tcPr>
          <w:p w14:paraId="50381D97">
            <w:pPr>
              <w:textAlignment w:val="center"/>
              <w:rPr>
                <w:i/>
                <w:iCs/>
                <w:color w:val="000000"/>
                <w:sz w:val="16"/>
                <w:szCs w:val="16"/>
                <w:lang w:val="en-US"/>
              </w:rPr>
            </w:pPr>
            <w:r>
              <w:rPr>
                <w:i/>
                <w:iCs/>
                <w:color w:val="000000"/>
                <w:sz w:val="16"/>
                <w:szCs w:val="16"/>
              </w:rPr>
              <w:t>细化测算明细，对资金及时监督，进一步明确项目资金监管主体和责任，提高财政资金的使用效益。</w:t>
            </w:r>
          </w:p>
        </w:tc>
      </w:tr>
      <w:tr w14:paraId="2A6DD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5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0DDE3E">
            <w:pPr>
              <w:textAlignment w:val="center"/>
              <w:rPr>
                <w:color w:val="000000"/>
                <w:sz w:val="18"/>
                <w:szCs w:val="18"/>
                <w:lang w:val="en-US"/>
              </w:rPr>
            </w:pPr>
            <w:r>
              <w:rPr>
                <w:color w:val="000000"/>
                <w:sz w:val="18"/>
                <w:szCs w:val="18"/>
              </w:rPr>
              <w:t>项目负责人：吴桂贤</w:t>
            </w:r>
          </w:p>
        </w:tc>
        <w:tc>
          <w:tcPr>
            <w:tcW w:w="4920" w:type="dxa"/>
            <w:gridSpan w:val="6"/>
            <w:tcBorders>
              <w:top w:val="single" w:color="000000" w:sz="4" w:space="0"/>
              <w:left w:val="nil"/>
              <w:bottom w:val="single" w:color="000000" w:sz="4" w:space="0"/>
              <w:right w:val="single" w:color="000000" w:sz="4" w:space="0"/>
            </w:tcBorders>
            <w:shd w:val="clear" w:color="auto" w:fill="auto"/>
            <w:vAlign w:val="center"/>
          </w:tcPr>
          <w:p w14:paraId="192FFBD2">
            <w:pPr>
              <w:textAlignment w:val="center"/>
              <w:rPr>
                <w:color w:val="000000"/>
                <w:sz w:val="18"/>
                <w:szCs w:val="18"/>
                <w:lang w:val="en-US"/>
              </w:rPr>
            </w:pPr>
            <w:r>
              <w:rPr>
                <w:color w:val="000000"/>
                <w:sz w:val="18"/>
                <w:szCs w:val="18"/>
              </w:rPr>
              <w:t>财务负责人：张兴建</w:t>
            </w:r>
          </w:p>
        </w:tc>
      </w:tr>
    </w:tbl>
    <w:p w14:paraId="799462BE">
      <w:pPr>
        <w:pStyle w:val="35"/>
        <w:spacing w:before="0" w:beforeAutospacing="0"/>
      </w:pPr>
      <w:r>
        <w:rPr>
          <w:lang w:val="en-US"/>
        </w:rPr>
        <w:t xml:space="preserve"> </w:t>
      </w:r>
    </w:p>
    <w:p w14:paraId="3064DC0D">
      <w:pPr>
        <w:pStyle w:val="35"/>
        <w:spacing w:before="0" w:beforeAutospacing="0"/>
      </w:pPr>
      <w:r>
        <w:rPr>
          <w:lang w:val="en-US"/>
        </w:rPr>
        <w:t xml:space="preserve"> </w:t>
      </w:r>
    </w:p>
    <w:p w14:paraId="619908AF">
      <w:pPr>
        <w:pStyle w:val="35"/>
        <w:spacing w:before="0" w:beforeAutospacing="0"/>
      </w:pPr>
      <w:r>
        <w:rPr>
          <w:lang w:val="en-US"/>
        </w:rPr>
        <w:t xml:space="preserve"> </w:t>
      </w:r>
    </w:p>
    <w:p w14:paraId="4E765D74">
      <w:pPr>
        <w:pStyle w:val="35"/>
        <w:spacing w:before="0" w:beforeAutospacing="0"/>
      </w:pPr>
      <w:r>
        <w:rPr>
          <w:lang w:val="en-US"/>
        </w:rPr>
        <w:t xml:space="preserve"> </w:t>
      </w:r>
    </w:p>
    <w:p w14:paraId="2ABA13E6">
      <w:pPr>
        <w:pStyle w:val="35"/>
        <w:spacing w:before="0" w:beforeAutospacing="0"/>
        <w:jc w:val="center"/>
        <w:outlineLvl w:val="0"/>
        <w:rPr>
          <w:rFonts w:hint="eastAsia" w:ascii="方正小标宋简体" w:hAnsi="方正小标宋简体" w:eastAsia="方正小标宋简体" w:cs="方正小标宋简体"/>
          <w:b w:val="0"/>
          <w:bCs/>
          <w:sz w:val="44"/>
          <w:szCs w:val="44"/>
          <w:lang w:val="en-US"/>
        </w:rPr>
      </w:pPr>
      <w:bookmarkStart w:id="118" w:name="_Toc4433"/>
      <w:bookmarkEnd w:id="118"/>
      <w:bookmarkStart w:id="119" w:name="_Toc8952"/>
      <w:bookmarkEnd w:id="119"/>
      <w:bookmarkStart w:id="120" w:name="_Toc4018"/>
      <w:bookmarkEnd w:id="120"/>
      <w:bookmarkStart w:id="121" w:name="_Toc10985"/>
      <w:bookmarkStart w:id="122" w:name="_Toc8592"/>
      <w:r>
        <w:rPr>
          <w:rStyle w:val="22"/>
          <w:rFonts w:hint="eastAsia" w:ascii="方正小标宋简体" w:hAnsi="方正小标宋简体" w:eastAsia="方正小标宋简体" w:cs="方正小标宋简体"/>
          <w:b w:val="0"/>
          <w:bCs/>
          <w:sz w:val="44"/>
          <w:szCs w:val="44"/>
          <w:lang w:eastAsia="zh-CN"/>
        </w:rPr>
        <w:t>第五部分 附表</w:t>
      </w:r>
      <w:bookmarkEnd w:id="121"/>
      <w:bookmarkEnd w:id="122"/>
    </w:p>
    <w:p w14:paraId="21A785ED">
      <w:pPr>
        <w:pStyle w:val="4"/>
        <w:spacing w:before="0" w:beforeAutospacing="0"/>
        <w:rPr>
          <w:rFonts w:hint="eastAsia" w:ascii="仿宋_GB2312" w:hAnsi="仿宋_GB2312" w:eastAsia="仿宋_GB2312" w:cs="仿宋_GB2312"/>
          <w:b w:val="0"/>
          <w:bCs w:val="0"/>
          <w:sz w:val="32"/>
          <w:szCs w:val="32"/>
          <w:lang w:val="en-US"/>
        </w:rPr>
      </w:pPr>
      <w:bookmarkStart w:id="123" w:name="_Toc14172"/>
      <w:bookmarkEnd w:id="123"/>
      <w:bookmarkStart w:id="124" w:name="_Toc15541"/>
      <w:bookmarkEnd w:id="124"/>
      <w:bookmarkStart w:id="125" w:name="_Toc31970"/>
      <w:bookmarkEnd w:id="125"/>
      <w:bookmarkStart w:id="126" w:name="_Toc21655"/>
      <w:bookmarkStart w:id="127" w:name="_Toc16810"/>
      <w:r>
        <w:rPr>
          <w:rFonts w:hint="eastAsia" w:ascii="仿宋_GB2312" w:hAnsi="仿宋_GB2312" w:eastAsia="仿宋_GB2312" w:cs="仿宋_GB2312"/>
          <w:b w:val="0"/>
          <w:bCs w:val="0"/>
          <w:sz w:val="32"/>
          <w:szCs w:val="32"/>
          <w:lang w:eastAsia="zh-CN"/>
        </w:rPr>
        <w:t>一、收入支出决算总表</w:t>
      </w:r>
      <w:bookmarkEnd w:id="126"/>
      <w:bookmarkEnd w:id="127"/>
    </w:p>
    <w:p w14:paraId="2C4DCC51">
      <w:pPr>
        <w:pStyle w:val="4"/>
        <w:spacing w:before="0" w:beforeAutospacing="0"/>
        <w:rPr>
          <w:rFonts w:hint="eastAsia" w:ascii="仿宋_GB2312" w:hAnsi="仿宋_GB2312" w:eastAsia="仿宋_GB2312" w:cs="仿宋_GB2312"/>
          <w:b w:val="0"/>
          <w:bCs w:val="0"/>
          <w:sz w:val="32"/>
          <w:szCs w:val="32"/>
          <w:lang w:val="en-US"/>
        </w:rPr>
      </w:pPr>
      <w:bookmarkStart w:id="128" w:name="_Toc26031"/>
      <w:bookmarkEnd w:id="128"/>
      <w:bookmarkStart w:id="129" w:name="_Toc3839"/>
      <w:bookmarkEnd w:id="129"/>
      <w:bookmarkStart w:id="130" w:name="_Toc8064"/>
      <w:bookmarkEnd w:id="130"/>
      <w:bookmarkStart w:id="131" w:name="_Toc32125"/>
      <w:bookmarkStart w:id="132" w:name="_Toc28906"/>
      <w:r>
        <w:rPr>
          <w:rFonts w:hint="eastAsia" w:ascii="仿宋_GB2312" w:hAnsi="仿宋_GB2312" w:eastAsia="仿宋_GB2312" w:cs="仿宋_GB2312"/>
          <w:b w:val="0"/>
          <w:bCs w:val="0"/>
          <w:sz w:val="32"/>
          <w:szCs w:val="32"/>
          <w:lang w:eastAsia="zh-CN"/>
        </w:rPr>
        <w:t>二、收入决算表</w:t>
      </w:r>
      <w:bookmarkEnd w:id="131"/>
      <w:bookmarkEnd w:id="132"/>
    </w:p>
    <w:p w14:paraId="127B19A5">
      <w:pPr>
        <w:pStyle w:val="4"/>
        <w:spacing w:before="0" w:beforeAutospacing="0"/>
        <w:rPr>
          <w:rFonts w:hint="eastAsia" w:ascii="仿宋_GB2312" w:hAnsi="仿宋_GB2312" w:eastAsia="仿宋_GB2312" w:cs="仿宋_GB2312"/>
          <w:b w:val="0"/>
          <w:bCs w:val="0"/>
          <w:sz w:val="32"/>
          <w:szCs w:val="32"/>
          <w:lang w:val="en-US"/>
        </w:rPr>
      </w:pPr>
      <w:bookmarkStart w:id="133" w:name="_Toc19553"/>
      <w:bookmarkEnd w:id="133"/>
      <w:bookmarkStart w:id="134" w:name="_Toc2062"/>
      <w:bookmarkEnd w:id="134"/>
      <w:bookmarkStart w:id="135" w:name="_Toc5055"/>
      <w:bookmarkEnd w:id="135"/>
      <w:bookmarkStart w:id="136" w:name="_Toc14991"/>
      <w:bookmarkStart w:id="137" w:name="_Toc18124"/>
      <w:r>
        <w:rPr>
          <w:rFonts w:hint="eastAsia" w:ascii="仿宋_GB2312" w:hAnsi="仿宋_GB2312" w:eastAsia="仿宋_GB2312" w:cs="仿宋_GB2312"/>
          <w:b w:val="0"/>
          <w:bCs w:val="0"/>
          <w:sz w:val="32"/>
          <w:szCs w:val="32"/>
          <w:lang w:eastAsia="zh-CN"/>
        </w:rPr>
        <w:t>三、支出决算表</w:t>
      </w:r>
      <w:bookmarkEnd w:id="136"/>
      <w:bookmarkEnd w:id="137"/>
    </w:p>
    <w:p w14:paraId="0794AE82">
      <w:pPr>
        <w:pStyle w:val="4"/>
        <w:spacing w:before="0" w:beforeAutospacing="0"/>
        <w:rPr>
          <w:rFonts w:hint="eastAsia" w:ascii="仿宋_GB2312" w:hAnsi="仿宋_GB2312" w:eastAsia="仿宋_GB2312" w:cs="仿宋_GB2312"/>
          <w:b w:val="0"/>
          <w:bCs w:val="0"/>
          <w:sz w:val="32"/>
          <w:szCs w:val="32"/>
          <w:lang w:val="en-US"/>
        </w:rPr>
      </w:pPr>
      <w:bookmarkStart w:id="138" w:name="_Toc20316"/>
      <w:bookmarkEnd w:id="138"/>
      <w:bookmarkStart w:id="139" w:name="_Toc19910"/>
      <w:bookmarkEnd w:id="139"/>
      <w:bookmarkStart w:id="140" w:name="_Toc8651"/>
      <w:bookmarkEnd w:id="140"/>
      <w:bookmarkStart w:id="141" w:name="_Toc16647"/>
      <w:bookmarkStart w:id="142" w:name="_Toc419"/>
      <w:r>
        <w:rPr>
          <w:rFonts w:hint="eastAsia" w:ascii="仿宋_GB2312" w:hAnsi="仿宋_GB2312" w:eastAsia="仿宋_GB2312" w:cs="仿宋_GB2312"/>
          <w:b w:val="0"/>
          <w:bCs w:val="0"/>
          <w:sz w:val="32"/>
          <w:szCs w:val="32"/>
          <w:lang w:eastAsia="zh-CN"/>
        </w:rPr>
        <w:t>四、财政拨款收入支出决算总表</w:t>
      </w:r>
      <w:bookmarkEnd w:id="141"/>
      <w:bookmarkEnd w:id="142"/>
    </w:p>
    <w:p w14:paraId="0DCEE9AA">
      <w:pPr>
        <w:pStyle w:val="4"/>
        <w:spacing w:before="0" w:beforeAutospacing="0"/>
        <w:rPr>
          <w:rFonts w:hint="eastAsia" w:ascii="仿宋_GB2312" w:hAnsi="仿宋_GB2312" w:eastAsia="仿宋_GB2312" w:cs="仿宋_GB2312"/>
          <w:b w:val="0"/>
          <w:bCs w:val="0"/>
          <w:sz w:val="32"/>
          <w:szCs w:val="32"/>
          <w:lang w:val="en-US"/>
        </w:rPr>
      </w:pPr>
      <w:bookmarkStart w:id="143" w:name="_Toc18861"/>
      <w:bookmarkEnd w:id="143"/>
      <w:bookmarkStart w:id="144" w:name="_Toc3465"/>
      <w:bookmarkEnd w:id="144"/>
      <w:bookmarkStart w:id="145" w:name="_Toc1996"/>
      <w:bookmarkEnd w:id="145"/>
      <w:bookmarkStart w:id="146" w:name="_Toc10575"/>
      <w:bookmarkStart w:id="147" w:name="_Toc466"/>
      <w:r>
        <w:rPr>
          <w:rFonts w:hint="eastAsia" w:ascii="仿宋_GB2312" w:hAnsi="仿宋_GB2312" w:eastAsia="仿宋_GB2312" w:cs="仿宋_GB2312"/>
          <w:b w:val="0"/>
          <w:bCs w:val="0"/>
          <w:sz w:val="32"/>
          <w:szCs w:val="32"/>
          <w:lang w:eastAsia="zh-CN"/>
        </w:rPr>
        <w:t>五、财政拨款支出决算明细表</w:t>
      </w:r>
      <w:bookmarkEnd w:id="146"/>
      <w:bookmarkEnd w:id="147"/>
    </w:p>
    <w:p w14:paraId="49EFE486">
      <w:pPr>
        <w:pStyle w:val="4"/>
        <w:spacing w:before="0" w:beforeAutospacing="0"/>
        <w:rPr>
          <w:rFonts w:hint="eastAsia" w:ascii="仿宋_GB2312" w:hAnsi="仿宋_GB2312" w:eastAsia="仿宋_GB2312" w:cs="仿宋_GB2312"/>
          <w:b w:val="0"/>
          <w:bCs w:val="0"/>
          <w:sz w:val="32"/>
          <w:szCs w:val="32"/>
          <w:lang w:val="en-US"/>
        </w:rPr>
      </w:pPr>
      <w:bookmarkStart w:id="148" w:name="_Toc13901"/>
      <w:bookmarkEnd w:id="148"/>
      <w:bookmarkStart w:id="149" w:name="_Toc19748"/>
      <w:bookmarkEnd w:id="149"/>
      <w:bookmarkStart w:id="150" w:name="_Toc30879"/>
      <w:bookmarkEnd w:id="150"/>
      <w:bookmarkStart w:id="151" w:name="_Toc7997"/>
      <w:bookmarkStart w:id="152" w:name="_Toc31924"/>
      <w:r>
        <w:rPr>
          <w:rFonts w:hint="eastAsia" w:ascii="仿宋_GB2312" w:hAnsi="仿宋_GB2312" w:eastAsia="仿宋_GB2312" w:cs="仿宋_GB2312"/>
          <w:b w:val="0"/>
          <w:bCs w:val="0"/>
          <w:sz w:val="32"/>
          <w:szCs w:val="32"/>
          <w:lang w:eastAsia="zh-CN"/>
        </w:rPr>
        <w:t>六、一般公共预算财政拨款支出决算表</w:t>
      </w:r>
      <w:bookmarkEnd w:id="151"/>
      <w:bookmarkEnd w:id="152"/>
    </w:p>
    <w:p w14:paraId="2A21D13A">
      <w:pPr>
        <w:pStyle w:val="4"/>
        <w:spacing w:before="0" w:beforeAutospacing="0"/>
        <w:rPr>
          <w:rFonts w:hint="eastAsia" w:ascii="仿宋_GB2312" w:hAnsi="仿宋_GB2312" w:eastAsia="仿宋_GB2312" w:cs="仿宋_GB2312"/>
          <w:b w:val="0"/>
          <w:bCs w:val="0"/>
          <w:sz w:val="32"/>
          <w:szCs w:val="32"/>
          <w:lang w:val="en-US"/>
        </w:rPr>
      </w:pPr>
      <w:bookmarkStart w:id="153" w:name="_Toc23211"/>
      <w:bookmarkEnd w:id="153"/>
      <w:bookmarkStart w:id="154" w:name="_Toc14063"/>
      <w:bookmarkEnd w:id="154"/>
      <w:bookmarkStart w:id="155" w:name="_Toc7287"/>
      <w:bookmarkEnd w:id="155"/>
      <w:bookmarkStart w:id="156" w:name="_Toc26289"/>
      <w:bookmarkStart w:id="157" w:name="_Toc22038"/>
      <w:r>
        <w:rPr>
          <w:rFonts w:hint="eastAsia" w:ascii="仿宋_GB2312" w:hAnsi="仿宋_GB2312" w:eastAsia="仿宋_GB2312" w:cs="仿宋_GB2312"/>
          <w:b w:val="0"/>
          <w:bCs w:val="0"/>
          <w:sz w:val="32"/>
          <w:szCs w:val="32"/>
          <w:lang w:eastAsia="zh-CN"/>
        </w:rPr>
        <w:t>七、一般公共预算财政拨款支出决算明细表</w:t>
      </w:r>
      <w:bookmarkEnd w:id="156"/>
      <w:bookmarkEnd w:id="157"/>
    </w:p>
    <w:p w14:paraId="317A3379">
      <w:pPr>
        <w:pStyle w:val="4"/>
        <w:spacing w:before="0" w:beforeAutospacing="0"/>
        <w:rPr>
          <w:rFonts w:hint="eastAsia" w:ascii="仿宋_GB2312" w:hAnsi="仿宋_GB2312" w:eastAsia="仿宋_GB2312" w:cs="仿宋_GB2312"/>
          <w:b w:val="0"/>
          <w:bCs w:val="0"/>
          <w:sz w:val="32"/>
          <w:szCs w:val="32"/>
          <w:lang w:val="en-US"/>
        </w:rPr>
      </w:pPr>
      <w:bookmarkStart w:id="158" w:name="_Toc10658"/>
      <w:bookmarkEnd w:id="158"/>
      <w:bookmarkStart w:id="159" w:name="_Toc20461"/>
      <w:bookmarkEnd w:id="159"/>
      <w:bookmarkStart w:id="160" w:name="_Toc16338"/>
      <w:bookmarkEnd w:id="160"/>
      <w:bookmarkStart w:id="161" w:name="_Toc29180"/>
      <w:bookmarkStart w:id="162" w:name="_Toc14547"/>
      <w:r>
        <w:rPr>
          <w:rFonts w:hint="eastAsia" w:ascii="仿宋_GB2312" w:hAnsi="仿宋_GB2312" w:eastAsia="仿宋_GB2312" w:cs="仿宋_GB2312"/>
          <w:b w:val="0"/>
          <w:bCs w:val="0"/>
          <w:sz w:val="32"/>
          <w:szCs w:val="32"/>
          <w:lang w:eastAsia="zh-CN"/>
        </w:rPr>
        <w:t>八、一般公共预算财政拨款基本支出决算表</w:t>
      </w:r>
      <w:bookmarkEnd w:id="161"/>
      <w:bookmarkEnd w:id="162"/>
    </w:p>
    <w:p w14:paraId="1833F6B4">
      <w:pPr>
        <w:pStyle w:val="4"/>
        <w:spacing w:before="0" w:beforeAutospacing="0"/>
        <w:rPr>
          <w:rFonts w:hint="eastAsia" w:ascii="仿宋_GB2312" w:hAnsi="仿宋_GB2312" w:eastAsia="仿宋_GB2312" w:cs="仿宋_GB2312"/>
          <w:b w:val="0"/>
          <w:bCs w:val="0"/>
          <w:sz w:val="32"/>
          <w:szCs w:val="32"/>
          <w:lang w:val="en-US"/>
        </w:rPr>
      </w:pPr>
      <w:bookmarkStart w:id="163" w:name="_Toc25974"/>
      <w:bookmarkEnd w:id="163"/>
      <w:bookmarkStart w:id="164" w:name="_Toc11913"/>
      <w:bookmarkEnd w:id="164"/>
      <w:bookmarkStart w:id="165" w:name="_Toc10497"/>
      <w:bookmarkEnd w:id="165"/>
      <w:bookmarkStart w:id="166" w:name="_Toc18227"/>
      <w:bookmarkStart w:id="167" w:name="_Toc10437"/>
      <w:r>
        <w:rPr>
          <w:rFonts w:hint="eastAsia" w:ascii="仿宋_GB2312" w:hAnsi="仿宋_GB2312" w:eastAsia="仿宋_GB2312" w:cs="仿宋_GB2312"/>
          <w:b w:val="0"/>
          <w:bCs w:val="0"/>
          <w:sz w:val="32"/>
          <w:szCs w:val="32"/>
          <w:lang w:eastAsia="zh-CN"/>
        </w:rPr>
        <w:t>九、一般公共预算财政拨款项目支出决算表</w:t>
      </w:r>
      <w:bookmarkEnd w:id="166"/>
      <w:bookmarkEnd w:id="167"/>
    </w:p>
    <w:p w14:paraId="5896175A">
      <w:pPr>
        <w:pStyle w:val="4"/>
        <w:spacing w:before="0" w:beforeAutospacing="0"/>
        <w:rPr>
          <w:rFonts w:hint="eastAsia" w:ascii="仿宋_GB2312" w:hAnsi="仿宋_GB2312" w:eastAsia="仿宋_GB2312" w:cs="仿宋_GB2312"/>
          <w:b w:val="0"/>
          <w:bCs w:val="0"/>
          <w:sz w:val="32"/>
          <w:szCs w:val="32"/>
          <w:lang w:val="en-US"/>
        </w:rPr>
      </w:pPr>
      <w:bookmarkStart w:id="168" w:name="_Toc31750"/>
      <w:bookmarkEnd w:id="168"/>
      <w:bookmarkStart w:id="169" w:name="_Toc24833"/>
      <w:bookmarkEnd w:id="169"/>
      <w:bookmarkStart w:id="170" w:name="_Toc1982"/>
      <w:bookmarkEnd w:id="170"/>
      <w:bookmarkStart w:id="171" w:name="_Toc21246"/>
      <w:bookmarkStart w:id="172" w:name="_Toc7453"/>
      <w:r>
        <w:rPr>
          <w:rFonts w:hint="eastAsia" w:ascii="仿宋_GB2312" w:hAnsi="仿宋_GB2312" w:eastAsia="仿宋_GB2312" w:cs="仿宋_GB2312"/>
          <w:b w:val="0"/>
          <w:bCs w:val="0"/>
          <w:sz w:val="32"/>
          <w:szCs w:val="32"/>
          <w:lang w:eastAsia="zh-CN"/>
        </w:rPr>
        <w:t>十、政府性基金预算财政拨款收入支出决算表</w:t>
      </w:r>
      <w:bookmarkEnd w:id="171"/>
      <w:bookmarkEnd w:id="172"/>
    </w:p>
    <w:p w14:paraId="3C8695DC">
      <w:pPr>
        <w:pStyle w:val="4"/>
        <w:spacing w:before="0" w:beforeAutospacing="0"/>
        <w:rPr>
          <w:rFonts w:hint="eastAsia" w:ascii="仿宋_GB2312" w:hAnsi="仿宋_GB2312" w:eastAsia="仿宋_GB2312" w:cs="仿宋_GB2312"/>
          <w:b w:val="0"/>
          <w:bCs w:val="0"/>
          <w:sz w:val="32"/>
          <w:szCs w:val="32"/>
          <w:lang w:val="en-US"/>
        </w:rPr>
      </w:pPr>
      <w:bookmarkStart w:id="173" w:name="_Toc15624"/>
      <w:bookmarkEnd w:id="173"/>
      <w:bookmarkStart w:id="174" w:name="_Toc18662"/>
      <w:bookmarkEnd w:id="174"/>
      <w:bookmarkStart w:id="175" w:name="_Toc9662"/>
      <w:bookmarkEnd w:id="175"/>
      <w:bookmarkStart w:id="176" w:name="_Toc15050"/>
      <w:bookmarkStart w:id="177" w:name="_Toc19942"/>
      <w:r>
        <w:rPr>
          <w:rFonts w:hint="eastAsia" w:ascii="仿宋_GB2312" w:hAnsi="仿宋_GB2312" w:eastAsia="仿宋_GB2312" w:cs="仿宋_GB2312"/>
          <w:b w:val="0"/>
          <w:bCs w:val="0"/>
          <w:sz w:val="32"/>
          <w:szCs w:val="32"/>
          <w:lang w:eastAsia="zh-CN"/>
        </w:rPr>
        <w:t>十一、国有资本经营预算财政拨款收入支出决算表</w:t>
      </w:r>
      <w:bookmarkEnd w:id="176"/>
      <w:bookmarkEnd w:id="177"/>
    </w:p>
    <w:p w14:paraId="63CFDE89">
      <w:pPr>
        <w:pStyle w:val="4"/>
        <w:spacing w:before="0" w:beforeAutospacing="0"/>
        <w:rPr>
          <w:rFonts w:hint="eastAsia" w:ascii="仿宋_GB2312" w:hAnsi="仿宋_GB2312" w:eastAsia="仿宋_GB2312" w:cs="仿宋_GB2312"/>
          <w:b w:val="0"/>
          <w:bCs w:val="0"/>
          <w:sz w:val="32"/>
          <w:szCs w:val="32"/>
          <w:lang w:val="en-US"/>
        </w:rPr>
      </w:pPr>
      <w:bookmarkStart w:id="178" w:name="_Toc11881"/>
      <w:bookmarkEnd w:id="178"/>
      <w:bookmarkStart w:id="179" w:name="_Toc9247"/>
      <w:bookmarkEnd w:id="179"/>
      <w:bookmarkStart w:id="180" w:name="_Toc1949"/>
      <w:bookmarkEnd w:id="180"/>
      <w:bookmarkStart w:id="181" w:name="_Toc19018"/>
      <w:bookmarkStart w:id="182" w:name="_Toc4620"/>
      <w:r>
        <w:rPr>
          <w:rFonts w:hint="eastAsia" w:ascii="仿宋_GB2312" w:hAnsi="仿宋_GB2312" w:eastAsia="仿宋_GB2312" w:cs="仿宋_GB2312"/>
          <w:b w:val="0"/>
          <w:bCs w:val="0"/>
          <w:sz w:val="32"/>
          <w:szCs w:val="32"/>
          <w:lang w:eastAsia="zh-CN"/>
        </w:rPr>
        <w:t>十二、国有资本经营预算财政拨款支出决算表</w:t>
      </w:r>
      <w:bookmarkEnd w:id="181"/>
      <w:bookmarkEnd w:id="182"/>
    </w:p>
    <w:p w14:paraId="1AB301A8">
      <w:pPr>
        <w:pStyle w:val="4"/>
        <w:spacing w:before="0" w:beforeAutospacing="0"/>
        <w:rPr>
          <w:rFonts w:hint="eastAsia" w:ascii="仿宋_GB2312" w:hAnsi="仿宋_GB2312" w:eastAsia="仿宋_GB2312" w:cs="仿宋_GB2312"/>
          <w:b w:val="0"/>
          <w:bCs w:val="0"/>
          <w:sz w:val="32"/>
          <w:szCs w:val="32"/>
          <w:lang w:val="en-US"/>
        </w:rPr>
      </w:pPr>
      <w:bookmarkStart w:id="183" w:name="_Toc11041"/>
      <w:bookmarkEnd w:id="183"/>
      <w:bookmarkStart w:id="184" w:name="_Toc32677"/>
      <w:bookmarkEnd w:id="184"/>
      <w:bookmarkStart w:id="185" w:name="_Toc8434"/>
      <w:bookmarkEnd w:id="185"/>
      <w:bookmarkStart w:id="186" w:name="_Toc16465"/>
      <w:bookmarkStart w:id="187" w:name="_Toc4039"/>
      <w:r>
        <w:rPr>
          <w:rFonts w:hint="eastAsia" w:ascii="仿宋_GB2312" w:hAnsi="仿宋_GB2312" w:eastAsia="仿宋_GB2312" w:cs="仿宋_GB2312"/>
          <w:b w:val="0"/>
          <w:bCs w:val="0"/>
          <w:sz w:val="32"/>
          <w:szCs w:val="32"/>
          <w:lang w:eastAsia="zh-CN"/>
        </w:rPr>
        <w:t>十三、财政拨款“三公”经费支出决算表</w:t>
      </w:r>
      <w:bookmarkEnd w:id="186"/>
      <w:bookmarkEnd w:id="187"/>
    </w:p>
    <w:p w14:paraId="108F4BEC">
      <w:pPr>
        <w:pStyle w:val="4"/>
        <w:spacing w:before="0" w:beforeAutospacing="0"/>
        <w:outlineLvl w:val="9"/>
        <w:rPr>
          <w:lang w:val="en-US"/>
        </w:rPr>
      </w:pPr>
      <w:bookmarkStart w:id="188" w:name="_Toc5141"/>
      <w:bookmarkEnd w:id="188"/>
      <w:r>
        <w:rPr>
          <w:lang w:val="en-US"/>
        </w:rPr>
        <w:t xml:space="preserve"> </w:t>
      </w: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doNotCompress"/>
  <w:footnotePr>
    <w:footnote w:id="0"/>
    <w:footnote w:id="1"/>
  </w:footnotePr>
  <w:compat>
    <w:doNotExpandShiftReturn/>
    <w:doNotBreakWrappedTables/>
    <w:doNotWrapTextWithPunct/>
    <w:doNotUseEastAsianBreakRules/>
    <w:growAutofit/>
    <w:useFELayout/>
    <w:doNotUseIndentAsNumberingTabStop/>
    <w:useAltKinsokuLineBreakRules/>
    <w:compatSetting w:name="compatibilityMode" w:uri="http://schemas.microsoft.com/office/word" w:val="11"/>
  </w:compat>
  <w:docVars>
    <w:docVar w:name="commondata" w:val="eyJoZGlkIjoiN2UyOGMyM2U0NDRkNjIyNDgyYzRmNmJhNDViNjgwMjEifQ=="/>
  </w:docVars>
  <w:rsids>
    <w:rsidRoot w:val="00000000"/>
    <w:rsid w:val="00771E88"/>
    <w:rsid w:val="0E8808E5"/>
    <w:rsid w:val="249B7ACD"/>
    <w:rsid w:val="292F7BAE"/>
    <w:rsid w:val="313E45F2"/>
    <w:rsid w:val="77933F68"/>
    <w:rsid w:val="78A23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1"/>
    <w:basedOn w:val="1"/>
    <w:next w:val="1"/>
    <w:uiPriority w:val="0"/>
    <w:pPr>
      <w:keepNext w:val="0"/>
      <w:keepLines w:val="0"/>
      <w:widowControl/>
      <w:suppressLineNumbers w:val="0"/>
      <w:spacing w:before="0" w:beforeAutospacing="1" w:after="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uiPriority w:val="0"/>
    <w:pPr>
      <w:keepNext w:val="0"/>
      <w:keepLines w:val="0"/>
      <w:widowControl/>
      <w:suppressLineNumbers w:val="0"/>
      <w:spacing w:before="0" w:beforeAutospacing="1" w:after="0" w:afterAutospacing="1"/>
      <w:ind w:left="0" w:right="0"/>
      <w:jc w:val="left"/>
      <w:outlineLvl w:val="1"/>
    </w:pPr>
    <w:rPr>
      <w:rFonts w:hint="eastAsia" w:ascii="宋体" w:hAnsi="宋体" w:eastAsia="宋体" w:cs="宋体"/>
      <w:b/>
      <w:bCs/>
      <w:kern w:val="0"/>
      <w:sz w:val="36"/>
      <w:szCs w:val="36"/>
      <w:lang w:val="en-US" w:eastAsia="zh-CN" w:bidi="ar"/>
    </w:rPr>
  </w:style>
  <w:style w:type="paragraph" w:styleId="5">
    <w:name w:val="heading 3"/>
    <w:basedOn w:val="1"/>
    <w:next w:val="1"/>
    <w:uiPriority w:val="0"/>
    <w:pPr>
      <w:keepNext w:val="0"/>
      <w:keepLines w:val="0"/>
      <w:widowControl/>
      <w:suppressLineNumbers w:val="0"/>
      <w:spacing w:before="0" w:beforeAutospacing="1" w:after="0" w:afterAutospacing="1"/>
      <w:ind w:left="0" w:right="0"/>
      <w:jc w:val="left"/>
      <w:outlineLvl w:val="2"/>
    </w:pPr>
    <w:rPr>
      <w:rFonts w:hint="eastAsia" w:ascii="宋体" w:hAnsi="宋体" w:eastAsia="宋体" w:cs="宋体"/>
      <w:b/>
      <w:bCs/>
      <w:kern w:val="0"/>
      <w:sz w:val="27"/>
      <w:szCs w:val="27"/>
      <w:lang w:val="en-US" w:eastAsia="zh-CN" w:bidi="ar"/>
    </w:rPr>
  </w:style>
  <w:style w:type="paragraph" w:styleId="6">
    <w:name w:val="heading 4"/>
    <w:basedOn w:val="1"/>
    <w:next w:val="1"/>
    <w:uiPriority w:val="0"/>
    <w:pPr>
      <w:keepNext w:val="0"/>
      <w:keepLines w:val="0"/>
      <w:widowControl/>
      <w:suppressLineNumbers w:val="0"/>
      <w:spacing w:before="0" w:beforeAutospacing="1" w:after="0" w:afterAutospacing="1"/>
      <w:ind w:left="0" w:right="0"/>
      <w:jc w:val="left"/>
      <w:outlineLvl w:val="3"/>
    </w:pPr>
    <w:rPr>
      <w:rFonts w:hint="eastAsia" w:ascii="宋体" w:hAnsi="宋体" w:eastAsia="宋体" w:cs="宋体"/>
      <w:b/>
      <w:bCs/>
      <w:kern w:val="0"/>
      <w:sz w:val="24"/>
      <w:szCs w:val="24"/>
      <w:lang w:val="en-US" w:eastAsia="zh-CN" w:bidi="ar"/>
    </w:rPr>
  </w:style>
  <w:style w:type="paragraph" w:styleId="7">
    <w:name w:val="heading 5"/>
    <w:basedOn w:val="1"/>
    <w:next w:val="1"/>
    <w:uiPriority w:val="0"/>
    <w:pPr>
      <w:keepNext w:val="0"/>
      <w:keepLines w:val="0"/>
      <w:widowControl/>
      <w:suppressLineNumbers w:val="0"/>
      <w:spacing w:before="0" w:beforeAutospacing="1" w:after="0" w:afterAutospacing="1"/>
      <w:ind w:left="0" w:right="0"/>
      <w:jc w:val="left"/>
      <w:outlineLvl w:val="4"/>
    </w:pPr>
    <w:rPr>
      <w:rFonts w:hint="eastAsia" w:ascii="宋体" w:hAnsi="宋体" w:eastAsia="宋体" w:cs="宋体"/>
      <w:b/>
      <w:bCs/>
      <w:kern w:val="0"/>
      <w:sz w:val="20"/>
      <w:szCs w:val="20"/>
      <w:lang w:val="en-US" w:eastAsia="zh-CN" w:bidi="ar"/>
    </w:rPr>
  </w:style>
  <w:style w:type="paragraph" w:styleId="8">
    <w:name w:val="heading 6"/>
    <w:basedOn w:val="1"/>
    <w:next w:val="1"/>
    <w:uiPriority w:val="0"/>
    <w:pPr>
      <w:keepNext w:val="0"/>
      <w:keepLines w:val="0"/>
      <w:widowControl/>
      <w:suppressLineNumbers w:val="0"/>
      <w:spacing w:before="0" w:beforeAutospacing="1" w:after="0" w:afterAutospacing="1"/>
      <w:ind w:left="0" w:right="0"/>
      <w:jc w:val="left"/>
      <w:outlineLvl w:val="5"/>
    </w:pPr>
    <w:rPr>
      <w:rFonts w:hint="eastAsia" w:ascii="宋体" w:hAnsi="宋体" w:eastAsia="宋体" w:cs="宋体"/>
      <w:b/>
      <w:bCs/>
      <w:kern w:val="0"/>
      <w:sz w:val="15"/>
      <w:szCs w:val="15"/>
      <w:lang w:val="en-US" w:eastAsia="zh-CN" w:bidi="ar"/>
    </w:rPr>
  </w:style>
  <w:style w:type="character" w:default="1" w:styleId="15">
    <w:name w:val="Default Paragraph Font"/>
    <w:uiPriority w:val="0"/>
  </w:style>
  <w:style w:type="table" w:default="1" w:styleId="14">
    <w:name w:val="Normal Table"/>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uiPriority w:val="0"/>
    <w:pPr>
      <w:keepNext w:val="0"/>
      <w:keepLines w:val="0"/>
      <w:widowControl/>
      <w:suppressLineNumbers w:val="0"/>
      <w:spacing w:before="0" w:beforeLines="30" w:beforeAutospacing="0" w:after="0" w:afterAutospacing="0"/>
      <w:ind w:left="0" w:right="0"/>
      <w:jc w:val="left"/>
    </w:pPr>
    <w:rPr>
      <w:rFonts w:hint="eastAsia" w:ascii="仿宋_GB2312" w:hAnsi="宋体" w:eastAsia="仿宋_GB2312" w:cs="宋体"/>
      <w:kern w:val="0"/>
      <w:sz w:val="30"/>
      <w:szCs w:val="30"/>
      <w:lang w:val="en-US" w:eastAsia="zh-CN" w:bidi="ar"/>
    </w:rPr>
  </w:style>
  <w:style w:type="paragraph" w:styleId="9">
    <w:name w:val="Body Text Indent 2"/>
    <w:basedOn w:val="1"/>
    <w:uiPriority w:val="0"/>
    <w:pPr>
      <w:keepNext w:val="0"/>
      <w:keepLines w:val="0"/>
      <w:widowControl/>
      <w:suppressLineNumbers w:val="0"/>
      <w:spacing w:before="0" w:beforeAutospacing="0" w:after="0" w:afterAutospacing="0"/>
      <w:ind w:left="0" w:right="0" w:firstLine="645"/>
      <w:jc w:val="left"/>
    </w:pPr>
    <w:rPr>
      <w:rFonts w:hint="eastAsia" w:ascii="仿宋_GB2312" w:hAnsi="华文中宋" w:eastAsia="宋体" w:cs="宋体"/>
      <w:b/>
      <w:bCs/>
      <w:kern w:val="0"/>
      <w:sz w:val="28"/>
      <w:szCs w:val="28"/>
      <w:lang w:val="en-US" w:eastAsia="zh-CN" w:bidi="ar"/>
    </w:rPr>
  </w:style>
  <w:style w:type="paragraph" w:styleId="10">
    <w:name w:val="footer"/>
    <w:basedOn w:val="1"/>
    <w:uiPriority w:val="0"/>
    <w:pPr>
      <w:keepNext w:val="0"/>
      <w:keepLines w:val="0"/>
      <w:widowControl/>
      <w:suppressLineNumbers w:val="0"/>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11">
    <w:name w:val="header"/>
    <w:basedOn w:val="1"/>
    <w:uiPriority w:val="0"/>
    <w:pPr>
      <w:keepNext w:val="0"/>
      <w:keepLines w:val="0"/>
      <w:widowControl/>
      <w:suppressLineNumbers w:val="0"/>
      <w:pBdr>
        <w:top w:val="none" w:color="auto" w:sz="0" w:space="0"/>
        <w:left w:val="none" w:color="auto" w:sz="0" w:space="0"/>
        <w:bottom w:val="single" w:color="auto" w:sz="6" w:space="1"/>
        <w:right w:val="none" w:color="auto" w:sz="0" w:space="0"/>
      </w:pBdr>
      <w:snapToGrid w:val="0"/>
      <w:spacing w:before="0" w:beforeAutospacing="0" w:after="0" w:afterAutospacing="0"/>
      <w:ind w:left="0" w:right="0"/>
      <w:jc w:val="center"/>
    </w:pPr>
    <w:rPr>
      <w:rFonts w:hint="eastAsia" w:ascii="宋体" w:hAnsi="宋体" w:eastAsia="宋体" w:cs="宋体"/>
      <w:kern w:val="0"/>
      <w:sz w:val="18"/>
      <w:szCs w:val="18"/>
      <w:lang w:val="en-US" w:eastAsia="zh-CN" w:bidi="ar"/>
    </w:rPr>
  </w:style>
  <w:style w:type="paragraph" w:styleId="12">
    <w:name w:val="HTML Preformatted"/>
    <w:basedOn w:val="1"/>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13">
    <w:name w:val="Normal (Web)"/>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6">
    <w:name w:val="FollowedHyperlink"/>
    <w:basedOn w:val="15"/>
    <w:uiPriority w:val="0"/>
    <w:rPr>
      <w:color w:val="0000FF"/>
      <w:u w:val="single"/>
    </w:rPr>
  </w:style>
  <w:style w:type="character" w:styleId="17">
    <w:name w:val="Hyperlink"/>
    <w:basedOn w:val="15"/>
    <w:uiPriority w:val="0"/>
    <w:rPr>
      <w:color w:val="0000FF"/>
      <w:u w:val="single"/>
    </w:rPr>
  </w:style>
  <w:style w:type="character" w:customStyle="1" w:styleId="18">
    <w:name w:val="10"/>
    <w:basedOn w:val="15"/>
    <w:uiPriority w:val="0"/>
    <w:rPr>
      <w:rFonts w:hint="default" w:ascii="Times New Roman" w:hAnsi="Times New Roman" w:cs="Times New Roman"/>
    </w:rPr>
  </w:style>
  <w:style w:type="character" w:customStyle="1" w:styleId="19">
    <w:name w:val="29"/>
    <w:basedOn w:val="15"/>
    <w:uiPriority w:val="0"/>
    <w:rPr>
      <w:rFonts w:hint="default" w:ascii="Times New Roman" w:hAnsi="Times New Roman" w:cs="Times New Roman"/>
      <w:color w:val="0000FF"/>
      <w:u w:val="single"/>
    </w:rPr>
  </w:style>
  <w:style w:type="paragraph" w:customStyle="1" w:styleId="20">
    <w:name w:val="WPSOffice手动目录 1"/>
    <w:basedOn w:val="1"/>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宋体" w:cs="Times New Roman"/>
      <w:kern w:val="0"/>
      <w:sz w:val="20"/>
      <w:szCs w:val="20"/>
      <w:lang w:val="en-US" w:eastAsia="zh-CN" w:bidi="ar"/>
    </w:rPr>
  </w:style>
  <w:style w:type="character" w:customStyle="1" w:styleId="21">
    <w:name w:val="20"/>
    <w:basedOn w:val="15"/>
    <w:uiPriority w:val="0"/>
    <w:rPr>
      <w:rFonts w:hint="default" w:ascii="Times New Roman" w:hAnsi="Times New Roman" w:cs="Times New Roman"/>
    </w:rPr>
  </w:style>
  <w:style w:type="character" w:customStyle="1" w:styleId="22">
    <w:name w:val="28"/>
    <w:basedOn w:val="15"/>
    <w:uiPriority w:val="0"/>
    <w:rPr>
      <w:rFonts w:ascii="Symbol" w:hAnsi="Symbol" w:cs="Symbol"/>
      <w:b/>
    </w:rPr>
  </w:style>
  <w:style w:type="character" w:customStyle="1" w:styleId="23">
    <w:name w:val="33"/>
    <w:basedOn w:val="15"/>
    <w:uiPriority w:val="0"/>
    <w:rPr>
      <w:rFonts w:hint="default" w:ascii="Times New Roman" w:hAnsi="Times New Roman" w:cs="Times New Roman"/>
      <w:color w:val="0000FF"/>
      <w:u w:val="single"/>
    </w:rPr>
  </w:style>
  <w:style w:type="paragraph" w:customStyle="1" w:styleId="24">
    <w:name w:val="p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5">
    <w:name w:val="UserStyle_1"/>
    <w:basedOn w:val="1"/>
    <w:uiPriority w:val="0"/>
    <w:pPr>
      <w:keepNext w:val="0"/>
      <w:keepLines w:val="0"/>
      <w:widowControl/>
      <w:suppressLineNumbers w:val="0"/>
      <w:spacing w:before="0" w:beforeAutospacing="0" w:after="160" w:afterAutospacing="0" w:line="240" w:lineRule="exact"/>
      <w:ind w:left="0" w:right="0"/>
      <w:jc w:val="left"/>
    </w:pPr>
    <w:rPr>
      <w:rFonts w:hint="default" w:ascii="Verdana" w:hAnsi="Verdana" w:eastAsia="宋体" w:cs="Times New Roman"/>
      <w:kern w:val="0"/>
      <w:sz w:val="20"/>
      <w:szCs w:val="20"/>
      <w:lang w:val="en-US" w:eastAsia="zh-CN" w:bidi="ar"/>
    </w:rPr>
  </w:style>
  <w:style w:type="character" w:customStyle="1" w:styleId="26">
    <w:name w:val="21"/>
    <w:basedOn w:val="15"/>
    <w:uiPriority w:val="0"/>
    <w:rPr>
      <w:rFonts w:hint="default" w:ascii="Times New Roman" w:hAnsi="Times New Roman" w:cs="Times New Roman"/>
      <w:color w:val="0000FF"/>
      <w:u w:val="single"/>
    </w:rPr>
  </w:style>
  <w:style w:type="paragraph" w:customStyle="1" w:styleId="27">
    <w:name w:val="普通(网站) Char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23"/>
    <w:basedOn w:val="15"/>
    <w:uiPriority w:val="0"/>
    <w:rPr>
      <w:rFonts w:hint="default" w:ascii="Symbol" w:hAnsi="Symbol" w:cs="Symbol"/>
    </w:rPr>
  </w:style>
  <w:style w:type="character" w:customStyle="1" w:styleId="29">
    <w:name w:val="26"/>
    <w:basedOn w:val="15"/>
    <w:qFormat/>
    <w:uiPriority w:val="0"/>
    <w:rPr>
      <w:rFonts w:hint="default" w:ascii="Times New Roman" w:hAnsi="Times New Roman" w:cs="Times New Roman"/>
      <w:color w:val="0000FF"/>
      <w:u w:val="single"/>
    </w:rPr>
  </w:style>
  <w:style w:type="character" w:customStyle="1" w:styleId="30">
    <w:name w:val="32"/>
    <w:basedOn w:val="15"/>
    <w:qFormat/>
    <w:uiPriority w:val="0"/>
    <w:rPr>
      <w:rFonts w:hint="default" w:ascii="Times New Roman" w:hAnsi="Times New Roman" w:cs="Times New Roman"/>
      <w:color w:val="0000FF"/>
      <w:u w:val="single"/>
    </w:rPr>
  </w:style>
  <w:style w:type="paragraph" w:customStyle="1" w:styleId="31">
    <w:name w:val="HTML 预设格式 Char"/>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32">
    <w:name w:val="普通(网站) Char Char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33">
    <w:name w:val="HTML 预设格式 Char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34">
    <w:name w:val="WPSOffice手动目录 2"/>
    <w:basedOn w:val="1"/>
    <w:qFormat/>
    <w:uiPriority w:val="0"/>
    <w:pPr>
      <w:keepNext w:val="0"/>
      <w:keepLines w:val="0"/>
      <w:widowControl/>
      <w:suppressLineNumbers w:val="0"/>
      <w:spacing w:before="0" w:beforeAutospacing="0" w:after="0" w:afterAutospacing="0"/>
      <w:ind w:left="0" w:leftChars="200" w:right="0"/>
      <w:jc w:val="left"/>
    </w:pPr>
    <w:rPr>
      <w:rFonts w:hint="default" w:ascii="Times New Roman" w:hAnsi="Times New Roman" w:eastAsia="宋体" w:cs="Times New Roman"/>
      <w:kern w:val="0"/>
      <w:sz w:val="20"/>
      <w:szCs w:val="20"/>
      <w:lang w:val="en-US" w:eastAsia="zh-CN" w:bidi="ar"/>
    </w:rPr>
  </w:style>
  <w:style w:type="paragraph" w:customStyle="1" w:styleId="35">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6">
    <w:name w:val="30"/>
    <w:basedOn w:val="15"/>
    <w:uiPriority w:val="0"/>
    <w:rPr>
      <w:rFonts w:hint="default" w:ascii="Times New Roman" w:hAnsi="Times New Roman" w:cs="Times New Roman"/>
    </w:rPr>
  </w:style>
  <w:style w:type="character" w:customStyle="1" w:styleId="37">
    <w:name w:val="19"/>
    <w:basedOn w:val="15"/>
    <w:uiPriority w:val="0"/>
    <w:rPr>
      <w:rFonts w:hint="default" w:ascii="Times New Roman" w:hAnsi="Times New Roman" w:cs="Times New Roman"/>
    </w:rPr>
  </w:style>
  <w:style w:type="paragraph" w:customStyle="1" w:styleId="38">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 w:hAnsi="Times New Roman" w:eastAsia="宋体" w:cs="宋体"/>
      <w:color w:val="000000"/>
      <w:kern w:val="0"/>
      <w:sz w:val="24"/>
      <w:szCs w:val="24"/>
      <w:lang w:val="en-US" w:eastAsia="zh-CN" w:bidi="ar"/>
    </w:rPr>
  </w:style>
  <w:style w:type="character" w:customStyle="1" w:styleId="39">
    <w:name w:val="15"/>
    <w:basedOn w:val="15"/>
    <w:uiPriority w:val="0"/>
    <w:rPr>
      <w:rFonts w:hint="default" w:ascii="Times New Roman" w:hAnsi="Times New Roman" w:cs="Times New Roman"/>
    </w:rPr>
  </w:style>
  <w:style w:type="character" w:customStyle="1" w:styleId="40">
    <w:name w:val="18"/>
    <w:basedOn w:val="15"/>
    <w:qFormat/>
    <w:uiPriority w:val="0"/>
    <w:rPr>
      <w:rFonts w:hint="default" w:ascii="Times New Roman" w:hAnsi="Times New Roman" w:cs="Times New Roman"/>
    </w:rPr>
  </w:style>
  <w:style w:type="character" w:customStyle="1" w:styleId="41">
    <w:name w:val="16"/>
    <w:basedOn w:val="15"/>
    <w:qFormat/>
    <w:uiPriority w:val="0"/>
    <w:rPr>
      <w:rFonts w:hint="default" w:ascii="Times New Roman" w:hAnsi="Times New Roman" w:cs="Times New Roman"/>
    </w:rPr>
  </w:style>
  <w:style w:type="character" w:customStyle="1" w:styleId="42">
    <w:name w:val="17"/>
    <w:basedOn w:val="15"/>
    <w:qFormat/>
    <w:uiPriority w:val="0"/>
    <w:rPr>
      <w:rFonts w:hint="default" w:ascii="Times New Roman" w:hAnsi="Times New Roman" w:cs="Times New Roman"/>
      <w:color w:val="0000FF"/>
      <w:u w:val="single"/>
    </w:rPr>
  </w:style>
  <w:style w:type="character" w:customStyle="1" w:styleId="43">
    <w:name w:val="22"/>
    <w:basedOn w:val="15"/>
    <w:qFormat/>
    <w:uiPriority w:val="0"/>
    <w:rPr>
      <w:rFonts w:hint="default" w:ascii="Times New Roman" w:hAnsi="Times New Roman" w:cs="Times New Roman"/>
      <w:color w:val="0000FF"/>
      <w:u w:val="single"/>
    </w:rPr>
  </w:style>
  <w:style w:type="character" w:customStyle="1" w:styleId="44">
    <w:name w:val="24"/>
    <w:basedOn w:val="15"/>
    <w:qFormat/>
    <w:uiPriority w:val="0"/>
    <w:rPr>
      <w:rFonts w:hint="default" w:ascii="Verdana" w:hAnsi="Verdana" w:eastAsia="宋体" w:cs="Times New Roman"/>
      <w:sz w:val="20"/>
      <w:szCs w:val="20"/>
    </w:rPr>
  </w:style>
  <w:style w:type="character" w:customStyle="1" w:styleId="45">
    <w:name w:val="25"/>
    <w:basedOn w:val="15"/>
    <w:uiPriority w:val="0"/>
    <w:rPr>
      <w:rFonts w:hint="default" w:ascii="Times New Roman" w:hAnsi="Times New Roman" w:cs="Times New Roman"/>
    </w:rPr>
  </w:style>
  <w:style w:type="character" w:customStyle="1" w:styleId="46">
    <w:name w:val="27"/>
    <w:basedOn w:val="15"/>
    <w:qFormat/>
    <w:uiPriority w:val="0"/>
    <w:rPr>
      <w:rFonts w:hint="default" w:ascii="Times New Roman" w:hAnsi="Times New Roman" w:cs="Times New Roman"/>
    </w:rPr>
  </w:style>
  <w:style w:type="character" w:customStyle="1" w:styleId="47">
    <w:name w:val="31"/>
    <w:basedOn w:val="15"/>
    <w:qFormat/>
    <w:uiPriority w:val="0"/>
    <w:rPr>
      <w:rFonts w:hint="default" w:ascii="Times New Roman" w:hAnsi="Times New Roman" w:cs="Times New Roman"/>
      <w:b/>
    </w:rPr>
  </w:style>
  <w:style w:type="paragraph" w:customStyle="1" w:styleId="4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6866.png" TargetMode="External"/><Relationship Id="rId7" Type="http://schemas.openxmlformats.org/officeDocument/2006/relationships/image" Target="media/image2.png"/><Relationship Id="rId6"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6323.png" TargetMode="Externa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10522.png" TargetMode="External"/><Relationship Id="rId17" Type="http://schemas.openxmlformats.org/officeDocument/2006/relationships/image" Target="media/image7.png"/><Relationship Id="rId16" Type="http://schemas.openxmlformats.org/officeDocument/2006/relationships/image" Target="file:///C:\Users\ADMINI~1\AppData\Local\Temp\6831108624a147519471e3e1e781637a\59526880\../Users/ADMINI~1/AppData/Local/Temp/~tmp%252525257bfc4b13ec-2974-4e1d-84c2-0cfba31922e3%252525257d4787160.files/~tmp%252525257bfc4b13ec-2974-4e1d-84c2-0cfba31922e3%252525257d47871608840.png" TargetMode="External"/><Relationship Id="rId15" Type="http://schemas.openxmlformats.org/officeDocument/2006/relationships/image" Target="media/image6.png"/><Relationship Id="rId14"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8267.png" TargetMode="External"/><Relationship Id="rId13" Type="http://schemas.openxmlformats.org/officeDocument/2006/relationships/image" Target="media/image5.png"/><Relationship Id="rId12"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7790.png" TargetMode="External"/><Relationship Id="rId11" Type="http://schemas.openxmlformats.org/officeDocument/2006/relationships/image" Target="media/image4.png"/><Relationship Id="rId10"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7340.png" TargetMode="Externa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35</Pages>
  <Words>11780</Words>
  <Characters>12700</Characters>
  <Lines>129</Lines>
  <Paragraphs>36</Paragraphs>
  <TotalTime>1</TotalTime>
  <ScaleCrop>false</ScaleCrop>
  <LinksUpToDate>false</LinksUpToDate>
  <CharactersWithSpaces>12803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2411-12-29T16:00:00Z</dcterms:created>
  <dc:creator>Administrator</dc:creator>
  <cp:lastModifiedBy>一个笨蛋</cp:lastModifiedBy>
  <dcterms:modified xsi:type="dcterms:W3CDTF">2026-08-25T01:01:13Z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35365CEE1AFD49AA995A1DD2942D25F5_13</vt:lpwstr>
  </property>
  <property fmtid="{D5CDD505-2E9C-101B-9397-08002B2CF9AE}" pid="4" name="KSOTemplateDocerSaveRecord">
    <vt:lpwstr>eyJoZGlkIjoiYjllZGNkZWEzYjg0NDNmNTQ5MjkzNjk0ODlhNmVkYzAiLCJ1c2VySWQiOiI0MTAxMDQ4MDkifQ==</vt:lpwstr>
  </property>
</Properties>
</file>