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hd w:val="clear" w:color="auto" w:fill="FFFFFF"/>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center"/>
        <w:rPr>
          <w:rFonts w:ascii="方正小标宋简体" w:eastAsia="方正小标宋简体" w:cs="方正小标宋简体"/>
          <w:sz w:val="44"/>
          <w:szCs w:val="44"/>
        </w:rPr>
      </w:pPr>
      <w:r>
        <w:rPr>
          <w:rStyle w:val="19"/>
          <w:rFonts w:ascii="方正小标宋简体" w:eastAsia="方正小标宋简体" w:cs="方正小标宋简体" w:hint="eastAsia"/>
          <w:sz w:val="44"/>
          <w:szCs w:val="44"/>
        </w:rPr>
        <w:t>20</w:t>
      </w:r>
      <w:r>
        <w:rPr>
          <w:rStyle w:val="19"/>
          <w:rFonts w:ascii="方正小标宋简体" w:eastAsia="方正小标宋简体" w:cs="方正小标宋简体"/>
          <w:sz w:val="44"/>
          <w:szCs w:val="44"/>
        </w:rPr>
        <w:t>20</w:t>
      </w:r>
      <w:r>
        <w:rPr>
          <w:rStyle w:val="19"/>
          <w:rFonts w:ascii="方正小标宋简体" w:eastAsia="方正小标宋简体" w:cs="方正小标宋简体" w:hint="eastAsia"/>
          <w:sz w:val="44"/>
          <w:szCs w:val="44"/>
        </w:rPr>
        <w:t>年度</w:t>
      </w:r>
    </w:p>
    <w:p>
      <w:pPr>
        <w:pStyle w:val="18"/>
        <w:shd w:val="clear" w:color="auto" w:fill="FFFFFF"/>
        <w:spacing w:line="576" w:lineRule="exact"/>
        <w:jc w:val="center"/>
        <w:rPr>
          <w:rStyle w:val="19"/>
          <w:rFonts w:ascii="方正小标宋简体" w:eastAsia="方正小标宋简体" w:cs="方正小标宋简体"/>
          <w:sz w:val="44"/>
          <w:szCs w:val="44"/>
        </w:rPr>
      </w:pPr>
      <w:r>
        <w:rPr>
          <w:rStyle w:val="19"/>
          <w:rFonts w:ascii="方正小标宋简体" w:eastAsia="方正小标宋简体" w:cs="方正小标宋简体"/>
          <w:sz w:val="44"/>
          <w:szCs w:val="44"/>
        </w:rPr>
        <w:t>中共</w:t>
      </w:r>
      <w:r>
        <w:rPr>
          <w:rStyle w:val="19"/>
          <w:rFonts w:ascii="方正小标宋简体" w:eastAsia="方正小标宋简体" w:cs="方正小标宋简体" w:hint="eastAsia"/>
          <w:sz w:val="44"/>
          <w:szCs w:val="44"/>
        </w:rPr>
        <w:t>阿坝州</w:t>
      </w:r>
      <w:r>
        <w:rPr>
          <w:rStyle w:val="19"/>
          <w:rFonts w:ascii="方正小标宋简体" w:eastAsia="方正小标宋简体" w:cs="方正小标宋简体"/>
          <w:sz w:val="44"/>
          <w:szCs w:val="44"/>
        </w:rPr>
        <w:t>委</w:t>
      </w:r>
      <w:r>
        <w:rPr>
          <w:rStyle w:val="19"/>
          <w:rFonts w:ascii="方正小标宋简体" w:eastAsia="方正小标宋简体" w:cs="方正小标宋简体" w:hint="eastAsia"/>
          <w:sz w:val="44"/>
          <w:szCs w:val="44"/>
        </w:rPr>
        <w:t>外事</w:t>
      </w:r>
      <w:r>
        <w:rPr>
          <w:rStyle w:val="19"/>
          <w:rFonts w:ascii="方正小标宋简体" w:eastAsia="方正小标宋简体" w:cs="方正小标宋简体"/>
          <w:sz w:val="44"/>
          <w:szCs w:val="44"/>
        </w:rPr>
        <w:t>工作委员会</w:t>
      </w:r>
      <w:r>
        <w:rPr>
          <w:rStyle w:val="19"/>
          <w:rFonts w:ascii="方正小标宋简体" w:eastAsia="方正小标宋简体" w:cs="方正小标宋简体" w:hint="eastAsia"/>
          <w:sz w:val="44"/>
          <w:szCs w:val="44"/>
        </w:rPr>
        <w:t>办公室</w:t>
      </w:r>
    </w:p>
    <w:p>
      <w:pPr>
        <w:pStyle w:val="18"/>
        <w:shd w:val="clear" w:color="auto" w:fill="FFFFFF"/>
        <w:spacing w:line="576" w:lineRule="exact"/>
        <w:jc w:val="center"/>
        <w:rPr>
          <w:rFonts w:ascii="方正小标宋简体" w:eastAsia="方正小标宋简体" w:cs="方正小标宋简体"/>
          <w:sz w:val="44"/>
          <w:szCs w:val="44"/>
        </w:rPr>
      </w:pPr>
      <w:r>
        <w:rPr>
          <w:rStyle w:val="19"/>
          <w:rFonts w:ascii="方正小标宋简体" w:eastAsia="方正小标宋简体" w:cs="方正小标宋简体" w:hint="eastAsia"/>
          <w:sz w:val="44"/>
          <w:szCs w:val="44"/>
        </w:rPr>
        <w:t>（本级）部门决算</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rFonts w:ascii="仿宋_GB2312" w:eastAsia="仿宋_GB2312" w:hint="eastAsia"/>
          <w:sz w:val="32"/>
          <w:szCs w:val="32"/>
        </w:rPr>
        <w:t>   保密审查情况：已审查，内容审定</w:t>
      </w:r>
    </w:p>
    <w:p>
      <w:pPr>
        <w:pStyle w:val="18"/>
        <w:shd w:val="clear" w:color="auto" w:fill="FFFFFF"/>
        <w:spacing w:line="576" w:lineRule="exact"/>
        <w:jc w:val="both"/>
        <w:rPr>
          <w:sz w:val="32"/>
          <w:szCs w:val="32"/>
        </w:rPr>
      </w:pPr>
      <w:r>
        <w:rPr>
          <w:rFonts w:ascii="仿宋_GB2312" w:eastAsia="仿宋_GB2312" w:hint="eastAsia"/>
          <w:sz w:val="32"/>
          <w:szCs w:val="32"/>
        </w:rPr>
        <w:t>   部门主要负责人审签情况：已审签，同意对外公开</w:t>
      </w:r>
    </w:p>
    <w:p>
      <w:pPr>
        <w:pStyle w:val="18"/>
        <w:shd w:val="clear" w:color="auto" w:fill="FFFFFF"/>
        <w:jc w:val="both"/>
        <w:rPr>
          <w:sz w:val="32"/>
          <w:szCs w:val="32"/>
        </w:rPr>
      </w:pPr>
      <w:r>
        <w:rPr>
          <w:sz w:val="32"/>
          <w:szCs w:val="32"/>
        </w:rPr>
        <w:t> </w:t>
      </w:r>
    </w:p>
    <w:p>
      <w:pPr>
        <w:pStyle w:val="18"/>
        <w:shd w:val="clear" w:color="auto" w:fill="FFFFFF"/>
        <w:jc w:val="both"/>
        <w:rPr>
          <w:sz w:val="32"/>
          <w:szCs w:val="32"/>
        </w:rPr>
      </w:pPr>
      <w:r>
        <w:rPr>
          <w:sz w:val="32"/>
          <w:szCs w:val="32"/>
        </w:rPr>
        <w:t> </w:t>
      </w:r>
    </w:p>
    <w:p>
      <w:pPr>
        <w:spacing w:line="576" w:lineRule="exact"/>
        <w:ind w:firstLineChars="200" w:firstLine="640"/>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目录</w:t>
      </w:r>
    </w:p>
    <w:p>
      <w:pPr>
        <w:spacing w:line="576" w:lineRule="exact"/>
        <w:ind w:firstLineChars="200" w:firstLine="640"/>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公开时间：2022年6月7日</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第一部分 部门概况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一、基本职能及主要工作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二、机构设置</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第二部分度 部门决算情况说明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二、收入决算情况说明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三、支出决算情况说明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四、财政拨款收入支出决算总体情况说明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五、一般公共预算财政拨款支出决算情况说明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六、一般公共预算财政拨款基本支出决算情况说明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七、“三公”经费财政拨款支出决算情况说明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八、政府性基金预算支出决算情况说明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九、 国有资本经营预算支出决算情况说明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十、其他重要事项的情况说明 </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第三部分 名词解释</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第四部分 附件</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附件1</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附件2</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第五部分 附表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一、收入支出决算总表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二、收入决算表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三、支出决算表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四、财政拨款收入支出决算总表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五、财政拨款支出决算明细表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六、一般公共预算财政拨款支出决算表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七、一般公共预算财政拨款支出决算明细表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八、一般公共预算财政拨款基本支出决算表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九、一般公共预算财政拨款项目支出决算表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十、一般公共预算财政拨款“三公”经费支出决算表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十一、政府性基金预算财政拨款收入支出决算表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十二、政府性基金预算财政拨款“三公”经费支出决算表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十三、国有资本经营预算支出决算表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(注：请部门根据实际注明页码)</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sz w:val="32"/>
          <w:szCs w:val="32"/>
        </w:rPr>
      </w:pPr>
      <w:r>
        <w:rPr>
          <w:sz w:val="32"/>
          <w:szCs w:val="32"/>
        </w:rPr>
        <w:t> </w:t>
      </w:r>
    </w:p>
    <w:p>
      <w:pPr>
        <w:pStyle w:val="18"/>
        <w:shd w:val="clear" w:color="auto" w:fill="FFFFFF"/>
        <w:spacing w:line="576" w:lineRule="exact"/>
        <w:jc w:val="both"/>
        <w:rPr>
          <w:rStyle w:val="19"/>
          <w:rFonts w:ascii="仿宋_GB2312" w:eastAsia="仿宋_GB2312"/>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both"/>
        <w:rPr>
          <w:rFonts w:ascii="Times New Roman" w:eastAsia="仿宋_GB2312" w:cs="Times New Roman" w:hAnsi="Times New Roman"/>
          <w:b/>
          <w:bCs/>
          <w:sz w:val="32"/>
          <w:szCs w:val="32"/>
        </w:rPr>
      </w:pPr>
    </w:p>
    <w:p>
      <w:pPr>
        <w:spacing w:line="576" w:lineRule="exact"/>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第一部分 部门概况</w:t>
      </w:r>
    </w:p>
    <w:p>
      <w:pPr>
        <w:spacing w:line="576" w:lineRule="exact"/>
        <w:ind w:firstLineChars="200" w:firstLine="640"/>
        <w:jc w:val="both"/>
        <w:rPr>
          <w:rFonts w:ascii="Times New Roman" w:eastAsia="仿宋_GB2312" w:cs="Times New Roman" w:hAnsi="Times New Roman"/>
          <w:b/>
          <w:bCs/>
          <w:sz w:val="32"/>
          <w:szCs w:val="32"/>
        </w:rPr>
      </w:pP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一、基本职能及主要工作</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（一）主要职能。</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3.统筹协调管理全州各部门（单位）与外国驻我国使馆、领馆的交往活动，管理为外国领事馆和国（境）外其他官方机构服务的机构。</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4.负责州委对外党际交流与合作工作。负责以中国共产党名义出访团组的协调工作。负责中共中央对外联络部等中央部门邀请的党宾来州访问工作。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5.统筹全州民间对外交往工作，统筹全州民间组织参与国际交流协调工作。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6.综合协调全州因公出国（境）管理工作，按照授权和管理权限，负责相关事宜的审核报批及证件上缴工作。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7.负责接待来州访问或进行公务活动的国宾和外国驻华外交人员，办理相关礼宾事宜，统筹协调州委、州人大常委会、州人民政府、州政协领导的外事活动，负责办理外国受邀人员来访的审核报批事宜。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8.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9.统筹协调全州涉藏外事工作，参与协调处理阿坝州机构和人员在海外的领事保护事宜及外国人在州涉案事宜，参与处理全州重大涉外案件和涉外突发应急事件。参与协调境外非政府组织在州活动管理工作。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10.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11.指导全州外事系统的对外宣传工作。负责外国常驻我国新闻机构和来州外国记者在我州采访及外国记者的管理服务工作，负责外事、港澳和友协信息工作。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12.负责全州外事系统工作人员的教育培训工作，监督检查外事纪律和保密制度的执行情况，协调处理违反外事纪律和保密规定的重大案件。</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13.负责州委外事工作委员会的具体工作。承担有关行政审批事项。</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14.完成州委交办的其他任务。</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（二）2020年重点工作完成情况。</w:t>
      </w:r>
    </w:p>
    <w:p>
      <w:pPr>
        <w:spacing w:line="550" w:lineRule="exact"/>
        <w:ind w:firstLineChars="200" w:firstLine="640"/>
        <w:jc w:val="both"/>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迅速投入全州疫情防控大局，抗疫一线展示外事风采</w:t>
      </w:r>
    </w:p>
    <w:p>
      <w:pPr>
        <w:spacing w:line="550" w:lineRule="exact"/>
        <w:ind w:firstLineChars="200" w:firstLine="640"/>
        <w:jc w:val="both"/>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月初，</w:t>
      </w:r>
      <w:r>
        <w:rPr>
          <w:rFonts w:ascii="仿宋_GB2312" w:eastAsia="仿宋_GB2312" w:cs="仿宋_GB2312" w:hint="eastAsia"/>
          <w:spacing w:val="-6"/>
          <w:sz w:val="32"/>
          <w:szCs w:val="32"/>
        </w:rPr>
        <w:t>为应对</w:t>
      </w:r>
      <w:r>
        <w:rPr>
          <w:rFonts w:ascii="仿宋_GB2312" w:eastAsia="仿宋_GB2312" w:cs="仿宋_GB2312" w:hint="eastAsia"/>
          <w:sz w:val="32"/>
          <w:szCs w:val="32"/>
        </w:rPr>
        <w:t>国际疫情快速蔓延的态势和较高的境外输入风险，州应对新型冠状病毒肺炎疫情应急指挥部增设了外事工作组，外事工作组设在我办，负责处理日常事务；由我办牵头，建立了卫健、公安、驻外联络等部门组成的联动机制，明确工作职责，落实工作措施，确保部门间密切衔接、有效配合。督促各县（市）设立对应的工作机构；制定《阿坝州涉外（港澳）新型冠状病毒感染的肺炎疫情防控工作应急预案》，明确涉外涉港澳疫情防控工作和应急突发事件的处置程序和要求，确保关键时刻能够“拉得出、控得住、打得赢”；印发《从疫情高发国家（地区）来（返）州人员管理服务工作流程》，明确了工作对象、工作主体和工作程序，对境外来（返）州人员实施分类管理，为全州涉外涉港澳疫情防控工作提供指导和遵循。在全州疫情最吃紧、抗疫物资最紧缺的时候，按照州指挥部的要求，充分发挥外事工作资源、信息、渠道优势，开辟了国际采购渠道，在波兰采购了</w:t>
      </w:r>
      <w:r>
        <w:rPr>
          <w:rFonts w:ascii="仿宋_GB2312" w:eastAsia="仿宋_GB2312" w:cs="仿宋_GB2312"/>
          <w:sz w:val="32"/>
          <w:szCs w:val="32"/>
        </w:rPr>
        <w:t>700</w:t>
      </w:r>
      <w:r>
        <w:rPr>
          <w:rFonts w:ascii="仿宋_GB2312" w:eastAsia="仿宋_GB2312" w:cs="仿宋_GB2312" w:hint="eastAsia"/>
          <w:sz w:val="32"/>
          <w:szCs w:val="32"/>
        </w:rPr>
        <w:t>套连体防护服并移交给州指挥部办公室。在全州范围内开展在州境外人员和拟从境外来（返）州人员的底数摸排工作，依托“大排查”动态、精准掌握在州外籍人士和港澳同胞情况，做好在州外籍人士和港澳同胞信息收集排查工作；针对我州籍境外人员建立了“一人一表”台账，动态更新数据完善台账，精准指导和推进县（市）开展联防联控。联合州卫健委和州公安局对红原机场开展境外疫情防控工作进行专项检查。</w:t>
      </w:r>
      <w:r>
        <w:rPr>
          <w:rFonts w:ascii="仿宋_GB2312" w:eastAsia="仿宋_GB2312" w:cs="仿宋_GB2312" w:hint="eastAsia"/>
          <w:b/>
          <w:bCs/>
          <w:sz w:val="32"/>
          <w:szCs w:val="32"/>
        </w:rPr>
        <w:t>强化境外人员联防联控。</w:t>
      </w:r>
      <w:r>
        <w:rPr>
          <w:rFonts w:ascii="仿宋_GB2312" w:eastAsia="仿宋_GB2312" w:cs="仿宋_GB2312" w:hint="eastAsia"/>
          <w:sz w:val="32"/>
          <w:szCs w:val="32"/>
        </w:rPr>
        <w:t>做好境外来（返）州人员信息接收推送、情况排查和联防联控工作。负责接收省应急指挥部发布的境外人员入境信息和国内中高风险地区返川人员信息，及时、准确向州直相关部门和各县（市）传递数据信息，做到信息精确流动、人员精准掌握，形成信息管理闭环，确保境外来（返）州人员能够及时纳入视线。截至目前，我州未出现</w:t>
      </w:r>
      <w:r>
        <w:rPr>
          <w:rFonts w:ascii="仿宋_GB2312" w:eastAsia="仿宋_GB2312" w:cs="仿宋_GB2312"/>
          <w:sz w:val="32"/>
          <w:szCs w:val="32"/>
        </w:rPr>
        <w:t>1</w:t>
      </w:r>
      <w:r>
        <w:rPr>
          <w:rFonts w:ascii="仿宋_GB2312" w:eastAsia="仿宋_GB2312" w:cs="仿宋_GB2312" w:hint="eastAsia"/>
          <w:sz w:val="32"/>
          <w:szCs w:val="32"/>
        </w:rPr>
        <w:t>起境外输入病例或疑似病例。</w:t>
      </w:r>
      <w:r>
        <w:rPr>
          <w:rFonts w:ascii="仿宋_GB2312" w:eastAsia="仿宋_GB2312" w:cs="仿宋_GB2312" w:hint="eastAsia"/>
          <w:b/>
          <w:bCs/>
          <w:sz w:val="32"/>
          <w:szCs w:val="32"/>
        </w:rPr>
        <w:t>妥善应对涉外网络舆情。</w:t>
      </w:r>
      <w:r>
        <w:rPr>
          <w:rFonts w:ascii="仿宋_GB2312" w:eastAsia="仿宋_GB2312" w:cs="仿宋_GB2312" w:hint="eastAsia"/>
          <w:sz w:val="32"/>
          <w:szCs w:val="32"/>
        </w:rPr>
        <w:t>我办联合公安部门在交通卡点对</w:t>
      </w:r>
      <w:r>
        <w:rPr>
          <w:rFonts w:ascii="仿宋_GB2312" w:eastAsia="仿宋_GB2312" w:cs="仿宋_GB2312"/>
          <w:sz w:val="32"/>
          <w:szCs w:val="32"/>
        </w:rPr>
        <w:t>14</w:t>
      </w:r>
      <w:r>
        <w:rPr>
          <w:rFonts w:ascii="仿宋_GB2312" w:eastAsia="仿宋_GB2312" w:cs="仿宋_GB2312" w:hint="eastAsia"/>
          <w:sz w:val="32"/>
          <w:szCs w:val="32"/>
        </w:rPr>
        <w:t>批</w:t>
      </w:r>
      <w:r>
        <w:rPr>
          <w:rFonts w:ascii="仿宋_GB2312" w:eastAsia="仿宋_GB2312" w:cs="仿宋_GB2312"/>
          <w:sz w:val="32"/>
          <w:szCs w:val="32"/>
        </w:rPr>
        <w:t>54</w:t>
      </w:r>
      <w:r>
        <w:rPr>
          <w:rFonts w:ascii="仿宋_GB2312" w:eastAsia="仿宋_GB2312" w:cs="仿宋_GB2312" w:hint="eastAsia"/>
          <w:sz w:val="32"/>
          <w:szCs w:val="32"/>
        </w:rPr>
        <w:t>人次拟来州活动的境外人员予以劝返、对</w:t>
      </w:r>
      <w:r>
        <w:rPr>
          <w:rFonts w:ascii="仿宋_GB2312" w:eastAsia="仿宋_GB2312" w:cs="仿宋_GB2312"/>
          <w:sz w:val="32"/>
          <w:szCs w:val="32"/>
        </w:rPr>
        <w:t>5</w:t>
      </w:r>
      <w:r>
        <w:rPr>
          <w:rFonts w:ascii="仿宋_GB2312" w:eastAsia="仿宋_GB2312" w:cs="仿宋_GB2312" w:hint="eastAsia"/>
          <w:sz w:val="32"/>
          <w:szCs w:val="32"/>
        </w:rPr>
        <w:t>批</w:t>
      </w:r>
      <w:r>
        <w:rPr>
          <w:rFonts w:ascii="仿宋_GB2312" w:eastAsia="仿宋_GB2312" w:cs="仿宋_GB2312"/>
          <w:sz w:val="32"/>
          <w:szCs w:val="32"/>
        </w:rPr>
        <w:t>17</w:t>
      </w:r>
      <w:r>
        <w:rPr>
          <w:rFonts w:ascii="仿宋_GB2312" w:eastAsia="仿宋_GB2312" w:cs="仿宋_GB2312" w:hint="eastAsia"/>
          <w:sz w:val="32"/>
          <w:szCs w:val="32"/>
        </w:rPr>
        <w:t>人次符合条件的过境人员给予放行。按照州指挥部的要求，通过多种形式向来州旅游受阻的</w:t>
      </w:r>
      <w:r>
        <w:rPr>
          <w:rFonts w:ascii="仿宋_GB2312" w:eastAsia="仿宋_GB2312" w:cs="仿宋_GB2312"/>
          <w:sz w:val="32"/>
          <w:szCs w:val="32"/>
        </w:rPr>
        <w:t>27</w:t>
      </w:r>
      <w:r>
        <w:rPr>
          <w:rFonts w:ascii="仿宋_GB2312" w:eastAsia="仿宋_GB2312" w:cs="仿宋_GB2312" w:hint="eastAsia"/>
          <w:sz w:val="32"/>
          <w:szCs w:val="32"/>
        </w:rPr>
        <w:t>批</w:t>
      </w:r>
      <w:r>
        <w:rPr>
          <w:rFonts w:ascii="仿宋_GB2312" w:eastAsia="仿宋_GB2312" w:cs="仿宋_GB2312"/>
          <w:sz w:val="32"/>
          <w:szCs w:val="32"/>
        </w:rPr>
        <w:t>85</w:t>
      </w:r>
      <w:r>
        <w:rPr>
          <w:rFonts w:ascii="仿宋_GB2312" w:eastAsia="仿宋_GB2312" w:cs="仿宋_GB2312" w:hint="eastAsia"/>
          <w:sz w:val="32"/>
          <w:szCs w:val="32"/>
        </w:rPr>
        <w:t>人次境外游客进行了耐心细致的解释说明和劝返工作，对</w:t>
      </w:r>
      <w:r>
        <w:rPr>
          <w:rFonts w:ascii="仿宋_GB2312" w:eastAsia="仿宋_GB2312" w:cs="仿宋_GB2312"/>
          <w:sz w:val="32"/>
          <w:szCs w:val="32"/>
        </w:rPr>
        <w:t>1</w:t>
      </w:r>
      <w:r>
        <w:rPr>
          <w:rFonts w:ascii="仿宋_GB2312" w:eastAsia="仿宋_GB2312" w:cs="仿宋_GB2312" w:hint="eastAsia"/>
          <w:sz w:val="32"/>
          <w:szCs w:val="32"/>
        </w:rPr>
        <w:t>批</w:t>
      </w:r>
      <w:r>
        <w:rPr>
          <w:rFonts w:ascii="仿宋_GB2312" w:eastAsia="仿宋_GB2312" w:cs="仿宋_GB2312"/>
          <w:sz w:val="32"/>
          <w:szCs w:val="32"/>
        </w:rPr>
        <w:t>5</w:t>
      </w:r>
      <w:r>
        <w:rPr>
          <w:rFonts w:ascii="仿宋_GB2312" w:eastAsia="仿宋_GB2312" w:cs="仿宋_GB2312" w:hint="eastAsia"/>
          <w:sz w:val="32"/>
          <w:szCs w:val="32"/>
        </w:rPr>
        <w:t>人次国内电视台摄制组（其中有</w:t>
      </w:r>
      <w:r>
        <w:rPr>
          <w:rFonts w:ascii="仿宋_GB2312" w:eastAsia="仿宋_GB2312" w:cs="仿宋_GB2312"/>
          <w:sz w:val="32"/>
          <w:szCs w:val="32"/>
        </w:rPr>
        <w:t>3</w:t>
      </w:r>
      <w:r>
        <w:rPr>
          <w:rFonts w:ascii="仿宋_GB2312" w:eastAsia="仿宋_GB2312" w:cs="仿宋_GB2312" w:hint="eastAsia"/>
          <w:sz w:val="32"/>
          <w:szCs w:val="32"/>
        </w:rPr>
        <w:t>名外籍人员）拟来州拍摄旅游纪录片予以婉拒，妥善处理了</w:t>
      </w:r>
      <w:r>
        <w:rPr>
          <w:rFonts w:ascii="仿宋_GB2312" w:eastAsia="仿宋_GB2312" w:cs="仿宋_GB2312"/>
          <w:sz w:val="32"/>
          <w:szCs w:val="32"/>
        </w:rPr>
        <w:t>1</w:t>
      </w:r>
      <w:r>
        <w:rPr>
          <w:rFonts w:ascii="仿宋_GB2312" w:eastAsia="仿宋_GB2312" w:cs="仿宋_GB2312" w:hint="eastAsia"/>
          <w:sz w:val="32"/>
          <w:szCs w:val="32"/>
        </w:rPr>
        <w:t>起旅游受阻的境外人员通过政府投诉平台进行投诉事宜，妥善回复了</w:t>
      </w:r>
      <w:r>
        <w:rPr>
          <w:rFonts w:ascii="仿宋_GB2312" w:eastAsia="仿宋_GB2312" w:cs="仿宋_GB2312"/>
          <w:sz w:val="32"/>
          <w:szCs w:val="32"/>
        </w:rPr>
        <w:t>5</w:t>
      </w:r>
      <w:r>
        <w:rPr>
          <w:rFonts w:ascii="仿宋_GB2312" w:eastAsia="仿宋_GB2312" w:cs="仿宋_GB2312" w:hint="eastAsia"/>
          <w:sz w:val="32"/>
          <w:szCs w:val="32"/>
        </w:rPr>
        <w:t>起旅游受阻的境外人员通过</w:t>
      </w:r>
      <w:r>
        <w:rPr>
          <w:rFonts w:ascii="仿宋_GB2312" w:eastAsia="仿宋_GB2312" w:cs="仿宋_GB2312"/>
          <w:sz w:val="32"/>
          <w:szCs w:val="32"/>
        </w:rPr>
        <w:t>12345</w:t>
      </w:r>
      <w:r>
        <w:rPr>
          <w:rFonts w:ascii="仿宋_GB2312" w:eastAsia="仿宋_GB2312" w:cs="仿宋_GB2312" w:hint="eastAsia"/>
          <w:sz w:val="32"/>
          <w:szCs w:val="32"/>
        </w:rPr>
        <w:t>政务服务平台的咨询工作，避免引起网络舆情关注。</w:t>
      </w:r>
    </w:p>
    <w:p>
      <w:pPr>
        <w:spacing w:line="550" w:lineRule="exact"/>
        <w:ind w:firstLineChars="200" w:firstLine="640"/>
        <w:jc w:val="both"/>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．积极发挥阿坝外事工作特色，不断服务国家总体外交</w:t>
      </w:r>
    </w:p>
    <w:p>
      <w:pPr>
        <w:spacing w:line="550" w:lineRule="exact"/>
        <w:ind w:firstLineChars="200" w:firstLine="640"/>
        <w:jc w:val="both"/>
        <w:rPr>
          <w:rFonts w:ascii="仿宋_GB2312" w:eastAsia="仿宋_GB2312"/>
          <w:sz w:val="32"/>
          <w:szCs w:val="32"/>
        </w:rPr>
      </w:pPr>
      <w:r>
        <w:rPr>
          <w:rFonts w:ascii="仿宋_GB2312" w:eastAsia="仿宋_GB2312" w:cs="仿宋_GB2312" w:hint="eastAsia"/>
          <w:color w:val="000000"/>
          <w:sz w:val="32"/>
          <w:szCs w:val="32"/>
        </w:rPr>
        <w:t>由省委外办和省文旅厅组织、我州承办的外国驻蓉领团参访活动</w:t>
      </w:r>
      <w:r>
        <w:rPr>
          <w:rFonts w:ascii="仿宋_GB2312" w:eastAsia="仿宋_GB2312" w:cs="仿宋_GB2312"/>
          <w:color w:val="000000"/>
          <w:sz w:val="32"/>
          <w:szCs w:val="32"/>
        </w:rPr>
        <w:t>6</w:t>
      </w:r>
      <w:r>
        <w:rPr>
          <w:rFonts w:ascii="仿宋_GB2312" w:eastAsia="仿宋_GB2312" w:cs="仿宋_GB2312" w:hint="eastAsia"/>
          <w:color w:val="000000"/>
          <w:sz w:val="32"/>
          <w:szCs w:val="32"/>
        </w:rPr>
        <w:t>月在州顺利举行，</w:t>
      </w:r>
      <w:r>
        <w:rPr>
          <w:rFonts w:ascii="仿宋_GB2312" w:eastAsia="仿宋_GB2312" w:cs="仿宋_GB2312" w:hint="eastAsia"/>
          <w:sz w:val="32"/>
          <w:szCs w:val="32"/>
        </w:rPr>
        <w:t>共有来自奥地利、德国、瑞士、波兰、新加坡等</w:t>
      </w:r>
      <w:r>
        <w:rPr>
          <w:rFonts w:ascii="仿宋_GB2312" w:eastAsia="仿宋_GB2312" w:cs="仿宋_GB2312"/>
          <w:sz w:val="32"/>
          <w:szCs w:val="32"/>
        </w:rPr>
        <w:t>10</w:t>
      </w:r>
      <w:r>
        <w:rPr>
          <w:rFonts w:ascii="仿宋_GB2312" w:eastAsia="仿宋_GB2312" w:cs="仿宋_GB2312" w:hint="eastAsia"/>
          <w:sz w:val="32"/>
          <w:szCs w:val="32"/>
        </w:rPr>
        <w:t>个国家驻成都总领事馆的</w:t>
      </w:r>
      <w:r>
        <w:rPr>
          <w:rFonts w:ascii="仿宋_GB2312" w:eastAsia="仿宋_GB2312" w:cs="仿宋_GB2312"/>
          <w:sz w:val="32"/>
          <w:szCs w:val="32"/>
        </w:rPr>
        <w:t>21</w:t>
      </w:r>
      <w:r>
        <w:rPr>
          <w:rFonts w:ascii="仿宋_GB2312" w:eastAsia="仿宋_GB2312" w:cs="仿宋_GB2312" w:hint="eastAsia"/>
          <w:sz w:val="32"/>
          <w:szCs w:val="32"/>
        </w:rPr>
        <w:t>名领事人员参加此次活动。</w:t>
      </w:r>
      <w:r>
        <w:rPr>
          <w:rFonts w:ascii="仿宋_GB2312" w:eastAsia="仿宋_GB2312" w:cs="仿宋_GB2312" w:hint="eastAsia"/>
          <w:color w:val="000000"/>
          <w:sz w:val="32"/>
          <w:szCs w:val="32"/>
        </w:rPr>
        <w:t>本次活动是我州站在服务全国外交工作大局、利用优势旅游资源、打好涉藏宣传主动仗的一次成功实践。</w:t>
      </w:r>
      <w:r>
        <w:rPr>
          <w:rFonts w:ascii="仿宋_GB2312" w:eastAsia="仿宋_GB2312" w:cs="仿宋_GB2312" w:hint="eastAsia"/>
          <w:b/>
          <w:bCs/>
          <w:sz w:val="32"/>
          <w:szCs w:val="32"/>
        </w:rPr>
        <w:t>守望相助传递阿坝温情。</w:t>
      </w:r>
      <w:r>
        <w:rPr>
          <w:rFonts w:ascii="仿宋_GB2312" w:eastAsia="仿宋_GB2312" w:cs="仿宋_GB2312" w:hint="eastAsia"/>
          <w:sz w:val="32"/>
          <w:szCs w:val="32"/>
        </w:rPr>
        <w:t>按照“服务外交、促进友城、投桃报李、支持项目”的要求，秉持国际人道主义精神，开展对外抗疫援助工作。</w:t>
      </w:r>
      <w:r>
        <w:rPr>
          <w:rFonts w:ascii="仿宋_GB2312" w:eastAsia="仿宋_GB2312" w:cs="仿宋_GB2312"/>
          <w:sz w:val="32"/>
          <w:szCs w:val="32"/>
        </w:rPr>
        <w:t>4</w:t>
      </w:r>
      <w:r>
        <w:rPr>
          <w:rFonts w:ascii="仿宋_GB2312" w:eastAsia="仿宋_GB2312" w:cs="仿宋_GB2312" w:hint="eastAsia"/>
          <w:sz w:val="32"/>
          <w:szCs w:val="32"/>
        </w:rPr>
        <w:t>月协调汶川县向以色列援助价值</w:t>
      </w:r>
      <w:r>
        <w:rPr>
          <w:rFonts w:ascii="仿宋_GB2312" w:eastAsia="仿宋_GB2312" w:cs="仿宋_GB2312"/>
          <w:sz w:val="32"/>
          <w:szCs w:val="32"/>
        </w:rPr>
        <w:t>23</w:t>
      </w:r>
      <w:r>
        <w:rPr>
          <w:rFonts w:ascii="仿宋_GB2312" w:eastAsia="仿宋_GB2312" w:cs="仿宋_GB2312" w:hint="eastAsia"/>
          <w:sz w:val="32"/>
          <w:szCs w:val="32"/>
        </w:rPr>
        <w:t>万元的卫生防疫物资，服务了国家总体外交大局，展现了我州守望相助、救急救难的良好形象，让以色列人民真切感受到中国的开放包容和阿坝人民的真诚友善。以色列驻成都总领事馆总领事潘立文表示，阿坝的友好举动定将为深化以色列与阿坝州的友好关系起到积极作用，将推动两地交流合作不断深入。以色列当地的报纸、网站和主流华文媒体均对我州援助活动进行了宣传报道，阿坝影响、阿坝声音在以色列国内得到广泛传播。</w:t>
      </w:r>
    </w:p>
    <w:p>
      <w:pPr>
        <w:pStyle w:val="22"/>
        <w:spacing w:line="550" w:lineRule="exact"/>
        <w:ind w:firstLine="640"/>
        <w:rPr>
          <w:rFonts w:ascii="仿宋_GB2312" w:eastAsia="仿宋_GB2312" w:cs="Times New Roman"/>
          <w:b/>
          <w:bCs/>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有效做实做细外事服务工作，推动经济社会全面发展</w:t>
      </w:r>
    </w:p>
    <w:p>
      <w:pPr>
        <w:pStyle w:val="22"/>
        <w:spacing w:line="550" w:lineRule="exact"/>
        <w:ind w:firstLine="640"/>
        <w:rPr>
          <w:rFonts w:ascii="仿宋_GB2312" w:eastAsia="仿宋_GB2312" w:cs="Times New Roman"/>
          <w:snapToGrid w:val="0"/>
          <w:kern w:val="0"/>
          <w:sz w:val="32"/>
          <w:szCs w:val="32"/>
        </w:rPr>
      </w:pPr>
      <w:r>
        <w:rPr>
          <w:rFonts w:ascii="仿宋_GB2312" w:eastAsia="仿宋_GB2312" w:cs="仿宋_GB2312"/>
          <w:sz w:val="32"/>
          <w:szCs w:val="32"/>
        </w:rPr>
        <w:t>9</w:t>
      </w:r>
      <w:r>
        <w:rPr>
          <w:rFonts w:ascii="仿宋_GB2312" w:eastAsia="仿宋_GB2312" w:cs="仿宋_GB2312" w:hint="eastAsia"/>
          <w:sz w:val="32"/>
          <w:szCs w:val="32"/>
        </w:rPr>
        <w:t>月，十三届全国政协常委、十三届全国政协外事委员会副主任、中国红十字会副会长、博鳌亚洲论坛理事会秘书长李保东在州委副书记、州长杨克宁的陪同下前来映秀镇考察调研。在双方会见中，州长杨克宁诚挚欢迎博鳌亚洲论坛来州举办各类活动，借助博鳌亚洲论坛的国际会议组织平台作用为我州我州经济社会发展提供更多支持和帮助，促进我州经济社会发展。李保东秘书长建议把下一次的理事会年会的配套活动放在映秀来组织开展，并组织参会人员前往九寨沟景区参观访问。通过在我州组织博鳌亚洲论坛理事会年会的配套活动，利用前来参加理事会年会重要人士的国际影响力和国际媒体记者的宣传推介，向国际社会展示美丽和谐幸福的净土阿坝，为阿坝带来更多世界关注的目光，进一步扩大阿坝州的国际知名度和影响力，让世界看到在党中央、国务院坚强领导下的美丽阿坝和阿坝奇迹；邀请我州积极主动参与到博鳌亚洲论坛组织一系列大型论坛活动中，把阿坝州的优势资源禀赋带到世界面前，向全世界展示阿坝，让世界认识阿坝州、了解阿坝州，为阿坝州带来更多投资、智力、人才支持，撬动阿坝经济社会发展。</w:t>
      </w:r>
      <w:r>
        <w:rPr>
          <w:rFonts w:ascii="仿宋_GB2312" w:eastAsia="仿宋_GB2312" w:cs="仿宋_GB2312" w:hint="eastAsia"/>
          <w:b/>
          <w:bCs/>
          <w:sz w:val="32"/>
          <w:szCs w:val="32"/>
        </w:rPr>
        <w:t>借助领事力量提升形象。</w:t>
      </w:r>
      <w:r>
        <w:rPr>
          <w:rFonts w:ascii="仿宋_GB2312" w:eastAsia="仿宋_GB2312" w:cs="仿宋_GB2312" w:hint="eastAsia"/>
          <w:sz w:val="32"/>
          <w:szCs w:val="32"/>
        </w:rPr>
        <w:t>做好了以色列、新加坡、波兰、捷克驻成都总领事馆及加拿大驻广州总领事馆、丹麦驻上海总领事馆</w:t>
      </w:r>
      <w:r>
        <w:rPr>
          <w:rFonts w:ascii="仿宋_GB2312" w:eastAsia="仿宋_GB2312" w:cs="仿宋_GB2312"/>
          <w:sz w:val="32"/>
          <w:szCs w:val="32"/>
        </w:rPr>
        <w:t>6</w:t>
      </w:r>
      <w:r>
        <w:rPr>
          <w:rFonts w:ascii="仿宋_GB2312" w:eastAsia="仿宋_GB2312" w:cs="仿宋_GB2312" w:hint="eastAsia"/>
          <w:sz w:val="32"/>
          <w:szCs w:val="32"/>
        </w:rPr>
        <w:t>批</w:t>
      </w:r>
      <w:r>
        <w:rPr>
          <w:rFonts w:ascii="仿宋_GB2312" w:eastAsia="仿宋_GB2312" w:cs="仿宋_GB2312"/>
          <w:sz w:val="32"/>
          <w:szCs w:val="32"/>
        </w:rPr>
        <w:t>16</w:t>
      </w:r>
      <w:r>
        <w:rPr>
          <w:rFonts w:ascii="仿宋_GB2312" w:eastAsia="仿宋_GB2312" w:cs="仿宋_GB2312" w:hint="eastAsia"/>
          <w:sz w:val="32"/>
          <w:szCs w:val="32"/>
        </w:rPr>
        <w:t>人次总领事级别官员因私来州旅游相关工作，向外展现了我州涉藏地区的“四个自信”、展示了州委州政府开明开放的对外态度，借助外国驻华外交官员的力量提升我州优势旅游资源的国际知名度和美誉度。</w:t>
      </w:r>
      <w:r>
        <w:rPr>
          <w:rFonts w:ascii="仿宋_GB2312" w:eastAsia="仿宋_GB2312" w:cs="仿宋_GB2312" w:hint="eastAsia"/>
          <w:b/>
          <w:bCs/>
          <w:sz w:val="32"/>
          <w:szCs w:val="32"/>
        </w:rPr>
        <w:t>守正创新谱写交流新篇。</w:t>
      </w:r>
      <w:r>
        <w:rPr>
          <w:rFonts w:ascii="仿宋_GB2312" w:eastAsia="仿宋_GB2312" w:cs="仿宋_GB2312" w:hint="eastAsia"/>
          <w:sz w:val="32"/>
          <w:szCs w:val="32"/>
        </w:rPr>
        <w:t>新冠肺炎疫情的全球蔓延，对我州的国际友好城市建设工作按下了“暂停键”，也给我州通过国际友城深化国际合作、扩大对外开放带来了巨大考验。我办不等不靠，创新思路破解难题，积极探索利用现代科技手段打破交流屏障、推进对外开放的方法举措。通过电子邮件、微信、电话等方式，与以色列克法翠沃市开展了</w:t>
      </w:r>
      <w:r>
        <w:rPr>
          <w:rFonts w:ascii="仿宋_GB2312" w:eastAsia="仿宋_GB2312" w:cs="仿宋_GB2312"/>
          <w:sz w:val="32"/>
          <w:szCs w:val="32"/>
        </w:rPr>
        <w:t>10</w:t>
      </w:r>
      <w:r>
        <w:rPr>
          <w:rFonts w:ascii="仿宋_GB2312" w:eastAsia="仿宋_GB2312" w:cs="仿宋_GB2312" w:hint="eastAsia"/>
          <w:sz w:val="32"/>
          <w:szCs w:val="32"/>
        </w:rPr>
        <w:t>余次卓有成效的“云沟通”，深化了解、巩固情谊。协助州科学技术局为红原县华洲地毯制造农民专业合作社聘请</w:t>
      </w:r>
      <w:r>
        <w:rPr>
          <w:rFonts w:ascii="仿宋_GB2312" w:eastAsia="仿宋_GB2312" w:cs="仿宋_GB2312"/>
          <w:sz w:val="32"/>
          <w:szCs w:val="32"/>
        </w:rPr>
        <w:t>5</w:t>
      </w:r>
      <w:r>
        <w:rPr>
          <w:rFonts w:ascii="仿宋_GB2312" w:eastAsia="仿宋_GB2312" w:cs="仿宋_GB2312" w:hint="eastAsia"/>
          <w:sz w:val="32"/>
          <w:szCs w:val="32"/>
        </w:rPr>
        <w:t>名尼泊尔籍工人的“外国人来华工作”行政许可项目进行审查。</w:t>
      </w:r>
      <w:r>
        <w:rPr>
          <w:rFonts w:ascii="仿宋_GB2312" w:eastAsia="仿宋_GB2312" w:cs="仿宋_GB2312" w:hint="eastAsia"/>
          <w:b/>
          <w:bCs/>
          <w:sz w:val="32"/>
          <w:szCs w:val="32"/>
        </w:rPr>
        <w:t>强化领保护航海外安全。</w:t>
      </w:r>
      <w:r>
        <w:rPr>
          <w:rFonts w:ascii="仿宋_GB2312" w:eastAsia="仿宋_GB2312" w:cs="仿宋_GB2312" w:hint="eastAsia"/>
          <w:sz w:val="32"/>
          <w:szCs w:val="32"/>
        </w:rPr>
        <w:t>为深入贯彻总体国家安全观，加强海外领保知识宣传力度，组织“</w:t>
      </w:r>
      <w:r>
        <w:rPr>
          <w:rFonts w:ascii="仿宋_GB2312" w:eastAsia="仿宋_GB2312" w:cs="仿宋_GB2312"/>
          <w:sz w:val="32"/>
          <w:szCs w:val="32"/>
        </w:rPr>
        <w:t>4</w:t>
      </w:r>
      <w:r>
        <w:rPr>
          <w:rFonts w:ascii="仿宋_GB2312" w:eastAsia="仿宋_GB2312" w:cs="仿宋_GB2312" w:hint="eastAsia"/>
          <w:sz w:val="32"/>
          <w:szCs w:val="32"/>
        </w:rPr>
        <w:t>·</w:t>
      </w:r>
      <w:r>
        <w:rPr>
          <w:rFonts w:ascii="仿宋_GB2312" w:eastAsia="仿宋_GB2312" w:cs="仿宋_GB2312"/>
          <w:sz w:val="32"/>
          <w:szCs w:val="32"/>
        </w:rPr>
        <w:t>15</w:t>
      </w:r>
      <w:r>
        <w:rPr>
          <w:rFonts w:ascii="仿宋_GB2312" w:eastAsia="仿宋_GB2312" w:cs="仿宋_GB2312" w:hint="eastAsia"/>
          <w:sz w:val="32"/>
          <w:szCs w:val="32"/>
        </w:rPr>
        <w:t>”全民国家安全教育日宣传活动，发放《中国领事保护和协助指南》</w:t>
      </w:r>
      <w:r>
        <w:rPr>
          <w:rFonts w:ascii="仿宋_GB2312" w:eastAsia="仿宋_GB2312" w:cs="仿宋_GB2312"/>
          <w:sz w:val="32"/>
          <w:szCs w:val="32"/>
        </w:rPr>
        <w:t>300</w:t>
      </w:r>
      <w:r>
        <w:rPr>
          <w:rFonts w:ascii="仿宋_GB2312" w:eastAsia="仿宋_GB2312" w:cs="仿宋_GB2312" w:hint="eastAsia"/>
          <w:sz w:val="32"/>
          <w:szCs w:val="32"/>
        </w:rPr>
        <w:t>余册、制作</w:t>
      </w:r>
      <w:r>
        <w:rPr>
          <w:rFonts w:ascii="仿宋_GB2312" w:eastAsia="仿宋_GB2312" w:cs="仿宋_GB2312"/>
          <w:sz w:val="32"/>
          <w:szCs w:val="32"/>
        </w:rPr>
        <w:t xml:space="preserve"> </w:t>
      </w:r>
      <w:r>
        <w:rPr>
          <w:rFonts w:ascii="仿宋_GB2312" w:eastAsia="仿宋_GB2312" w:cs="仿宋_GB2312" w:hint="eastAsia"/>
          <w:sz w:val="32"/>
          <w:szCs w:val="32"/>
        </w:rPr>
        <w:t>“祖国在你身后</w:t>
      </w:r>
      <w:r>
        <w:rPr>
          <w:rFonts w:ascii="仿宋_GB2312" w:eastAsia="仿宋_GB2312" w:cs="仿宋_GB2312"/>
          <w:sz w:val="32"/>
          <w:szCs w:val="32"/>
        </w:rPr>
        <w:t>——</w:t>
      </w:r>
      <w:r>
        <w:rPr>
          <w:rFonts w:ascii="仿宋_GB2312" w:eastAsia="仿宋_GB2312" w:cs="仿宋_GB2312" w:hint="eastAsia"/>
          <w:sz w:val="32"/>
          <w:szCs w:val="32"/>
        </w:rPr>
        <w:t>中国海外领事保护典型案例”和“祖国在你身边</w:t>
      </w:r>
      <w:r>
        <w:rPr>
          <w:rFonts w:ascii="仿宋_GB2312" w:eastAsia="仿宋_GB2312" w:cs="仿宋_GB2312"/>
          <w:sz w:val="32"/>
          <w:szCs w:val="32"/>
        </w:rPr>
        <w:t>——</w:t>
      </w:r>
      <w:r>
        <w:rPr>
          <w:rFonts w:ascii="仿宋_GB2312" w:eastAsia="仿宋_GB2312" w:cs="仿宋_GB2312" w:hint="eastAsia"/>
          <w:sz w:val="32"/>
          <w:szCs w:val="32"/>
        </w:rPr>
        <w:t>患难见真情、共同抗疫情”展板</w:t>
      </w:r>
      <w:r>
        <w:rPr>
          <w:rFonts w:ascii="仿宋_GB2312" w:eastAsia="仿宋_GB2312" w:cs="仿宋_GB2312"/>
          <w:sz w:val="32"/>
          <w:szCs w:val="32"/>
        </w:rPr>
        <w:t>2</w:t>
      </w:r>
      <w:r>
        <w:rPr>
          <w:rFonts w:ascii="仿宋_GB2312" w:eastAsia="仿宋_GB2312" w:cs="仿宋_GB2312" w:hint="eastAsia"/>
          <w:sz w:val="32"/>
          <w:szCs w:val="32"/>
        </w:rPr>
        <w:t>幅、滚动播放外交部涉外安全和领事保护视频资料，有效普及了领事保护知识，进一步提高了阿坝州各族群众海外风险防范意识和自我保护能力；针对因疫情滞留海外和有出境留学、务工打算的我州人员，印发《阿坝州居民出国特别提醒》和《新冠肺炎疫情期间我州企业境外机构、人员安全防范和保障工作预案（试行）》，并通过线上、线下渠道开展全方位宣传，不断提高我州居民海外安全保护意识和安全防范能力，切实防范海外疫情负面影响和各类安全问题叠加风险，全力保护我州境外人员安全。同时，积极配合我驻泰国使领馆，在春节妥善处置涉及我州汶川县居民在泰国的</w:t>
      </w:r>
      <w:r>
        <w:rPr>
          <w:rFonts w:ascii="仿宋_GB2312" w:eastAsia="仿宋_GB2312" w:cs="仿宋_GB2312"/>
          <w:sz w:val="32"/>
          <w:szCs w:val="32"/>
        </w:rPr>
        <w:t>1</w:t>
      </w:r>
      <w:r>
        <w:rPr>
          <w:rFonts w:ascii="仿宋_GB2312" w:eastAsia="仿宋_GB2312" w:cs="仿宋_GB2312" w:hint="eastAsia"/>
          <w:sz w:val="32"/>
          <w:szCs w:val="32"/>
        </w:rPr>
        <w:t>起海外领事保护案（事）件。</w:t>
      </w:r>
      <w:r>
        <w:rPr>
          <w:rFonts w:ascii="仿宋_GB2312" w:eastAsia="仿宋_GB2312" w:cs="仿宋_GB2312"/>
          <w:sz w:val="32"/>
          <w:szCs w:val="32"/>
        </w:rPr>
        <w:t xml:space="preserve">    </w:t>
      </w:r>
    </w:p>
    <w:p>
      <w:pPr>
        <w:spacing w:line="550" w:lineRule="exact"/>
        <w:ind w:firstLineChars="200" w:firstLine="640"/>
        <w:jc w:val="both"/>
        <w:rPr>
          <w:rFonts w:ascii="仿宋_GB2312" w:eastAsia="仿宋_GB2312"/>
          <w:b/>
          <w:bCs/>
          <w:sz w:val="32"/>
          <w:szCs w:val="32"/>
        </w:rPr>
      </w:pPr>
      <w:r>
        <w:rPr>
          <w:rFonts w:ascii="仿宋_GB2312" w:eastAsia="仿宋_GB2312" w:cs="仿宋_GB2312"/>
          <w:b/>
          <w:bCs/>
          <w:sz w:val="32"/>
          <w:szCs w:val="32"/>
        </w:rPr>
        <w:t>4</w:t>
      </w:r>
      <w:r>
        <w:rPr>
          <w:rFonts w:ascii="仿宋_GB2312" w:eastAsia="仿宋_GB2312" w:cs="仿宋_GB2312" w:hint="eastAsia"/>
          <w:b/>
          <w:bCs/>
          <w:sz w:val="32"/>
          <w:szCs w:val="32"/>
        </w:rPr>
        <w:t>．大力加强思想政治建设，打造高素质专业化外事铁军</w:t>
      </w:r>
    </w:p>
    <w:p>
      <w:pPr>
        <w:spacing w:line="550" w:lineRule="exact"/>
        <w:ind w:firstLineChars="200" w:firstLine="640"/>
        <w:jc w:val="both"/>
        <w:rPr>
          <w:rFonts w:eastAsia="黑体"/>
          <w:color w:val="000000"/>
          <w:sz w:val="32"/>
          <w:szCs w:val="32"/>
        </w:rPr>
      </w:pPr>
      <w:r>
        <w:rPr>
          <w:rFonts w:ascii="仿宋_GB2312" w:eastAsia="仿宋_GB2312" w:cs="仿宋_GB2312" w:hint="eastAsia"/>
          <w:b/>
          <w:bCs/>
          <w:sz w:val="32"/>
          <w:szCs w:val="32"/>
        </w:rPr>
        <w:t>强化党管外事思想认识。</w:t>
      </w:r>
      <w:r>
        <w:rPr>
          <w:rFonts w:ascii="仿宋_GB2312" w:eastAsia="仿宋_GB2312" w:cs="仿宋_GB2312" w:hint="eastAsia"/>
          <w:sz w:val="32"/>
          <w:szCs w:val="32"/>
        </w:rPr>
        <w:t>认真贯彻中央、省委、州委关于意识形态工作的部署，定期研判分析意识形态工作形势，开展国家安全教育，引导党员干部树牢“防窃密、防渗透、防策反”意识，切实维护国家主权、安全和发展利益。</w:t>
      </w:r>
      <w:r>
        <w:rPr>
          <w:rFonts w:ascii="仿宋_GB2312" w:eastAsia="仿宋_GB2312" w:cs="仿宋_GB2312" w:hint="eastAsia"/>
          <w:b/>
          <w:bCs/>
          <w:sz w:val="32"/>
          <w:szCs w:val="32"/>
        </w:rPr>
        <w:t>提升因公出国（境）管理水平。</w:t>
      </w:r>
      <w:r>
        <w:rPr>
          <w:rFonts w:ascii="仿宋_GB2312" w:eastAsia="仿宋_GB2312" w:cs="仿宋_GB2312" w:hint="eastAsia"/>
          <w:sz w:val="32"/>
          <w:szCs w:val="32"/>
        </w:rPr>
        <w:t>利用疫情“空窗期”，加强涉外管理工作规范化。结合当前阿坝开放发展形势，我州对部分内容已不符合当前开放发展需求的文件予以废止，对加强全州因公出国（境）管理工作进行了严格规范。制发《阿坝州因公临时出国（境）办理流程》、《阿坝州因公出国（境）手续办理指南》，不断规范全州因公出国（境）工作办理程序，确保依法依规、便于操作。审核报批因公出国（境）手续</w:t>
      </w:r>
      <w:r>
        <w:rPr>
          <w:rFonts w:ascii="仿宋_GB2312" w:eastAsia="仿宋_GB2312" w:cs="仿宋_GB2312"/>
          <w:sz w:val="32"/>
          <w:szCs w:val="32"/>
        </w:rPr>
        <w:t>1</w:t>
      </w:r>
      <w:r>
        <w:rPr>
          <w:rFonts w:ascii="仿宋_GB2312" w:eastAsia="仿宋_GB2312" w:cs="仿宋_GB2312" w:hint="eastAsia"/>
          <w:sz w:val="32"/>
          <w:szCs w:val="32"/>
        </w:rPr>
        <w:t>批</w:t>
      </w:r>
      <w:r>
        <w:rPr>
          <w:rFonts w:ascii="仿宋_GB2312" w:eastAsia="仿宋_GB2312" w:cs="仿宋_GB2312"/>
          <w:sz w:val="32"/>
          <w:szCs w:val="32"/>
        </w:rPr>
        <w:t>2</w:t>
      </w:r>
      <w:r>
        <w:rPr>
          <w:rFonts w:ascii="仿宋_GB2312" w:eastAsia="仿宋_GB2312" w:cs="仿宋_GB2312" w:hint="eastAsia"/>
          <w:sz w:val="32"/>
          <w:szCs w:val="32"/>
        </w:rPr>
        <w:t>人次。</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二、机构设置</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根据工作职责，州委外办为行政单位，内设行政科室3个：综合科、外事科和港澳事务科。</w:t>
      </w:r>
    </w:p>
    <w:p>
      <w:pPr>
        <w:spacing w:line="576" w:lineRule="exact"/>
        <w:ind w:firstLineChars="200" w:firstLine="640"/>
        <w:jc w:val="both"/>
        <w:rPr>
          <w:rFonts w:ascii="Times New Roman" w:eastAsia="仿宋_GB2312" w:cs="Times New Roman" w:hAnsi="Times New Roman"/>
          <w:sz w:val="32"/>
          <w:szCs w:val="32"/>
        </w:rPr>
      </w:pPr>
    </w:p>
    <w:p>
      <w:pPr>
        <w:spacing w:line="576" w:lineRule="exact"/>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第二部分</w:t>
      </w:r>
      <w:r>
        <w:rPr>
          <w:rFonts w:ascii="Times New Roman" w:eastAsia="仿宋_GB2312" w:cs="Times New Roman" w:hAnsi="Times New Roman" w:hint="eastAsia"/>
          <w:b/>
          <w:bCs/>
          <w:sz w:val="32"/>
          <w:szCs w:val="32"/>
        </w:rPr>
        <w:t xml:space="preserve"> </w:t>
      </w:r>
      <w:r>
        <w:rPr>
          <w:rFonts w:ascii="Times New Roman" w:eastAsia="仿宋_GB2312" w:cs="Times New Roman" w:hAnsi="Times New Roman"/>
          <w:b/>
          <w:bCs/>
          <w:sz w:val="32"/>
          <w:szCs w:val="32"/>
        </w:rPr>
        <w:t xml:space="preserve"> 2020年度部门决算情况说明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 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2020年度收、支总计178.99万元。与2019年相比，收、支总计各减少68.69万元，减少27.73%。主要变动原因是：一是在2020年度我办未参加因公出国团组，未产生因公出国（境）费用，而2019年决算里列支了因公出国（境）费13.2万元；二是在2020年度我办未举办会议，未产生会议费，而2019年决算里列支了会议费1.61万元；三是2020年里受疫情影响，我办的公务活动减少，加之我办严格按照相关规定，控制公用经费支出，办公费、交通费、差旅费等均有不同程度下降。</w:t>
      </w:r>
    </w:p>
    <w:p>
      <w:pPr>
        <w:spacing w:line="576" w:lineRule="exact"/>
        <w:ind w:firstLineChars="200" w:firstLine="640"/>
        <w:jc w:val="both"/>
        <w:rPr>
          <w:sz w:val="32"/>
          <w:szCs w:val="32"/>
        </w:rPr>
      </w:pPr>
      <w:r>
        <w:rPr>
          <w:rFonts w:ascii="Times New Roman" w:eastAsia="仿宋_GB2312" w:cs="Times New Roman" w:hAnsi="Times New Roman"/>
          <w:sz w:val="32"/>
          <w:szCs w:val="32"/>
        </w:rPr>
        <w:drawing>
          <wp:anchor distT="0" distB="0" distL="85723" distR="85723" simplePos="0" relativeHeight="24" behindDoc="0" locked="0" layoutInCell="1" hidden="0" allowOverlap="1">
            <wp:simplePos x="0" y="0"/>
            <wp:positionH relativeFrom="column">
              <wp:posOffset>301626</wp:posOffset>
            </wp:positionH>
            <wp:positionV relativeFrom="paragraph">
              <wp:posOffset>81319</wp:posOffset>
            </wp:positionV>
            <wp:extent cx="4571929" cy="2743157"/>
            <wp:effectExtent l="0" t="0" r="1" b="1"/>
            <wp:wrapSquare wrapText="bothSides"/>
            <wp:docPr id="1" name="图片"/>
            <wp:cNvGraphicFramePr>
              <a:graphicFrameLocks noChangeAspect="1"/>
            </wp:cNvGraphicFramePr>
            <a:graphic>
              <a:graphicData uri="http://schemas.openxmlformats.org/drawingml/2006/picture">
                <pic:pic>
                  <pic:nvPicPr>
                    <pic:cNvPr id="3" name="图片 3"/>
                    <pic:cNvPicPr/>
                  </pic:nvPicPr>
                  <pic:blipFill>
                    <a:blip r:embed="rId2"/>
                    <a:stretch>
                      <a:fillRect/>
                    </a:stretch>
                  </pic:blipFill>
                  <pic:spPr>
                    <a:xfrm rot="0">
                      <a:off x="0" y="0"/>
                      <a:ext cx="4571929" cy="2743157"/>
                    </a:xfrm>
                    <a:prstGeom prst="rect"/>
                    <a:noFill/>
                    <a:ln w="9525" cmpd="sng" cap="flat">
                      <a:noFill/>
                      <a:prstDash val="solid"/>
                      <a:miter/>
                    </a:ln>
                  </pic:spPr>
                </pic:pic>
              </a:graphicData>
            </a:graphic>
          </wp:anchor>
        </w:drawing>
      </w:r>
      <w:r>
        <w:rPr>
          <w:rFonts w:ascii="仿宋_GB2312" w:eastAsia="仿宋_GB2312" w:hint="eastAsia"/>
          <w:sz w:val="32"/>
          <w:szCs w:val="32"/>
        </w:rPr>
        <w:t>（图1：收、支决算总计变动情况图）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二、收入决算情况说明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2020 年本年收入合计146.64万元，其中：一般公共预算财政拨款收入146.64万元，占 81.92%；年初结转和结余32.35万元，占 18.08%。</w:t>
      </w:r>
    </w:p>
    <w:p>
      <w:pPr>
        <w:pStyle w:val="18"/>
        <w:shd w:val="clear" w:color="auto" w:fill="FFFFFF"/>
        <w:jc w:val="both"/>
        <w:rPr>
          <w:sz w:val="32"/>
          <w:szCs w:val="32"/>
        </w:rPr>
      </w:pPr>
      <w:r>
        <w:rPr>
          <w:sz w:val="32"/>
          <w:szCs w:val="32"/>
        </w:rPr>
        <w:drawing>
          <wp:inline distT="0" distB="0" distL="85723" distR="85723">
            <wp:extent cx="4571929" cy="2743157"/>
            <wp:effectExtent l="0" t="0" r="1" b="1"/>
            <wp:docPr id="4" name="图片"/>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0">
                      <a:off x="0" y="0"/>
                      <a:ext cx="4571929" cy="2743157"/>
                    </a:xfrm>
                    <a:prstGeom prst="rect"/>
                    <a:noFill/>
                    <a:ln w="9525" cmpd="sng" cap="flat">
                      <a:noFill/>
                      <a:prstDash val="solid"/>
                      <a:miter/>
                    </a:ln>
                  </pic:spPr>
                </pic:pic>
              </a:graphicData>
            </a:graphic>
          </wp:inline>
        </w:drawing>
      </w:r>
    </w:p>
    <w:p>
      <w:pPr>
        <w:pStyle w:val="18"/>
        <w:shd w:val="clear" w:color="auto" w:fill="FFFFFF"/>
        <w:jc w:val="both"/>
        <w:rPr>
          <w:sz w:val="32"/>
          <w:szCs w:val="32"/>
        </w:rPr>
      </w:pPr>
      <w:r>
        <w:rPr>
          <w:rFonts w:ascii="仿宋_GB2312" w:eastAsia="仿宋_GB2312" w:hint="eastAsia"/>
          <w:sz w:val="32"/>
          <w:szCs w:val="32"/>
        </w:rPr>
        <w:t>（图2：收入决算结构图）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2020年本年支出合计178.99万元，其中：基本支出178.99万元，占100%。</w:t>
      </w:r>
    </w:p>
    <w:p>
      <w:pPr>
        <w:pStyle w:val="18"/>
        <w:shd w:val="clear" w:color="auto" w:fill="FFFFFF"/>
        <w:jc w:val="both"/>
        <w:rPr>
          <w:sz w:val="32"/>
          <w:szCs w:val="32"/>
        </w:rPr>
      </w:pPr>
      <w:r>
        <w:rPr>
          <w:sz w:val="32"/>
          <w:szCs w:val="32"/>
        </w:rPr>
        <w:t> </w:t>
      </w:r>
      <w:r>
        <w:rPr>
          <w:sz w:val="32"/>
          <w:szCs w:val="32"/>
        </w:rPr>
        <w:drawing>
          <wp:inline distT="0" distB="0" distL="85723" distR="85723">
            <wp:extent cx="4571929" cy="2270540"/>
            <wp:effectExtent l="0" t="0" r="1" b="5"/>
            <wp:docPr id="7" name="图片"/>
            <wp:cNvGraphicFramePr>
              <a:graphicFrameLocks noChangeAspect="1"/>
            </wp:cNvGraphicFramePr>
            <a:graphic>
              <a:graphicData uri="http://schemas.openxmlformats.org/drawingml/2006/picture">
                <pic:pic>
                  <pic:nvPicPr>
                    <pic:cNvPr id="9" name="图片 9"/>
                    <pic:cNvPicPr/>
                  </pic:nvPicPr>
                  <pic:blipFill>
                    <a:blip r:embed="rId4"/>
                    <a:stretch>
                      <a:fillRect/>
                    </a:stretch>
                  </pic:blipFill>
                  <pic:spPr>
                    <a:xfrm rot="0">
                      <a:off x="0" y="0"/>
                      <a:ext cx="4571929" cy="2270540"/>
                    </a:xfrm>
                    <a:prstGeom prst="rect"/>
                    <a:noFill/>
                    <a:ln w="9525" cmpd="sng" cap="flat">
                      <a:noFill/>
                      <a:prstDash val="solid"/>
                      <a:miter/>
                    </a:ln>
                  </pic:spPr>
                </pic:pic>
              </a:graphicData>
            </a:graphic>
          </wp:inline>
        </w:drawing>
      </w:r>
    </w:p>
    <w:p>
      <w:pPr>
        <w:pStyle w:val="18"/>
        <w:shd w:val="clear" w:color="auto" w:fill="FFFFFF"/>
        <w:jc w:val="both"/>
        <w:rPr>
          <w:sz w:val="32"/>
          <w:szCs w:val="32"/>
        </w:rPr>
      </w:pPr>
      <w:r>
        <w:rPr>
          <w:rFonts w:ascii="仿宋_GB2312" w:eastAsia="仿宋_GB2312" w:hint="eastAsia"/>
          <w:sz w:val="32"/>
          <w:szCs w:val="32"/>
        </w:rPr>
        <w:t>（图3：支出决算结构图）（饼状图）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四、财政拨款收入支出决算总体情况说明</w:t>
      </w:r>
    </w:p>
    <w:p>
      <w:pPr>
        <w:spacing w:line="576" w:lineRule="exact"/>
        <w:ind w:firstLineChars="200" w:firstLine="640"/>
        <w:jc w:val="both"/>
        <w:rPr>
          <w:sz w:val="32"/>
          <w:szCs w:val="32"/>
        </w:rPr>
      </w:pPr>
      <w:r>
        <w:rPr>
          <w:rFonts w:ascii="Times New Roman" w:eastAsia="仿宋_GB2312" w:cs="Times New Roman" w:hAnsi="Times New Roman"/>
          <w:sz w:val="32"/>
          <w:szCs w:val="32"/>
        </w:rPr>
        <w:t>2020 年财政拨款收、支总计178.99万元。与2019年相比，财政拨款收、支总计各减少68.69万元，减少27.73%。主要变动原因是：一是在2020年度我办未参加因公出国团组，未产生因公出国（境）费用，而2019年决算里列支了因公出国（境）费13.2万元；二是在2020年度我办未举办会议，未产生会议费，而2019年决算里列支了会议费1.61万元；三是2020年里受疫情影响，我办的公务活动减少，加之我办严格按照相关规定，控制公用经费支出，办公费、交通费、差旅费等均有不同程度下降。</w:t>
      </w:r>
    </w:p>
    <w:p>
      <w:pPr>
        <w:pStyle w:val="18"/>
        <w:shd w:val="clear" w:color="auto" w:fill="FFFFFF"/>
        <w:jc w:val="both"/>
        <w:rPr>
          <w:sz w:val="32"/>
          <w:szCs w:val="32"/>
        </w:rPr>
      </w:pPr>
      <w:r>
        <w:rPr>
          <w:sz w:val="32"/>
          <w:szCs w:val="32"/>
        </w:rPr>
        <w:drawing>
          <wp:anchor distT="0" distB="0" distL="85723" distR="85723" simplePos="0" relativeHeight="26" behindDoc="0" locked="0" layoutInCell="1" hidden="0" allowOverlap="1">
            <wp:simplePos x="0" y="0"/>
            <wp:positionH relativeFrom="column">
              <wp:posOffset>322037</wp:posOffset>
            </wp:positionH>
            <wp:positionV relativeFrom="paragraph">
              <wp:posOffset>71022</wp:posOffset>
            </wp:positionV>
            <wp:extent cx="4571929" cy="2743157"/>
            <wp:effectExtent l="0" t="0" r="1" b="0"/>
            <wp:wrapSquare wrapText="bothSides"/>
            <wp:docPr id="10" name="图片"/>
            <wp:cNvGraphicFramePr>
              <a:graphicFrameLocks noChangeAspect="1"/>
            </wp:cNvGraphicFramePr>
            <a:graphic>
              <a:graphicData uri="http://schemas.openxmlformats.org/drawingml/2006/picture">
                <pic:pic>
                  <pic:nvPicPr>
                    <pic:cNvPr id="11" name="图片 11"/>
                    <pic:cNvPicPr/>
                  </pic:nvPicPr>
                  <pic:blipFill>
                    <a:blip r:embed="rId5"/>
                    <a:stretch>
                      <a:fillRect/>
                    </a:stretch>
                  </pic:blipFill>
                  <pic:spPr>
                    <a:xfrm rot="0">
                      <a:off x="0" y="0"/>
                      <a:ext cx="4571929" cy="2743157"/>
                    </a:xfrm>
                    <a:prstGeom prst="rect"/>
                    <a:noFill/>
                    <a:ln w="9525" cmpd="sng" cap="flat">
                      <a:noFill/>
                      <a:prstDash val="solid"/>
                      <a:miter/>
                    </a:ln>
                  </pic:spPr>
                </pic:pic>
              </a:graphicData>
            </a:graphic>
          </wp:anchor>
        </w:drawing>
      </w:r>
    </w:p>
    <w:p>
      <w:pPr>
        <w:pStyle w:val="18"/>
        <w:shd w:val="clear" w:color="auto" w:fill="FFFFFF"/>
        <w:jc w:val="both"/>
        <w:rPr>
          <w:sz w:val="32"/>
          <w:szCs w:val="32"/>
        </w:rPr>
      </w:pPr>
    </w:p>
    <w:p>
      <w:pPr>
        <w:pStyle w:val="18"/>
        <w:shd w:val="clear" w:color="auto" w:fill="FFFFFF"/>
        <w:jc w:val="both"/>
        <w:rPr>
          <w:sz w:val="32"/>
          <w:szCs w:val="32"/>
        </w:rPr>
      </w:pPr>
    </w:p>
    <w:p>
      <w:pPr>
        <w:pStyle w:val="18"/>
        <w:shd w:val="clear" w:color="auto" w:fill="FFFFFF"/>
        <w:jc w:val="both"/>
        <w:rPr>
          <w:sz w:val="32"/>
          <w:szCs w:val="32"/>
        </w:rPr>
      </w:pPr>
    </w:p>
    <w:p>
      <w:pPr>
        <w:pStyle w:val="18"/>
        <w:shd w:val="clear" w:color="auto" w:fill="FFFFFF"/>
        <w:jc w:val="both"/>
        <w:rPr>
          <w:sz w:val="32"/>
          <w:szCs w:val="32"/>
        </w:rPr>
      </w:pPr>
    </w:p>
    <w:p>
      <w:pPr>
        <w:pStyle w:val="18"/>
        <w:shd w:val="clear" w:color="auto" w:fill="FFFFFF"/>
        <w:jc w:val="both"/>
        <w:rPr>
          <w:sz w:val="32"/>
          <w:szCs w:val="32"/>
        </w:rPr>
      </w:pPr>
      <w:r>
        <w:rPr>
          <w:rFonts w:ascii="仿宋_GB2312" w:eastAsia="仿宋_GB2312" w:hint="eastAsia"/>
          <w:sz w:val="32"/>
          <w:szCs w:val="32"/>
        </w:rPr>
        <w:t>（图4：财政拨款收、支决算总计变动情况）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五、一般公共预算财政拨款支出决算情况说明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（一）一般公共预算财政拨款支出决算总体情况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2020年一般公共预算财政拨款支出178.99万元，占本年支出合计的100%。与2019年相比，一般公共预算财政拨款减少56.7万元，减少24.06%。主要变动原因是：一是在2020年度我办未参加因公出国团组，未产生因公出国（境）费用，而2019年决算里列支了因公出国（境）费13.2万元；二是在2020年度我办未举办会议，未产生会议费，而2019年决算里列支了会议费1.61万元；三是2020年里受疫情影响，我办的公务活动减少，加之我办严格按照相关规定，控制公用经费支出，办公费、交通费、差旅费等均有不同程度下降。</w:t>
      </w:r>
    </w:p>
    <w:p>
      <w:pPr>
        <w:pStyle w:val="18"/>
        <w:shd w:val="clear" w:color="auto" w:fill="FFFFFF"/>
        <w:jc w:val="both"/>
        <w:rPr>
          <w:sz w:val="32"/>
          <w:szCs w:val="32"/>
        </w:rPr>
      </w:pPr>
      <w:r>
        <w:rPr>
          <w:rFonts w:ascii="Times New Roman" w:eastAsia="仿宋_GB2312" w:cs="Times New Roman" w:hAnsi="Times New Roman"/>
          <w:sz w:val="32"/>
          <w:szCs w:val="32"/>
        </w:rPr>
        <w:drawing>
          <wp:anchor distT="0" distB="0" distL="85723" distR="85723" simplePos="0" relativeHeight="28" behindDoc="0" locked="0" layoutInCell="1" hidden="0" allowOverlap="1">
            <wp:simplePos x="0" y="0"/>
            <wp:positionH relativeFrom="column">
              <wp:posOffset>257171</wp:posOffset>
            </wp:positionH>
            <wp:positionV relativeFrom="paragraph">
              <wp:posOffset>272922</wp:posOffset>
            </wp:positionV>
            <wp:extent cx="4571929" cy="2743157"/>
            <wp:effectExtent l="0" t="0" r="1" b="1"/>
            <wp:wrapSquare wrapText="bothSides"/>
            <wp:docPr id="12" name="图片"/>
            <wp:cNvGraphicFramePr>
              <a:graphicFrameLocks noChangeAspect="1"/>
            </wp:cNvGraphicFramePr>
            <a:graphic>
              <a:graphicData uri="http://schemas.openxmlformats.org/drawingml/2006/picture">
                <pic:pic>
                  <pic:nvPicPr>
                    <pic:cNvPr id="14" name="图片 14"/>
                    <pic:cNvPicPr/>
                  </pic:nvPicPr>
                  <pic:blipFill>
                    <a:blip r:embed="rId6"/>
                    <a:stretch>
                      <a:fillRect/>
                    </a:stretch>
                  </pic:blipFill>
                  <pic:spPr>
                    <a:xfrm rot="0">
                      <a:off x="0" y="0"/>
                      <a:ext cx="4571929" cy="2743157"/>
                    </a:xfrm>
                    <a:prstGeom prst="rect"/>
                    <a:noFill/>
                    <a:ln w="9525" cmpd="sng" cap="flat">
                      <a:noFill/>
                      <a:prstDash val="solid"/>
                      <a:miter/>
                    </a:ln>
                  </pic:spPr>
                </pic:pic>
              </a:graphicData>
            </a:graphic>
          </wp:anchor>
        </w:drawing>
      </w:r>
    </w:p>
    <w:p>
      <w:pPr>
        <w:pStyle w:val="18"/>
        <w:shd w:val="clear" w:color="auto" w:fill="FFFFFF"/>
        <w:jc w:val="both"/>
        <w:rPr>
          <w:rFonts w:ascii="仿宋_GB2312" w:eastAsia="仿宋_GB2312"/>
          <w:sz w:val="32"/>
          <w:szCs w:val="32"/>
        </w:rPr>
      </w:pPr>
    </w:p>
    <w:p>
      <w:pPr>
        <w:pStyle w:val="18"/>
        <w:shd w:val="clear" w:color="auto" w:fill="FFFFFF"/>
        <w:jc w:val="both"/>
        <w:rPr>
          <w:rFonts w:ascii="仿宋_GB2312" w:eastAsia="仿宋_GB2312"/>
          <w:sz w:val="32"/>
          <w:szCs w:val="32"/>
        </w:rPr>
      </w:pPr>
    </w:p>
    <w:p>
      <w:pPr>
        <w:pStyle w:val="18"/>
        <w:shd w:val="clear" w:color="auto" w:fill="FFFFFF"/>
        <w:jc w:val="both"/>
        <w:rPr>
          <w:rFonts w:ascii="仿宋_GB2312" w:eastAsia="仿宋_GB2312"/>
          <w:sz w:val="32"/>
          <w:szCs w:val="32"/>
        </w:rPr>
      </w:pPr>
    </w:p>
    <w:p>
      <w:pPr>
        <w:pStyle w:val="18"/>
        <w:shd w:val="clear" w:color="auto" w:fill="FFFFFF"/>
        <w:jc w:val="both"/>
        <w:rPr>
          <w:rFonts w:ascii="仿宋_GB2312" w:eastAsia="仿宋_GB2312"/>
          <w:sz w:val="32"/>
          <w:szCs w:val="32"/>
        </w:rPr>
      </w:pPr>
    </w:p>
    <w:p>
      <w:pPr>
        <w:pStyle w:val="18"/>
        <w:shd w:val="clear" w:color="auto" w:fill="FFFFFF"/>
        <w:jc w:val="both"/>
        <w:rPr>
          <w:sz w:val="32"/>
          <w:szCs w:val="32"/>
        </w:rPr>
      </w:pPr>
      <w:r>
        <w:rPr>
          <w:rFonts w:ascii="仿宋_GB2312" w:eastAsia="仿宋_GB2312" w:hint="eastAsia"/>
          <w:sz w:val="32"/>
          <w:szCs w:val="32"/>
        </w:rPr>
        <w:t>（图5：一般公共预算财政拨款支出决算变动情况）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hint="eastAsia"/>
          <w:b/>
          <w:bCs/>
          <w:sz w:val="32"/>
          <w:szCs w:val="32"/>
        </w:rPr>
        <w:t>（二）</w:t>
      </w:r>
      <w:r>
        <w:rPr>
          <w:rFonts w:ascii="Times New Roman" w:eastAsia="仿宋_GB2312" w:cs="Times New Roman" w:hAnsi="Times New Roman"/>
          <w:b/>
          <w:bCs/>
          <w:sz w:val="32"/>
          <w:szCs w:val="32"/>
        </w:rPr>
        <w:t>一般公共预算财政拨款支出决算结构情况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 2020年一般公共预算财政拨款支出178.99万元，主要用于以下方面:一般公共服务（类）支出139.01万元，占77.66%；社会保障和就业（类）支出20.79万元，占11.62%；卫生健康支出（类）支出6.99万元，占3.91%；住房保障（类）支出12.20万元，占6.81%。</w:t>
      </w:r>
    </w:p>
    <w:p>
      <w:pPr>
        <w:pStyle w:val="18"/>
        <w:shd w:val="clear" w:color="auto" w:fill="FFFFFF"/>
        <w:jc w:val="both"/>
        <w:rPr>
          <w:sz w:val="32"/>
          <w:szCs w:val="32"/>
        </w:rPr>
      </w:pPr>
      <w:r>
        <w:rPr>
          <w:sz w:val="32"/>
          <w:szCs w:val="32"/>
        </w:rPr>
        <w:drawing>
          <wp:inline distT="0" distB="0" distL="85723" distR="85723">
            <wp:extent cx="5189440" cy="2743158"/>
            <wp:effectExtent l="0" t="0" r="14" b="0"/>
            <wp:docPr id="15" name="图片"/>
            <wp:cNvGraphicFramePr>
              <a:graphicFrameLocks noChangeAspect="1"/>
            </wp:cNvGraphicFramePr>
            <a:graphic>
              <a:graphicData uri="http://schemas.openxmlformats.org/drawingml/2006/picture">
                <pic:pic>
                  <pic:nvPicPr>
                    <pic:cNvPr id="17" name="图片 17"/>
                    <pic:cNvPicPr/>
                  </pic:nvPicPr>
                  <pic:blipFill>
                    <a:blip r:embed="rId7"/>
                    <a:stretch>
                      <a:fillRect/>
                    </a:stretch>
                  </pic:blipFill>
                  <pic:spPr>
                    <a:xfrm rot="0">
                      <a:off x="0" y="0"/>
                      <a:ext cx="5189440" cy="2743158"/>
                    </a:xfrm>
                    <a:prstGeom prst="rect"/>
                    <a:noFill/>
                    <a:ln w="9525" cmpd="sng" cap="flat">
                      <a:noFill/>
                      <a:prstDash val="solid"/>
                      <a:miter/>
                    </a:ln>
                  </pic:spPr>
                </pic:pic>
              </a:graphicData>
            </a:graphic>
          </wp:inline>
        </w:drawing>
      </w:r>
    </w:p>
    <w:p>
      <w:pPr>
        <w:pStyle w:val="18"/>
        <w:shd w:val="clear" w:color="auto" w:fill="FFFFFF"/>
        <w:jc w:val="both"/>
        <w:rPr>
          <w:sz w:val="32"/>
          <w:szCs w:val="32"/>
        </w:rPr>
      </w:pPr>
      <w:r>
        <w:rPr>
          <w:rFonts w:ascii="仿宋_GB2312" w:eastAsia="仿宋_GB2312" w:hint="eastAsia"/>
          <w:sz w:val="32"/>
          <w:szCs w:val="32"/>
        </w:rPr>
        <w:t>（图6：一般公共预算财政拨款支出决算结构）</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（三）一般公共预算财政拨款支出决算具体情况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2020年一般公共预算支出决算数为178.99，完成预算100.00%。其中：</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1.一般公共服务201（类）港澳台侨25（款）行政运行01（项）:支出决算为139.01万元，完成预算100%，决算数与预算数持平。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2.社会保障和就业</w:t>
      </w:r>
      <w:r>
        <w:rPr>
          <w:rFonts w:ascii="Times New Roman" w:eastAsia="仿宋_GB2312" w:cs="Times New Roman" w:hAnsi="Times New Roman" w:hint="eastAsia"/>
          <w:sz w:val="32"/>
          <w:szCs w:val="32"/>
        </w:rPr>
        <w:t>208</w:t>
      </w:r>
      <w:r>
        <w:rPr>
          <w:rFonts w:ascii="Times New Roman" w:eastAsia="仿宋_GB2312" w:cs="Times New Roman" w:hAnsi="Times New Roman"/>
          <w:sz w:val="32"/>
          <w:szCs w:val="32"/>
        </w:rPr>
        <w:t>（类）行政事业单位离退休</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（款）机关事业单位基本养老保险缴费支出</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（项）:支出决算为14.14万元，完成预算100%，决算数与预算数持平。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3.社会保障和就业</w:t>
      </w:r>
      <w:r>
        <w:rPr>
          <w:rFonts w:ascii="Times New Roman" w:eastAsia="仿宋_GB2312" w:cs="Times New Roman" w:hAnsi="Times New Roman" w:hint="eastAsia"/>
          <w:sz w:val="32"/>
          <w:szCs w:val="32"/>
        </w:rPr>
        <w:t>208</w:t>
      </w:r>
      <w:r>
        <w:rPr>
          <w:rFonts w:ascii="Times New Roman" w:eastAsia="仿宋_GB2312" w:cs="Times New Roman" w:hAnsi="Times New Roman"/>
          <w:sz w:val="32"/>
          <w:szCs w:val="32"/>
        </w:rPr>
        <w:t>（类）行政事业单位离退休</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（款）机关事业单位职业年金缴费支出</w:t>
      </w:r>
      <w:r>
        <w:rPr>
          <w:rFonts w:ascii="Times New Roman" w:eastAsia="仿宋_GB2312" w:cs="Times New Roman" w:hAnsi="Times New Roman" w:hint="eastAsia"/>
          <w:sz w:val="32"/>
          <w:szCs w:val="32"/>
        </w:rPr>
        <w:t>06</w:t>
      </w:r>
      <w:r>
        <w:rPr>
          <w:rFonts w:ascii="Times New Roman" w:eastAsia="仿宋_GB2312" w:cs="Times New Roman" w:hAnsi="Times New Roman"/>
          <w:sz w:val="32"/>
          <w:szCs w:val="32"/>
        </w:rPr>
        <w:t>（项）:支出决算为6.65万元，完成预算100%，决算数与预算数持平。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4.医疗卫生与计划生育</w:t>
      </w:r>
      <w:r>
        <w:rPr>
          <w:rFonts w:ascii="Times New Roman" w:eastAsia="仿宋_GB2312" w:cs="Times New Roman" w:hAnsi="Times New Roman" w:hint="eastAsia"/>
          <w:sz w:val="32"/>
          <w:szCs w:val="32"/>
        </w:rPr>
        <w:t>210</w:t>
      </w:r>
      <w:r>
        <w:rPr>
          <w:rFonts w:ascii="Times New Roman" w:eastAsia="仿宋_GB2312" w:cs="Times New Roman" w:hAnsi="Times New Roman"/>
          <w:sz w:val="32"/>
          <w:szCs w:val="32"/>
        </w:rPr>
        <w:t>（类）行政事业单位医疗</w:t>
      </w:r>
      <w:r>
        <w:rPr>
          <w:rFonts w:ascii="Times New Roman" w:eastAsia="仿宋_GB2312" w:cs="Times New Roman" w:hAnsi="Times New Roman" w:hint="eastAsia"/>
          <w:sz w:val="32"/>
          <w:szCs w:val="32"/>
        </w:rPr>
        <w:t>11</w:t>
      </w:r>
      <w:r>
        <w:rPr>
          <w:rFonts w:ascii="Times New Roman" w:eastAsia="仿宋_GB2312" w:cs="Times New Roman" w:hAnsi="Times New Roman"/>
          <w:sz w:val="32"/>
          <w:szCs w:val="32"/>
        </w:rPr>
        <w:t>（款）行政单位医疗</w:t>
      </w:r>
      <w:r>
        <w:rPr>
          <w:rFonts w:ascii="Times New Roman" w:eastAsia="仿宋_GB2312" w:cs="Times New Roman" w:hAnsi="Times New Roman" w:hint="eastAsia"/>
          <w:sz w:val="32"/>
          <w:szCs w:val="32"/>
        </w:rPr>
        <w:t>01</w:t>
      </w:r>
      <w:r>
        <w:rPr>
          <w:rFonts w:ascii="Times New Roman" w:eastAsia="仿宋_GB2312" w:cs="Times New Roman" w:hAnsi="Times New Roman"/>
          <w:sz w:val="32"/>
          <w:szCs w:val="32"/>
        </w:rPr>
        <w:t>（项）:支出决算为5.81万元，完成预算100%，决算数与预算数持平。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5.医疗卫生与计划生育</w:t>
      </w:r>
      <w:r>
        <w:rPr>
          <w:rFonts w:ascii="Times New Roman" w:eastAsia="仿宋_GB2312" w:cs="Times New Roman" w:hAnsi="Times New Roman" w:hint="eastAsia"/>
          <w:sz w:val="32"/>
          <w:szCs w:val="32"/>
        </w:rPr>
        <w:t>210</w:t>
      </w:r>
      <w:r>
        <w:rPr>
          <w:rFonts w:ascii="Times New Roman" w:eastAsia="仿宋_GB2312" w:cs="Times New Roman" w:hAnsi="Times New Roman"/>
          <w:sz w:val="32"/>
          <w:szCs w:val="32"/>
        </w:rPr>
        <w:t>（类）行政事业单位医疗</w:t>
      </w:r>
      <w:r>
        <w:rPr>
          <w:rFonts w:ascii="Times New Roman" w:eastAsia="仿宋_GB2312" w:cs="Times New Roman" w:hAnsi="Times New Roman" w:hint="eastAsia"/>
          <w:sz w:val="32"/>
          <w:szCs w:val="32"/>
        </w:rPr>
        <w:t>11</w:t>
      </w:r>
      <w:r>
        <w:rPr>
          <w:rFonts w:ascii="Times New Roman" w:eastAsia="仿宋_GB2312" w:cs="Times New Roman" w:hAnsi="Times New Roman"/>
          <w:sz w:val="32"/>
          <w:szCs w:val="32"/>
        </w:rPr>
        <w:t>（款）公务员医疗补助</w:t>
      </w:r>
      <w:r>
        <w:rPr>
          <w:rFonts w:ascii="Times New Roman" w:eastAsia="仿宋_GB2312" w:cs="Times New Roman" w:hAnsi="Times New Roman" w:hint="eastAsia"/>
          <w:sz w:val="32"/>
          <w:szCs w:val="32"/>
        </w:rPr>
        <w:t>03</w:t>
      </w:r>
      <w:r>
        <w:rPr>
          <w:rFonts w:ascii="Times New Roman" w:eastAsia="仿宋_GB2312" w:cs="Times New Roman" w:hAnsi="Times New Roman"/>
          <w:sz w:val="32"/>
          <w:szCs w:val="32"/>
        </w:rPr>
        <w:t>（项）:支出决算为1.18万元，完成预算100%，决算数与预算数持平。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6.住房保障支出</w:t>
      </w:r>
      <w:r>
        <w:rPr>
          <w:rFonts w:ascii="Times New Roman" w:eastAsia="仿宋_GB2312" w:cs="Times New Roman" w:hAnsi="Times New Roman" w:hint="eastAsia"/>
          <w:sz w:val="32"/>
          <w:szCs w:val="32"/>
        </w:rPr>
        <w:t>221</w:t>
      </w:r>
      <w:r>
        <w:rPr>
          <w:rFonts w:ascii="Times New Roman" w:eastAsia="仿宋_GB2312" w:cs="Times New Roman" w:hAnsi="Times New Roman"/>
          <w:sz w:val="32"/>
          <w:szCs w:val="32"/>
        </w:rPr>
        <w:t>（类）住房改革支出</w:t>
      </w:r>
      <w:r>
        <w:rPr>
          <w:rFonts w:ascii="Times New Roman" w:eastAsia="仿宋_GB2312" w:cs="Times New Roman" w:hAnsi="Times New Roman" w:hint="eastAsia"/>
          <w:sz w:val="32"/>
          <w:szCs w:val="32"/>
        </w:rPr>
        <w:t>02</w:t>
      </w:r>
      <w:r>
        <w:rPr>
          <w:rFonts w:ascii="Times New Roman" w:eastAsia="仿宋_GB2312" w:cs="Times New Roman" w:hAnsi="Times New Roman"/>
          <w:sz w:val="32"/>
          <w:szCs w:val="32"/>
        </w:rPr>
        <w:t>（款）住房公积金</w:t>
      </w:r>
      <w:r>
        <w:rPr>
          <w:rFonts w:ascii="Times New Roman" w:eastAsia="仿宋_GB2312" w:cs="Times New Roman" w:hAnsi="Times New Roman" w:hint="eastAsia"/>
          <w:sz w:val="32"/>
          <w:szCs w:val="32"/>
        </w:rPr>
        <w:t>01</w:t>
      </w:r>
      <w:r>
        <w:rPr>
          <w:rFonts w:ascii="Times New Roman" w:eastAsia="仿宋_GB2312" w:cs="Times New Roman" w:hAnsi="Times New Roman"/>
          <w:sz w:val="32"/>
          <w:szCs w:val="32"/>
        </w:rPr>
        <w:t>（项）:支出决算为12.20万元，完成预算100%，决算数与预算数持平。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（注：数据来源于财决Z01-1表，罗列全部功能分类科目至项级。上述“预算”口径为调整预算数。增减变动原因为决算数和调整预算数比较，与预算数持平可以不写原因。）</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b/>
          <w:bCs/>
          <w:sz w:val="32"/>
          <w:szCs w:val="32"/>
        </w:rPr>
        <w:t>六、一般公共预算财政拨款基本支出决算情况说明  </w:t>
      </w: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2020年一般公共预算财政拨款基本支出178.99万元，其中：</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人员经费139.95万元，主要包括：基本工资</w:t>
      </w:r>
      <w:r>
        <w:rPr>
          <w:rFonts w:ascii="Times New Roman" w:eastAsia="仿宋_GB2312" w:cs="Times New Roman" w:hAnsi="Times New Roman" w:hint="eastAsia"/>
          <w:sz w:val="32"/>
          <w:szCs w:val="32"/>
        </w:rPr>
        <w:t>3</w:t>
      </w:r>
      <w:r>
        <w:rPr>
          <w:rFonts w:ascii="Times New Roman" w:eastAsia="仿宋_GB2312" w:cs="Times New Roman" w:hAnsi="Times New Roman"/>
          <w:sz w:val="32"/>
          <w:szCs w:val="32"/>
        </w:rPr>
        <w:t>0.56、津贴补贴66.7</w:t>
      </w:r>
      <w:r>
        <w:rPr>
          <w:rFonts w:ascii="Times New Roman" w:eastAsia="仿宋_GB2312" w:cs="Times New Roman" w:hAnsi="Times New Roman" w:hint="eastAsia"/>
          <w:sz w:val="32"/>
          <w:szCs w:val="32"/>
        </w:rPr>
        <w:t>3</w:t>
      </w:r>
      <w:r>
        <w:rPr>
          <w:rFonts w:ascii="Times New Roman" w:eastAsia="仿宋_GB2312" w:cs="Times New Roman" w:hAnsi="Times New Roman"/>
          <w:sz w:val="32"/>
          <w:szCs w:val="32"/>
        </w:rPr>
        <w:t>、奖金2.68、伙食补助费0、绩效工资</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、机关事业单位基本养老保险缴费</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4.14、职业年金缴费6.65、 职工基本医疗保险缴费5.81</w:t>
      </w:r>
      <w:r>
        <w:rPr>
          <w:rFonts w:ascii="Times New Roman" w:eastAsia="仿宋_GB2312" w:cs="Times New Roman" w:hAnsi="Times New Roman" w:hint="eastAsia"/>
          <w:sz w:val="32"/>
          <w:szCs w:val="32"/>
        </w:rPr>
        <w:t>、公务员医疗补助缴费1.</w:t>
      </w:r>
      <w:r>
        <w:rPr>
          <w:rFonts w:ascii="Times New Roman" w:eastAsia="仿宋_GB2312" w:cs="Times New Roman" w:hAnsi="Times New Roman"/>
          <w:sz w:val="32"/>
          <w:szCs w:val="32"/>
        </w:rPr>
        <w:t>18</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其他社会保障缴费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、其他工资福利支出</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、离休费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、退休费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、抚恤金</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、生活补助8.03、医疗费补助</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、奖励金</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、住房公积金</w:t>
      </w:r>
      <w:r>
        <w:rPr>
          <w:rFonts w:ascii="Times New Roman" w:eastAsia="仿宋_GB2312" w:cs="Times New Roman" w:hAnsi="Times New Roman" w:hint="eastAsia"/>
          <w:sz w:val="32"/>
          <w:szCs w:val="32"/>
        </w:rPr>
        <w:t>12.</w:t>
      </w:r>
      <w:r>
        <w:rPr>
          <w:rFonts w:ascii="Times New Roman" w:eastAsia="仿宋_GB2312" w:cs="Times New Roman" w:hAnsi="Times New Roman"/>
          <w:sz w:val="32"/>
          <w:szCs w:val="32"/>
        </w:rPr>
        <w:t>20、其他对个人和家庭的补助支出</w:t>
      </w:r>
      <w:r>
        <w:rPr>
          <w:rFonts w:ascii="Times New Roman" w:eastAsia="仿宋_GB2312" w:cs="Times New Roman" w:hAnsi="Times New Roman" w:hint="eastAsia"/>
          <w:sz w:val="32"/>
          <w:szCs w:val="32"/>
        </w:rPr>
        <w:t>0等</w:t>
      </w:r>
      <w:r>
        <w:rPr>
          <w:rFonts w:ascii="Times New Roman" w:eastAsia="仿宋_GB2312" w:cs="Times New Roman" w:hAnsi="Times New Roman"/>
          <w:sz w:val="32"/>
          <w:szCs w:val="32"/>
        </w:rPr>
        <w:t>。</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日常公用经费30.59万元，主要包括：办公费7.96、印刷费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、咨询费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、手续费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、水费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03、电费</w:t>
      </w:r>
      <w:r>
        <w:rPr>
          <w:rFonts w:ascii="Times New Roman" w:eastAsia="仿宋_GB2312" w:cs="Times New Roman" w:hAnsi="Times New Roman" w:hint="eastAsia"/>
          <w:sz w:val="32"/>
          <w:szCs w:val="32"/>
        </w:rPr>
        <w:t>0.6</w:t>
      </w:r>
      <w:r>
        <w:rPr>
          <w:rFonts w:ascii="Times New Roman" w:eastAsia="仿宋_GB2312" w:cs="Times New Roman" w:hAnsi="Times New Roman"/>
          <w:sz w:val="32"/>
          <w:szCs w:val="32"/>
        </w:rPr>
        <w:t>8、邮电费3.97、取暖费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、物业管理费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、差旅费</w:t>
      </w:r>
      <w:r>
        <w:rPr>
          <w:rFonts w:ascii="Times New Roman" w:eastAsia="仿宋_GB2312" w:cs="Times New Roman" w:hAnsi="Times New Roman" w:hint="eastAsia"/>
          <w:sz w:val="32"/>
          <w:szCs w:val="32"/>
        </w:rPr>
        <w:t>8.</w:t>
      </w:r>
      <w:r>
        <w:rPr>
          <w:rFonts w:ascii="Times New Roman" w:eastAsia="仿宋_GB2312" w:cs="Times New Roman" w:hAnsi="Times New Roman"/>
          <w:sz w:val="32"/>
          <w:szCs w:val="32"/>
        </w:rPr>
        <w:t>63、因公出国 （境）费用0、维修（护）费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、租赁费0、会议费0、培训费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、公务接待费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、劳务费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.42、委托业务费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、工会经费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、福利费1.</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8、公务用车运行维护费7</w:t>
      </w:r>
      <w:r>
        <w:rPr>
          <w:rFonts w:ascii="Times New Roman" w:eastAsia="仿宋_GB2312" w:cs="Times New Roman" w:hAnsi="Times New Roman" w:hint="eastAsia"/>
          <w:sz w:val="32"/>
          <w:szCs w:val="32"/>
        </w:rPr>
        <w:t>.70</w:t>
      </w:r>
      <w:r>
        <w:rPr>
          <w:rFonts w:ascii="Times New Roman" w:eastAsia="仿宋_GB2312" w:cs="Times New Roman" w:hAnsi="Times New Roman"/>
          <w:sz w:val="32"/>
          <w:szCs w:val="32"/>
        </w:rPr>
        <w:t>、其他交通费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、税金及附加费用</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、其他商品和服务支出</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、办公设备购置</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、专用设备购置</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、信息网络及软件购置更新</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、其他资本性支出</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等。</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七、“三公”经费财政拨款支出决算情况说明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（一）“三公”经费财政拨款支出决算总体情况说明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2020年“三公”经费财政拨款支出决算为7.77万元，完成预算</w:t>
      </w:r>
      <w:r>
        <w:rPr>
          <w:rFonts w:ascii="Times New Roman" w:eastAsia="仿宋_GB2312" w:cs="Times New Roman" w:hAnsi="Times New Roman" w:hint="eastAsia"/>
          <w:sz w:val="32"/>
          <w:szCs w:val="32"/>
        </w:rPr>
        <w:t>10</w:t>
      </w:r>
      <w:r>
        <w:rPr>
          <w:rFonts w:ascii="Times New Roman" w:eastAsia="仿宋_GB2312" w:cs="Times New Roman" w:hAnsi="Times New Roman"/>
          <w:sz w:val="32"/>
          <w:szCs w:val="32"/>
        </w:rPr>
        <w:t>0.00%，决算数与预算数持平</w:t>
      </w:r>
      <w:r>
        <w:rPr>
          <w:rFonts w:ascii="Times New Roman" w:eastAsia="仿宋_GB2312" w:cs="Times New Roman" w:hAnsi="Times New Roman" w:hint="eastAsia"/>
          <w:sz w:val="32"/>
          <w:szCs w:val="32"/>
        </w:rPr>
        <w:t>。</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（注：上述“预算”口径为调整预算数，包括政府性基金支出决算情况。）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（二）“三公”经费财政拨款支出决算具体情况说明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drawing>
          <wp:anchor distT="0" distB="0" distL="85723" distR="85723" simplePos="0" relativeHeight="30" behindDoc="0" locked="0" layoutInCell="1" hidden="0" allowOverlap="1">
            <wp:simplePos x="0" y="0"/>
            <wp:positionH relativeFrom="column">
              <wp:posOffset>254002</wp:posOffset>
            </wp:positionH>
            <wp:positionV relativeFrom="paragraph">
              <wp:posOffset>1520064</wp:posOffset>
            </wp:positionV>
            <wp:extent cx="4571929" cy="1539846"/>
            <wp:effectExtent l="0" t="0" r="1" b="37"/>
            <wp:wrapSquare wrapText="bothSides"/>
            <wp:docPr id="18" name="图片"/>
            <wp:cNvGraphicFramePr>
              <a:graphicFrameLocks noChangeAspect="1"/>
            </wp:cNvGraphicFramePr>
            <a:graphic>
              <a:graphicData uri="http://schemas.openxmlformats.org/drawingml/2006/picture">
                <pic:pic>
                  <pic:nvPicPr>
                    <pic:cNvPr id="20" name="图片 20"/>
                    <pic:cNvPicPr/>
                  </pic:nvPicPr>
                  <pic:blipFill>
                    <a:blip r:embed="rId8"/>
                    <a:stretch>
                      <a:fillRect/>
                    </a:stretch>
                  </pic:blipFill>
                  <pic:spPr>
                    <a:xfrm rot="0">
                      <a:off x="0" y="0"/>
                      <a:ext cx="4571929" cy="1539846"/>
                    </a:xfrm>
                    <a:prstGeom prst="rect"/>
                    <a:noFill/>
                    <a:ln w="9525" cmpd="sng" cap="flat">
                      <a:noFill/>
                      <a:prstDash val="solid"/>
                      <a:miter/>
                    </a:ln>
                  </pic:spPr>
                </pic:pic>
              </a:graphicData>
            </a:graphic>
          </wp:anchor>
        </w:drawing>
      </w:r>
      <w:r>
        <w:rPr>
          <w:rFonts w:ascii="Times New Roman" w:eastAsia="仿宋_GB2312" w:cs="Times New Roman" w:hAnsi="Times New Roman"/>
          <w:sz w:val="32"/>
          <w:szCs w:val="32"/>
        </w:rPr>
        <w:t> 2020 年“三公”经费财政拨款支出决算中，因公出国（境）费支出决算0万元，占 0%；公务用车购置及运行维护费支出决算7.77万元，占100%；公务接待费支出决算0.00万元，占 0.00%。具体情况如下：</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（图7：“三公”经费财政拨款支出结构）</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1.因公出国（境）经费支出0元，2020年我办全年无因公出国人员。</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公务用车购置及运行维护费支出7.77万元,完成预算100%。公务用车购置及运行维护费支出决算比2019年减少5.27万元，减少40.41%。主要原因是2020年里受疫情影响，我办的公务活动减少，加之我办严格按照相关规定，控制公用经费支出，使得我办的公务用车运行维护费较2019年有所下降。其中：公务用车购置支出0.00万元。全年按规定更新购置公务用车0辆，金额0.00万元。截至2020年12月底，单位共有公务用车 2辆，其中：主要领导干部用车0辆、机要通信用车0辆、应急保障用车0辆、执法执勤用车0辆、特种专业技术用车0 辆、离退休干部用车0辆、其他用车2辆。</w:t>
      </w:r>
    </w:p>
    <w:p>
      <w:pPr>
        <w:spacing w:line="600" w:lineRule="exact"/>
        <w:ind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公务用车运行维护费支出7.77万元。主要用于</w:t>
      </w:r>
      <w:r>
        <w:rPr>
          <w:rFonts w:eastAsia="仿宋_GB2312"/>
          <w:color w:val="000000"/>
          <w:sz w:val="32"/>
          <w:szCs w:val="32"/>
        </w:rPr>
        <w:t>单位外事接待、向省汇报协调工作、州内调研等州内、州外出差工作等所需的公务用车燃料费、维修费、过路过桥费、保险费等支出。</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3.公务接待费支出0元，2020年我办全年无国内公务接待。</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八、政府性基金预算支出决算情况说明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2020年政府性基金预算拨款支出0.00万元。</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九、国有资本经营预算支出决算情况说明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2020年国有资本经营预算拨款支出0.00万元。</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sz w:val="32"/>
          <w:szCs w:val="32"/>
        </w:rPr>
        <w:t> </w:t>
      </w:r>
      <w:r>
        <w:rPr>
          <w:rFonts w:ascii="Times New Roman" w:eastAsia="仿宋_GB2312" w:cs="Times New Roman" w:hAnsi="Times New Roman"/>
          <w:b/>
          <w:bCs/>
          <w:sz w:val="32"/>
          <w:szCs w:val="32"/>
        </w:rPr>
        <w:t>十、其他重要事项的情况说明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（一）机关运行经费支出情况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2020年，中共阿坝州委外事工作委员会办公室（本级）机关运行经费支出30.59万元，比2019年减少 7.74万元，减少 20.19%。主要原因：一是在2020年度我办未参加因公出国团组，未产生因公出国（境）费用，而2019年决算里列支了因公出国（境）费13.2万元；二是在2020年度我办未举办会议，未产生会议费，而2019年决算里列支了会议费1.61万元；三是2020年里受疫情影响，我办的公务活动减少，加之我办严格按照相关规定，控制公用经费支出，办公费、交通费、差旅费等均有不同程度下降。</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（注：数据来源于财决附03表）</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（二）政府采购支出情况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2020年，中共阿坝州委外事工作委员会办公室（本级）政府采购支出总额0.42万元，其中：政府采购货物支出 0.42万元、政府采购工程支出0.00万元、政府采购服务支出0.00万元。主要用于</w:t>
      </w:r>
      <w:r>
        <w:rPr>
          <w:rFonts w:ascii="Times New Roman" w:eastAsia="仿宋_GB2312" w:cs="Times New Roman" w:hAnsi="Times New Roman" w:hint="eastAsia"/>
          <w:sz w:val="32"/>
          <w:szCs w:val="32"/>
        </w:rPr>
        <w:t>采购</w:t>
      </w:r>
      <w:r>
        <w:rPr>
          <w:rFonts w:ascii="Times New Roman" w:eastAsia="仿宋_GB2312" w:cs="Times New Roman" w:hAnsi="Times New Roman"/>
          <w:sz w:val="32"/>
          <w:szCs w:val="32"/>
        </w:rPr>
        <w:t>办公椅子2把、办公茶几1个。授予中小企业合同金额0.42万元，占政府采购支出总额的100.00%，其中：授予小微企业合同金额0.42万元，占政府采购支出总额的100.00%。</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（注：数据来源于财决附03表）</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（三）国有资产占有使用情况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截 至2020年12月31日，中共阿坝州委外事工作委员会办公室（本级）共有车辆2辆，其中：主要领导干部用车0 辆、机要通信用车0辆、应急保障用车0辆、执法执勤用车0 辆、特种专业技术用车0辆、离退休干部用车0辆、其他用车 2辆</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主要是用于</w:t>
      </w:r>
      <w:r>
        <w:rPr>
          <w:rFonts w:ascii="Times New Roman" w:eastAsia="仿宋_GB2312" w:cs="Times New Roman" w:hAnsi="Times New Roman" w:hint="eastAsia"/>
          <w:sz w:val="32"/>
          <w:szCs w:val="32"/>
        </w:rPr>
        <w:t>单位日常公务用车保障</w:t>
      </w:r>
      <w:r>
        <w:rPr>
          <w:rFonts w:ascii="Times New Roman" w:eastAsia="仿宋_GB2312" w:cs="Times New Roman" w:hAnsi="Times New Roman"/>
          <w:sz w:val="32"/>
          <w:szCs w:val="32"/>
        </w:rPr>
        <w:t>。单价50万元以上通用设备0台（套），单价100万元以上专用设备0台（套）。</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（注：数据来源财决附03表，按部门决算报表填报数据罗列车辆情况。）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（四）预算绩效管理情况。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根据预算绩效管理要求，本部门（单位）在年初预算编制阶段，组织对</w:t>
      </w:r>
      <w:r>
        <w:rPr>
          <w:rFonts w:ascii="Times New Roman" w:eastAsia="仿宋_GB2312" w:cs="Times New Roman" w:hAnsi="Times New Roman" w:hint="eastAsia"/>
          <w:sz w:val="32"/>
          <w:szCs w:val="32"/>
        </w:rPr>
        <w:t>境外非政府组织管理工作经费和涉藏侨务工作经费、涉外使领馆人员和媒体记者管理费、外事台侨专项业务经费、</w:t>
      </w:r>
      <w:r>
        <w:rPr>
          <w:rFonts w:ascii="Times New Roman" w:eastAsia="仿宋_GB2312" w:cs="Times New Roman" w:hAnsi="Times New Roman"/>
          <w:sz w:val="32"/>
          <w:szCs w:val="32"/>
        </w:rPr>
        <w:t>州友协业务经费4</w:t>
      </w:r>
      <w:r>
        <w:rPr>
          <w:rFonts w:ascii="Times New Roman" w:eastAsia="仿宋_GB2312" w:cs="Times New Roman" w:hAnsi="Times New Roman" w:hint="eastAsia"/>
          <w:sz w:val="32"/>
          <w:szCs w:val="32"/>
        </w:rPr>
        <w:t>个</w:t>
      </w:r>
      <w:r>
        <w:rPr>
          <w:rFonts w:ascii="Times New Roman" w:eastAsia="仿宋_GB2312" w:cs="Times New Roman" w:hAnsi="Times New Roman"/>
          <w:sz w:val="32"/>
          <w:szCs w:val="32"/>
        </w:rPr>
        <w:t>项目开展了预算事前绩效评估，对4个项目编制了绩效目标，预算执行过程中，选取4个项目开展绩效监控，年终执行完毕后，对4个项目开展了绩效目标完成情况自评。</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本部门按要求对2020年部门整体支出开展绩效自评，从评价情况来看</w:t>
      </w:r>
      <w:r>
        <w:rPr>
          <w:rFonts w:eastAsia="仿宋_GB2312" w:hint="eastAsia"/>
          <w:sz w:val="32"/>
          <w:szCs w:val="32"/>
        </w:rPr>
        <w:t>我</w:t>
      </w:r>
      <w:r>
        <w:rPr>
          <w:rFonts w:ascii="仿宋_GB2312" w:eastAsia="仿宋_GB2312" w:hint="eastAsia"/>
          <w:sz w:val="32"/>
          <w:szCs w:val="32"/>
        </w:rPr>
        <w:t>办在州委、州人民政府的坚强领导和省级业务部门的指导支持下，围绕服务国家总体外交和港澳工作大局和服务全州建设“一州两区三家园”战略目标，认真履职尽责，合理使用预算资金，把资金用活用好，确保资金使用合理合规，不断提高外事工作科学管理水平，全州对外开放合作和外事台侨工作呈现出良好发展态势</w:t>
      </w:r>
      <w:r>
        <w:rPr>
          <w:rFonts w:ascii="Times New Roman" w:eastAsia="仿宋_GB2312" w:cs="Times New Roman" w:hAnsi="Times New Roman"/>
          <w:sz w:val="32"/>
          <w:szCs w:val="32"/>
        </w:rPr>
        <w:t>。</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hint="eastAsia"/>
          <w:b/>
          <w:bCs/>
          <w:sz w:val="32"/>
          <w:szCs w:val="32"/>
        </w:rPr>
        <w:t>1.</w:t>
      </w:r>
      <w:r>
        <w:rPr>
          <w:rFonts w:ascii="Times New Roman" w:eastAsia="仿宋_GB2312" w:cs="Times New Roman" w:hAnsi="Times New Roman"/>
          <w:b/>
          <w:bCs/>
          <w:sz w:val="32"/>
          <w:szCs w:val="32"/>
        </w:rPr>
        <w:t>项目绩效目标完成情况。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本部门在2020年度部门决算中无项目绩效费用支出。</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2.部门绩效评价结果。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本部门按要求对2020年部门整体支出绩效评价情况开展自评，《中共阿坝州委外事工作委员会办公室2020年部门整体支出绩效评价报告》见附件（附件1）。</w:t>
      </w: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sz w:val="32"/>
          <w:szCs w:val="32"/>
        </w:rPr>
      </w:pP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第三部分 名词解释</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1.财政拨款收入：指单位从同级财政部门取得的财政预算资金。</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2.事业收入：指事业单位开展专业业务活动及辅助活动取得的收入。</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3.经营收入：指事业单位在专业业务活动及其辅助活动之外开展非独立核算经营活动取得的收入。</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4.其他收入：指单位取得的除上述收入以外的各项收入。主要是</w:t>
      </w:r>
      <w:r>
        <w:rPr>
          <w:rFonts w:ascii="Times New Roman" w:eastAsia="仿宋_GB2312" w:cs="Times New Roman" w:hAnsi="Times New Roman" w:hint="eastAsia"/>
          <w:sz w:val="32"/>
          <w:szCs w:val="32"/>
        </w:rPr>
        <w:t>上级业务部门划拨的重要业务工作经费补助</w:t>
      </w:r>
      <w:r>
        <w:rPr>
          <w:rFonts w:ascii="Times New Roman" w:eastAsia="仿宋_GB2312" w:cs="Times New Roman" w:hAnsi="Times New Roman"/>
          <w:sz w:val="32"/>
          <w:szCs w:val="32"/>
        </w:rPr>
        <w:t>等。</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6.年初结转和结余：指以前年度尚未完成、结转到本年按有关规定继续使用的资金。</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7.结余分配：指事业单位按照事业单位会计制度的规定从非财政补助结余中分配的事业基金和职工福利基金等。</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8、年末结转和结余：指单位按有关规定结转到下年或以后年度继续使用的资金。</w:t>
      </w:r>
    </w:p>
    <w:p>
      <w:pPr>
        <w:ind w:firstLineChars="200" w:firstLine="640"/>
        <w:jc w:val="both"/>
        <w:rPr>
          <w:rFonts w:eastAsia="仿宋_GB2312"/>
          <w:color w:val="000000"/>
          <w:sz w:val="32"/>
          <w:szCs w:val="32"/>
        </w:rPr>
      </w:pPr>
      <w:r>
        <w:rPr>
          <w:rFonts w:eastAsia="仿宋_GB2312"/>
          <w:color w:val="000000"/>
          <w:sz w:val="32"/>
          <w:szCs w:val="32"/>
        </w:rPr>
        <w:t>9.一般公共服务</w:t>
      </w:r>
      <w:r>
        <w:rPr>
          <w:rFonts w:eastAsia="仿宋_GB2312" w:hint="eastAsia"/>
          <w:color w:val="000000"/>
          <w:sz w:val="32"/>
          <w:szCs w:val="32"/>
        </w:rPr>
        <w:t>201</w:t>
      </w:r>
      <w:r>
        <w:rPr>
          <w:rFonts w:eastAsia="仿宋_GB2312"/>
          <w:color w:val="000000"/>
          <w:sz w:val="32"/>
          <w:szCs w:val="32"/>
        </w:rPr>
        <w:t>（类）</w:t>
      </w:r>
      <w:r>
        <w:rPr>
          <w:rFonts w:eastAsia="仿宋_GB2312" w:hint="eastAsia"/>
          <w:color w:val="000000"/>
          <w:sz w:val="32"/>
          <w:szCs w:val="32"/>
        </w:rPr>
        <w:t>港澳台侨事务25</w:t>
      </w:r>
      <w:r>
        <w:rPr>
          <w:rFonts w:eastAsia="仿宋_GB2312"/>
          <w:color w:val="000000"/>
          <w:sz w:val="32"/>
          <w:szCs w:val="32"/>
        </w:rPr>
        <w:t>（款）</w:t>
      </w:r>
      <w:r>
        <w:rPr>
          <w:rFonts w:eastAsia="仿宋_GB2312" w:hint="eastAsia"/>
          <w:color w:val="000000"/>
          <w:sz w:val="32"/>
          <w:szCs w:val="32"/>
        </w:rPr>
        <w:t>行政运行01</w:t>
      </w:r>
      <w:r>
        <w:rPr>
          <w:rFonts w:eastAsia="仿宋_GB2312"/>
          <w:color w:val="000000"/>
          <w:sz w:val="32"/>
          <w:szCs w:val="32"/>
        </w:rPr>
        <w:t>（项）：指</w:t>
      </w:r>
      <w:r>
        <w:rPr>
          <w:rFonts w:eastAsia="仿宋_GB2312" w:hint="eastAsia"/>
          <w:color w:val="000000"/>
          <w:sz w:val="32"/>
          <w:szCs w:val="32"/>
        </w:rPr>
        <w:t>单位基本支出的行政运行</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10.一</w:t>
      </w:r>
      <w:r>
        <w:rPr>
          <w:rFonts w:eastAsia="仿宋_GB2312"/>
          <w:color w:val="000000"/>
          <w:sz w:val="32"/>
          <w:szCs w:val="32"/>
        </w:rPr>
        <w:t>般公共服务</w:t>
      </w:r>
      <w:r>
        <w:rPr>
          <w:rFonts w:eastAsia="仿宋_GB2312" w:hint="eastAsia"/>
          <w:color w:val="000000"/>
          <w:sz w:val="32"/>
          <w:szCs w:val="32"/>
        </w:rPr>
        <w:t>201</w:t>
      </w:r>
      <w:r>
        <w:rPr>
          <w:rFonts w:eastAsia="仿宋_GB2312"/>
          <w:color w:val="000000"/>
          <w:sz w:val="32"/>
          <w:szCs w:val="32"/>
        </w:rPr>
        <w:t>（类）</w:t>
      </w:r>
      <w:r>
        <w:rPr>
          <w:rFonts w:eastAsia="仿宋_GB2312" w:hint="eastAsia"/>
          <w:color w:val="000000"/>
          <w:sz w:val="32"/>
          <w:szCs w:val="32"/>
        </w:rPr>
        <w:t>港澳台侨事务25</w:t>
      </w:r>
      <w:r>
        <w:rPr>
          <w:rFonts w:eastAsia="仿宋_GB2312"/>
          <w:color w:val="000000"/>
          <w:sz w:val="32"/>
          <w:szCs w:val="32"/>
        </w:rPr>
        <w:t>（款）</w:t>
      </w:r>
      <w:r>
        <w:rPr>
          <w:rFonts w:eastAsia="仿宋_GB2312" w:hint="eastAsia"/>
          <w:color w:val="000000"/>
          <w:sz w:val="32"/>
          <w:szCs w:val="32"/>
        </w:rPr>
        <w:t>一般行政管理事务02</w:t>
      </w:r>
      <w:r>
        <w:rPr>
          <w:rFonts w:eastAsia="仿宋_GB2312"/>
          <w:color w:val="000000"/>
          <w:sz w:val="32"/>
          <w:szCs w:val="32"/>
        </w:rPr>
        <w:t>（项）：指</w:t>
      </w:r>
      <w:r>
        <w:rPr>
          <w:rFonts w:eastAsia="仿宋_GB2312" w:hint="eastAsia"/>
          <w:color w:val="000000"/>
          <w:sz w:val="32"/>
          <w:szCs w:val="32"/>
        </w:rPr>
        <w:t>单位基本支出的一般行政管理事务。</w:t>
      </w:r>
    </w:p>
    <w:p>
      <w:pPr>
        <w:ind w:firstLineChars="200" w:firstLine="640"/>
        <w:jc w:val="both"/>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1</w:t>
      </w:r>
      <w:r>
        <w:rPr>
          <w:rFonts w:eastAsia="仿宋_GB2312"/>
          <w:color w:val="000000"/>
          <w:sz w:val="32"/>
          <w:szCs w:val="32"/>
        </w:rPr>
        <w:t>.社会保障和就业</w:t>
      </w:r>
      <w:r>
        <w:rPr>
          <w:rFonts w:eastAsia="仿宋_GB2312" w:hint="eastAsia"/>
          <w:color w:val="000000"/>
          <w:sz w:val="32"/>
          <w:szCs w:val="32"/>
        </w:rPr>
        <w:t>208</w:t>
      </w:r>
      <w:r>
        <w:rPr>
          <w:rFonts w:eastAsia="仿宋_GB2312"/>
          <w:color w:val="000000"/>
          <w:sz w:val="32"/>
          <w:szCs w:val="32"/>
        </w:rPr>
        <w:t>（类）</w:t>
      </w:r>
      <w:r>
        <w:rPr>
          <w:rFonts w:eastAsia="仿宋_GB2312" w:hint="eastAsia"/>
          <w:color w:val="000000"/>
          <w:sz w:val="32"/>
          <w:szCs w:val="32"/>
        </w:rPr>
        <w:t>行政事业单位离退休05</w:t>
      </w:r>
      <w:r>
        <w:rPr>
          <w:rFonts w:eastAsia="仿宋_GB2312"/>
          <w:color w:val="000000"/>
          <w:sz w:val="32"/>
          <w:szCs w:val="32"/>
        </w:rPr>
        <w:t>（款）</w:t>
      </w:r>
      <w:r>
        <w:rPr>
          <w:rFonts w:eastAsia="仿宋_GB2312" w:hint="eastAsia"/>
          <w:color w:val="000000"/>
          <w:sz w:val="32"/>
          <w:szCs w:val="32"/>
        </w:rPr>
        <w:t xml:space="preserve"> 机关事业单位基本养老保险缴费支出05</w:t>
      </w:r>
      <w:r>
        <w:rPr>
          <w:rFonts w:eastAsia="仿宋_GB2312"/>
          <w:color w:val="000000"/>
          <w:sz w:val="32"/>
          <w:szCs w:val="32"/>
        </w:rPr>
        <w:t>（项）：指</w:t>
      </w:r>
      <w:r>
        <w:rPr>
          <w:rFonts w:eastAsia="仿宋_GB2312" w:hint="eastAsia"/>
          <w:color w:val="000000"/>
          <w:sz w:val="32"/>
          <w:szCs w:val="32"/>
        </w:rPr>
        <w:t>单位机关事业单位基本养老保险缴费支出</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12.</w:t>
      </w:r>
      <w:r>
        <w:rPr>
          <w:rFonts w:eastAsia="仿宋_GB2312"/>
          <w:color w:val="000000"/>
          <w:sz w:val="32"/>
          <w:szCs w:val="32"/>
        </w:rPr>
        <w:t>社会保障和就业</w:t>
      </w:r>
      <w:r>
        <w:rPr>
          <w:rFonts w:eastAsia="仿宋_GB2312" w:hint="eastAsia"/>
          <w:color w:val="000000"/>
          <w:sz w:val="32"/>
          <w:szCs w:val="32"/>
        </w:rPr>
        <w:t>208</w:t>
      </w:r>
      <w:r>
        <w:rPr>
          <w:rFonts w:eastAsia="仿宋_GB2312"/>
          <w:color w:val="000000"/>
          <w:sz w:val="32"/>
          <w:szCs w:val="32"/>
        </w:rPr>
        <w:t>（类）</w:t>
      </w:r>
      <w:r>
        <w:rPr>
          <w:rFonts w:eastAsia="仿宋_GB2312" w:hint="eastAsia"/>
          <w:color w:val="000000"/>
          <w:sz w:val="32"/>
          <w:szCs w:val="32"/>
        </w:rPr>
        <w:t>行政事业单位离退休05</w:t>
      </w:r>
      <w:r>
        <w:rPr>
          <w:rFonts w:eastAsia="仿宋_GB2312"/>
          <w:color w:val="000000"/>
          <w:sz w:val="32"/>
          <w:szCs w:val="32"/>
        </w:rPr>
        <w:t>（款）</w:t>
      </w:r>
      <w:r>
        <w:rPr>
          <w:rFonts w:eastAsia="仿宋_GB2312" w:hint="eastAsia"/>
          <w:color w:val="000000"/>
          <w:sz w:val="32"/>
          <w:szCs w:val="32"/>
        </w:rPr>
        <w:t>机关事业单位职业年金缴费支出06</w:t>
      </w:r>
      <w:r>
        <w:rPr>
          <w:rFonts w:eastAsia="仿宋_GB2312"/>
          <w:color w:val="000000"/>
          <w:sz w:val="32"/>
          <w:szCs w:val="32"/>
        </w:rPr>
        <w:t>（项）：指</w:t>
      </w:r>
      <w:r>
        <w:rPr>
          <w:rFonts w:eastAsia="仿宋_GB2312" w:hint="eastAsia"/>
          <w:color w:val="000000"/>
          <w:sz w:val="32"/>
          <w:szCs w:val="32"/>
        </w:rPr>
        <w:t>单位机关事业单位职业年金缴费支出</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3</w:t>
      </w:r>
      <w:r>
        <w:rPr>
          <w:rFonts w:eastAsia="仿宋_GB2312"/>
          <w:color w:val="000000"/>
          <w:sz w:val="32"/>
          <w:szCs w:val="32"/>
        </w:rPr>
        <w:t>.医疗卫生与计划生育</w:t>
      </w:r>
      <w:r>
        <w:rPr>
          <w:rFonts w:eastAsia="仿宋_GB2312" w:hint="eastAsia"/>
          <w:color w:val="000000"/>
          <w:sz w:val="32"/>
          <w:szCs w:val="32"/>
        </w:rPr>
        <w:t>210</w:t>
      </w:r>
      <w:r>
        <w:rPr>
          <w:rFonts w:eastAsia="仿宋_GB2312"/>
          <w:color w:val="000000"/>
          <w:sz w:val="32"/>
          <w:szCs w:val="32"/>
        </w:rPr>
        <w:t>（类）</w:t>
      </w:r>
      <w:r>
        <w:rPr>
          <w:rFonts w:eastAsia="仿宋_GB2312" w:hint="eastAsia"/>
          <w:color w:val="000000"/>
          <w:sz w:val="32"/>
          <w:szCs w:val="32"/>
        </w:rPr>
        <w:t>行政事业单位医疗11</w:t>
      </w:r>
      <w:r>
        <w:rPr>
          <w:rFonts w:eastAsia="仿宋_GB2312"/>
          <w:color w:val="000000"/>
          <w:sz w:val="32"/>
          <w:szCs w:val="32"/>
        </w:rPr>
        <w:t>（款）</w:t>
      </w:r>
      <w:r>
        <w:rPr>
          <w:rFonts w:eastAsia="仿宋_GB2312" w:hint="eastAsia"/>
          <w:color w:val="000000"/>
          <w:sz w:val="32"/>
          <w:szCs w:val="32"/>
        </w:rPr>
        <w:t>行政单位医疗01</w:t>
      </w:r>
      <w:r>
        <w:rPr>
          <w:rFonts w:eastAsia="仿宋_GB2312"/>
          <w:color w:val="000000"/>
          <w:sz w:val="32"/>
          <w:szCs w:val="32"/>
        </w:rPr>
        <w:t>（项）：指</w:t>
      </w:r>
      <w:r>
        <w:rPr>
          <w:rFonts w:eastAsia="仿宋_GB2312" w:hint="eastAsia"/>
          <w:color w:val="000000"/>
          <w:sz w:val="32"/>
          <w:szCs w:val="32"/>
        </w:rPr>
        <w:t>单位行政单位医疗</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14.</w:t>
      </w:r>
      <w:r>
        <w:rPr>
          <w:rFonts w:eastAsia="仿宋_GB2312"/>
          <w:color w:val="000000"/>
          <w:sz w:val="32"/>
          <w:szCs w:val="32"/>
        </w:rPr>
        <w:t>医疗卫生与计划生育</w:t>
      </w:r>
      <w:r>
        <w:rPr>
          <w:rFonts w:eastAsia="仿宋_GB2312" w:hint="eastAsia"/>
          <w:color w:val="000000"/>
          <w:sz w:val="32"/>
          <w:szCs w:val="32"/>
        </w:rPr>
        <w:t>210</w:t>
      </w:r>
      <w:r>
        <w:rPr>
          <w:rFonts w:eastAsia="仿宋_GB2312"/>
          <w:color w:val="000000"/>
          <w:sz w:val="32"/>
          <w:szCs w:val="32"/>
        </w:rPr>
        <w:t>（类）</w:t>
      </w:r>
      <w:r>
        <w:rPr>
          <w:rFonts w:eastAsia="仿宋_GB2312" w:hint="eastAsia"/>
          <w:color w:val="000000"/>
          <w:sz w:val="32"/>
          <w:szCs w:val="32"/>
        </w:rPr>
        <w:t>行政事业单位医疗11</w:t>
      </w:r>
      <w:r>
        <w:rPr>
          <w:rFonts w:eastAsia="仿宋_GB2312"/>
          <w:color w:val="000000"/>
          <w:sz w:val="32"/>
          <w:szCs w:val="32"/>
        </w:rPr>
        <w:t>（款）</w:t>
      </w:r>
      <w:r>
        <w:rPr>
          <w:rFonts w:eastAsia="仿宋_GB2312" w:hint="eastAsia"/>
          <w:color w:val="000000"/>
          <w:sz w:val="32"/>
          <w:szCs w:val="32"/>
        </w:rPr>
        <w:t>公务员医疗补助03</w:t>
      </w:r>
      <w:r>
        <w:rPr>
          <w:rFonts w:eastAsia="仿宋_GB2312"/>
          <w:color w:val="000000"/>
          <w:sz w:val="32"/>
          <w:szCs w:val="32"/>
        </w:rPr>
        <w:t>（项）：指</w:t>
      </w:r>
      <w:r>
        <w:rPr>
          <w:rFonts w:eastAsia="仿宋_GB2312" w:hint="eastAsia"/>
          <w:color w:val="000000"/>
          <w:sz w:val="32"/>
          <w:szCs w:val="32"/>
        </w:rPr>
        <w:t>单位公务员医疗补助</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5.住房保障</w:t>
      </w:r>
      <w:r>
        <w:rPr>
          <w:rFonts w:eastAsia="仿宋_GB2312" w:hint="eastAsia"/>
          <w:color w:val="000000"/>
          <w:sz w:val="32"/>
          <w:szCs w:val="32"/>
        </w:rPr>
        <w:t>221</w:t>
      </w:r>
      <w:r>
        <w:rPr>
          <w:rFonts w:eastAsia="仿宋_GB2312"/>
          <w:color w:val="000000"/>
          <w:sz w:val="32"/>
          <w:szCs w:val="32"/>
        </w:rPr>
        <w:t>（类）</w:t>
      </w:r>
      <w:r>
        <w:rPr>
          <w:rFonts w:eastAsia="仿宋_GB2312" w:hint="eastAsia"/>
          <w:color w:val="000000"/>
          <w:sz w:val="32"/>
          <w:szCs w:val="32"/>
        </w:rPr>
        <w:t>住房改革支出02</w:t>
      </w:r>
      <w:r>
        <w:rPr>
          <w:rFonts w:eastAsia="仿宋_GB2312"/>
          <w:color w:val="000000"/>
          <w:sz w:val="32"/>
          <w:szCs w:val="32"/>
        </w:rPr>
        <w:t>（款）</w:t>
      </w:r>
      <w:r>
        <w:rPr>
          <w:rFonts w:eastAsia="仿宋_GB2312" w:hint="eastAsia"/>
          <w:color w:val="000000"/>
          <w:sz w:val="32"/>
          <w:szCs w:val="32"/>
        </w:rPr>
        <w:t>住房公积金01</w:t>
      </w:r>
      <w:r>
        <w:rPr>
          <w:rFonts w:eastAsia="仿宋_GB2312"/>
          <w:color w:val="000000"/>
          <w:sz w:val="32"/>
          <w:szCs w:val="32"/>
        </w:rPr>
        <w:t>（项）：指</w:t>
      </w:r>
      <w:r>
        <w:rPr>
          <w:rFonts w:eastAsia="仿宋_GB2312" w:hint="eastAsia"/>
          <w:color w:val="000000"/>
          <w:sz w:val="32"/>
          <w:szCs w:val="32"/>
        </w:rPr>
        <w:t>单位住房公积金支出</w:t>
      </w:r>
      <w:r>
        <w:rPr>
          <w:rFonts w:eastAsia="仿宋_GB2312"/>
          <w:color w:val="000000"/>
          <w:sz w:val="32"/>
          <w:szCs w:val="32"/>
        </w:rPr>
        <w:t>。</w:t>
      </w:r>
    </w:p>
    <w:p>
      <w:pPr>
        <w:ind w:firstLineChars="200" w:firstLine="640"/>
        <w:jc w:val="both"/>
        <w:rPr>
          <w:rFonts w:eastAsia="仿宋_GB2312"/>
          <w:color w:val="000000"/>
          <w:sz w:val="32"/>
          <w:szCs w:val="32"/>
        </w:rPr>
      </w:pPr>
      <w:r>
        <w:rPr>
          <w:rFonts w:eastAsia="仿宋_GB2312" w:hint="eastAsia"/>
          <w:color w:val="000000"/>
          <w:sz w:val="32"/>
          <w:szCs w:val="32"/>
        </w:rPr>
        <w:t>16</w:t>
      </w:r>
      <w:r>
        <w:rPr>
          <w:rFonts w:eastAsia="仿宋_GB2312"/>
          <w:color w:val="000000"/>
          <w:sz w:val="32"/>
          <w:szCs w:val="32"/>
        </w:rPr>
        <w:t>.基本支出：指为保障机构正常运转、完成日常工作任务而发生的人员支出和公用支出。</w:t>
      </w:r>
    </w:p>
    <w:p>
      <w:pPr>
        <w:ind w:firstLineChars="200" w:firstLine="640"/>
        <w:jc w:val="both"/>
        <w:rPr>
          <w:rFonts w:eastAsia="仿宋_GB2312"/>
          <w:color w:val="000000"/>
          <w:sz w:val="32"/>
          <w:szCs w:val="32"/>
        </w:rPr>
      </w:pPr>
      <w:r>
        <w:rPr>
          <w:rFonts w:eastAsia="仿宋_GB2312" w:hint="eastAsia"/>
          <w:color w:val="000000"/>
          <w:sz w:val="32"/>
          <w:szCs w:val="32"/>
        </w:rPr>
        <w:t>17</w:t>
      </w:r>
      <w:r>
        <w:rPr>
          <w:rFonts w:eastAsia="仿宋_GB2312"/>
          <w:color w:val="000000"/>
          <w:sz w:val="32"/>
          <w:szCs w:val="32"/>
        </w:rPr>
        <w:t>.项目支出：指在基本支出之外为完成特定行政任务和事业发展目标所发生的支出。</w:t>
      </w:r>
    </w:p>
    <w:p>
      <w:pPr>
        <w:ind w:firstLineChars="200" w:firstLine="640"/>
        <w:jc w:val="both"/>
        <w:rPr>
          <w:rFonts w:eastAsia="仿宋_GB2312"/>
          <w:color w:val="000000"/>
          <w:sz w:val="32"/>
          <w:szCs w:val="32"/>
        </w:rPr>
      </w:pPr>
      <w:r>
        <w:rPr>
          <w:rFonts w:eastAsia="仿宋_GB2312" w:hint="eastAsia"/>
          <w:color w:val="000000"/>
          <w:sz w:val="32"/>
          <w:szCs w:val="32"/>
        </w:rPr>
        <w:t>18</w:t>
      </w:r>
      <w:r>
        <w:rPr>
          <w:rFonts w:eastAsia="仿宋_GB2312"/>
          <w:color w:val="000000"/>
          <w:sz w:val="32"/>
          <w:szCs w:val="32"/>
        </w:rPr>
        <w:t>.经营支出：指事业单位在专业业务活动及其辅助活动之外开展非独立核算经营活动发生的支出。</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19</w:t>
      </w:r>
      <w:r>
        <w:rPr>
          <w:rFonts w:ascii="Times New Roman" w:eastAsia="仿宋_GB2312" w:cs="Times New Roman" w:hAnsi="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20</w:t>
      </w:r>
      <w:r>
        <w:rPr>
          <w:rFonts w:ascii="Times New Roman" w:eastAsia="仿宋_GB2312" w:cs="Times New Roman" w:hAnsi="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8"/>
        <w:shd w:val="clear" w:color="auto" w:fill="FFFFFF"/>
        <w:jc w:val="both"/>
        <w:rPr>
          <w:sz w:val="32"/>
          <w:szCs w:val="32"/>
        </w:rPr>
      </w:pPr>
    </w:p>
    <w:sectPr>
      <w:pgSz w:w="11907" w:h="16840"/>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1"/>
  <w:noPunctuationKerning/>
  <w:compat>
    <w:spaceForUL/>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宋体"/>
      <w:sz w:val="24"/>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100" w:beforeAutospacing="1" w:after="100" w:afterAutospacing="1"/>
    </w:pPr>
  </w:style>
  <w:style w:type="character" w:styleId="19">
    <w:name w:val="Strong"/>
    <w:basedOn w:val="10"/>
    <w:rPr>
      <w:b/>
      <w:bCs/>
    </w:rPr>
  </w:style>
  <w:style w:type="paragraph" w:styleId="20">
    <w:name w:val="List Paragraph"/>
    <w:basedOn w:val="0"/>
    <w:pPr>
      <w:ind w:firstLineChars="200" w:firstLine="200"/>
    </w:pPr>
  </w:style>
  <w:style w:type="paragraph" w:customStyle="1" w:styleId="21">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22">
    <w:name w:val="Salutation"/>
    <w:basedOn w:val="0"/>
    <w:next w:val="0"/>
    <w:pPr>
      <w:widowControl w:val="0"/>
      <w:jc w:val="both"/>
    </w:pPr>
    <w:rPr>
      <w:rFonts w:ascii="Calibri" w:cs="Calibri" w:hAnsi="Calibri"/>
      <w:kern w:val="2"/>
      <w:sz w:val="21"/>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png"/><Relationship Id="rId3" Type="http://schemas.openxmlformats.org/officeDocument/2006/relationships/image" Target="media/5.png"/><Relationship Id="rId4" Type="http://schemas.openxmlformats.org/officeDocument/2006/relationships/image" Target="media/8.png"/><Relationship Id="rId5" Type="http://schemas.openxmlformats.org/officeDocument/2006/relationships/image" Target="media/2.png"/><Relationship Id="rId6" Type="http://schemas.openxmlformats.org/officeDocument/2006/relationships/image" Target="media/13.png"/><Relationship Id="rId7" Type="http://schemas.openxmlformats.org/officeDocument/2006/relationships/image" Target="media/16.png"/><Relationship Id="rId8" Type="http://schemas.openxmlformats.org/officeDocument/2006/relationships/image" Target="media/19.png"/><Relationship Id="rId9" Type="http://schemas.openxmlformats.org/officeDocument/2006/relationships/styles" Target="styles.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275</TotalTime>
  <Application>Yozo_Office27021597764231179</Application>
  <Pages>25</Pages>
  <Words>9658</Words>
  <Characters>10328</Characters>
  <Lines>527</Lines>
  <Paragraphs>154</Paragraphs>
  <CharactersWithSpaces>10406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2019年度四川省阿坝州部门决算公开</dc:title>
  <dc:creator>Administrator</dc:creator>
  <cp:lastModifiedBy>user</cp:lastModifiedBy>
  <cp:revision>6</cp:revision>
  <dcterms:created xsi:type="dcterms:W3CDTF">2020-09-26T09:12:00Z</dcterms:created>
  <dcterms:modified xsi:type="dcterms:W3CDTF">2022-06-07T05:36:15Z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2052-11.1.0.10667</vt:lpwstr>
  </property>
  <property fmtid="{D5CDD505-2E9C-101B-9397-08002B2CF9AE}" pid="3" name="ICV">
    <vt:lpwstr>38A9E44F427F4932AF80751783052F81</vt:lpwstr>
  </property>
</Properties>
</file>