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xlsx" ContentType="application/vnd.openxmlformats-officedocument.spreadsheetml.sheet"/>
  <Override PartName="/word/settings.xml" ContentType="application/vnd.openxmlformats-officedocument.wordprocessingml.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20"/>
        <w:shd w:val="clear" w:color="auto" w:fill="FFFFFF"/>
        <w:jc w:val="both"/>
        <w:rPr>
          <w:sz w:val="32"/>
          <w:szCs w:val="32"/>
        </w:rPr>
      </w:pPr>
      <w:r>
        <w:rPr>
          <w:sz w:val="32"/>
          <w:szCs w:val="32"/>
        </w:rPr>
        <w:t> </w:t>
      </w:r>
    </w:p>
    <w:p>
      <w:pPr>
        <w:pStyle w:val="20"/>
        <w:shd w:val="clear" w:color="auto" w:fill="FFFFFF"/>
        <w:spacing w:line="576" w:lineRule="exact"/>
        <w:jc w:val="both"/>
        <w:rPr>
          <w:sz w:val="32"/>
          <w:szCs w:val="32"/>
        </w:rPr>
      </w:pPr>
      <w:r>
        <w:rPr>
          <w:sz w:val="32"/>
          <w:szCs w:val="32"/>
        </w:rPr>
        <w:t> </w:t>
      </w:r>
    </w:p>
    <w:p>
      <w:pPr>
        <w:pStyle w:val="20"/>
        <w:shd w:val="clear" w:color="auto" w:fill="FFFFFF"/>
        <w:spacing w:line="576" w:lineRule="exact"/>
        <w:jc w:val="center"/>
        <w:rPr>
          <w:rFonts w:ascii="方正小标宋简体" w:eastAsia="方正小标宋简体" w:cs="方正小标宋简体"/>
          <w:sz w:val="44"/>
          <w:szCs w:val="44"/>
        </w:rPr>
      </w:pPr>
      <w:r>
        <w:rPr>
          <w:rStyle w:val="21"/>
          <w:rFonts w:ascii="方正小标宋简体" w:eastAsia="方正小标宋简体" w:cs="方正小标宋简体" w:hint="eastAsia"/>
          <w:sz w:val="44"/>
          <w:szCs w:val="44"/>
        </w:rPr>
        <w:t>20</w:t>
      </w:r>
      <w:r>
        <w:rPr>
          <w:rStyle w:val="21"/>
          <w:rFonts w:ascii="方正小标宋简体" w:eastAsia="方正小标宋简体" w:cs="方正小标宋简体"/>
          <w:sz w:val="44"/>
          <w:szCs w:val="44"/>
        </w:rPr>
        <w:t>23</w:t>
      </w:r>
      <w:r>
        <w:rPr>
          <w:rStyle w:val="21"/>
          <w:rFonts w:ascii="方正小标宋简体" w:eastAsia="方正小标宋简体" w:cs="方正小标宋简体" w:hint="eastAsia"/>
          <w:sz w:val="44"/>
          <w:szCs w:val="44"/>
        </w:rPr>
        <w:t>年度</w:t>
      </w:r>
    </w:p>
    <w:p>
      <w:pPr>
        <w:pStyle w:val="20"/>
        <w:shd w:val="clear" w:color="auto" w:fill="FFFFFF"/>
        <w:spacing w:line="576" w:lineRule="exact"/>
        <w:jc w:val="center"/>
        <w:rPr>
          <w:rStyle w:val="21"/>
          <w:rFonts w:ascii="方正小标宋简体" w:eastAsia="方正小标宋简体" w:cs="方正小标宋简体"/>
          <w:sz w:val="44"/>
          <w:szCs w:val="44"/>
        </w:rPr>
      </w:pPr>
      <w:r>
        <w:rPr>
          <w:rStyle w:val="21"/>
          <w:rFonts w:ascii="方正小标宋简体" w:eastAsia="方正小标宋简体" w:cs="方正小标宋简体"/>
          <w:sz w:val="44"/>
          <w:szCs w:val="44"/>
        </w:rPr>
        <w:t>中共</w:t>
      </w:r>
      <w:r>
        <w:rPr>
          <w:rStyle w:val="21"/>
          <w:rFonts w:ascii="方正小标宋简体" w:eastAsia="方正小标宋简体" w:cs="方正小标宋简体" w:hint="eastAsia"/>
          <w:sz w:val="44"/>
          <w:szCs w:val="44"/>
        </w:rPr>
        <w:t>阿坝州</w:t>
      </w:r>
      <w:r>
        <w:rPr>
          <w:rStyle w:val="21"/>
          <w:rFonts w:ascii="方正小标宋简体" w:eastAsia="方正小标宋简体" w:cs="方正小标宋简体"/>
          <w:sz w:val="44"/>
          <w:szCs w:val="44"/>
        </w:rPr>
        <w:t>委</w:t>
      </w:r>
      <w:r>
        <w:rPr>
          <w:rStyle w:val="21"/>
          <w:rFonts w:ascii="方正小标宋简体" w:eastAsia="方正小标宋简体" w:cs="方正小标宋简体" w:hint="eastAsia"/>
          <w:sz w:val="44"/>
          <w:szCs w:val="44"/>
        </w:rPr>
        <w:t>外事</w:t>
      </w:r>
      <w:r>
        <w:rPr>
          <w:rStyle w:val="21"/>
          <w:rFonts w:ascii="方正小标宋简体" w:eastAsia="方正小标宋简体" w:cs="方正小标宋简体"/>
          <w:sz w:val="44"/>
          <w:szCs w:val="44"/>
        </w:rPr>
        <w:t>工作委员会</w:t>
      </w:r>
      <w:r>
        <w:rPr>
          <w:rStyle w:val="21"/>
          <w:rFonts w:ascii="方正小标宋简体" w:eastAsia="方正小标宋简体" w:cs="方正小标宋简体" w:hint="eastAsia"/>
          <w:sz w:val="44"/>
          <w:szCs w:val="44"/>
        </w:rPr>
        <w:t>办公室</w:t>
      </w:r>
    </w:p>
    <w:p>
      <w:pPr>
        <w:pStyle w:val="20"/>
        <w:shd w:val="clear" w:color="auto" w:fill="FFFFFF"/>
        <w:spacing w:line="576" w:lineRule="exact"/>
        <w:jc w:val="center"/>
        <w:rPr>
          <w:rFonts w:ascii="方正小标宋简体" w:eastAsia="方正小标宋简体" w:cs="方正小标宋简体"/>
          <w:sz w:val="44"/>
          <w:szCs w:val="44"/>
        </w:rPr>
      </w:pPr>
      <w:r>
        <w:rPr>
          <w:rStyle w:val="21"/>
          <w:rFonts w:ascii="方正小标宋简体" w:eastAsia="方正小标宋简体" w:cs="方正小标宋简体" w:hint="eastAsia"/>
          <w:sz w:val="44"/>
          <w:szCs w:val="44"/>
        </w:rPr>
        <w:t>（本级）部门决算</w:t>
      </w:r>
    </w:p>
    <w:p>
      <w:pPr>
        <w:pStyle w:val="20"/>
        <w:shd w:val="clear" w:color="auto" w:fill="FFFFFF"/>
        <w:spacing w:line="576" w:lineRule="exact"/>
        <w:jc w:val="both"/>
        <w:rPr>
          <w:sz w:val="32"/>
          <w:szCs w:val="32"/>
        </w:rPr>
      </w:pPr>
      <w:r>
        <w:rPr>
          <w:sz w:val="32"/>
          <w:szCs w:val="32"/>
        </w:rPr>
        <w:t> </w:t>
      </w:r>
    </w:p>
    <w:p>
      <w:pPr>
        <w:pStyle w:val="20"/>
        <w:shd w:val="clear" w:color="auto" w:fill="FFFFFF"/>
        <w:spacing w:line="576" w:lineRule="exact"/>
        <w:jc w:val="both"/>
        <w:rPr>
          <w:sz w:val="32"/>
          <w:szCs w:val="32"/>
        </w:rPr>
      </w:pPr>
      <w:r>
        <w:rPr>
          <w:sz w:val="32"/>
          <w:szCs w:val="32"/>
        </w:rPr>
        <w:t> </w:t>
      </w:r>
    </w:p>
    <w:p>
      <w:pPr>
        <w:pStyle w:val="20"/>
        <w:shd w:val="clear" w:color="auto" w:fill="FFFFFF"/>
        <w:spacing w:line="576" w:lineRule="exact"/>
        <w:jc w:val="both"/>
        <w:rPr>
          <w:sz w:val="32"/>
          <w:szCs w:val="32"/>
        </w:rPr>
      </w:pPr>
      <w:r>
        <w:rPr>
          <w:sz w:val="32"/>
          <w:szCs w:val="32"/>
        </w:rPr>
        <w:t> </w:t>
      </w:r>
    </w:p>
    <w:p>
      <w:pPr>
        <w:pStyle w:val="20"/>
        <w:shd w:val="clear" w:color="auto" w:fill="FFFFFF"/>
        <w:spacing w:line="576" w:lineRule="exact"/>
        <w:jc w:val="both"/>
        <w:rPr>
          <w:sz w:val="32"/>
          <w:szCs w:val="32"/>
        </w:rPr>
      </w:pPr>
      <w:r>
        <w:rPr>
          <w:sz w:val="32"/>
          <w:szCs w:val="32"/>
        </w:rPr>
        <w:t> </w:t>
      </w:r>
    </w:p>
    <w:p>
      <w:pPr>
        <w:pStyle w:val="20"/>
        <w:shd w:val="clear" w:color="auto" w:fill="FFFFFF"/>
        <w:spacing w:line="576" w:lineRule="exact"/>
        <w:jc w:val="both"/>
        <w:rPr>
          <w:sz w:val="32"/>
          <w:szCs w:val="32"/>
        </w:rPr>
      </w:pPr>
      <w:r>
        <w:rPr>
          <w:sz w:val="32"/>
          <w:szCs w:val="32"/>
        </w:rPr>
        <w:t> </w:t>
      </w:r>
    </w:p>
    <w:p>
      <w:pPr>
        <w:pStyle w:val="20"/>
        <w:shd w:val="clear" w:color="auto" w:fill="FFFFFF"/>
        <w:spacing w:line="576" w:lineRule="exact"/>
        <w:jc w:val="both"/>
        <w:rPr>
          <w:sz w:val="32"/>
          <w:szCs w:val="32"/>
        </w:rPr>
      </w:pPr>
      <w:r>
        <w:rPr>
          <w:sz w:val="32"/>
          <w:szCs w:val="32"/>
        </w:rPr>
        <w:t> </w:t>
      </w:r>
    </w:p>
    <w:p>
      <w:pPr>
        <w:pStyle w:val="20"/>
        <w:shd w:val="clear" w:color="auto" w:fill="FFFFFF"/>
        <w:spacing w:line="576" w:lineRule="exact"/>
        <w:jc w:val="both"/>
        <w:rPr>
          <w:sz w:val="32"/>
          <w:szCs w:val="32"/>
        </w:rPr>
      </w:pPr>
      <w:r>
        <w:rPr>
          <w:sz w:val="32"/>
          <w:szCs w:val="32"/>
        </w:rPr>
        <w:t> </w:t>
      </w:r>
    </w:p>
    <w:p>
      <w:pPr>
        <w:pStyle w:val="20"/>
        <w:shd w:val="clear" w:color="auto" w:fill="FFFFFF"/>
        <w:spacing w:line="576" w:lineRule="exact"/>
        <w:jc w:val="both"/>
        <w:rPr>
          <w:sz w:val="32"/>
          <w:szCs w:val="32"/>
        </w:rPr>
      </w:pPr>
      <w:r>
        <w:rPr>
          <w:rFonts w:ascii="仿宋_GB2312" w:eastAsia="仿宋_GB2312" w:hint="eastAsia"/>
          <w:sz w:val="32"/>
          <w:szCs w:val="32"/>
        </w:rPr>
        <w:t>   保密审查情况：已审查,内容审定。</w:t>
      </w:r>
    </w:p>
    <w:p>
      <w:pPr>
        <w:pStyle w:val="20"/>
        <w:shd w:val="clear" w:color="auto" w:fill="FFFFFF"/>
        <w:spacing w:line="576" w:lineRule="exact"/>
        <w:jc w:val="both"/>
        <w:rPr>
          <w:sz w:val="32"/>
          <w:szCs w:val="32"/>
        </w:rPr>
      </w:pPr>
      <w:r>
        <w:rPr>
          <w:rFonts w:ascii="仿宋_GB2312" w:eastAsia="仿宋_GB2312" w:hint="eastAsia"/>
          <w:sz w:val="32"/>
          <w:szCs w:val="32"/>
        </w:rPr>
        <w:t>   部门主要负责人审签情况：已审签，同意对外公开。</w:t>
      </w:r>
    </w:p>
    <w:p>
      <w:pPr>
        <w:pStyle w:val="20"/>
        <w:shd w:val="clear" w:color="auto" w:fill="FFFFFF"/>
        <w:jc w:val="both"/>
        <w:rPr>
          <w:sz w:val="32"/>
          <w:szCs w:val="32"/>
        </w:rPr>
      </w:pPr>
      <w:r>
        <w:rPr>
          <w:sz w:val="32"/>
          <w:szCs w:val="32"/>
        </w:rPr>
        <w:t> </w:t>
      </w:r>
    </w:p>
    <w:p>
      <w:pPr>
        <w:pStyle w:val="20"/>
        <w:shd w:val="clear" w:color="auto" w:fill="FFFFFF"/>
        <w:jc w:val="both"/>
        <w:rPr>
          <w:sz w:val="32"/>
          <w:szCs w:val="32"/>
        </w:rPr>
      </w:pPr>
      <w:r>
        <w:rPr>
          <w:sz w:val="32"/>
          <w:szCs w:val="32"/>
        </w:rPr>
        <w:t> </w:t>
      </w:r>
    </w:p>
    <w:p>
      <w:pPr>
        <w:spacing w:line="576" w:lineRule="exact"/>
        <w:ind w:firstLineChars="200" w:firstLine="640"/>
        <w:jc w:val="center"/>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目录</w:t>
      </w:r>
    </w:p>
    <w:p>
      <w:pPr>
        <w:spacing w:line="576" w:lineRule="exact"/>
        <w:ind w:firstLineChars="200" w:firstLine="640"/>
        <w:jc w:val="center"/>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公开时间：2024年9月1</w:t>
      </w:r>
      <w:r>
        <w:rPr>
          <w:rFonts w:ascii="Times New Roman" w:eastAsia="仿宋_GB2312" w:cs="Times New Roman" w:hAnsi="Times New Roman" w:hint="eastAsia"/>
          <w:b/>
          <w:bCs/>
          <w:sz w:val="32"/>
          <w:szCs w:val="32"/>
        </w:rPr>
        <w:t>8</w:t>
      </w:r>
      <w:r>
        <w:rPr>
          <w:rFonts w:ascii="Times New Roman" w:eastAsia="仿宋_GB2312" w:cs="Times New Roman" w:hAnsi="Times New Roman"/>
          <w:b/>
          <w:bCs/>
          <w:sz w:val="32"/>
          <w:szCs w:val="32"/>
        </w:rPr>
        <w:t>日</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第一部分 部门概况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一、基本职能及主要工作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二、机构设置</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第二部分度 部门决算情况说明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一、收入支出决算总体情况说明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二、收入决算情况说明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三、支出决算情况说明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四、财政拨款收入支出决算总体情况说明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五、一般公共预算财政拨款支出决算情况说明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六、一般公共预算财政拨款基本支出决算情况说明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七、“三公”经费财政拨款支出决算情况说明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八、政府性基金预算支出决算情况说明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九、 国有资本经营预算支出决算情况说明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十、其他重要事项的情况说明 </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第三部分 名词解释</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第四部分 附件</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附件1</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附件2</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第五部分 附表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一、收入支出决算总表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二、收入决算表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三、支出决算表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四、财政拨款收入支出决算总表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五、财政拨款支出决算明细表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六、一般公共预算财政拨款支出决算表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七、一般公共预算财政拨款支出决算明细表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八、一般公共预算财政拨款基本支出决算表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九、一般公共预算财政拨款项目支出决算表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十、一般公共预算财政拨款“三公”经费支出决算表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十一、政府性基金预算财政拨款收入支出决算表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十二、政府性基金预算财政拨款“三公”经费支出决算表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十三、国有资本经营预算支出决算表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(注：请部门根据实际注明页码)</w:t>
      </w:r>
    </w:p>
    <w:p>
      <w:pPr>
        <w:pStyle w:val="20"/>
        <w:shd w:val="clear" w:color="auto" w:fill="FFFFFF"/>
        <w:spacing w:line="576" w:lineRule="exact"/>
        <w:jc w:val="both"/>
        <w:rPr>
          <w:sz w:val="32"/>
          <w:szCs w:val="32"/>
        </w:rPr>
      </w:pPr>
      <w:r>
        <w:rPr>
          <w:sz w:val="32"/>
          <w:szCs w:val="32"/>
        </w:rPr>
        <w:t> </w:t>
      </w:r>
    </w:p>
    <w:p>
      <w:pPr>
        <w:pStyle w:val="20"/>
        <w:shd w:val="clear" w:color="auto" w:fill="FFFFFF"/>
        <w:spacing w:line="576" w:lineRule="exact"/>
        <w:jc w:val="both"/>
        <w:rPr>
          <w:sz w:val="32"/>
          <w:szCs w:val="32"/>
        </w:rPr>
      </w:pPr>
    </w:p>
    <w:p>
      <w:pPr>
        <w:pStyle w:val="20"/>
        <w:shd w:val="clear" w:color="auto" w:fill="FFFFFF"/>
        <w:spacing w:line="576" w:lineRule="exact"/>
        <w:jc w:val="both"/>
        <w:rPr>
          <w:rStyle w:val="21"/>
          <w:rFonts w:ascii="仿宋_GB2312" w:eastAsia="仿宋_GB2312"/>
          <w:sz w:val="32"/>
          <w:szCs w:val="32"/>
        </w:rPr>
      </w:pPr>
    </w:p>
    <w:p>
      <w:pPr>
        <w:spacing w:line="576" w:lineRule="exact"/>
        <w:jc w:val="both"/>
        <w:rPr>
          <w:rFonts w:ascii="Times New Roman" w:eastAsia="仿宋_GB2312" w:cs="Times New Roman" w:hAnsi="Times New Roman"/>
          <w:b/>
          <w:bCs/>
          <w:sz w:val="32"/>
          <w:szCs w:val="32"/>
        </w:rPr>
      </w:pPr>
    </w:p>
    <w:p>
      <w:pPr>
        <w:spacing w:line="576" w:lineRule="exact"/>
        <w:jc w:val="both"/>
        <w:rPr>
          <w:rFonts w:ascii="Times New Roman" w:eastAsia="仿宋_GB2312" w:cs="Times New Roman" w:hAnsi="Times New Roman"/>
          <w:b/>
          <w:bCs/>
          <w:sz w:val="32"/>
          <w:szCs w:val="32"/>
        </w:rPr>
      </w:pPr>
    </w:p>
    <w:p>
      <w:pPr>
        <w:spacing w:line="576" w:lineRule="exact"/>
        <w:jc w:val="both"/>
        <w:rPr>
          <w:rFonts w:ascii="Times New Roman" w:eastAsia="仿宋_GB2312" w:cs="Times New Roman" w:hAnsi="Times New Roman"/>
          <w:b/>
          <w:bCs/>
          <w:sz w:val="32"/>
          <w:szCs w:val="32"/>
        </w:rPr>
      </w:pPr>
    </w:p>
    <w:p>
      <w:pPr>
        <w:spacing w:line="576" w:lineRule="exact"/>
        <w:jc w:val="both"/>
        <w:rPr>
          <w:rFonts w:ascii="Times New Roman" w:eastAsia="仿宋_GB2312" w:cs="Times New Roman" w:hAnsi="Times New Roman"/>
          <w:b/>
          <w:bCs/>
          <w:sz w:val="32"/>
          <w:szCs w:val="32"/>
        </w:rPr>
      </w:pPr>
    </w:p>
    <w:p>
      <w:pPr>
        <w:spacing w:line="576" w:lineRule="exact"/>
        <w:jc w:val="both"/>
        <w:rPr>
          <w:rFonts w:ascii="Times New Roman" w:eastAsia="仿宋_GB2312" w:cs="Times New Roman" w:hAnsi="Times New Roman"/>
          <w:b/>
          <w:bCs/>
          <w:sz w:val="32"/>
          <w:szCs w:val="32"/>
        </w:rPr>
      </w:pPr>
    </w:p>
    <w:p>
      <w:pPr>
        <w:spacing w:line="576" w:lineRule="exact"/>
        <w:jc w:val="both"/>
        <w:rPr>
          <w:rFonts w:ascii="Times New Roman" w:eastAsia="仿宋_GB2312" w:cs="Times New Roman" w:hAnsi="Times New Roman"/>
          <w:b/>
          <w:bCs/>
          <w:sz w:val="32"/>
          <w:szCs w:val="32"/>
        </w:rPr>
      </w:pPr>
    </w:p>
    <w:p>
      <w:pPr>
        <w:spacing w:line="576" w:lineRule="exact"/>
        <w:jc w:val="both"/>
        <w:rPr>
          <w:rFonts w:ascii="Times New Roman" w:eastAsia="仿宋_GB2312" w:cs="Times New Roman" w:hAnsi="Times New Roman"/>
          <w:b/>
          <w:bCs/>
          <w:sz w:val="32"/>
          <w:szCs w:val="32"/>
        </w:rPr>
      </w:pPr>
    </w:p>
    <w:p>
      <w:pPr>
        <w:spacing w:line="576" w:lineRule="exact"/>
        <w:jc w:val="center"/>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第一部分 部门概况</w:t>
      </w:r>
    </w:p>
    <w:p>
      <w:pPr>
        <w:spacing w:line="576" w:lineRule="exact"/>
        <w:ind w:firstLineChars="200" w:firstLine="640"/>
        <w:jc w:val="both"/>
        <w:rPr>
          <w:rFonts w:ascii="Times New Roman" w:eastAsia="仿宋_GB2312" w:cs="Times New Roman" w:hAnsi="Times New Roman"/>
          <w:b/>
          <w:bCs/>
          <w:sz w:val="32"/>
          <w:szCs w:val="32"/>
        </w:rPr>
      </w:pP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一、基本职能及主要工作</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（一）主要职能。</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1.贯彻执行党和国家的外事、港澳方针政策和法律法规，以及州委、州政府和州委外事工作委员会关于外事、港澳和友协工作的决策部署，并负责监督检查。指导全州外事、港澳和友协工作。围绕推进全州高水平开放、高质量发展和外事、港澳和友协工作开展调查研究，统筹协调全州外事、港澳和友协工作及其重大活动。指导协调各级各部门有序开展重大对外交流活动，推动实施“四向拓展、全域开放”战略部署，为州委、州政府决策提出建议。</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2.负责全州重大外事工作的统筹协调、整体谋划、政策研究和督促指导。研究起草全州外事、港澳和友协工作的地方性法规、政府规章草案。负责制定外事、港澳和友协工作规划以及有关政策措施和办法，审核各地、各部门报请州委、州政府审批的涉及外事、港澳和友协工作的文件，审核报批在州举行的国际性会议。负责本系统、本部门依法行政工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3.统筹协调管理全州各部门（单位）与外国驻我国使馆、领馆的交往活动，管理为外国领事馆和国（境）外其他官方机构服务的机构。</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4.负责州委对外党际交流与合作工作。负责以中国共产党名义出访团组的协调工作。负责中共中央对外联络部等中央部门邀请的党宾来州访问工作。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5.统筹全州民间对外交往工作，统筹全州民间组织参与国际交流协调工作。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6.综合协调全州因公出国（境）管理工作，按照授权和管理权限，负责相关事宜的审核报批及证件上缴工作。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7.负责接待来州访问或进行公务活动的国宾和外国驻华外交人员，办理相关礼宾事宜，统筹协调州委、州人大常委会、州人民政府、州政协领导的外事活动，负责办理外国受邀人员来访的审核报批事宜。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8.负责全州与“一带一路”沿线重点国家交流合作的统筹协调工作。稳步推进我州建立相关国际友好关系工作，负责全州与外国友好城市、友好市州（县）和其他结好单位的交往活动及其相关的报批事宜，为全州企业、事业单位开展对外合作交流提供服务。</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9.统筹协调全州涉藏外事工作，参与协调处理阿坝州机构和人员在海外的领事保护事宜及外国人在州涉案事宜，参与处理全州重大涉外案件和涉外突发应急事件。参与协调境外非政府组织在州活动管理工作。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10.统筹全州涉港澳事务，负责川港澳合作机制涉及我州的相关事项。统筹协调我州与港澳各界交往事宜。负责全州因公赴港澳人员的任务审核报批工作。负责与港澳特区政府驻川机构的联络交往事宜，参与处理涉港澳应急事件，负责港澳特区政府官员和有关人员公务来州邀请报批及接待工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11.指导全州外事系统的对外宣传工作。负责外国常驻我国新闻机构和来州外国记者在我州采访及外国记者的管理服务工作，负责外事、港澳和友协信息工作。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12.负责全州外事系统工作人员的教育培训工作，监督检查外事纪律和保密制度的执行情况，协调处理违反外事纪律和保密规定的重大案件。</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13.负责州委外事工作委员会的具体工作。承担有关行政审批事项。</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14.完成州委交办的其他任务。</w:t>
      </w:r>
    </w:p>
    <w:p>
      <w:pPr>
        <w:spacing w:line="560"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（二）2023年重点工作完成情况。</w:t>
      </w:r>
    </w:p>
    <w:p>
      <w:pPr>
        <w:widowControl w:val="0"/>
        <w:spacing w:line="560" w:lineRule="exact"/>
        <w:ind w:firstLine="642"/>
        <w:jc w:val="both"/>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1.提高思想政治站位，强化党对外事集中领导。</w:t>
      </w:r>
      <w:r>
        <w:rPr>
          <w:rFonts w:ascii="Times New Roman" w:eastAsia="方正仿宋_GBK" w:cs="Times New Roman" w:hAnsi="Times New Roman"/>
          <w:sz w:val="32"/>
          <w:szCs w:val="32"/>
        </w:rPr>
        <w:t>认真学习贯彻落实中央、省委和州委重要精神。深入学习贯彻习近平总书记在中央第七次西藏工作座谈会和西藏考察调研时的重要讲话精神，认真贯彻落实党的十九届五中和六中全会、全国地方外办主任会、省委十一届七次、八次全会，省委外事工作委员会第三次会议、全省外事工作会议精神，坚持把上级对涉藏外事工作的部署落实到日常工作中。</w:t>
      </w:r>
      <w:r>
        <w:rPr>
          <w:rFonts w:ascii="Times New Roman" w:eastAsia="方正仿宋_GBK" w:cs="Times New Roman" w:hAnsi="Times New Roman" w:hint="eastAsia"/>
          <w:sz w:val="32"/>
          <w:szCs w:val="32"/>
        </w:rPr>
        <w:t>根据</w:t>
      </w:r>
      <w:r>
        <w:rPr>
          <w:rFonts w:ascii="Times New Roman" w:eastAsia="方正仿宋_GBK" w:cs="Times New Roman" w:hAnsi="Times New Roman"/>
          <w:sz w:val="32"/>
          <w:szCs w:val="32"/>
        </w:rPr>
        <w:t>年初州委外事工作委员会制定</w:t>
      </w:r>
      <w:r>
        <w:rPr>
          <w:rFonts w:ascii="Times New Roman" w:eastAsia="方正仿宋_GBK" w:cs="Times New Roman" w:hAnsi="Times New Roman" w:hint="eastAsia"/>
          <w:sz w:val="32"/>
          <w:szCs w:val="32"/>
        </w:rPr>
        <w:t>下发的</w:t>
      </w:r>
      <w:r>
        <w:rPr>
          <w:rFonts w:ascii="Times New Roman" w:eastAsia="方正仿宋_GBK" w:cs="Times New Roman" w:hAnsi="Times New Roman"/>
          <w:sz w:val="32"/>
          <w:szCs w:val="32"/>
        </w:rPr>
        <w:t>《2023年全州外事工作要点》，对全州外事工作进行统筹安排</w:t>
      </w:r>
      <w:r>
        <w:rPr>
          <w:rFonts w:ascii="Times New Roman" w:eastAsia="方正仿宋_GBK" w:cs="Times New Roman" w:hAnsi="Times New Roman" w:hint="eastAsia"/>
          <w:sz w:val="32"/>
          <w:szCs w:val="32"/>
        </w:rPr>
        <w:t>落实</w:t>
      </w:r>
      <w:r>
        <w:rPr>
          <w:rFonts w:ascii="Times New Roman" w:eastAsia="方正仿宋_GBK" w:cs="Times New Roman" w:hAnsi="Times New Roman"/>
          <w:sz w:val="32"/>
          <w:szCs w:val="32"/>
        </w:rPr>
        <w:t>。坚持对重大涉外工作和事项进行研判、决策，对重大涉外工作任务提出意见，及时布置工作任务、强调工作效果，指导州县共同配合、协同作战，保障外事重点工作顺利开展。严格执行重大事项请示报告制度，重大外事工作前及时向州委外事工作委员会请示报告，促进了全州外事工作规范、有序运转。</w:t>
      </w:r>
    </w:p>
    <w:p>
      <w:pPr>
        <w:spacing w:line="560"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二、机构设置</w:t>
      </w:r>
    </w:p>
    <w:p>
      <w:pPr>
        <w:spacing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根据工作职责，州委外办为行政单位，内设行政科室3个：综合科、外事科和港澳事务科。</w:t>
      </w:r>
    </w:p>
    <w:p>
      <w:pPr>
        <w:spacing w:line="576" w:lineRule="exact"/>
        <w:jc w:val="center"/>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第二部分 2023年度部门决算情况说明</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一、 收入支出决算总体情况说明</w:t>
      </w:r>
    </w:p>
    <w:p>
      <w:pPr>
        <w:spacing w:line="576" w:lineRule="exact"/>
        <w:ind w:firstLineChars="200" w:firstLine="640"/>
        <w:jc w:val="both"/>
        <w:rPr>
          <w:rFonts w:ascii="Times New Roman" w:eastAsia="方正仿宋_GBK" w:cs="Times New Roman" w:hAnsi="Times New Roman"/>
          <w:sz w:val="32"/>
          <w:szCs w:val="32"/>
        </w:rPr>
      </w:pPr>
      <w:r>
        <w:rPr>
          <w:rFonts w:ascii="仿宋_GB2312" w:eastAsia="仿宋_GB2312" w:hint="eastAsia"/>
          <w:sz w:val="32"/>
          <w:szCs w:val="32"/>
        </w:rPr>
        <w:drawing>
          <wp:anchor distT="0" distB="0" distL="114300" distR="114300" simplePos="0" relativeHeight="21" behindDoc="0" locked="0" layoutInCell="1" hidden="0" allowOverlap="1">
            <wp:simplePos x="0" y="0"/>
            <wp:positionH relativeFrom="column">
              <wp:posOffset>29849</wp:posOffset>
            </wp:positionH>
            <wp:positionV relativeFrom="paragraph">
              <wp:posOffset>3697063</wp:posOffset>
            </wp:positionV>
            <wp:extent cx="5079997" cy="2285660"/>
            <wp:effectExtent l="0" t="0" r="0" b="0"/>
            <wp:wrapSquare wrapText="bothSides"/>
            <wp:docPr id="1" name="图表 3"/>
            <wp:cNvGraphicFramePr>
              <a:graphicFrameLocks noChangeAspect="0"/>
            </wp:cNvGraphicFramePr>
            <a:graphic>
              <a:graphicData uri="http://schemas.openxmlformats.org/drawingml/2006/picture">
                <pic:pic>
                  <pic:nvPicPr>
                    <pic:cNvPr id="3" name="图表 3 3"/>
                    <pic:cNvPicPr/>
                  </pic:nvPicPr>
                  <pic:blipFill>
                    <a:blip r:embed="rId2"/>
                    <a:stretch>
                      <a:fillRect/>
                    </a:stretch>
                  </pic:blipFill>
                  <pic:spPr>
                    <a:xfrm rot="0">
                      <a:off x="0" y="0"/>
                      <a:ext cx="5079997" cy="2285660"/>
                    </a:xfrm>
                    <a:prstGeom prst="rect"/>
                    <a:noFill/>
                    <a:ln w="9525" cmpd="sng" cap="flat">
                      <a:noFill/>
                      <a:prstDash val="solid"/>
                      <a:miter/>
                    </a:ln>
                  </pic:spPr>
                </pic:pic>
              </a:graphicData>
            </a:graphic>
          </wp:anchor>
        </w:drawing>
      </w:r>
      <w:r>
        <w:rPr>
          <w:rFonts w:ascii="Times New Roman" w:eastAsia="方正仿宋_GBK" w:cs="Times New Roman" w:hAnsi="Times New Roman"/>
          <w:sz w:val="32"/>
          <w:szCs w:val="32"/>
        </w:rPr>
        <w:t>2023年度收、支总计381.26万元。与2022年相比，收、支总计各增加104.62万元，增加37.82%。主要变动原因是：一是因2023年度目标绩效奖较2022年增加44.04万元，其中工资福利支出较2022年增加9.21万元，社会保障支出增加0.15万元；对个人和家庭的补助（退休干部生活补助）较去年增加0.84万元；二是商品和服务支出较2022年增加9.89万元；其中公务用车维护费较2022年增加3.6万元；差旅费增加1.24万元；电费增加3.92万元；邮电费增加0.7万元；劳务费增加2.44万元；福利费增加1.15万元。</w:t>
      </w:r>
    </w:p>
    <w:p>
      <w:pPr>
        <w:spacing w:line="576" w:lineRule="exact"/>
        <w:jc w:val="both"/>
        <w:rPr>
          <w:rFonts w:ascii="仿宋_GB2312" w:eastAsia="仿宋_GB2312"/>
          <w:sz w:val="32"/>
          <w:szCs w:val="32"/>
        </w:rPr>
      </w:pPr>
    </w:p>
    <w:p>
      <w:pPr>
        <w:spacing w:line="576" w:lineRule="exact"/>
        <w:ind w:firstLineChars="200" w:firstLine="640"/>
        <w:jc w:val="both"/>
        <w:rPr>
          <w:rFonts w:ascii="AR PL UKai CN" w:eastAsia="仿宋_GB2312" w:hAnsi="AR PL UKai CN"/>
          <w:sz w:val="32"/>
          <w:szCs w:val="32"/>
        </w:rPr>
      </w:pPr>
      <w:r>
        <w:rPr>
          <w:rFonts w:ascii="仿宋_GB2312" w:eastAsia="仿宋_GB2312" w:hint="eastAsia"/>
          <w:sz w:val="32"/>
          <w:szCs w:val="32"/>
        </w:rPr>
        <w:t>（图1：收、支决算总计变动情况图）</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二、收入决算情况说明</w:t>
      </w:r>
    </w:p>
    <w:p>
      <w:pPr>
        <w:spacing w:line="576" w:lineRule="exact"/>
        <w:ind w:firstLineChars="200" w:firstLine="640"/>
        <w:jc w:val="both"/>
        <w:rPr>
          <w:rFonts w:ascii="Times New Roman" w:eastAsia="仿宋_GB2312" w:cs="Times New Roman" w:hAnsi="Times New Roman"/>
          <w:b/>
          <w:sz w:val="32"/>
          <w:szCs w:val="32"/>
        </w:rPr>
      </w:pPr>
      <w:r>
        <w:rPr>
          <w:rFonts w:ascii="Times New Roman" w:eastAsia="仿宋_GB2312" w:cs="Times New Roman" w:hAnsi="Times New Roman"/>
          <w:sz w:val="32"/>
          <w:szCs w:val="32"/>
        </w:rPr>
        <w:t>2023 年收入合计381.26万元，其中：一般公共预算财政拨款收入381.26万元，占 100%；其他收入0万元，占 0%。</w:t>
      </w:r>
    </w:p>
    <w:p>
      <w:pPr>
        <w:pStyle w:val="20"/>
        <w:shd w:val="clear" w:color="auto" w:fill="FFFFFF"/>
        <w:jc w:val="center"/>
        <w:rPr>
          <w:sz w:val="32"/>
          <w:szCs w:val="32"/>
        </w:rPr>
      </w:pPr>
      <w:r>
        <w:rPr>
          <w:rFonts w:ascii="Times New Roman" w:eastAsia="仿宋_GB2312" w:cs="Times New Roman" w:hAnsi="Times New Roman"/>
          <w:b/>
          <w:sz w:val="32"/>
          <w:szCs w:val="32"/>
        </w:rPr>
        <w:drawing>
          <wp:anchor distT="0" distB="0" distL="0" distR="0" simplePos="0" relativeHeight="25" behindDoc="0" locked="0" layoutInCell="1" hidden="0" allowOverlap="1">
            <wp:simplePos x="0" y="0"/>
            <wp:positionH relativeFrom="column">
              <wp:posOffset>0</wp:posOffset>
            </wp:positionH>
            <wp:positionV relativeFrom="paragraph">
              <wp:posOffset>203189</wp:posOffset>
            </wp:positionV>
            <wp:extent cx="5211397" cy="1930399"/>
            <wp:effectExtent l="0" t="0" r="0" b="0"/>
            <wp:wrapSquare wrapText="bothSides"/>
            <wp:docPr id="4" name="图表 1"/>
            <wp:cNvGraphicFramePr>
              <a:graphicFrameLocks noChangeAspect="0"/>
            </wp:cNvGraphicFramePr>
            <a:graphic>
              <a:graphicData uri="http://schemas.openxmlformats.org/drawingml/2006/picture">
                <pic:pic>
                  <pic:nvPicPr>
                    <pic:cNvPr id="6" name="图表 1 6"/>
                    <pic:cNvPicPr/>
                  </pic:nvPicPr>
                  <pic:blipFill>
                    <a:blip r:embed="rId3"/>
                    <a:stretch>
                      <a:fillRect/>
                    </a:stretch>
                  </pic:blipFill>
                  <pic:spPr>
                    <a:xfrm rot="0">
                      <a:off x="0" y="0"/>
                      <a:ext cx="5211397" cy="1930399"/>
                    </a:xfrm>
                    <a:prstGeom prst="rect"/>
                    <a:noFill/>
                    <a:ln w="9525" cmpd="sng" cap="flat">
                      <a:noFill/>
                      <a:prstDash val="solid"/>
                      <a:miter/>
                    </a:ln>
                  </pic:spPr>
                </pic:pic>
              </a:graphicData>
            </a:graphic>
          </wp:anchor>
        </w:drawing>
      </w:r>
      <w:r>
        <w:rPr>
          <w:rFonts w:ascii="仿宋_GB2312" w:eastAsia="仿宋_GB2312" w:hint="eastAsia"/>
          <w:sz w:val="32"/>
          <w:szCs w:val="32"/>
        </w:rPr>
        <w:t>（图2：收入决算结构图）</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三、支出决算情况说明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2023年本年支出合计381.26万元，其中：基本支出262.3万元，占68.79%；项目支出118.97万元，占31.20%</w:t>
      </w:r>
      <w:r>
        <w:rPr>
          <w:rFonts w:ascii="Times New Roman" w:eastAsia="仿宋_GB2312" w:cs="Times New Roman" w:hAnsi="Times New Roman" w:hint="eastAsia"/>
          <w:sz w:val="32"/>
          <w:szCs w:val="32"/>
        </w:rPr>
        <w:t>。</w:t>
      </w:r>
    </w:p>
    <w:p>
      <w:pPr>
        <w:pStyle w:val="20"/>
        <w:shd w:val="clear" w:color="auto" w:fill="FFFFFF"/>
        <w:jc w:val="center"/>
        <w:rPr>
          <w:rFonts w:ascii="仿宋_GB2312" w:eastAsia="仿宋_GB2312"/>
          <w:sz w:val="32"/>
          <w:szCs w:val="32"/>
        </w:rPr>
      </w:pPr>
      <w:r>
        <w:rPr>
          <w:rFonts w:ascii="仿宋_GB2312" w:eastAsia="仿宋_GB2312" w:hint="eastAsia"/>
          <w:sz w:val="32"/>
          <w:szCs w:val="32"/>
        </w:rPr>
        <w:drawing>
          <wp:anchor distT="0" distB="0" distL="0" distR="0" simplePos="0" relativeHeight="27" behindDoc="0" locked="0" layoutInCell="1" hidden="0" allowOverlap="1">
            <wp:simplePos x="0" y="0"/>
            <wp:positionH relativeFrom="column">
              <wp:posOffset>0</wp:posOffset>
            </wp:positionH>
            <wp:positionV relativeFrom="paragraph">
              <wp:posOffset>46353</wp:posOffset>
            </wp:positionV>
            <wp:extent cx="5274944" cy="3077208"/>
            <wp:effectExtent l="0" t="0" r="0" b="0"/>
            <wp:wrapSquare wrapText="bothSides"/>
            <wp:docPr id="7" name="图表 9"/>
            <wp:cNvGraphicFramePr>
              <a:graphicFrameLocks noChangeAspect="0"/>
            </wp:cNvGraphicFramePr>
            <a:graphic>
              <a:graphicData uri="http://schemas.openxmlformats.org/drawingml/2006/picture">
                <pic:pic>
                  <pic:nvPicPr>
                    <pic:cNvPr id="9" name="图表 9 9"/>
                    <pic:cNvPicPr/>
                  </pic:nvPicPr>
                  <pic:blipFill>
                    <a:blip r:embed="rId4"/>
                    <a:stretch>
                      <a:fillRect/>
                    </a:stretch>
                  </pic:blipFill>
                  <pic:spPr>
                    <a:xfrm rot="0">
                      <a:off x="0" y="0"/>
                      <a:ext cx="5274944" cy="3077208"/>
                    </a:xfrm>
                    <a:prstGeom prst="rect"/>
                    <a:noFill/>
                    <a:ln w="9525" cmpd="sng" cap="flat">
                      <a:noFill/>
                      <a:prstDash val="solid"/>
                      <a:miter/>
                    </a:ln>
                  </pic:spPr>
                </pic:pic>
              </a:graphicData>
            </a:graphic>
          </wp:anchor>
        </w:drawing>
      </w:r>
      <w:r>
        <w:rPr>
          <w:rFonts w:ascii="仿宋_GB2312" w:eastAsia="仿宋_GB2312" w:hint="eastAsia"/>
          <w:sz w:val="32"/>
          <w:szCs w:val="32"/>
        </w:rPr>
        <w:t>（图3：支出决算结构图）</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四、财政拨款收入支出决算总体情况说明</w:t>
      </w:r>
    </w:p>
    <w:p>
      <w:pPr>
        <w:spacing w:line="576"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2023年财政拨款收、支总计381.26万元。与2022年相比，财政拨款收、支总计各增加104.62万元，增加37.82%。主要变动原因是：一是因2023年度目标绩效奖较2022年增加44.04万元，其中工资福利支出较2022年增加9.21万元，社会保障支出增加0.15万元；对个人和家庭的补助（退休干部生活补助）较去年增加0.84万元；二是商品和服务支出较2022年增加9.89万元；其中公务用车维护费较2022年增加3.6万元；差旅费增加1.24万元；电费增加3.92万元；邮电费增加0.7万元；劳务费增加2.44万元；福利费增加1.15万元。</w:t>
      </w:r>
    </w:p>
    <w:p>
      <w:pPr>
        <w:pStyle w:val="20"/>
        <w:shd w:val="clear" w:color="auto" w:fill="FFFFFF"/>
        <w:jc w:val="both"/>
        <w:rPr>
          <w:sz w:val="32"/>
          <w:szCs w:val="32"/>
        </w:rPr>
      </w:pPr>
      <w:r>
        <w:rPr>
          <w:sz w:val="32"/>
          <w:szCs w:val="32"/>
        </w:rPr>
        <w:drawing>
          <wp:inline distT="0" distB="0" distL="0" distR="0">
            <wp:extent cx="5274945" cy="3077210"/>
            <wp:effectExtent l="0" t="0" r="0" b="0"/>
            <wp:docPr id="10" name="图表 10"/>
            <wp:cNvGraphicFramePr>
              <a:graphicFrameLocks noChangeAspect="0"/>
            </wp:cNvGraphicFramePr>
            <a:graphic>
              <a:graphicData uri="http://schemas.openxmlformats.org/drawingml/2006/chart">
                <c:chart xmlns:c="http://schemas.openxmlformats.org/drawingml/2006/chart" r:id="rId5"/>
              </a:graphicData>
            </a:graphic>
          </wp:inline>
        </w:drawing>
      </w:r>
    </w:p>
    <w:p>
      <w:pPr>
        <w:pStyle w:val="20"/>
        <w:shd w:val="clear" w:color="auto" w:fill="FFFFFF"/>
        <w:jc w:val="center"/>
        <w:rPr>
          <w:sz w:val="32"/>
          <w:szCs w:val="32"/>
        </w:rPr>
      </w:pPr>
      <w:r>
        <w:rPr>
          <w:rFonts w:ascii="仿宋_GB2312" w:eastAsia="仿宋_GB2312" w:hint="eastAsia"/>
          <w:sz w:val="32"/>
          <w:szCs w:val="32"/>
        </w:rPr>
        <w:t>（图4：财政拨款收、支决算总计变动情况）</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五、一般公共预算财政拨款支出决算情况说明</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（一）一般公共预算财政拨款支出决算总体情况</w:t>
      </w:r>
    </w:p>
    <w:p>
      <w:pPr>
        <w:spacing w:line="576"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2023年一般公共预算财政拨款支出381.26万元，占本年支出合计的100%。与2022年相比，一般公共预算财政拨款增加104.62万元，增加37.81%。主要变动原因是：一是因2023年度目标绩效奖较2022年增加44.04万元，其中工资福利支出较2022年增加9.21万元，社会保障支出增加0.15万元；对个人和家庭的补助（退休干部生活补助）较去年增加0.84万元；二是商品和服务支出较2022年增加9.89万元；其中公务用车维护费较2022年增加3.6万元；差旅费增加1.24万元；电费增加3.92万元；邮电费增加0.7万元；劳务费增加2.44万元；福利费增加1.15万元。</w:t>
      </w:r>
    </w:p>
    <w:p>
      <w:pPr>
        <w:pStyle w:val="20"/>
        <w:shd w:val="clear" w:color="auto" w:fill="FFFFFF"/>
        <w:jc w:val="both"/>
        <w:rPr>
          <w:rFonts w:ascii="仿宋_GB2312" w:eastAsia="仿宋_GB2312"/>
          <w:sz w:val="32"/>
          <w:szCs w:val="32"/>
        </w:rPr>
      </w:pPr>
      <w:r>
        <w:rPr>
          <w:rFonts w:ascii="仿宋_GB2312" w:eastAsia="仿宋_GB2312" w:hint="eastAsia"/>
          <w:sz w:val="32"/>
          <w:szCs w:val="32"/>
        </w:rPr>
        <w:drawing>
          <wp:inline distT="0" distB="0" distL="0" distR="0">
            <wp:extent cx="5274945" cy="3077210"/>
            <wp:effectExtent l="0" t="0" r="0" b="0"/>
            <wp:docPr id="11" name="图表 13"/>
            <wp:cNvGraphicFramePr>
              <a:graphicFrameLocks noChangeAspect="0"/>
            </wp:cNvGraphicFramePr>
            <a:graphic>
              <a:graphicData uri="http://schemas.openxmlformats.org/drawingml/2006/chart">
                <c:chart xmlns:c="http://schemas.openxmlformats.org/drawingml/2006/chart" r:id="rId6"/>
              </a:graphicData>
            </a:graphic>
          </wp:inline>
        </w:drawing>
      </w:r>
    </w:p>
    <w:p>
      <w:pPr>
        <w:pStyle w:val="20"/>
        <w:shd w:val="clear" w:color="auto" w:fill="FFFFFF"/>
        <w:jc w:val="center"/>
        <w:rPr>
          <w:sz w:val="32"/>
          <w:szCs w:val="32"/>
        </w:rPr>
      </w:pPr>
      <w:r>
        <w:rPr>
          <w:rFonts w:ascii="仿宋_GB2312" w:eastAsia="仿宋_GB2312" w:hint="eastAsia"/>
          <w:sz w:val="32"/>
          <w:szCs w:val="32"/>
        </w:rPr>
        <w:t>（图5：一般公共预算财政拨款支出决算变动情况）</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hint="eastAsia"/>
          <w:b/>
          <w:bCs/>
          <w:sz w:val="32"/>
          <w:szCs w:val="32"/>
        </w:rPr>
        <w:t>（二）</w:t>
      </w:r>
      <w:r>
        <w:rPr>
          <w:rFonts w:ascii="Times New Roman" w:eastAsia="仿宋_GB2312" w:cs="Times New Roman" w:hAnsi="Times New Roman"/>
          <w:b/>
          <w:bCs/>
          <w:sz w:val="32"/>
          <w:szCs w:val="32"/>
        </w:rPr>
        <w:t>一般公共预算财政拨款支出决算结构情况</w:t>
      </w:r>
    </w:p>
    <w:p>
      <w:pPr>
        <w:spacing w:line="576" w:lineRule="exact"/>
        <w:ind w:firstLineChars="200" w:firstLine="480"/>
        <w:jc w:val="both"/>
        <w:rPr>
          <w:rFonts w:ascii="Times New Roman" w:eastAsia="仿宋_GB2312" w:cs="Times New Roman" w:hAnsi="Times New Roman"/>
          <w:sz w:val="32"/>
          <w:szCs w:val="32"/>
        </w:rPr>
      </w:pPr>
      <w:r>
        <w:drawing>
          <wp:anchor distT="0" distB="0" distL="85723" distR="85723" simplePos="0" relativeHeight="23" behindDoc="0" locked="0" layoutInCell="1" hidden="0" allowOverlap="1">
            <wp:simplePos x="0" y="0"/>
            <wp:positionH relativeFrom="column">
              <wp:posOffset>-11153</wp:posOffset>
            </wp:positionH>
            <wp:positionV relativeFrom="paragraph">
              <wp:posOffset>1865541</wp:posOffset>
            </wp:positionV>
            <wp:extent cx="5219034" cy="2701238"/>
            <wp:effectExtent l="0" t="0" r="0" b="0"/>
            <wp:wrapSquare wrapText="bothSides"/>
            <wp:docPr id="12" name="对象"/>
            <wp:cNvGraphicFramePr>
              <a:graphicFrameLocks noChangeAspect="1"/>
            </wp:cNvGraphicFramePr>
            <a:graphic>
              <a:graphicData uri="http://schemas.openxmlformats.org/drawingml/2006/picture">
                <pic:pic>
                  <pic:nvPicPr>
                    <pic:cNvPr id="14" name="对象 14"/>
                    <pic:cNvPicPr/>
                  </pic:nvPicPr>
                  <pic:blipFill>
                    <a:blip r:embed="rId7"/>
                    <a:stretch>
                      <a:fillRect/>
                    </a:stretch>
                  </pic:blipFill>
                  <pic:spPr>
                    <a:xfrm rot="0">
                      <a:off x="0" y="0"/>
                      <a:ext cx="5219034" cy="2701238"/>
                    </a:xfrm>
                    <a:prstGeom prst="rect"/>
                    <a:noFill/>
                    <a:ln w="9525" cmpd="sng" cap="flat">
                      <a:noFill/>
                      <a:prstDash val="solid"/>
                      <a:miter/>
                    </a:ln>
                  </pic:spPr>
                </pic:pic>
              </a:graphicData>
            </a:graphic>
          </wp:anchor>
        </w:drawing>
      </w:r>
      <w:r>
        <w:rPr>
          <w:rFonts w:ascii="Times New Roman" w:eastAsia="仿宋_GB2312" w:cs="Times New Roman" w:hAnsi="Times New Roman"/>
          <w:sz w:val="32"/>
          <w:szCs w:val="32"/>
        </w:rPr>
        <w:t xml:space="preserve"> 2023年一般公共预算财政拨款支出381.26万元，主要用于以下方面:一般公共服务（类）支出324.54万元，占85.12%；社会保障和就业（类）支出28.86万元，占7.56%；卫生健康支出（类）支出12.83万元，占3.36%；住房保障（类）支出15.03万元，占3.94%。</w:t>
      </w:r>
    </w:p>
    <w:p>
      <w:pPr>
        <w:spacing w:line="576" w:lineRule="exact"/>
        <w:ind w:firstLineChars="200" w:firstLine="640"/>
        <w:jc w:val="both"/>
      </w:pPr>
      <w:r>
        <w:rPr>
          <w:rFonts w:ascii="仿宋_GB2312" w:eastAsia="仿宋_GB2312" w:hint="eastAsia"/>
          <w:sz w:val="32"/>
          <w:szCs w:val="32"/>
        </w:rPr>
        <w:t>（图6：一般公共预算财政拨款支出决算结构</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（三）一般公共预算财政拨款支出决算具体情况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2023年一般公共预算支出决算数为381.26，完成预算100.00%。其中：</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1.一般公共服务201（类）港澳台侨25（款）行政运行01（项）:支出决算为205.58万元，完成预算100%，决算数与预算数持平。</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2.社会保障和就业</w:t>
      </w:r>
      <w:r>
        <w:rPr>
          <w:rFonts w:ascii="Times New Roman" w:eastAsia="仿宋_GB2312" w:cs="Times New Roman" w:hAnsi="Times New Roman" w:hint="eastAsia"/>
          <w:sz w:val="32"/>
          <w:szCs w:val="32"/>
        </w:rPr>
        <w:t>208</w:t>
      </w:r>
      <w:r>
        <w:rPr>
          <w:rFonts w:ascii="Times New Roman" w:eastAsia="仿宋_GB2312" w:cs="Times New Roman" w:hAnsi="Times New Roman"/>
          <w:sz w:val="32"/>
          <w:szCs w:val="32"/>
        </w:rPr>
        <w:t>（类）行政事业单位离退休</w:t>
      </w:r>
      <w:r>
        <w:rPr>
          <w:rFonts w:ascii="Times New Roman" w:eastAsia="仿宋_GB2312" w:cs="Times New Roman" w:hAnsi="Times New Roman" w:hint="eastAsia"/>
          <w:sz w:val="32"/>
          <w:szCs w:val="32"/>
        </w:rPr>
        <w:t>05</w:t>
      </w:r>
      <w:r>
        <w:rPr>
          <w:rFonts w:ascii="Times New Roman" w:eastAsia="仿宋_GB2312" w:cs="Times New Roman" w:hAnsi="Times New Roman"/>
          <w:sz w:val="32"/>
          <w:szCs w:val="32"/>
        </w:rPr>
        <w:t>（款）机关事业单位基本养老保险缴费支出</w:t>
      </w:r>
      <w:r>
        <w:rPr>
          <w:rFonts w:ascii="Times New Roman" w:eastAsia="仿宋_GB2312" w:cs="Times New Roman" w:hAnsi="Times New Roman" w:hint="eastAsia"/>
          <w:sz w:val="32"/>
          <w:szCs w:val="32"/>
        </w:rPr>
        <w:t>05</w:t>
      </w:r>
      <w:r>
        <w:rPr>
          <w:rFonts w:ascii="Times New Roman" w:eastAsia="仿宋_GB2312" w:cs="Times New Roman" w:hAnsi="Times New Roman"/>
          <w:sz w:val="32"/>
          <w:szCs w:val="32"/>
        </w:rPr>
        <w:t>（项）:支出决算为19.22万元，完成预算100%，决算数与预算数持平。</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3.社会保障和就业</w:t>
      </w:r>
      <w:r>
        <w:rPr>
          <w:rFonts w:ascii="Times New Roman" w:eastAsia="仿宋_GB2312" w:cs="Times New Roman" w:hAnsi="Times New Roman" w:hint="eastAsia"/>
          <w:sz w:val="32"/>
          <w:szCs w:val="32"/>
        </w:rPr>
        <w:t>208</w:t>
      </w:r>
      <w:r>
        <w:rPr>
          <w:rFonts w:ascii="Times New Roman" w:eastAsia="仿宋_GB2312" w:cs="Times New Roman" w:hAnsi="Times New Roman"/>
          <w:sz w:val="32"/>
          <w:szCs w:val="32"/>
        </w:rPr>
        <w:t>（类）行政事业单位离退休</w:t>
      </w:r>
      <w:r>
        <w:rPr>
          <w:rFonts w:ascii="Times New Roman" w:eastAsia="仿宋_GB2312" w:cs="Times New Roman" w:hAnsi="Times New Roman" w:hint="eastAsia"/>
          <w:sz w:val="32"/>
          <w:szCs w:val="32"/>
        </w:rPr>
        <w:t>05</w:t>
      </w:r>
      <w:r>
        <w:rPr>
          <w:rFonts w:ascii="Times New Roman" w:eastAsia="仿宋_GB2312" w:cs="Times New Roman" w:hAnsi="Times New Roman"/>
          <w:sz w:val="32"/>
          <w:szCs w:val="32"/>
        </w:rPr>
        <w:t>（款）机关事业单位职业年金缴费支出</w:t>
      </w:r>
      <w:r>
        <w:rPr>
          <w:rFonts w:ascii="Times New Roman" w:eastAsia="仿宋_GB2312" w:cs="Times New Roman" w:hAnsi="Times New Roman" w:hint="eastAsia"/>
          <w:sz w:val="32"/>
          <w:szCs w:val="32"/>
        </w:rPr>
        <w:t>06</w:t>
      </w:r>
      <w:r>
        <w:rPr>
          <w:rFonts w:ascii="Times New Roman" w:eastAsia="仿宋_GB2312" w:cs="Times New Roman" w:hAnsi="Times New Roman"/>
          <w:sz w:val="32"/>
          <w:szCs w:val="32"/>
        </w:rPr>
        <w:t>（项）:支出决算为9.65万元，完成预算100%，决算数与预算数持平。</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4.医疗卫生与计划生育</w:t>
      </w:r>
      <w:r>
        <w:rPr>
          <w:rFonts w:ascii="Times New Roman" w:eastAsia="仿宋_GB2312" w:cs="Times New Roman" w:hAnsi="Times New Roman" w:hint="eastAsia"/>
          <w:sz w:val="32"/>
          <w:szCs w:val="32"/>
        </w:rPr>
        <w:t>210</w:t>
      </w:r>
      <w:r>
        <w:rPr>
          <w:rFonts w:ascii="Times New Roman" w:eastAsia="仿宋_GB2312" w:cs="Times New Roman" w:hAnsi="Times New Roman"/>
          <w:sz w:val="32"/>
          <w:szCs w:val="32"/>
        </w:rPr>
        <w:t>（类）行政事业单位医疗</w:t>
      </w:r>
      <w:r>
        <w:rPr>
          <w:rFonts w:ascii="Times New Roman" w:eastAsia="仿宋_GB2312" w:cs="Times New Roman" w:hAnsi="Times New Roman" w:hint="eastAsia"/>
          <w:sz w:val="32"/>
          <w:szCs w:val="32"/>
        </w:rPr>
        <w:t>11</w:t>
      </w:r>
      <w:r>
        <w:rPr>
          <w:rFonts w:ascii="Times New Roman" w:eastAsia="仿宋_GB2312" w:cs="Times New Roman" w:hAnsi="Times New Roman"/>
          <w:sz w:val="32"/>
          <w:szCs w:val="32"/>
        </w:rPr>
        <w:t>（款）行政单位医疗</w:t>
      </w:r>
      <w:r>
        <w:rPr>
          <w:rFonts w:ascii="Times New Roman" w:eastAsia="仿宋_GB2312" w:cs="Times New Roman" w:hAnsi="Times New Roman" w:hint="eastAsia"/>
          <w:sz w:val="32"/>
          <w:szCs w:val="32"/>
        </w:rPr>
        <w:t>01</w:t>
      </w:r>
      <w:r>
        <w:rPr>
          <w:rFonts w:ascii="Times New Roman" w:eastAsia="仿宋_GB2312" w:cs="Times New Roman" w:hAnsi="Times New Roman"/>
          <w:sz w:val="32"/>
          <w:szCs w:val="32"/>
        </w:rPr>
        <w:t>（项）:支出决算为9.8万元，完成预算100%，决算数与预算数持平。</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5.医疗卫生与计划生育</w:t>
      </w:r>
      <w:r>
        <w:rPr>
          <w:rFonts w:ascii="Times New Roman" w:eastAsia="仿宋_GB2312" w:cs="Times New Roman" w:hAnsi="Times New Roman" w:hint="eastAsia"/>
          <w:sz w:val="32"/>
          <w:szCs w:val="32"/>
        </w:rPr>
        <w:t>210</w:t>
      </w:r>
      <w:r>
        <w:rPr>
          <w:rFonts w:ascii="Times New Roman" w:eastAsia="仿宋_GB2312" w:cs="Times New Roman" w:hAnsi="Times New Roman"/>
          <w:sz w:val="32"/>
          <w:szCs w:val="32"/>
        </w:rPr>
        <w:t>（类）行政事业单位医疗</w:t>
      </w:r>
      <w:r>
        <w:rPr>
          <w:rFonts w:ascii="Times New Roman" w:eastAsia="仿宋_GB2312" w:cs="Times New Roman" w:hAnsi="Times New Roman" w:hint="eastAsia"/>
          <w:sz w:val="32"/>
          <w:szCs w:val="32"/>
        </w:rPr>
        <w:t>11</w:t>
      </w:r>
      <w:r>
        <w:rPr>
          <w:rFonts w:ascii="Times New Roman" w:eastAsia="仿宋_GB2312" w:cs="Times New Roman" w:hAnsi="Times New Roman"/>
          <w:sz w:val="32"/>
          <w:szCs w:val="32"/>
        </w:rPr>
        <w:t>（款）公务员医疗补助</w:t>
      </w:r>
      <w:r>
        <w:rPr>
          <w:rFonts w:ascii="Times New Roman" w:eastAsia="仿宋_GB2312" w:cs="Times New Roman" w:hAnsi="Times New Roman" w:hint="eastAsia"/>
          <w:sz w:val="32"/>
          <w:szCs w:val="32"/>
        </w:rPr>
        <w:t>03</w:t>
      </w:r>
      <w:r>
        <w:rPr>
          <w:rFonts w:ascii="Times New Roman" w:eastAsia="仿宋_GB2312" w:cs="Times New Roman" w:hAnsi="Times New Roman"/>
          <w:sz w:val="32"/>
          <w:szCs w:val="32"/>
        </w:rPr>
        <w:t>（项）:支出决算为3.03万元，完成预算100%，决算数与预算数持平。</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6.住房保障支出</w:t>
      </w:r>
      <w:r>
        <w:rPr>
          <w:rFonts w:ascii="Times New Roman" w:eastAsia="仿宋_GB2312" w:cs="Times New Roman" w:hAnsi="Times New Roman" w:hint="eastAsia"/>
          <w:sz w:val="32"/>
          <w:szCs w:val="32"/>
        </w:rPr>
        <w:t>221</w:t>
      </w:r>
      <w:r>
        <w:rPr>
          <w:rFonts w:ascii="Times New Roman" w:eastAsia="仿宋_GB2312" w:cs="Times New Roman" w:hAnsi="Times New Roman"/>
          <w:sz w:val="32"/>
          <w:szCs w:val="32"/>
        </w:rPr>
        <w:t>（类）住房改革支出</w:t>
      </w:r>
      <w:r>
        <w:rPr>
          <w:rFonts w:ascii="Times New Roman" w:eastAsia="仿宋_GB2312" w:cs="Times New Roman" w:hAnsi="Times New Roman" w:hint="eastAsia"/>
          <w:sz w:val="32"/>
          <w:szCs w:val="32"/>
        </w:rPr>
        <w:t>02</w:t>
      </w:r>
      <w:r>
        <w:rPr>
          <w:rFonts w:ascii="Times New Roman" w:eastAsia="仿宋_GB2312" w:cs="Times New Roman" w:hAnsi="Times New Roman"/>
          <w:sz w:val="32"/>
          <w:szCs w:val="32"/>
        </w:rPr>
        <w:t>（款）住房公积金</w:t>
      </w:r>
      <w:r>
        <w:rPr>
          <w:rFonts w:ascii="Times New Roman" w:eastAsia="仿宋_GB2312" w:cs="Times New Roman" w:hAnsi="Times New Roman" w:hint="eastAsia"/>
          <w:sz w:val="32"/>
          <w:szCs w:val="32"/>
        </w:rPr>
        <w:t>01</w:t>
      </w:r>
      <w:r>
        <w:rPr>
          <w:rFonts w:ascii="Times New Roman" w:eastAsia="仿宋_GB2312" w:cs="Times New Roman" w:hAnsi="Times New Roman"/>
          <w:sz w:val="32"/>
          <w:szCs w:val="32"/>
        </w:rPr>
        <w:t>（项）:支出决算为15.03万元，完成预算100%，决算数与预算数持平。</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b/>
          <w:bCs/>
          <w:sz w:val="32"/>
          <w:szCs w:val="32"/>
        </w:rPr>
        <w:t>六、一般公共预算财政拨款基本支出决算情况说明  </w:t>
      </w:r>
      <w:r>
        <w:rPr>
          <w:rFonts w:ascii="Times New Roman" w:eastAsia="仿宋_GB2312" w:cs="Times New Roman" w:hAnsi="Times New Roman"/>
          <w:sz w:val="32"/>
          <w:szCs w:val="32"/>
        </w:rPr>
        <w:t>     </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2023年一般公共预算财政拨款基本支出381.26万元，其中：</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人员经费226.29万元，主要包括：基本工资37.47、津贴补贴51.97、奖金55.45、伙食补助费1.06、绩效工资</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、机关事业单位基本养老保险缴费19.29、职业年金缴费9.65、职工基本医疗保险缴费9.8</w:t>
      </w:r>
      <w:r>
        <w:rPr>
          <w:rFonts w:ascii="Times New Roman" w:eastAsia="仿宋_GB2312" w:cs="Times New Roman" w:hAnsi="Times New Roman" w:hint="eastAsia"/>
          <w:sz w:val="32"/>
          <w:szCs w:val="32"/>
        </w:rPr>
        <w:t>、公务员医疗补助缴费</w:t>
      </w:r>
      <w:r>
        <w:rPr>
          <w:rFonts w:ascii="Times New Roman" w:eastAsia="仿宋_GB2312" w:cs="Times New Roman" w:hAnsi="Times New Roman"/>
          <w:sz w:val="32"/>
          <w:szCs w:val="32"/>
        </w:rPr>
        <w:t>3.03</w:t>
      </w:r>
      <w:r>
        <w:rPr>
          <w:rFonts w:ascii="Times New Roman" w:eastAsia="仿宋_GB2312" w:cs="Times New Roman" w:hAnsi="Times New Roman" w:hint="eastAsia"/>
          <w:sz w:val="32"/>
          <w:szCs w:val="32"/>
        </w:rPr>
        <w:t>、</w:t>
      </w:r>
      <w:r>
        <w:rPr>
          <w:rFonts w:ascii="Times New Roman" w:eastAsia="仿宋_GB2312" w:cs="Times New Roman" w:hAnsi="Times New Roman"/>
          <w:sz w:val="32"/>
          <w:szCs w:val="32"/>
        </w:rPr>
        <w:t>其他社会保障缴费1.74、其他工资福利支出0、离休费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、退休费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、抚恤金</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、生活补助22.04、医疗费补助</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、奖励金</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.02、住房公积金15.03、其他对个人和家庭的补助支出21.22</w:t>
      </w:r>
      <w:r>
        <w:rPr>
          <w:rFonts w:ascii="Times New Roman" w:eastAsia="仿宋_GB2312" w:cs="Times New Roman" w:hAnsi="Times New Roman" w:hint="eastAsia"/>
          <w:sz w:val="32"/>
          <w:szCs w:val="32"/>
        </w:rPr>
        <w:t>等</w:t>
      </w:r>
      <w:r>
        <w:rPr>
          <w:rFonts w:ascii="Times New Roman" w:eastAsia="仿宋_GB2312" w:cs="Times New Roman" w:hAnsi="Times New Roman"/>
          <w:sz w:val="32"/>
          <w:szCs w:val="32"/>
        </w:rPr>
        <w:t>。</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日常公用经费36.01万元，主要包括：办公费9.95、印刷费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、咨询费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、手续费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、水费0.12、电费4.22、邮电费4.26、取暖费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、物业管理费0、差旅费15.9、因公出国 （境）费用4.57、维修（护）费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.02、租赁费0、会议费0、培训费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.75、公务接待费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.08、劳务费5.58、委托业务费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、工会经费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、福利费2.57、公务用车运行维护费14.14、其他交通费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、税金及附加费用</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、其他商品和服务支出</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.23、办公设备购置</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、专用设备购置</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、信息网络及软件购置更新</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、其他资本性支出</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等。</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七、“三公”经费财政拨款支出决算情况说明</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（一）“三公”经费财政拨款支出决算总体情况说明</w:t>
      </w:r>
    </w:p>
    <w:p>
      <w:pPr>
        <w:spacing w:line="576" w:lineRule="exact"/>
        <w:ind w:firstLineChars="200" w:firstLine="640"/>
        <w:jc w:val="both"/>
        <w:rPr>
          <w:rFonts w:ascii="Times New Roman" w:eastAsia="方正仿宋_GBK" w:cs="Times New Roman" w:hAnsi="Times New Roman"/>
          <w:sz w:val="32"/>
          <w:szCs w:val="32"/>
        </w:rPr>
      </w:pPr>
      <w:r>
        <w:rPr>
          <w:rFonts w:ascii="Times New Roman" w:eastAsia="仿宋_GB2312" w:cs="Times New Roman" w:hAnsi="Times New Roman"/>
          <w:sz w:val="32"/>
          <w:szCs w:val="32"/>
        </w:rPr>
        <w:t> </w:t>
      </w:r>
      <w:r>
        <w:rPr>
          <w:rFonts w:ascii="Times New Roman" w:eastAsia="方正仿宋_GBK" w:cs="Times New Roman" w:hAnsi="Times New Roman"/>
          <w:sz w:val="32"/>
          <w:szCs w:val="32"/>
        </w:rPr>
        <w:t>2023年“三公”经费财政拨款支出决算为78.76万元，比年初预算数增加66.62，原因是按照州公务车辆管理领导小组的同意批复，我办原来的公务用车别克商务车报废，于2023年新购置一辆公务用车。</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（二）“三公”经费财政拨款支出决算具体情况说明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2023年“三公”经费财政拨款支出决算中，因公出国（境）费支出决算4.57万元，占 5.8%；公务用车购置及运行维护费支出决算74.11万元，占94.09%；公务接待费支出决算0.08万元，占 0.10%。具体情况如下：</w:t>
      </w:r>
    </w:p>
    <w:p>
      <w:pPr>
        <w:spacing w:line="576" w:lineRule="exact"/>
        <w:jc w:val="both"/>
        <w:rPr>
          <w:rFonts w:ascii="Times New Roman" w:eastAsia="仿宋_GB2312" w:cs="Times New Roman" w:hAnsi="Times New Roman"/>
          <w:sz w:val="32"/>
          <w:szCs w:val="32"/>
        </w:rPr>
      </w:pPr>
    </w:p>
    <w:p>
      <w:pPr>
        <w:spacing w:line="576" w:lineRule="exact"/>
        <w:jc w:val="both"/>
      </w:pPr>
      <w:drawing>
        <wp:inline distT="0" distB="0" distL="85723" distR="85723">
          <wp:extent cx="5343443" cy="3362273"/>
          <wp:effectExtent l="0" t="0" r="0" b="0"/>
          <wp:docPr id="15" name="对象"/>
          <wp:cNvGraphicFramePr>
            <a:graphicFrameLocks noChangeAspect="1"/>
          </wp:cNvGraphicFramePr>
          <a:graphic>
            <a:graphicData uri="http://schemas.openxmlformats.org/drawingml/2006/chart">
              <c:chart xmlns:c="http://schemas.openxmlformats.org/drawingml/2006/chart" r:id="rId8"/>
            </a:graphicData>
          </a:graphic>
        </wp:inline>
      </w:drawing>
    </w:p>
    <w:p>
      <w:pPr>
        <w:spacing w:line="576" w:lineRule="exact"/>
        <w:jc w:val="both"/>
        <w:rPr>
          <w:rFonts w:ascii="Times New Roman" w:eastAsia="仿宋_GB2312" w:cs="Times New Roman" w:hAnsi="Times New Roman"/>
          <w:sz w:val="32"/>
          <w:szCs w:val="32"/>
        </w:rPr>
      </w:pPr>
      <w:bookmarkStart w:id="0" w:name="_GoBack"/>
      <w:bookmarkEnd w:id="0"/>
    </w:p>
    <w:p>
      <w:pPr>
        <w:spacing w:line="576" w:lineRule="exact"/>
        <w:jc w:val="center"/>
        <w:rPr>
          <w:rFonts w:ascii="Times New Roman" w:eastAsia="仿宋_GB2312" w:cs="Times New Roman" w:hAnsi="Times New Roman"/>
          <w:sz w:val="32"/>
          <w:szCs w:val="32"/>
        </w:rPr>
      </w:pPr>
      <w:r>
        <w:rPr>
          <w:rFonts w:ascii="Times New Roman" w:eastAsia="仿宋_GB2312" w:cs="Times New Roman" w:hAnsi="Times New Roman"/>
          <w:sz w:val="32"/>
          <w:szCs w:val="32"/>
        </w:rPr>
        <w:t>（图7：“三公”经费财政拨款支出结构）</w:t>
      </w:r>
    </w:p>
    <w:p>
      <w:pPr>
        <w:spacing w:line="576" w:lineRule="exact"/>
        <w:ind w:firstLineChars="200" w:firstLine="640"/>
        <w:jc w:val="both"/>
        <w:rPr>
          <w:rFonts w:ascii="Times New Roman" w:eastAsia="仿宋_GB2312" w:cs="Times New Roman" w:hAnsi="Times New Roman"/>
          <w:color w:val="FF0000"/>
          <w:sz w:val="32"/>
          <w:szCs w:val="32"/>
        </w:rPr>
      </w:pPr>
      <w:r>
        <w:rPr>
          <w:rFonts w:ascii="Times New Roman" w:eastAsia="仿宋_GB2312" w:cs="Times New Roman" w:hAnsi="Times New Roman"/>
          <w:sz w:val="32"/>
          <w:szCs w:val="32"/>
        </w:rPr>
        <w:t>1.因公出国（境）经费支出4.57</w:t>
      </w:r>
      <w:r>
        <w:rPr>
          <w:rFonts w:ascii="Times New Roman" w:eastAsia="仿宋_GB2312" w:cs="Times New Roman" w:hAnsi="Times New Roman" w:hint="eastAsia"/>
          <w:sz w:val="32"/>
          <w:szCs w:val="32"/>
        </w:rPr>
        <w:t>万</w:t>
      </w:r>
      <w:r>
        <w:rPr>
          <w:rFonts w:ascii="Times New Roman" w:eastAsia="仿宋_GB2312" w:cs="Times New Roman" w:hAnsi="Times New Roman"/>
          <w:sz w:val="32"/>
          <w:szCs w:val="32"/>
        </w:rPr>
        <w:t>元：</w:t>
      </w:r>
      <w:r>
        <w:rPr>
          <w:rFonts w:ascii="Times New Roman" w:eastAsia="仿宋_GB2312" w:cs="Times New Roman" w:hAnsi="Times New Roman" w:hint="eastAsia"/>
          <w:sz w:val="32"/>
          <w:szCs w:val="32"/>
        </w:rPr>
        <w:t>用于朱俊赴埃及、沙特、阿联酋出国费用。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2.公务用车购置及运行维护费支出74.11万元,完成预算100%。公务用车购置及运行维护费支出决算比2022年增加63.43万元。主要原因是：</w:t>
      </w:r>
      <w:r>
        <w:rPr>
          <w:rFonts w:ascii="Times New Roman" w:eastAsia="方正仿宋_GBK" w:cs="Times New Roman" w:hAnsi="Times New Roman"/>
          <w:sz w:val="32"/>
          <w:szCs w:val="32"/>
        </w:rPr>
        <w:t>原因是按照州公务车辆管理领导小组的同意批复，我办原来的公务用车别克商务车报废，于2023年新购置一辆公务用车。</w:t>
      </w:r>
      <w:r>
        <w:rPr>
          <w:rFonts w:ascii="Times New Roman" w:eastAsia="仿宋_GB2312" w:cs="Times New Roman" w:hAnsi="Times New Roman"/>
          <w:sz w:val="32"/>
          <w:szCs w:val="32"/>
        </w:rPr>
        <w:t>截至2023年12月底，单位共有公务用车 2辆，其中：主要领导干部用车0辆、机要通信用车0辆、应急保障用车0辆、执法执勤用车0辆、特种专业技术用车0 辆、离退休干部用车0辆、其他用车2辆。</w:t>
      </w:r>
    </w:p>
    <w:p>
      <w:pPr>
        <w:spacing w:line="600" w:lineRule="exact"/>
        <w:ind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公务用车运行维护费支出14.14万元。主要用于公务车辆</w:t>
      </w:r>
      <w:r>
        <w:rPr>
          <w:rFonts w:ascii="Times New Roman" w:eastAsia="AR PL UKai CN" w:cs="Times New Roman" w:hAnsi="Times New Roman"/>
          <w:sz w:val="32"/>
          <w:szCs w:val="32"/>
        </w:rPr>
        <w:t>维修</w:t>
      </w:r>
      <w:r>
        <w:rPr>
          <w:rFonts w:ascii="Times New Roman" w:eastAsia="仿宋_GB2312" w:cs="Times New Roman" w:hAnsi="Times New Roman"/>
          <w:sz w:val="32"/>
          <w:szCs w:val="32"/>
        </w:rPr>
        <w:t>经费，</w:t>
      </w:r>
      <w:r>
        <w:rPr>
          <w:rFonts w:eastAsia="仿宋_GB2312"/>
          <w:color w:val="000000"/>
          <w:sz w:val="32"/>
          <w:szCs w:val="32"/>
        </w:rPr>
        <w:t>单位外事接待、向省汇报协调工作、州内调研等州内、州外出差工作等所需的公务用车燃料费、维修费、过路过桥费、保险费等支出。</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3.公务接待费支出0.08</w:t>
      </w:r>
      <w:r>
        <w:rPr>
          <w:rFonts w:ascii="Times New Roman" w:eastAsia="仿宋_GB2312" w:cs="Times New Roman" w:hAnsi="Times New Roman" w:hint="eastAsia"/>
          <w:sz w:val="32"/>
          <w:szCs w:val="32"/>
        </w:rPr>
        <w:t>万</w:t>
      </w:r>
      <w:r>
        <w:rPr>
          <w:rFonts w:ascii="Times New Roman" w:eastAsia="仿宋_GB2312" w:cs="Times New Roman" w:hAnsi="Times New Roman"/>
          <w:sz w:val="32"/>
          <w:szCs w:val="32"/>
        </w:rPr>
        <w:t>元：</w:t>
      </w:r>
      <w:r>
        <w:rPr>
          <w:rFonts w:ascii="Times New Roman" w:eastAsia="仿宋_GB2312" w:cs="Times New Roman" w:hAnsi="Times New Roman" w:hint="eastAsia"/>
          <w:sz w:val="32"/>
          <w:szCs w:val="32"/>
        </w:rPr>
        <w:t>主要用于接待广安市委办公室副主任一行人的费用。</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八、政府性基金预算支出决算情况说明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2023年政府性基金预算拨款支出0.00万元。</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九、国有资本经营预算支出决算情况说明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2023年国有资本经营预算拨款支出0.00万元。</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sz w:val="32"/>
          <w:szCs w:val="32"/>
        </w:rPr>
        <w:t> </w:t>
      </w:r>
      <w:r>
        <w:rPr>
          <w:rFonts w:ascii="Times New Roman" w:eastAsia="仿宋_GB2312" w:cs="Times New Roman" w:hAnsi="Times New Roman"/>
          <w:b/>
          <w:bCs/>
          <w:sz w:val="32"/>
          <w:szCs w:val="32"/>
        </w:rPr>
        <w:t>十、其他重要事项的情况说明</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（一）机关运行经费支出情况</w:t>
      </w:r>
    </w:p>
    <w:p>
      <w:pPr>
        <w:spacing w:line="576" w:lineRule="exact"/>
        <w:ind w:firstLineChars="200" w:firstLine="640"/>
        <w:jc w:val="both"/>
        <w:rPr>
          <w:rFonts w:ascii="方正仿宋_GBK" w:eastAsia="方正仿宋_GBK" w:cs="Times New Roman"/>
          <w:sz w:val="32"/>
          <w:szCs w:val="32"/>
        </w:rPr>
      </w:pPr>
      <w:r>
        <w:rPr>
          <w:rFonts w:ascii="Times New Roman" w:eastAsia="方正仿宋_GBK" w:cs="Times New Roman" w:hAnsi="Times New Roman"/>
          <w:sz w:val="32"/>
          <w:szCs w:val="32"/>
        </w:rPr>
        <w:t> </w:t>
      </w:r>
      <w:r>
        <w:rPr>
          <w:rFonts w:ascii="方正仿宋_GBK" w:eastAsia="方正仿宋_GBK" w:cs="Times New Roman" w:hint="eastAsia"/>
          <w:sz w:val="32"/>
          <w:szCs w:val="32"/>
        </w:rPr>
        <w:t>2023年，中共阿坝州委外事工作委员会办公室（本级）机关运行经费支出36.01万元，比2022年减少25.02万元，减少69.4%。主要原因：减少了物业管理费并响应政府进行厉行节约。</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（二）政府采购支出情况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2023年，中共阿坝州委外事工作委员会办公室（本级）政府采购支出总额59.26万元，其中：政府采购货物支出 59.26万元、政府采购工程支出0.00万元、政府采购服务支出0.00万元。</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（注：数据来源于财决附03表）</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（三）国有资产占有使用情况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截 至2023年12月31日，中共阿坝州委外事工作委员会办公室（本级）共有车辆2辆，其中：主要领导干部用车0 辆、机要通信用车0辆、应急保障用车0辆、执法执勤用车0 辆、特种专业技术用车0辆、离退休干部用车0辆、其他用车 2辆</w:t>
      </w:r>
      <w:r>
        <w:rPr>
          <w:rFonts w:ascii="Times New Roman" w:eastAsia="仿宋_GB2312" w:cs="Times New Roman" w:hAnsi="Times New Roman" w:hint="eastAsia"/>
          <w:sz w:val="32"/>
          <w:szCs w:val="32"/>
        </w:rPr>
        <w:t>，</w:t>
      </w:r>
      <w:r>
        <w:rPr>
          <w:rFonts w:ascii="Times New Roman" w:eastAsia="仿宋_GB2312" w:cs="Times New Roman" w:hAnsi="Times New Roman"/>
          <w:sz w:val="32"/>
          <w:szCs w:val="32"/>
        </w:rPr>
        <w:t>主要是用于</w:t>
      </w:r>
      <w:r>
        <w:rPr>
          <w:rFonts w:ascii="Times New Roman" w:eastAsia="仿宋_GB2312" w:cs="Times New Roman" w:hAnsi="Times New Roman" w:hint="eastAsia"/>
          <w:sz w:val="32"/>
          <w:szCs w:val="32"/>
        </w:rPr>
        <w:t>单位日常公务用车保障</w:t>
      </w:r>
      <w:r>
        <w:rPr>
          <w:rFonts w:ascii="Times New Roman" w:eastAsia="仿宋_GB2312" w:cs="Times New Roman" w:hAnsi="Times New Roman"/>
          <w:sz w:val="32"/>
          <w:szCs w:val="32"/>
        </w:rPr>
        <w:t>。单价50万元以上通用设备0台（套），单价100万元以上专用设备0台（套）。</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（注：数据来源财决附03表，按部门决算报表填报数据罗列车辆情况。）</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（四）预算绩效管理情况。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本部门按要求对2023年部门整体支出开展绩效自评，从评价情况来看</w:t>
      </w:r>
      <w:r>
        <w:rPr>
          <w:rFonts w:eastAsia="仿宋_GB2312" w:hint="eastAsia"/>
          <w:sz w:val="32"/>
          <w:szCs w:val="32"/>
        </w:rPr>
        <w:t>我</w:t>
      </w:r>
      <w:r>
        <w:rPr>
          <w:rFonts w:ascii="仿宋_GB2312" w:eastAsia="仿宋_GB2312" w:hint="eastAsia"/>
          <w:sz w:val="32"/>
          <w:szCs w:val="32"/>
        </w:rPr>
        <w:t>办在州委、州人民政府的坚强领导和省级业务部门的指导支持下，围绕服务国家总体外交和港澳工作大局和服务全州建设“一州两区三家园”战略目标，认真履职尽责，合理使用预算资金，把资金用活用好，确保资金使用合理合规，不断提高外事工作科学管理水平，全州对外开放合作和外事</w:t>
      </w:r>
      <w:r>
        <w:rPr>
          <w:rFonts w:ascii="仿宋_GB2312" w:eastAsia="仿宋_GB2312"/>
          <w:sz w:val="32"/>
          <w:szCs w:val="32"/>
        </w:rPr>
        <w:t>港澳</w:t>
      </w:r>
      <w:r>
        <w:rPr>
          <w:rFonts w:ascii="仿宋_GB2312" w:eastAsia="仿宋_GB2312" w:hint="eastAsia"/>
          <w:sz w:val="32"/>
          <w:szCs w:val="32"/>
        </w:rPr>
        <w:t>工作呈现出良好发展态势</w:t>
      </w:r>
      <w:r>
        <w:rPr>
          <w:rFonts w:ascii="Times New Roman" w:eastAsia="仿宋_GB2312" w:cs="Times New Roman" w:hAnsi="Times New Roman"/>
          <w:sz w:val="32"/>
          <w:szCs w:val="32"/>
        </w:rPr>
        <w:t>。</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hint="eastAsia"/>
          <w:b/>
          <w:bCs/>
          <w:sz w:val="32"/>
          <w:szCs w:val="32"/>
        </w:rPr>
        <w:t>1.</w:t>
      </w:r>
      <w:r>
        <w:rPr>
          <w:rFonts w:ascii="Times New Roman" w:eastAsia="仿宋_GB2312" w:cs="Times New Roman" w:hAnsi="Times New Roman"/>
          <w:b/>
          <w:bCs/>
          <w:sz w:val="32"/>
          <w:szCs w:val="32"/>
        </w:rPr>
        <w:t>项目绩效目标完成情况。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本部门在2023年度部门决算中无项目绩效费用支出。</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2.部门绩效评价结果。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本部门按要求对2023年部门整体支出绩效评价情况开展自评，《中共阿坝州委外事工作委员会办公室2023年部门整体支出绩效评价报告》见附件（附件1）。</w:t>
      </w:r>
    </w:p>
    <w:p>
      <w:pPr>
        <w:spacing w:line="576" w:lineRule="exact"/>
        <w:ind w:firstLineChars="200" w:firstLine="640"/>
        <w:jc w:val="both"/>
        <w:rPr>
          <w:rFonts w:ascii="Times New Roman" w:eastAsia="仿宋_GB2312" w:cs="Times New Roman" w:hAnsi="Times New Roman"/>
          <w:sz w:val="32"/>
          <w:szCs w:val="32"/>
        </w:rPr>
      </w:pPr>
    </w:p>
    <w:p>
      <w:pPr>
        <w:spacing w:line="576" w:lineRule="exact"/>
        <w:ind w:firstLineChars="200" w:firstLine="640"/>
        <w:jc w:val="both"/>
        <w:rPr>
          <w:rFonts w:ascii="Times New Roman" w:eastAsia="仿宋_GB2312" w:cs="Times New Roman" w:hAnsi="Times New Roman"/>
          <w:sz w:val="32"/>
          <w:szCs w:val="32"/>
        </w:rPr>
      </w:pPr>
    </w:p>
    <w:p>
      <w:pPr>
        <w:spacing w:line="576" w:lineRule="exact"/>
        <w:ind w:firstLineChars="200" w:firstLine="640"/>
        <w:jc w:val="both"/>
        <w:rPr>
          <w:rFonts w:ascii="Times New Roman" w:eastAsia="仿宋_GB2312" w:cs="Times New Roman" w:hAnsi="Times New Roman"/>
          <w:b/>
          <w:bCs/>
          <w:sz w:val="32"/>
          <w:szCs w:val="32"/>
        </w:rPr>
      </w:pPr>
    </w:p>
    <w:p>
      <w:pPr>
        <w:spacing w:line="576" w:lineRule="exact"/>
        <w:ind w:firstLineChars="200" w:firstLine="640"/>
        <w:jc w:val="both"/>
        <w:rPr>
          <w:rFonts w:ascii="Times New Roman" w:eastAsia="仿宋_GB2312" w:cs="Times New Roman" w:hAnsi="Times New Roman"/>
          <w:b/>
          <w:bCs/>
          <w:sz w:val="32"/>
          <w:szCs w:val="32"/>
        </w:rPr>
      </w:pPr>
    </w:p>
    <w:p>
      <w:pPr>
        <w:spacing w:line="576" w:lineRule="exact"/>
        <w:ind w:firstLineChars="200" w:firstLine="640"/>
        <w:jc w:val="both"/>
        <w:rPr>
          <w:rFonts w:ascii="Times New Roman" w:eastAsia="仿宋_GB2312" w:cs="Times New Roman" w:hAnsi="Times New Roman"/>
          <w:b/>
          <w:bCs/>
          <w:sz w:val="32"/>
          <w:szCs w:val="32"/>
        </w:rPr>
      </w:pPr>
    </w:p>
    <w:p>
      <w:pPr>
        <w:spacing w:line="576" w:lineRule="exact"/>
        <w:ind w:firstLineChars="200" w:firstLine="640"/>
        <w:jc w:val="both"/>
        <w:rPr>
          <w:rFonts w:ascii="Times New Roman" w:eastAsia="仿宋_GB2312" w:cs="Times New Roman" w:hAnsi="Times New Roman"/>
          <w:b/>
          <w:bCs/>
          <w:sz w:val="32"/>
          <w:szCs w:val="32"/>
        </w:rPr>
      </w:pP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第三部分 名词解释</w:t>
      </w:r>
    </w:p>
    <w:p>
      <w:pPr>
        <w:pStyle w:val="23"/>
        <w:spacing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1.财政拨款收入：指单位从同级财政部门取得的财政预算资金。</w:t>
      </w:r>
    </w:p>
    <w:p>
      <w:pPr>
        <w:pStyle w:val="23"/>
        <w:spacing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2.事业收入：指事业单位开展专业业务活动及辅助活动取得的收入。</w:t>
      </w:r>
    </w:p>
    <w:p>
      <w:pPr>
        <w:pStyle w:val="23"/>
        <w:spacing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3.经营收入：指事业单位在专业业务活动及其辅助活动之外开展非独立核算经营活动取得的收入。</w:t>
      </w:r>
    </w:p>
    <w:p>
      <w:pPr>
        <w:pStyle w:val="23"/>
        <w:spacing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4.其他收入：指单位取得的除上述收入以外的各项收入。主要是</w:t>
      </w:r>
      <w:r>
        <w:rPr>
          <w:rFonts w:ascii="Times New Roman" w:eastAsia="仿宋_GB2312" w:cs="Times New Roman" w:hAnsi="Times New Roman" w:hint="eastAsia"/>
          <w:sz w:val="32"/>
          <w:szCs w:val="32"/>
        </w:rPr>
        <w:t>上级业务部门划拨的重要业务工作经费补助</w:t>
      </w:r>
      <w:r>
        <w:rPr>
          <w:rFonts w:ascii="Times New Roman" w:eastAsia="仿宋_GB2312" w:cs="Times New Roman" w:hAnsi="Times New Roman"/>
          <w:sz w:val="32"/>
          <w:szCs w:val="32"/>
        </w:rPr>
        <w:t>等。</w:t>
      </w:r>
    </w:p>
    <w:p>
      <w:pPr>
        <w:pStyle w:val="23"/>
        <w:spacing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3"/>
        <w:spacing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6.年初结转和结余：指以前年度尚未完成、结转到本年按有关规定继续使用的资金。</w:t>
      </w:r>
    </w:p>
    <w:p>
      <w:pPr>
        <w:pStyle w:val="23"/>
        <w:spacing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7.结余分配：指事业单位按照事业单位会计制度的规定从非财政补助结余中分配的事业基金和职工福利基金等。</w:t>
      </w:r>
    </w:p>
    <w:p>
      <w:pPr>
        <w:pStyle w:val="23"/>
        <w:spacing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8、年末结转和结余：指单位按有关规定结转到下年或以后年度继续使用的资金。</w:t>
      </w:r>
    </w:p>
    <w:p>
      <w:pPr>
        <w:ind w:firstLineChars="200" w:firstLine="640"/>
        <w:jc w:val="both"/>
        <w:rPr>
          <w:rFonts w:eastAsia="仿宋_GB2312"/>
          <w:color w:val="000000"/>
          <w:sz w:val="32"/>
          <w:szCs w:val="32"/>
        </w:rPr>
      </w:pPr>
      <w:r>
        <w:rPr>
          <w:rFonts w:eastAsia="仿宋_GB2312"/>
          <w:color w:val="000000"/>
          <w:sz w:val="32"/>
          <w:szCs w:val="32"/>
        </w:rPr>
        <w:t>9.一般公共服务</w:t>
      </w:r>
      <w:r>
        <w:rPr>
          <w:rFonts w:eastAsia="仿宋_GB2312" w:hint="eastAsia"/>
          <w:color w:val="000000"/>
          <w:sz w:val="32"/>
          <w:szCs w:val="32"/>
        </w:rPr>
        <w:t>201</w:t>
      </w:r>
      <w:r>
        <w:rPr>
          <w:rFonts w:eastAsia="仿宋_GB2312"/>
          <w:color w:val="000000"/>
          <w:sz w:val="32"/>
          <w:szCs w:val="32"/>
        </w:rPr>
        <w:t>（类）</w:t>
      </w:r>
      <w:r>
        <w:rPr>
          <w:rFonts w:eastAsia="仿宋_GB2312" w:hint="eastAsia"/>
          <w:color w:val="000000"/>
          <w:sz w:val="32"/>
          <w:szCs w:val="32"/>
        </w:rPr>
        <w:t>港澳台侨事务25</w:t>
      </w:r>
      <w:r>
        <w:rPr>
          <w:rFonts w:eastAsia="仿宋_GB2312"/>
          <w:color w:val="000000"/>
          <w:sz w:val="32"/>
          <w:szCs w:val="32"/>
        </w:rPr>
        <w:t>（款）</w:t>
      </w:r>
      <w:r>
        <w:rPr>
          <w:rFonts w:eastAsia="仿宋_GB2312" w:hint="eastAsia"/>
          <w:color w:val="000000"/>
          <w:sz w:val="32"/>
          <w:szCs w:val="32"/>
        </w:rPr>
        <w:t>行政运行01</w:t>
      </w:r>
      <w:r>
        <w:rPr>
          <w:rFonts w:eastAsia="仿宋_GB2312"/>
          <w:color w:val="000000"/>
          <w:sz w:val="32"/>
          <w:szCs w:val="32"/>
        </w:rPr>
        <w:t>（项）：指</w:t>
      </w:r>
      <w:r>
        <w:rPr>
          <w:rFonts w:eastAsia="仿宋_GB2312" w:hint="eastAsia"/>
          <w:color w:val="000000"/>
          <w:sz w:val="32"/>
          <w:szCs w:val="32"/>
        </w:rPr>
        <w:t>单位基本支出的行政运行</w:t>
      </w:r>
      <w:r>
        <w:rPr>
          <w:rFonts w:eastAsia="仿宋_GB2312"/>
          <w:color w:val="000000"/>
          <w:sz w:val="32"/>
          <w:szCs w:val="32"/>
        </w:rPr>
        <w:t>。</w:t>
      </w:r>
    </w:p>
    <w:p>
      <w:pPr>
        <w:ind w:firstLineChars="200" w:firstLine="640"/>
        <w:jc w:val="both"/>
        <w:rPr>
          <w:rFonts w:eastAsia="仿宋_GB2312"/>
          <w:color w:val="000000"/>
          <w:sz w:val="32"/>
          <w:szCs w:val="32"/>
        </w:rPr>
      </w:pPr>
      <w:r>
        <w:rPr>
          <w:rFonts w:eastAsia="仿宋_GB2312" w:hint="eastAsia"/>
          <w:color w:val="000000"/>
          <w:sz w:val="32"/>
          <w:szCs w:val="32"/>
        </w:rPr>
        <w:t>10.一</w:t>
      </w:r>
      <w:r>
        <w:rPr>
          <w:rFonts w:eastAsia="仿宋_GB2312"/>
          <w:color w:val="000000"/>
          <w:sz w:val="32"/>
          <w:szCs w:val="32"/>
        </w:rPr>
        <w:t>般公共服务</w:t>
      </w:r>
      <w:r>
        <w:rPr>
          <w:rFonts w:eastAsia="仿宋_GB2312" w:hint="eastAsia"/>
          <w:color w:val="000000"/>
          <w:sz w:val="32"/>
          <w:szCs w:val="32"/>
        </w:rPr>
        <w:t>201</w:t>
      </w:r>
      <w:r>
        <w:rPr>
          <w:rFonts w:eastAsia="仿宋_GB2312"/>
          <w:color w:val="000000"/>
          <w:sz w:val="32"/>
          <w:szCs w:val="32"/>
        </w:rPr>
        <w:t>（类）</w:t>
      </w:r>
      <w:r>
        <w:rPr>
          <w:rFonts w:eastAsia="仿宋_GB2312" w:hint="eastAsia"/>
          <w:color w:val="000000"/>
          <w:sz w:val="32"/>
          <w:szCs w:val="32"/>
        </w:rPr>
        <w:t>港澳台侨事务25</w:t>
      </w:r>
      <w:r>
        <w:rPr>
          <w:rFonts w:eastAsia="仿宋_GB2312"/>
          <w:color w:val="000000"/>
          <w:sz w:val="32"/>
          <w:szCs w:val="32"/>
        </w:rPr>
        <w:t>（款）</w:t>
      </w:r>
      <w:r>
        <w:rPr>
          <w:rFonts w:eastAsia="仿宋_GB2312" w:hint="eastAsia"/>
          <w:color w:val="000000"/>
          <w:sz w:val="32"/>
          <w:szCs w:val="32"/>
        </w:rPr>
        <w:t>一般行政管理事务02</w:t>
      </w:r>
      <w:r>
        <w:rPr>
          <w:rFonts w:eastAsia="仿宋_GB2312"/>
          <w:color w:val="000000"/>
          <w:sz w:val="32"/>
          <w:szCs w:val="32"/>
        </w:rPr>
        <w:t>（项）：指</w:t>
      </w:r>
      <w:r>
        <w:rPr>
          <w:rFonts w:eastAsia="仿宋_GB2312" w:hint="eastAsia"/>
          <w:color w:val="000000"/>
          <w:sz w:val="32"/>
          <w:szCs w:val="32"/>
        </w:rPr>
        <w:t>单位基本支出的一般行政管理事务。</w:t>
      </w:r>
    </w:p>
    <w:p>
      <w:pPr>
        <w:ind w:firstLineChars="200" w:firstLine="640"/>
        <w:jc w:val="both"/>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1</w:t>
      </w:r>
      <w:r>
        <w:rPr>
          <w:rFonts w:eastAsia="仿宋_GB2312"/>
          <w:color w:val="000000"/>
          <w:sz w:val="32"/>
          <w:szCs w:val="32"/>
        </w:rPr>
        <w:t>.社会保障和就业</w:t>
      </w:r>
      <w:r>
        <w:rPr>
          <w:rFonts w:eastAsia="仿宋_GB2312" w:hint="eastAsia"/>
          <w:color w:val="000000"/>
          <w:sz w:val="32"/>
          <w:szCs w:val="32"/>
        </w:rPr>
        <w:t>208</w:t>
      </w:r>
      <w:r>
        <w:rPr>
          <w:rFonts w:eastAsia="仿宋_GB2312"/>
          <w:color w:val="000000"/>
          <w:sz w:val="32"/>
          <w:szCs w:val="32"/>
        </w:rPr>
        <w:t>（类）</w:t>
      </w:r>
      <w:r>
        <w:rPr>
          <w:rFonts w:eastAsia="仿宋_GB2312" w:hint="eastAsia"/>
          <w:color w:val="000000"/>
          <w:sz w:val="32"/>
          <w:szCs w:val="32"/>
        </w:rPr>
        <w:t>行政事业单位离退休05</w:t>
      </w:r>
      <w:r>
        <w:rPr>
          <w:rFonts w:eastAsia="仿宋_GB2312"/>
          <w:color w:val="000000"/>
          <w:sz w:val="32"/>
          <w:szCs w:val="32"/>
        </w:rPr>
        <w:t>（款）</w:t>
      </w:r>
      <w:r>
        <w:rPr>
          <w:rFonts w:eastAsia="仿宋_GB2312" w:hint="eastAsia"/>
          <w:color w:val="000000"/>
          <w:sz w:val="32"/>
          <w:szCs w:val="32"/>
        </w:rPr>
        <w:t xml:space="preserve"> 机关事业单位基本养老保险缴费支出05</w:t>
      </w:r>
      <w:r>
        <w:rPr>
          <w:rFonts w:eastAsia="仿宋_GB2312"/>
          <w:color w:val="000000"/>
          <w:sz w:val="32"/>
          <w:szCs w:val="32"/>
        </w:rPr>
        <w:t>（项）：指</w:t>
      </w:r>
      <w:r>
        <w:rPr>
          <w:rFonts w:eastAsia="仿宋_GB2312" w:hint="eastAsia"/>
          <w:color w:val="000000"/>
          <w:sz w:val="32"/>
          <w:szCs w:val="32"/>
        </w:rPr>
        <w:t>单位机关事业单位基本养老保险缴费支出</w:t>
      </w:r>
      <w:r>
        <w:rPr>
          <w:rFonts w:eastAsia="仿宋_GB2312"/>
          <w:color w:val="000000"/>
          <w:sz w:val="32"/>
          <w:szCs w:val="32"/>
        </w:rPr>
        <w:t>。</w:t>
      </w:r>
    </w:p>
    <w:p>
      <w:pPr>
        <w:ind w:firstLineChars="200" w:firstLine="640"/>
        <w:jc w:val="both"/>
        <w:rPr>
          <w:rFonts w:eastAsia="仿宋_GB2312"/>
          <w:color w:val="000000"/>
          <w:sz w:val="32"/>
          <w:szCs w:val="32"/>
        </w:rPr>
      </w:pPr>
      <w:r>
        <w:rPr>
          <w:rFonts w:eastAsia="仿宋_GB2312" w:hint="eastAsia"/>
          <w:color w:val="000000"/>
          <w:sz w:val="32"/>
          <w:szCs w:val="32"/>
        </w:rPr>
        <w:t>12.</w:t>
      </w:r>
      <w:r>
        <w:rPr>
          <w:rFonts w:eastAsia="仿宋_GB2312"/>
          <w:color w:val="000000"/>
          <w:sz w:val="32"/>
          <w:szCs w:val="32"/>
        </w:rPr>
        <w:t>社会保障和就业</w:t>
      </w:r>
      <w:r>
        <w:rPr>
          <w:rFonts w:eastAsia="仿宋_GB2312" w:hint="eastAsia"/>
          <w:color w:val="000000"/>
          <w:sz w:val="32"/>
          <w:szCs w:val="32"/>
        </w:rPr>
        <w:t>208</w:t>
      </w:r>
      <w:r>
        <w:rPr>
          <w:rFonts w:eastAsia="仿宋_GB2312"/>
          <w:color w:val="000000"/>
          <w:sz w:val="32"/>
          <w:szCs w:val="32"/>
        </w:rPr>
        <w:t>（类）</w:t>
      </w:r>
      <w:r>
        <w:rPr>
          <w:rFonts w:eastAsia="仿宋_GB2312" w:hint="eastAsia"/>
          <w:color w:val="000000"/>
          <w:sz w:val="32"/>
          <w:szCs w:val="32"/>
        </w:rPr>
        <w:t>行政事业单位离退休05</w:t>
      </w:r>
      <w:r>
        <w:rPr>
          <w:rFonts w:eastAsia="仿宋_GB2312"/>
          <w:color w:val="000000"/>
          <w:sz w:val="32"/>
          <w:szCs w:val="32"/>
        </w:rPr>
        <w:t>（款）</w:t>
      </w:r>
      <w:r>
        <w:rPr>
          <w:rFonts w:eastAsia="仿宋_GB2312" w:hint="eastAsia"/>
          <w:color w:val="000000"/>
          <w:sz w:val="32"/>
          <w:szCs w:val="32"/>
        </w:rPr>
        <w:t>机关事业单位职业年金缴费支出06</w:t>
      </w:r>
      <w:r>
        <w:rPr>
          <w:rFonts w:eastAsia="仿宋_GB2312"/>
          <w:color w:val="000000"/>
          <w:sz w:val="32"/>
          <w:szCs w:val="32"/>
        </w:rPr>
        <w:t>（项）：指</w:t>
      </w:r>
      <w:r>
        <w:rPr>
          <w:rFonts w:eastAsia="仿宋_GB2312" w:hint="eastAsia"/>
          <w:color w:val="000000"/>
          <w:sz w:val="32"/>
          <w:szCs w:val="32"/>
        </w:rPr>
        <w:t>单位机关事业单位职业年金缴费支出</w:t>
      </w:r>
      <w:r>
        <w:rPr>
          <w:rFonts w:eastAsia="仿宋_GB2312"/>
          <w:color w:val="000000"/>
          <w:sz w:val="32"/>
          <w:szCs w:val="32"/>
        </w:rPr>
        <w:t>。</w:t>
      </w:r>
    </w:p>
    <w:p>
      <w:pPr>
        <w:ind w:firstLineChars="200" w:firstLine="640"/>
        <w:jc w:val="both"/>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3</w:t>
      </w:r>
      <w:r>
        <w:rPr>
          <w:rFonts w:eastAsia="仿宋_GB2312"/>
          <w:color w:val="000000"/>
          <w:sz w:val="32"/>
          <w:szCs w:val="32"/>
        </w:rPr>
        <w:t>.医疗卫生与计划生育</w:t>
      </w:r>
      <w:r>
        <w:rPr>
          <w:rFonts w:eastAsia="仿宋_GB2312" w:hint="eastAsia"/>
          <w:color w:val="000000"/>
          <w:sz w:val="32"/>
          <w:szCs w:val="32"/>
        </w:rPr>
        <w:t>210</w:t>
      </w:r>
      <w:r>
        <w:rPr>
          <w:rFonts w:eastAsia="仿宋_GB2312"/>
          <w:color w:val="000000"/>
          <w:sz w:val="32"/>
          <w:szCs w:val="32"/>
        </w:rPr>
        <w:t>（类）</w:t>
      </w:r>
      <w:r>
        <w:rPr>
          <w:rFonts w:eastAsia="仿宋_GB2312" w:hint="eastAsia"/>
          <w:color w:val="000000"/>
          <w:sz w:val="32"/>
          <w:szCs w:val="32"/>
        </w:rPr>
        <w:t>行政事业单位医疗11</w:t>
      </w:r>
      <w:r>
        <w:rPr>
          <w:rFonts w:eastAsia="仿宋_GB2312"/>
          <w:color w:val="000000"/>
          <w:sz w:val="32"/>
          <w:szCs w:val="32"/>
        </w:rPr>
        <w:t>（款）</w:t>
      </w:r>
      <w:r>
        <w:rPr>
          <w:rFonts w:eastAsia="仿宋_GB2312" w:hint="eastAsia"/>
          <w:color w:val="000000"/>
          <w:sz w:val="32"/>
          <w:szCs w:val="32"/>
        </w:rPr>
        <w:t>行政单位医疗01</w:t>
      </w:r>
      <w:r>
        <w:rPr>
          <w:rFonts w:eastAsia="仿宋_GB2312"/>
          <w:color w:val="000000"/>
          <w:sz w:val="32"/>
          <w:szCs w:val="32"/>
        </w:rPr>
        <w:t>（项）：指</w:t>
      </w:r>
      <w:r>
        <w:rPr>
          <w:rFonts w:eastAsia="仿宋_GB2312" w:hint="eastAsia"/>
          <w:color w:val="000000"/>
          <w:sz w:val="32"/>
          <w:szCs w:val="32"/>
        </w:rPr>
        <w:t>单位行政单位医疗</w:t>
      </w:r>
      <w:r>
        <w:rPr>
          <w:rFonts w:eastAsia="仿宋_GB2312"/>
          <w:color w:val="000000"/>
          <w:sz w:val="32"/>
          <w:szCs w:val="32"/>
        </w:rPr>
        <w:t>。</w:t>
      </w:r>
    </w:p>
    <w:p>
      <w:pPr>
        <w:ind w:firstLineChars="200" w:firstLine="640"/>
        <w:jc w:val="both"/>
        <w:rPr>
          <w:rFonts w:eastAsia="仿宋_GB2312"/>
          <w:color w:val="000000"/>
          <w:sz w:val="32"/>
          <w:szCs w:val="32"/>
        </w:rPr>
      </w:pPr>
      <w:r>
        <w:rPr>
          <w:rFonts w:eastAsia="仿宋_GB2312" w:hint="eastAsia"/>
          <w:color w:val="000000"/>
          <w:sz w:val="32"/>
          <w:szCs w:val="32"/>
        </w:rPr>
        <w:t>14.</w:t>
      </w:r>
      <w:r>
        <w:rPr>
          <w:rFonts w:eastAsia="仿宋_GB2312"/>
          <w:color w:val="000000"/>
          <w:sz w:val="32"/>
          <w:szCs w:val="32"/>
        </w:rPr>
        <w:t>医疗卫生与计划生育</w:t>
      </w:r>
      <w:r>
        <w:rPr>
          <w:rFonts w:eastAsia="仿宋_GB2312" w:hint="eastAsia"/>
          <w:color w:val="000000"/>
          <w:sz w:val="32"/>
          <w:szCs w:val="32"/>
        </w:rPr>
        <w:t>210</w:t>
      </w:r>
      <w:r>
        <w:rPr>
          <w:rFonts w:eastAsia="仿宋_GB2312"/>
          <w:color w:val="000000"/>
          <w:sz w:val="32"/>
          <w:szCs w:val="32"/>
        </w:rPr>
        <w:t>（类）</w:t>
      </w:r>
      <w:r>
        <w:rPr>
          <w:rFonts w:eastAsia="仿宋_GB2312" w:hint="eastAsia"/>
          <w:color w:val="000000"/>
          <w:sz w:val="32"/>
          <w:szCs w:val="32"/>
        </w:rPr>
        <w:t>行政事业单位医疗11</w:t>
      </w:r>
      <w:r>
        <w:rPr>
          <w:rFonts w:eastAsia="仿宋_GB2312"/>
          <w:color w:val="000000"/>
          <w:sz w:val="32"/>
          <w:szCs w:val="32"/>
        </w:rPr>
        <w:t>（款）</w:t>
      </w:r>
      <w:r>
        <w:rPr>
          <w:rFonts w:eastAsia="仿宋_GB2312" w:hint="eastAsia"/>
          <w:color w:val="000000"/>
          <w:sz w:val="32"/>
          <w:szCs w:val="32"/>
        </w:rPr>
        <w:t>公务员医疗补助03</w:t>
      </w:r>
      <w:r>
        <w:rPr>
          <w:rFonts w:eastAsia="仿宋_GB2312"/>
          <w:color w:val="000000"/>
          <w:sz w:val="32"/>
          <w:szCs w:val="32"/>
        </w:rPr>
        <w:t>（项）：指</w:t>
      </w:r>
      <w:r>
        <w:rPr>
          <w:rFonts w:eastAsia="仿宋_GB2312" w:hint="eastAsia"/>
          <w:color w:val="000000"/>
          <w:sz w:val="32"/>
          <w:szCs w:val="32"/>
        </w:rPr>
        <w:t>单位公务员医疗补助</w:t>
      </w:r>
      <w:r>
        <w:rPr>
          <w:rFonts w:eastAsia="仿宋_GB2312"/>
          <w:color w:val="000000"/>
          <w:sz w:val="32"/>
          <w:szCs w:val="32"/>
        </w:rPr>
        <w:t>。</w:t>
      </w:r>
    </w:p>
    <w:p>
      <w:pPr>
        <w:ind w:firstLineChars="200" w:firstLine="640"/>
        <w:jc w:val="both"/>
        <w:rPr>
          <w:rFonts w:eastAsia="仿宋_GB2312"/>
          <w:color w:val="000000"/>
          <w:sz w:val="32"/>
          <w:szCs w:val="32"/>
        </w:rPr>
      </w:pPr>
      <w:r>
        <w:rPr>
          <w:rFonts w:eastAsia="仿宋_GB2312" w:hint="eastAsia"/>
          <w:color w:val="000000"/>
          <w:sz w:val="32"/>
          <w:szCs w:val="32"/>
        </w:rPr>
        <w:t>1</w:t>
      </w:r>
      <w:r>
        <w:rPr>
          <w:rFonts w:eastAsia="仿宋_GB2312"/>
          <w:color w:val="000000"/>
          <w:sz w:val="32"/>
          <w:szCs w:val="32"/>
        </w:rPr>
        <w:t>5.住房保障</w:t>
      </w:r>
      <w:r>
        <w:rPr>
          <w:rFonts w:eastAsia="仿宋_GB2312" w:hint="eastAsia"/>
          <w:color w:val="000000"/>
          <w:sz w:val="32"/>
          <w:szCs w:val="32"/>
        </w:rPr>
        <w:t>221</w:t>
      </w:r>
      <w:r>
        <w:rPr>
          <w:rFonts w:eastAsia="仿宋_GB2312"/>
          <w:color w:val="000000"/>
          <w:sz w:val="32"/>
          <w:szCs w:val="32"/>
        </w:rPr>
        <w:t>（类）</w:t>
      </w:r>
      <w:r>
        <w:rPr>
          <w:rFonts w:eastAsia="仿宋_GB2312" w:hint="eastAsia"/>
          <w:color w:val="000000"/>
          <w:sz w:val="32"/>
          <w:szCs w:val="32"/>
        </w:rPr>
        <w:t>住房改革支出02</w:t>
      </w:r>
      <w:r>
        <w:rPr>
          <w:rFonts w:eastAsia="仿宋_GB2312"/>
          <w:color w:val="000000"/>
          <w:sz w:val="32"/>
          <w:szCs w:val="32"/>
        </w:rPr>
        <w:t>（款）</w:t>
      </w:r>
      <w:r>
        <w:rPr>
          <w:rFonts w:eastAsia="仿宋_GB2312" w:hint="eastAsia"/>
          <w:color w:val="000000"/>
          <w:sz w:val="32"/>
          <w:szCs w:val="32"/>
        </w:rPr>
        <w:t>住房公积金01</w:t>
      </w:r>
      <w:r>
        <w:rPr>
          <w:rFonts w:eastAsia="仿宋_GB2312"/>
          <w:color w:val="000000"/>
          <w:sz w:val="32"/>
          <w:szCs w:val="32"/>
        </w:rPr>
        <w:t>（项）：指</w:t>
      </w:r>
      <w:r>
        <w:rPr>
          <w:rFonts w:eastAsia="仿宋_GB2312" w:hint="eastAsia"/>
          <w:color w:val="000000"/>
          <w:sz w:val="32"/>
          <w:szCs w:val="32"/>
        </w:rPr>
        <w:t>单位住房公积金支出</w:t>
      </w:r>
      <w:r>
        <w:rPr>
          <w:rFonts w:eastAsia="仿宋_GB2312"/>
          <w:color w:val="000000"/>
          <w:sz w:val="32"/>
          <w:szCs w:val="32"/>
        </w:rPr>
        <w:t>。</w:t>
      </w:r>
    </w:p>
    <w:p>
      <w:pPr>
        <w:ind w:firstLineChars="200" w:firstLine="640"/>
        <w:jc w:val="both"/>
        <w:rPr>
          <w:rFonts w:eastAsia="仿宋_GB2312"/>
          <w:color w:val="000000"/>
          <w:sz w:val="32"/>
          <w:szCs w:val="32"/>
        </w:rPr>
      </w:pPr>
      <w:r>
        <w:rPr>
          <w:rFonts w:eastAsia="仿宋_GB2312" w:hint="eastAsia"/>
          <w:color w:val="000000"/>
          <w:sz w:val="32"/>
          <w:szCs w:val="32"/>
        </w:rPr>
        <w:t>16</w:t>
      </w:r>
      <w:r>
        <w:rPr>
          <w:rFonts w:eastAsia="仿宋_GB2312"/>
          <w:color w:val="000000"/>
          <w:sz w:val="32"/>
          <w:szCs w:val="32"/>
        </w:rPr>
        <w:t>.基本支出：指为保障机构正常运转、完成日常工作任务而发生的人员支出和公用支出。</w:t>
      </w:r>
    </w:p>
    <w:p>
      <w:pPr>
        <w:ind w:firstLineChars="200" w:firstLine="640"/>
        <w:jc w:val="both"/>
        <w:rPr>
          <w:rFonts w:eastAsia="仿宋_GB2312"/>
          <w:color w:val="000000"/>
          <w:sz w:val="32"/>
          <w:szCs w:val="32"/>
        </w:rPr>
      </w:pPr>
      <w:r>
        <w:rPr>
          <w:rFonts w:eastAsia="仿宋_GB2312" w:hint="eastAsia"/>
          <w:color w:val="000000"/>
          <w:sz w:val="32"/>
          <w:szCs w:val="32"/>
        </w:rPr>
        <w:t>17</w:t>
      </w:r>
      <w:r>
        <w:rPr>
          <w:rFonts w:eastAsia="仿宋_GB2312"/>
          <w:color w:val="000000"/>
          <w:sz w:val="32"/>
          <w:szCs w:val="32"/>
        </w:rPr>
        <w:t>.项目支出：指在基本支出之外为完成特定行政任务和事业发展目标所发生的支出。</w:t>
      </w:r>
    </w:p>
    <w:p>
      <w:pPr>
        <w:ind w:firstLineChars="200" w:firstLine="640"/>
        <w:jc w:val="both"/>
        <w:rPr>
          <w:rFonts w:eastAsia="仿宋_GB2312"/>
          <w:color w:val="000000"/>
          <w:sz w:val="32"/>
          <w:szCs w:val="32"/>
        </w:rPr>
      </w:pPr>
      <w:r>
        <w:rPr>
          <w:rFonts w:eastAsia="仿宋_GB2312" w:hint="eastAsia"/>
          <w:color w:val="000000"/>
          <w:sz w:val="32"/>
          <w:szCs w:val="32"/>
        </w:rPr>
        <w:t>18</w:t>
      </w:r>
      <w:r>
        <w:rPr>
          <w:rFonts w:eastAsia="仿宋_GB2312"/>
          <w:color w:val="000000"/>
          <w:sz w:val="32"/>
          <w:szCs w:val="32"/>
        </w:rPr>
        <w:t>.经营支出：指事业单位在专业业务活动及其辅助活动之外开展非独立核算经营活动发生的支出。</w:t>
      </w:r>
    </w:p>
    <w:p>
      <w:pPr>
        <w:pStyle w:val="23"/>
        <w:spacing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hint="eastAsia"/>
          <w:sz w:val="32"/>
          <w:szCs w:val="32"/>
        </w:rPr>
        <w:t>19</w:t>
      </w:r>
      <w:r>
        <w:rPr>
          <w:rFonts w:ascii="Times New Roman" w:eastAsia="仿宋_GB2312" w:cs="Times New Roman" w:hAnsi="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hint="eastAsia"/>
          <w:sz w:val="32"/>
          <w:szCs w:val="32"/>
        </w:rPr>
        <w:t>20</w:t>
      </w:r>
      <w:r>
        <w:rPr>
          <w:rFonts w:ascii="Times New Roman" w:eastAsia="仿宋_GB2312" w:cs="Times New Roman" w:hAnsi="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0"/>
        <w:shd w:val="clear" w:color="auto" w:fill="FFFFFF"/>
        <w:jc w:val="both"/>
        <w:rPr>
          <w:sz w:val="32"/>
          <w:szCs w:val="32"/>
        </w:rPr>
      </w:pPr>
    </w:p>
    <w:p>
      <w:pPr>
        <w:pStyle w:val="20"/>
        <w:shd w:val="clear" w:color="auto" w:fill="FFFFFF"/>
        <w:jc w:val="both"/>
        <w:rPr>
          <w:sz w:val="32"/>
          <w:szCs w:val="32"/>
        </w:rPr>
      </w:pPr>
    </w:p>
    <w:p>
      <w:pPr>
        <w:pStyle w:val="20"/>
        <w:shd w:val="clear" w:color="auto" w:fill="FFFFFF"/>
        <w:jc w:val="both"/>
        <w:rPr>
          <w:sz w:val="32"/>
          <w:szCs w:val="32"/>
        </w:rPr>
      </w:pPr>
    </w:p>
    <w:p>
      <w:pPr>
        <w:pStyle w:val="20"/>
        <w:shd w:val="clear" w:color="auto" w:fill="FFFFFF"/>
        <w:jc w:val="both"/>
        <w:rPr>
          <w:sz w:val="32"/>
          <w:szCs w:val="32"/>
        </w:rPr>
      </w:pPr>
    </w:p>
    <w:p>
      <w:pPr>
        <w:pStyle w:val="20"/>
        <w:shd w:val="clear" w:color="auto" w:fill="FFFFFF"/>
        <w:jc w:val="both"/>
        <w:rPr>
          <w:sz w:val="32"/>
          <w:szCs w:val="32"/>
        </w:rPr>
      </w:pPr>
    </w:p>
    <w:p>
      <w:pPr>
        <w:pStyle w:val="20"/>
        <w:shd w:val="clear" w:color="auto" w:fill="FFFFFF"/>
        <w:jc w:val="both"/>
        <w:rPr>
          <w:sz w:val="32"/>
          <w:szCs w:val="32"/>
        </w:rPr>
      </w:pPr>
    </w:p>
    <w:p>
      <w:pPr>
        <w:spacing w:line="560" w:lineRule="exact"/>
        <w:ind w:rightChars="-50" w:right="-120"/>
        <w:jc w:val="center"/>
        <w:rPr>
          <w:rFonts w:eastAsia="方正小标宋简体"/>
          <w:sz w:val="44"/>
          <w:szCs w:val="44"/>
        </w:rPr>
      </w:pPr>
    </w:p>
    <w:p>
      <w:pPr>
        <w:spacing w:line="560" w:lineRule="exact"/>
        <w:ind w:rightChars="-50" w:right="-120"/>
        <w:jc w:val="center"/>
        <w:rPr>
          <w:rFonts w:eastAsia="方正小标宋简体"/>
          <w:sz w:val="44"/>
          <w:szCs w:val="44"/>
        </w:rPr>
      </w:pPr>
    </w:p>
    <w:p>
      <w:pPr>
        <w:spacing w:line="560" w:lineRule="exact"/>
        <w:ind w:rightChars="-50" w:right="-120"/>
        <w:jc w:val="center"/>
        <w:rPr>
          <w:rFonts w:eastAsia="方正小标宋简体"/>
          <w:sz w:val="44"/>
          <w:szCs w:val="44"/>
        </w:rPr>
      </w:pPr>
    </w:p>
    <w:p>
      <w:pPr>
        <w:pStyle w:val="16"/>
      </w:pPr>
    </w:p>
    <w:p>
      <w:pPr>
        <w:spacing w:line="560" w:lineRule="exact"/>
        <w:ind w:rightChars="-50" w:right="-120"/>
        <w:jc w:val="center"/>
        <w:rPr>
          <w:rFonts w:eastAsia="方正小标宋简体"/>
          <w:sz w:val="44"/>
          <w:szCs w:val="44"/>
        </w:rPr>
      </w:pPr>
      <w:r>
        <w:rPr>
          <w:rFonts w:eastAsia="方正小标宋简体" w:hint="eastAsia"/>
          <w:sz w:val="44"/>
          <w:szCs w:val="44"/>
        </w:rPr>
        <w:t>中共阿坝州委外事工作委员会办公室</w:t>
      </w:r>
    </w:p>
    <w:p>
      <w:pPr>
        <w:spacing w:line="560" w:lineRule="exact"/>
        <w:ind w:rightChars="-50" w:right="-120"/>
        <w:jc w:val="center"/>
        <w:rPr>
          <w:rFonts w:eastAsia="方正小标宋简体"/>
          <w:sz w:val="44"/>
          <w:szCs w:val="44"/>
        </w:rPr>
      </w:pPr>
      <w:r>
        <w:rPr>
          <w:rFonts w:eastAsia="方正小标宋简体"/>
          <w:sz w:val="44"/>
          <w:szCs w:val="44"/>
        </w:rPr>
        <w:t>2023</w:t>
      </w:r>
      <w:r>
        <w:rPr>
          <w:rFonts w:eastAsia="方正小标宋简体" w:hint="eastAsia"/>
          <w:sz w:val="44"/>
          <w:szCs w:val="44"/>
        </w:rPr>
        <w:t>年部门绩效</w:t>
      </w:r>
      <w:r>
        <w:rPr>
          <w:rFonts w:eastAsia="方正小标宋简体"/>
          <w:sz w:val="44"/>
          <w:szCs w:val="44"/>
        </w:rPr>
        <w:t>自评</w:t>
      </w:r>
      <w:r>
        <w:rPr>
          <w:rFonts w:eastAsia="方正小标宋简体" w:hint="eastAsia"/>
          <w:sz w:val="44"/>
          <w:szCs w:val="44"/>
        </w:rPr>
        <w:t>报告</w:t>
      </w:r>
    </w:p>
    <w:p>
      <w:pPr>
        <w:adjustRightInd w:val="0"/>
        <w:snapToGrid w:val="0"/>
        <w:spacing w:line="560" w:lineRule="exact"/>
        <w:ind w:rightChars="-50" w:right="-120" w:firstLine="720"/>
        <w:rPr>
          <w:rFonts w:eastAsia="黑体"/>
          <w:color w:val="000000"/>
        </w:rPr>
      </w:pPr>
    </w:p>
    <w:p>
      <w:pPr>
        <w:spacing w:line="576" w:lineRule="exact"/>
        <w:ind w:firstLineChars="200" w:firstLine="480"/>
        <w:rPr>
          <w:rFonts w:eastAsia="方正仿宋_GBK"/>
        </w:rPr>
      </w:pPr>
      <w:r>
        <w:rPr>
          <w:rFonts w:eastAsia="方正仿宋_GBK" w:hint="eastAsia"/>
        </w:rPr>
        <w:t>州财政局：</w:t>
      </w:r>
    </w:p>
    <w:p>
      <w:pPr>
        <w:spacing w:line="576" w:lineRule="exact"/>
        <w:ind w:firstLineChars="200" w:firstLine="480"/>
        <w:rPr>
          <w:rFonts w:eastAsia="方正仿宋_GBK"/>
        </w:rPr>
      </w:pPr>
      <w:r>
        <w:rPr>
          <w:rFonts w:eastAsia="方正仿宋_GBK" w:hint="eastAsia"/>
        </w:rPr>
        <w:t>按照《阿坝州财政局关于开展</w:t>
      </w:r>
      <w:r>
        <w:rPr>
          <w:rFonts w:eastAsia="方正仿宋_GBK"/>
        </w:rPr>
        <w:t>202</w:t>
      </w:r>
      <w:r>
        <w:rPr>
          <w:rFonts w:eastAsia="方正仿宋_GBK" w:hint="eastAsia"/>
        </w:rPr>
        <w:t>4年财政重点绩效评价工作的通知》（阿州财监绩〔</w:t>
      </w:r>
      <w:r>
        <w:rPr>
          <w:rFonts w:eastAsia="方正仿宋_GBK"/>
        </w:rPr>
        <w:t>202</w:t>
      </w:r>
      <w:r>
        <w:rPr>
          <w:rFonts w:eastAsia="方正仿宋_GBK" w:hint="eastAsia"/>
        </w:rPr>
        <w:t>4〕</w:t>
      </w:r>
      <w:r>
        <w:rPr>
          <w:rFonts w:eastAsia="方正仿宋_GBK"/>
        </w:rPr>
        <w:t>19</w:t>
      </w:r>
      <w:r>
        <w:rPr>
          <w:rFonts w:eastAsia="方正仿宋_GBK" w:hint="eastAsia"/>
        </w:rPr>
        <w:t>号）文件要求，我办高度重视，积极组织对</w:t>
      </w:r>
      <w:r>
        <w:rPr>
          <w:rFonts w:eastAsia="方正仿宋_GBK"/>
        </w:rPr>
        <w:t>2023</w:t>
      </w:r>
      <w:r>
        <w:rPr>
          <w:rFonts w:eastAsia="方正仿宋_GBK" w:hint="eastAsia"/>
        </w:rPr>
        <w:t>年部门整体支出绩效进行自评，现将自评情况报告如下。</w:t>
      </w:r>
    </w:p>
    <w:p>
      <w:pPr>
        <w:spacing w:line="576" w:lineRule="exact"/>
        <w:ind w:firstLineChars="200" w:firstLine="480"/>
        <w:rPr>
          <w:rFonts w:eastAsia="楷体"/>
          <w:b/>
          <w:bCs/>
          <w:color w:val="000000"/>
          <w:lang w:val="zh-CN"/>
        </w:rPr>
      </w:pPr>
      <w:r>
        <w:rPr>
          <w:rFonts w:eastAsia="楷体" w:hint="eastAsia"/>
          <w:b/>
          <w:bCs/>
          <w:color w:val="000000"/>
          <w:lang w:val="zh-CN"/>
        </w:rPr>
        <w:t>一、单位概况</w:t>
      </w:r>
    </w:p>
    <w:p>
      <w:pPr>
        <w:adjustRightInd w:val="0"/>
        <w:snapToGrid w:val="0"/>
        <w:spacing w:line="560" w:lineRule="exact"/>
        <w:ind w:rightChars="-50" w:right="-120" w:firstLine="720"/>
        <w:rPr>
          <w:rFonts w:eastAsia="楷体"/>
          <w:b/>
          <w:bCs/>
          <w:color w:val="000000"/>
          <w:lang w:val="zh-CN"/>
        </w:rPr>
      </w:pPr>
      <w:r>
        <w:rPr>
          <w:rFonts w:eastAsia="楷体" w:hint="eastAsia"/>
          <w:b/>
          <w:bCs/>
          <w:color w:val="000000"/>
          <w:lang w:val="zh-CN"/>
        </w:rPr>
        <w:t>（一）机构组成。</w:t>
      </w:r>
    </w:p>
    <w:p>
      <w:pPr>
        <w:spacing w:line="576" w:lineRule="exact"/>
        <w:ind w:firstLineChars="200" w:firstLine="480"/>
        <w:rPr>
          <w:rFonts w:eastAsia="方正仿宋_GBK"/>
        </w:rPr>
      </w:pPr>
      <w:r>
        <w:rPr>
          <w:rFonts w:eastAsia="方正仿宋_GBK" w:hint="eastAsia"/>
        </w:rPr>
        <w:t>内设三个科室，即综合科、外事科、港澳科。</w:t>
      </w:r>
    </w:p>
    <w:p>
      <w:pPr>
        <w:adjustRightInd w:val="0"/>
        <w:snapToGrid w:val="0"/>
        <w:spacing w:line="560" w:lineRule="exact"/>
        <w:ind w:rightChars="-50" w:right="-120" w:firstLine="720"/>
        <w:rPr>
          <w:rFonts w:eastAsia="楷体"/>
          <w:b/>
          <w:bCs/>
          <w:color w:val="000000"/>
          <w:lang w:val="zh-CN"/>
        </w:rPr>
      </w:pPr>
      <w:r>
        <w:rPr>
          <w:rFonts w:eastAsia="楷体" w:hint="eastAsia"/>
          <w:b/>
          <w:bCs/>
          <w:color w:val="000000"/>
          <w:lang w:val="zh-CN"/>
        </w:rPr>
        <w:t>（二）机构职能。</w:t>
      </w:r>
    </w:p>
    <w:p>
      <w:pPr>
        <w:spacing w:line="576" w:lineRule="exact"/>
        <w:ind w:firstLineChars="200" w:firstLine="480"/>
        <w:rPr>
          <w:rFonts w:eastAsia="方正仿宋_GBK"/>
        </w:rPr>
      </w:pPr>
      <w:r>
        <w:rPr>
          <w:rFonts w:eastAsia="方正仿宋_GBK"/>
          <w:color w:val="000000"/>
        </w:rPr>
        <w:t>根</w:t>
      </w:r>
      <w:r>
        <w:rPr>
          <w:rFonts w:eastAsia="方正仿宋_GBK" w:hint="eastAsia"/>
        </w:rPr>
        <w:t>据州委外办“三定方案”规定，州委外办主要职责是：</w:t>
      </w:r>
    </w:p>
    <w:p>
      <w:pPr>
        <w:spacing w:line="576" w:lineRule="exact"/>
        <w:ind w:firstLineChars="200" w:firstLine="480"/>
        <w:rPr>
          <w:rFonts w:eastAsia="方正仿宋_GBK"/>
        </w:rPr>
      </w:pPr>
      <w:r>
        <w:rPr>
          <w:rFonts w:eastAsia="方正仿宋_GBK" w:hint="eastAsia"/>
        </w:rPr>
        <w:t>1.贯彻执行党和国家的外事、港澳方针政策和法律法规，以及州委、州政府和州委外事工作委员会关于外事、港澳和友协工作的决策部署，并负责监督检查。指导全州外事、港澳和友协工作。围绕推进全州高水平开放、高质量发展和外事、港澳和友协工作开展调查研究，统筹协调全州外事、港澳和友协工作及其重大活动。指导协调各级各部门有序开展</w:t>
      </w:r>
      <w:r>
        <w:rPr>
          <w:rFonts w:eastAsia="方正仿宋_GBK"/>
        </w:rPr>
        <w:t>重大对外交流活动，推动实施“四向拓展、全域开放”战略部署，为州委、州政府决策提出建议。</w:t>
      </w:r>
    </w:p>
    <w:p>
      <w:pPr>
        <w:spacing w:line="576" w:lineRule="exact"/>
        <w:ind w:firstLineChars="200" w:firstLine="480"/>
        <w:rPr>
          <w:rFonts w:eastAsia="方正仿宋_GBK"/>
        </w:rPr>
      </w:pPr>
      <w:r>
        <w:rPr>
          <w:rFonts w:eastAsia="方正仿宋_GBK"/>
        </w:rPr>
        <w:t>2.负责全州重大外事工作的统筹协调、整体谋划、政策研究和督促指导。研究起草全州外事、港澳和友协工作的地方性法规、政府规章草案。负责制定外事、港澳和友协工作规划以及有关政策措施和办法，审核各地、各部门报请州委、州政府审批的涉及外事、港澳和友协工作的文件，审核报批在州举行的国际性会议。负责本系统、本部门依法行政工作。</w:t>
      </w:r>
    </w:p>
    <w:p>
      <w:pPr>
        <w:spacing w:line="576" w:lineRule="exact"/>
        <w:ind w:firstLineChars="200" w:firstLine="480"/>
        <w:rPr>
          <w:rFonts w:eastAsia="方正仿宋_GBK"/>
        </w:rPr>
      </w:pPr>
      <w:r>
        <w:rPr>
          <w:rFonts w:eastAsia="方正仿宋_GBK"/>
        </w:rPr>
        <w:t>3.统筹协调管理全州各部门（单位）与外国驻我国使馆、领馆的交往活动，管理为外国领事馆和国（境）外其他官方机构服务的机构。</w:t>
      </w:r>
    </w:p>
    <w:p>
      <w:pPr>
        <w:spacing w:line="576" w:lineRule="exact"/>
        <w:ind w:firstLineChars="200" w:firstLine="480"/>
        <w:rPr>
          <w:rFonts w:eastAsia="方正仿宋_GBK"/>
        </w:rPr>
      </w:pPr>
      <w:r>
        <w:rPr>
          <w:rFonts w:eastAsia="方正仿宋_GBK"/>
        </w:rPr>
        <w:t>4.负责州委对外党际交流与合作工作。负责以中国共产党名义出访团组的协调工作。负责中共中央对外联络部等中央部门邀请的党宾来州访问工作。</w:t>
      </w:r>
    </w:p>
    <w:p>
      <w:pPr>
        <w:spacing w:line="576" w:lineRule="exact"/>
        <w:ind w:firstLineChars="200" w:firstLine="480"/>
        <w:rPr>
          <w:rFonts w:eastAsia="方正仿宋_GBK"/>
        </w:rPr>
      </w:pPr>
      <w:r>
        <w:rPr>
          <w:rFonts w:eastAsia="方正仿宋_GBK"/>
        </w:rPr>
        <w:t>5.统筹全州民间对外交往工作，统筹全州民间组织参与国际交流协调工作。</w:t>
      </w:r>
    </w:p>
    <w:p>
      <w:pPr>
        <w:spacing w:line="576" w:lineRule="exact"/>
        <w:ind w:firstLineChars="200" w:firstLine="480"/>
        <w:rPr>
          <w:rFonts w:eastAsia="方正仿宋_GBK"/>
        </w:rPr>
      </w:pPr>
      <w:r>
        <w:rPr>
          <w:rFonts w:eastAsia="方正仿宋_GBK"/>
        </w:rPr>
        <w:t>6.综合协调全州因公出国（境）管理工作，按照授权和管理权限，负责相关事宜的审核报批及证件上缴工作。</w:t>
      </w:r>
    </w:p>
    <w:p>
      <w:pPr>
        <w:spacing w:line="576" w:lineRule="exact"/>
        <w:ind w:firstLineChars="200" w:firstLine="480"/>
        <w:rPr>
          <w:rFonts w:eastAsia="方正仿宋_GBK"/>
        </w:rPr>
      </w:pPr>
      <w:r>
        <w:rPr>
          <w:rFonts w:eastAsia="方正仿宋_GBK"/>
        </w:rPr>
        <w:t>7.负责接待来州访问或进行公务活动的国宾和外国驻华外交人员，办理相关礼宾事宜，统筹协调州委、州人大常委会、州人民政府、州政协领导的外事活动，负责办理外国受邀人员来访的审核报批事宜。</w:t>
      </w:r>
    </w:p>
    <w:p>
      <w:pPr>
        <w:spacing w:line="576" w:lineRule="exact"/>
        <w:ind w:firstLineChars="200" w:firstLine="480"/>
        <w:rPr>
          <w:rFonts w:eastAsia="方正仿宋_GBK"/>
        </w:rPr>
      </w:pPr>
      <w:r>
        <w:rPr>
          <w:rFonts w:eastAsia="方正仿宋_GBK"/>
        </w:rPr>
        <w:t>8.负责全州与“一带一路”沿线重点国家交流合作的统筹协调工作。稳步推进我州建立相关国际友好关系工作，负责全州与外国友好城市、友好市州（县）和其他结好单位的交往活动及其相关的报批事宜，为全州企业、事业单位开展对外合作交流提供服务。</w:t>
      </w:r>
    </w:p>
    <w:p>
      <w:pPr>
        <w:spacing w:line="576" w:lineRule="exact"/>
        <w:ind w:firstLineChars="200" w:firstLine="480"/>
        <w:rPr>
          <w:rFonts w:eastAsia="方正仿宋_GBK"/>
        </w:rPr>
      </w:pPr>
      <w:r>
        <w:rPr>
          <w:rFonts w:eastAsia="方正仿宋_GBK"/>
        </w:rPr>
        <w:t>9.统筹协调全州涉藏外事工作，参与协调处理阿坝州机构和人员在海外的领事保护事宜及外国人在州涉案事宜，参与处理全州重大涉外案件和涉外突发应急事件。参与协调境外非政府组织在州活动管理工作。</w:t>
      </w:r>
    </w:p>
    <w:p>
      <w:pPr>
        <w:spacing w:line="576" w:lineRule="exact"/>
        <w:ind w:firstLineChars="200" w:firstLine="480"/>
        <w:rPr>
          <w:rFonts w:eastAsia="方正仿宋_GBK"/>
        </w:rPr>
      </w:pPr>
      <w:r>
        <w:rPr>
          <w:rFonts w:eastAsia="方正仿宋_GBK"/>
        </w:rPr>
        <w:t>10.统筹全州涉港澳事务，负责川港澳合作机制涉及我州的相关事项。统筹协调我州与港澳各界交往事宜。负责全州因公赴港澳人员的任务审核报批工作。负责与港澳特区政府驻川机构的联络交往事宜，参与处理涉港澳应急事件，负责港澳特区政府官员和有关人员公务来州邀请报批及接待工作。</w:t>
      </w:r>
    </w:p>
    <w:p>
      <w:pPr>
        <w:spacing w:line="576" w:lineRule="exact"/>
        <w:ind w:firstLineChars="200" w:firstLine="480"/>
        <w:rPr>
          <w:rFonts w:eastAsia="方正仿宋_GBK"/>
        </w:rPr>
      </w:pPr>
      <w:r>
        <w:rPr>
          <w:rFonts w:eastAsia="方正仿宋_GBK"/>
        </w:rPr>
        <w:t>11.指导全州外事系统的对外宣传工作。负责外国常驻我国新闻机构和来州外国记者在我州采访及外国记者的管理服务工作，负责外事、港澳和友协信息工作。</w:t>
      </w:r>
    </w:p>
    <w:p>
      <w:pPr>
        <w:spacing w:line="576" w:lineRule="exact"/>
        <w:ind w:firstLineChars="200" w:firstLine="480"/>
        <w:rPr>
          <w:rFonts w:eastAsia="方正仿宋_GBK"/>
        </w:rPr>
      </w:pPr>
      <w:r>
        <w:rPr>
          <w:rFonts w:eastAsia="方正仿宋_GBK"/>
        </w:rPr>
        <w:t>12.负责全州外事系统工作人员的教育培训工作，监督检查外事纪律和保密制度的执行情况，协调处理违反外事纪律和保密规定的重大案件。</w:t>
      </w:r>
    </w:p>
    <w:p>
      <w:pPr>
        <w:spacing w:line="576" w:lineRule="exact"/>
        <w:ind w:firstLineChars="200" w:firstLine="480"/>
        <w:rPr>
          <w:rFonts w:eastAsia="方正仿宋_GBK"/>
        </w:rPr>
      </w:pPr>
      <w:r>
        <w:rPr>
          <w:rFonts w:eastAsia="方正仿宋_GBK"/>
        </w:rPr>
        <w:t>13.负责州委外事工作委员会的具体工作。承担有关行政审批事项。</w:t>
      </w:r>
    </w:p>
    <w:p>
      <w:pPr>
        <w:spacing w:line="576" w:lineRule="exact"/>
        <w:ind w:firstLineChars="200" w:firstLine="480"/>
        <w:rPr>
          <w:rFonts w:eastAsia="方正仿宋_GBK"/>
        </w:rPr>
      </w:pPr>
      <w:r>
        <w:rPr>
          <w:rFonts w:eastAsia="方正仿宋_GBK"/>
        </w:rPr>
        <w:t>14.完成州委交办的其他任务。</w:t>
      </w:r>
    </w:p>
    <w:p>
      <w:pPr>
        <w:adjustRightInd w:val="0"/>
        <w:snapToGrid w:val="0"/>
        <w:spacing w:line="560" w:lineRule="exact"/>
        <w:ind w:rightChars="-50" w:right="-120" w:firstLine="720"/>
        <w:rPr>
          <w:rFonts w:eastAsia="楷体"/>
          <w:b/>
          <w:bCs/>
          <w:color w:val="000000"/>
          <w:lang w:val="zh-CN"/>
        </w:rPr>
      </w:pPr>
      <w:r>
        <w:rPr>
          <w:rFonts w:eastAsia="楷体" w:hint="eastAsia"/>
          <w:b/>
          <w:bCs/>
          <w:color w:val="000000"/>
          <w:lang w:val="zh-CN"/>
        </w:rPr>
        <w:t>（三）人员概况。</w:t>
      </w:r>
    </w:p>
    <w:p>
      <w:pPr>
        <w:spacing w:line="560" w:lineRule="exact"/>
        <w:ind w:rightChars="-50" w:right="-120" w:firstLine="480"/>
        <w:rPr>
          <w:rFonts w:eastAsia="方正仿宋_GBK"/>
        </w:rPr>
      </w:pPr>
      <w:r>
        <w:rPr>
          <w:rFonts w:eastAsia="方正仿宋_GBK"/>
          <w:color w:val="000000"/>
        </w:rPr>
        <w:t>根据州委外办“三定方案”，州委外办核行政编制8名，202</w:t>
      </w:r>
      <w:r>
        <w:rPr>
          <w:rFonts w:eastAsia="方正仿宋_GBK" w:hint="eastAsia"/>
          <w:color w:val="000000"/>
        </w:rPr>
        <w:t>3</w:t>
      </w:r>
      <w:r>
        <w:rPr>
          <w:rFonts w:eastAsia="方正仿宋_GBK"/>
          <w:color w:val="000000"/>
        </w:rPr>
        <w:t>年末实有公务员6人、工勤人员2人、退休人员6人。</w:t>
      </w:r>
    </w:p>
    <w:p>
      <w:pPr>
        <w:adjustRightInd w:val="0"/>
        <w:snapToGrid w:val="0"/>
        <w:spacing w:line="560" w:lineRule="exact"/>
        <w:ind w:rightChars="-50" w:right="-120" w:firstLine="720"/>
        <w:rPr>
          <w:rFonts w:eastAsia="楷体"/>
          <w:b/>
          <w:bCs/>
          <w:color w:val="000000"/>
          <w:lang w:val="zh-CN"/>
        </w:rPr>
      </w:pPr>
      <w:r>
        <w:rPr>
          <w:rFonts w:eastAsia="楷体" w:hint="eastAsia"/>
          <w:b/>
          <w:bCs/>
          <w:color w:val="000000"/>
          <w:lang w:val="zh-CN"/>
        </w:rPr>
        <w:t>二、部门财政资金收支情况</w:t>
      </w:r>
    </w:p>
    <w:p>
      <w:pPr>
        <w:adjustRightInd w:val="0"/>
        <w:snapToGrid w:val="0"/>
        <w:spacing w:line="560" w:lineRule="exact"/>
        <w:ind w:rightChars="-50" w:right="-120" w:firstLine="720"/>
        <w:rPr>
          <w:rFonts w:eastAsia="楷体"/>
          <w:b/>
          <w:bCs/>
          <w:color w:val="000000"/>
          <w:lang w:val="zh-CN"/>
        </w:rPr>
      </w:pPr>
      <w:r>
        <w:rPr>
          <w:rFonts w:eastAsia="楷体" w:hint="eastAsia"/>
          <w:b/>
          <w:bCs/>
          <w:color w:val="000000"/>
          <w:lang w:val="zh-CN"/>
        </w:rPr>
        <w:t>（一）部门财政资金收入情况。</w:t>
      </w:r>
    </w:p>
    <w:p>
      <w:pPr>
        <w:adjustRightInd w:val="0"/>
        <w:snapToGrid w:val="0"/>
        <w:spacing w:line="560" w:lineRule="exact"/>
        <w:ind w:rightChars="-50" w:right="-120" w:firstLine="720"/>
        <w:rPr>
          <w:rFonts w:eastAsia="方正仿宋_GBK" w:cs="仿宋_GB2312"/>
          <w:color w:val="000000"/>
        </w:rPr>
      </w:pPr>
      <w:r>
        <w:rPr>
          <w:rFonts w:ascii="仿宋_GB2312" w:cs="仿宋_GB2312" w:hAnsi="仿宋_GB2312" w:hint="eastAsia"/>
          <w:b/>
          <w:bCs/>
          <w:color w:val="000000"/>
        </w:rPr>
        <w:t>2023年部门财政资金收入情况。</w:t>
      </w:r>
      <w:r>
        <w:rPr>
          <w:rFonts w:eastAsia="方正仿宋_GBK" w:cs="仿宋_GB2312" w:hint="eastAsia"/>
          <w:color w:val="000000"/>
        </w:rPr>
        <w:t>2023年收入</w:t>
      </w:r>
      <w:r>
        <w:rPr>
          <w:rFonts w:eastAsia="方正仿宋_GBK" w:cs="仿宋_GB2312"/>
          <w:color w:val="000000"/>
        </w:rPr>
        <w:t>288.94</w:t>
      </w:r>
      <w:r>
        <w:rPr>
          <w:rFonts w:eastAsia="方正仿宋_GBK" w:cs="仿宋_GB2312" w:hint="eastAsia"/>
          <w:color w:val="000000"/>
        </w:rPr>
        <w:t>万元，其中财政拨款收入</w:t>
      </w:r>
      <w:r>
        <w:rPr>
          <w:rFonts w:eastAsia="方正仿宋_GBK" w:cs="仿宋_GB2312"/>
          <w:color w:val="000000"/>
        </w:rPr>
        <w:t>288.94</w:t>
      </w:r>
      <w:r>
        <w:rPr>
          <w:rFonts w:eastAsia="方正仿宋_GBK" w:cs="仿宋_GB2312" w:hint="eastAsia"/>
          <w:color w:val="000000"/>
        </w:rPr>
        <w:t>万元。</w:t>
      </w:r>
    </w:p>
    <w:p>
      <w:pPr>
        <w:adjustRightInd w:val="0"/>
        <w:snapToGrid w:val="0"/>
        <w:spacing w:line="560" w:lineRule="exact"/>
        <w:ind w:rightChars="-50" w:right="-120" w:firstLine="720"/>
        <w:rPr>
          <w:rFonts w:eastAsia="楷体"/>
          <w:b/>
          <w:bCs/>
          <w:color w:val="000000"/>
          <w:lang w:val="zh-CN"/>
        </w:rPr>
      </w:pPr>
      <w:r>
        <w:rPr>
          <w:rFonts w:eastAsia="楷体" w:hint="eastAsia"/>
          <w:b/>
          <w:bCs/>
          <w:color w:val="000000"/>
          <w:lang w:val="zh-CN"/>
        </w:rPr>
        <w:t>（二）部门财政资金支出情况。</w:t>
      </w:r>
    </w:p>
    <w:p>
      <w:pPr>
        <w:adjustRightInd w:val="0"/>
        <w:snapToGrid w:val="0"/>
        <w:spacing w:line="560" w:lineRule="exact"/>
        <w:ind w:rightChars="-50" w:right="-120" w:firstLine="720"/>
        <w:rPr>
          <w:rFonts w:eastAsia="方正仿宋_GBK" w:cs="仿宋_GB2312"/>
          <w:color w:val="000000"/>
        </w:rPr>
      </w:pPr>
      <w:r>
        <w:rPr>
          <w:rFonts w:ascii="仿宋_GB2312" w:cs="仿宋_GB2312" w:hAnsi="仿宋_GB2312" w:hint="eastAsia"/>
          <w:b/>
          <w:bCs/>
        </w:rPr>
        <w:t>2023年财政资金支出情况。</w:t>
      </w:r>
      <w:r>
        <w:rPr>
          <w:rFonts w:ascii="仿宋_GB2312" w:cs="仿宋_GB2312" w:hAnsi="仿宋_GB2312" w:hint="eastAsia"/>
        </w:rPr>
        <w:t>2</w:t>
      </w:r>
      <w:r>
        <w:rPr>
          <w:rFonts w:eastAsia="方正仿宋_GBK" w:cs="仿宋_GB2312" w:hint="eastAsia"/>
          <w:color w:val="000000"/>
        </w:rPr>
        <w:t>023年支出</w:t>
      </w:r>
      <w:r>
        <w:rPr>
          <w:rFonts w:eastAsia="方正仿宋_GBK" w:cs="仿宋_GB2312"/>
          <w:color w:val="000000"/>
        </w:rPr>
        <w:t>288.94</w:t>
      </w:r>
      <w:r>
        <w:rPr>
          <w:rFonts w:eastAsia="方正仿宋_GBK" w:cs="仿宋_GB2312" w:hint="eastAsia"/>
          <w:color w:val="000000"/>
        </w:rPr>
        <w:t>元，其中：工资福利支出204.49万元、商品和服务支出62.39万元、对个人和家庭补助支出22.06万元。</w:t>
      </w:r>
    </w:p>
    <w:p>
      <w:pPr>
        <w:adjustRightInd w:val="0"/>
        <w:snapToGrid w:val="0"/>
        <w:spacing w:line="560" w:lineRule="exact"/>
        <w:ind w:rightChars="-50" w:right="-120" w:firstLine="720"/>
        <w:rPr>
          <w:rFonts w:eastAsia="楷体" w:cs="仿宋_GB2312"/>
          <w:b/>
          <w:bCs/>
          <w:color w:val="000000"/>
          <w:lang w:val="zh-CN"/>
        </w:rPr>
      </w:pPr>
      <w:r>
        <w:rPr>
          <w:rFonts w:eastAsia="楷体" w:cs="仿宋_GB2312" w:hint="eastAsia"/>
          <w:b/>
          <w:bCs/>
          <w:color w:val="000000"/>
          <w:lang w:val="zh-CN"/>
        </w:rPr>
        <w:t>三、部门财政支出管理情况</w:t>
      </w:r>
    </w:p>
    <w:p>
      <w:pPr>
        <w:adjustRightInd w:val="0"/>
        <w:snapToGrid w:val="0"/>
        <w:spacing w:line="560" w:lineRule="exact"/>
        <w:ind w:rightChars="-50" w:right="-120" w:firstLine="720"/>
        <w:rPr>
          <w:rFonts w:eastAsia="楷体"/>
          <w:b/>
          <w:bCs/>
          <w:color w:val="000000"/>
          <w:lang w:val="zh-CN"/>
        </w:rPr>
      </w:pPr>
      <w:r>
        <w:rPr>
          <w:rFonts w:eastAsia="楷体" w:hint="eastAsia"/>
          <w:b/>
          <w:bCs/>
          <w:color w:val="000000"/>
          <w:lang w:val="zh-CN"/>
        </w:rPr>
        <w:t>（一）预算编制情况。</w:t>
      </w:r>
    </w:p>
    <w:p>
      <w:pPr>
        <w:spacing w:line="560" w:lineRule="exact"/>
        <w:ind w:firstLineChars="225" w:firstLine="540"/>
        <w:rPr>
          <w:rFonts w:eastAsia="方正仿宋_GBK" w:cs="仿宋_GB2312"/>
          <w:color w:val="000000"/>
          <w:lang w:val="zh-CN"/>
        </w:rPr>
      </w:pPr>
      <w:r>
        <w:rPr>
          <w:rFonts w:eastAsia="方正仿宋_GBK" w:cs="仿宋_GB2312" w:hint="eastAsia"/>
          <w:color w:val="000000"/>
          <w:lang w:val="zh-CN"/>
        </w:rPr>
        <w:t>我办严格按照《预算法》《阿坝州州级预算绩效目标管理办法》《预算编制通知》等文件要求，完整编制部门整体绩效目标，合理量化项目绩效目标，按时完成基础库、项目库报送工作，特别对外事工作专项经费、对外友协专项工作经费、</w:t>
      </w:r>
      <w:r>
        <w:rPr>
          <w:rFonts w:eastAsia="方正仿宋_GBK" w:cs="仿宋_GB2312" w:hint="eastAsia"/>
          <w:color w:val="000000"/>
        </w:rPr>
        <w:t>涉外使领馆人员和媒体记者管理经费等业务项目的预算资金做到了科学计划，合理安排。对2023年的各项收入及支出作了认真的清理，真实、准确、全面、及时的完成年度预、决算工作。 </w:t>
      </w:r>
    </w:p>
    <w:p>
      <w:pPr>
        <w:adjustRightInd w:val="0"/>
        <w:snapToGrid w:val="0"/>
        <w:spacing w:line="560" w:lineRule="exact"/>
        <w:ind w:rightChars="-50" w:right="-120" w:firstLine="720"/>
        <w:rPr>
          <w:rFonts w:eastAsia="楷体"/>
          <w:b/>
          <w:bCs/>
          <w:color w:val="000000"/>
          <w:lang w:val="zh-CN"/>
        </w:rPr>
      </w:pPr>
      <w:r>
        <w:rPr>
          <w:rFonts w:eastAsia="楷体" w:hint="eastAsia"/>
          <w:b/>
          <w:bCs/>
          <w:color w:val="000000"/>
          <w:lang w:val="zh-CN"/>
        </w:rPr>
        <w:t>（二）执行管理情况。</w:t>
      </w:r>
      <w:r>
        <w:rPr>
          <w:rFonts w:eastAsia="楷体"/>
          <w:b/>
          <w:bCs/>
          <w:color w:val="000000"/>
          <w:lang w:val="zh-CN"/>
        </w:rPr>
        <w:tab/>
      </w:r>
    </w:p>
    <w:p>
      <w:pPr>
        <w:adjustRightInd w:val="0"/>
        <w:snapToGrid w:val="0"/>
        <w:spacing w:line="560" w:lineRule="exact"/>
        <w:ind w:rightChars="-50" w:right="-120" w:firstLine="720"/>
        <w:rPr>
          <w:rFonts w:eastAsia="方正仿宋_GBK"/>
          <w:color w:val="000000"/>
        </w:rPr>
      </w:pPr>
      <w:r>
        <w:rPr>
          <w:rFonts w:eastAsia="方正仿宋_GBK"/>
          <w:lang w:val="zh-CN"/>
        </w:rPr>
        <w:t>我办在分配州级财政专项预算时，严格按照分配时限、预算项目分配资金，做到及时分配、专款专用，</w:t>
      </w:r>
      <w:r>
        <w:rPr>
          <w:rFonts w:eastAsia="方正仿宋_GBK"/>
        </w:rPr>
        <w:t>2023年</w:t>
      </w:r>
      <w:r>
        <w:rPr>
          <w:rFonts w:eastAsia="方正仿宋_GBK"/>
          <w:lang w:val="zh-CN"/>
        </w:rPr>
        <w:t>项目分配合规率达</w:t>
      </w:r>
      <w:r>
        <w:rPr>
          <w:rFonts w:eastAsia="方正仿宋_GBK"/>
        </w:rPr>
        <w:t>100%。在预算执行过程中，严格按照预算目</w:t>
      </w:r>
      <w:r>
        <w:rPr>
          <w:rFonts w:eastAsia="方正仿宋_GBK"/>
          <w:color w:val="000000"/>
        </w:rPr>
        <w:t>标绩效使用资金。</w:t>
      </w:r>
      <w:r>
        <w:rPr>
          <w:rFonts w:eastAsia="方正仿宋_GBK"/>
        </w:rPr>
        <w:t>2023年“三公”经费支出合计78.76万元，其中公务用车购置费59.97万元，公务用车运行维护费14.14万元；公务接待费0.08</w:t>
      </w:r>
      <w:r>
        <w:rPr>
          <w:rFonts w:eastAsia="方正仿宋_GBK" w:hint="eastAsia"/>
        </w:rPr>
        <w:t>万</w:t>
      </w:r>
      <w:r>
        <w:rPr>
          <w:rFonts w:eastAsia="方正仿宋_GBK"/>
        </w:rPr>
        <w:t>元；</w:t>
      </w:r>
      <w:r>
        <w:rPr>
          <w:rFonts w:eastAsia="方正仿宋_GBK" w:hint="eastAsia"/>
        </w:rPr>
        <w:t>因</w:t>
      </w:r>
      <w:r>
        <w:rPr>
          <w:rFonts w:eastAsia="方正仿宋_GBK"/>
        </w:rPr>
        <w:t>公</w:t>
      </w:r>
      <w:r>
        <w:rPr>
          <w:rFonts w:eastAsia="方正仿宋_GBK" w:hint="eastAsia"/>
        </w:rPr>
        <w:t>出国（境）</w:t>
      </w:r>
      <w:r>
        <w:rPr>
          <w:rFonts w:eastAsia="方正仿宋_GBK"/>
        </w:rPr>
        <w:t>费4.57元。</w:t>
      </w:r>
    </w:p>
    <w:p>
      <w:pPr>
        <w:adjustRightInd w:val="0"/>
        <w:snapToGrid w:val="0"/>
        <w:spacing w:line="560" w:lineRule="exact"/>
        <w:ind w:rightChars="-50" w:right="-120" w:firstLine="720"/>
        <w:rPr>
          <w:rFonts w:eastAsia="楷体"/>
          <w:b/>
          <w:bCs/>
          <w:color w:val="000000"/>
          <w:lang w:val="zh-CN"/>
        </w:rPr>
      </w:pPr>
      <w:r>
        <w:rPr>
          <w:rFonts w:eastAsia="楷体" w:hint="eastAsia"/>
          <w:b/>
          <w:bCs/>
          <w:color w:val="000000"/>
          <w:lang w:val="zh-CN"/>
        </w:rPr>
        <w:t>（三）综合管理情况。</w:t>
      </w:r>
    </w:p>
    <w:p>
      <w:pPr>
        <w:adjustRightInd w:val="0"/>
        <w:snapToGrid w:val="0"/>
        <w:spacing w:line="560" w:lineRule="exact"/>
        <w:ind w:rightChars="-50" w:right="-120" w:firstLine="720"/>
        <w:rPr>
          <w:rFonts w:eastAsia="方正仿宋_GBK"/>
          <w:color w:val="000000"/>
        </w:rPr>
      </w:pPr>
      <w:r>
        <w:rPr>
          <w:rFonts w:eastAsia="方正仿宋_GBK" w:hint="eastAsia"/>
          <w:color w:val="000000"/>
        </w:rPr>
        <w:t>在债务管理及非税收入执行情况方面</w:t>
      </w:r>
      <w:r>
        <w:rPr>
          <w:rFonts w:eastAsia="方正仿宋_GBK" w:cs="仿宋_GB2312" w:hint="eastAsia"/>
          <w:color w:val="000000"/>
          <w:lang w:val="zh-CN"/>
        </w:rPr>
        <w:t>，202</w:t>
      </w:r>
      <w:r>
        <w:rPr>
          <w:rFonts w:eastAsia="方正仿宋_GBK" w:cs="仿宋_GB2312" w:hint="eastAsia"/>
          <w:color w:val="000000"/>
        </w:rPr>
        <w:t>3</w:t>
      </w:r>
      <w:r>
        <w:rPr>
          <w:rFonts w:eastAsia="方正仿宋_GBK" w:cs="仿宋_GB2312" w:hint="eastAsia"/>
          <w:color w:val="000000"/>
          <w:lang w:val="zh-CN"/>
        </w:rPr>
        <w:t>年无政府性债务管理、非税收入执收。在政府采购实施计划方面</w:t>
      </w:r>
      <w:r>
        <w:rPr>
          <w:rFonts w:eastAsia="方正仿宋_GBK" w:hint="eastAsia"/>
          <w:color w:val="000000"/>
          <w:lang w:val="zh-CN"/>
        </w:rPr>
        <w:t>，实施计划与政府采购预算、备案计划一致，中期无调整或细化资金。在资产管理方面，安排专人专项管理资产，将所属单位国有资产全额纳入资产系统管理，实时更新系统数据，及时、准确、全面开展资产清查工作，真实、准确、全面上报国有资产报表数据，依法接受财政监督。在内控制度管理方面，内部控制制度健全完整并执行良好。在信息公开方面，严格按照要求对部门预算、决算、绩效信息对社会公开。在绩效评价方面，实施绩效评价项目与</w:t>
      </w:r>
      <w:r>
        <w:rPr>
          <w:rFonts w:eastAsia="方正仿宋_GBK" w:hint="eastAsia"/>
          <w:color w:val="000000"/>
        </w:rPr>
        <w:t>对下级预算单位开展整体绩效评价均做到全</w:t>
      </w:r>
      <w:r>
        <w:rPr>
          <w:rFonts w:eastAsia="方正仿宋_GBK" w:hint="eastAsia"/>
          <w:color w:val="000000"/>
          <w:lang w:val="zh-CN"/>
        </w:rPr>
        <w:t>覆盖</w:t>
      </w:r>
      <w:r>
        <w:rPr>
          <w:rFonts w:eastAsia="方正仿宋_GBK" w:hint="eastAsia"/>
          <w:color w:val="000000"/>
        </w:rPr>
        <w:t>。</w:t>
      </w:r>
    </w:p>
    <w:p>
      <w:pPr>
        <w:adjustRightInd w:val="0"/>
        <w:snapToGrid w:val="0"/>
        <w:spacing w:line="560" w:lineRule="exact"/>
        <w:ind w:rightChars="-50" w:right="-120" w:firstLine="720"/>
        <w:rPr>
          <w:rFonts w:eastAsia="楷体"/>
          <w:b/>
          <w:bCs/>
          <w:color w:val="000000"/>
          <w:lang w:val="zh-CN"/>
        </w:rPr>
      </w:pPr>
      <w:r>
        <w:rPr>
          <w:rFonts w:eastAsia="楷体" w:hint="eastAsia"/>
          <w:b/>
          <w:bCs/>
          <w:color w:val="000000"/>
          <w:lang w:val="zh-CN"/>
        </w:rPr>
        <w:t>（四）整体绩效。</w:t>
      </w:r>
    </w:p>
    <w:p>
      <w:pPr>
        <w:adjustRightInd w:val="0"/>
        <w:snapToGrid w:val="0"/>
        <w:spacing w:line="560" w:lineRule="exact"/>
        <w:ind w:rightChars="-50" w:right="-120" w:firstLine="720"/>
        <w:rPr>
          <w:rFonts w:eastAsia="方正仿宋_GBK"/>
          <w:color w:val="000000"/>
          <w:lang w:val="zh-CN"/>
        </w:rPr>
      </w:pPr>
      <w:r>
        <w:rPr>
          <w:rFonts w:eastAsia="方正仿宋_GBK" w:hint="eastAsia"/>
          <w:color w:val="000000"/>
          <w:lang w:val="zh-CN"/>
        </w:rPr>
        <w:t>从整体情况来看，我室严格按照预算进行部门整体支出，始终坚持先有预算、后有执行、“用钱必问效、无效必问责”的原则。在支出过程中，能严格遵守各项规章制度，尤其是在专项经费支出上，实现专款专用，按项目实施计划的进度情况进行资金拨付，无截留、无挪用等现象。</w:t>
      </w:r>
    </w:p>
    <w:p>
      <w:pPr>
        <w:adjustRightInd w:val="0"/>
        <w:snapToGrid w:val="0"/>
        <w:spacing w:line="560" w:lineRule="exact"/>
        <w:ind w:rightChars="-50" w:right="-120" w:firstLine="720"/>
        <w:rPr>
          <w:rFonts w:eastAsia="方正仿宋_GBK"/>
          <w:color w:val="000000"/>
          <w:lang w:val="zh-CN"/>
        </w:rPr>
      </w:pPr>
      <w:r>
        <w:rPr>
          <w:rFonts w:eastAsia="方正仿宋_GBK" w:hint="eastAsia"/>
          <w:color w:val="000000"/>
        </w:rPr>
        <w:t>四、评价结论及建议</w:t>
      </w:r>
    </w:p>
    <w:p>
      <w:pPr>
        <w:adjustRightInd w:val="0"/>
        <w:snapToGrid w:val="0"/>
        <w:spacing w:line="560" w:lineRule="exact"/>
        <w:ind w:rightChars="-50" w:right="-120" w:firstLine="720"/>
        <w:rPr>
          <w:rFonts w:eastAsia="楷体"/>
          <w:b/>
          <w:bCs/>
          <w:color w:val="000000"/>
          <w:lang w:val="zh-CN"/>
        </w:rPr>
      </w:pPr>
      <w:r>
        <w:rPr>
          <w:rFonts w:eastAsia="楷体" w:hint="eastAsia"/>
          <w:b/>
          <w:bCs/>
          <w:color w:val="000000"/>
          <w:lang w:val="zh-CN"/>
        </w:rPr>
        <w:t>（一）评价结论。</w:t>
      </w:r>
    </w:p>
    <w:p>
      <w:pPr>
        <w:adjustRightInd w:val="0"/>
        <w:snapToGrid w:val="0"/>
        <w:spacing w:line="560" w:lineRule="exact"/>
        <w:ind w:rightChars="-50" w:right="-120" w:firstLine="720"/>
        <w:rPr>
          <w:rFonts w:eastAsia="方正仿宋_GBK"/>
        </w:rPr>
      </w:pPr>
      <w:r>
        <w:rPr>
          <w:rFonts w:eastAsia="方正仿宋_GBK"/>
          <w:lang w:val="zh-CN"/>
        </w:rPr>
        <w:t>2023年，</w:t>
      </w:r>
      <w:r>
        <w:rPr>
          <w:rFonts w:eastAsia="方正仿宋_GBK"/>
          <w:color w:val="000000"/>
        </w:rPr>
        <w:t>认真落实州委外办制定的各项重点工作任务，做好了外事港澳各项工作。一是积极发挥阿坝外事工作特色，不断服务国家总体外交。领团活动展示阿坝形象，守望相助传递阿坝温情。二是有效做实做细外事服务工作，推动经济社会全面发展。因势而动把握有利机遇，借助领事力量提升形象，守正创新谱写交流新篇，强化领保护航海外安全。</w:t>
      </w:r>
      <w:r>
        <w:rPr>
          <w:rFonts w:eastAsia="方正仿宋_GBK"/>
        </w:rPr>
        <w:t>我办严格按照预算法按时完成预决算编制，在预算执行过程中有计划进行资金申报使用，完善资金管理及内部控制制度，确保资金安全，做到帐款、帐帐、帐实相符。</w:t>
      </w:r>
      <w:r>
        <w:rPr>
          <w:rFonts w:eastAsia="方正仿宋_GBK"/>
          <w:lang w:val="zh-CN"/>
        </w:rPr>
        <w:t>通过对预算编制、预算执行、综合管理、整体效益等方面进行全面分析评价，</w:t>
      </w:r>
      <w:r>
        <w:rPr>
          <w:rFonts w:eastAsia="方正仿宋_GBK"/>
        </w:rPr>
        <w:t>2023年部门</w:t>
      </w:r>
      <w:r>
        <w:rPr>
          <w:rFonts w:eastAsia="方正仿宋_GBK"/>
          <w:lang w:val="zh-CN"/>
        </w:rPr>
        <w:t>整体支出绩效</w:t>
      </w:r>
      <w:r>
        <w:rPr>
          <w:rFonts w:eastAsia="方正仿宋_GBK"/>
        </w:rPr>
        <w:t>自评得分为90分。</w:t>
      </w:r>
    </w:p>
    <w:p>
      <w:pPr>
        <w:adjustRightInd w:val="0"/>
        <w:snapToGrid w:val="0"/>
        <w:spacing w:line="560" w:lineRule="exact"/>
        <w:ind w:rightChars="-50" w:right="-120" w:firstLine="720"/>
        <w:rPr>
          <w:rFonts w:eastAsia="楷体"/>
          <w:b/>
          <w:bCs/>
          <w:color w:val="000000"/>
          <w:lang w:val="zh-CN"/>
        </w:rPr>
      </w:pPr>
      <w:r>
        <w:rPr>
          <w:rFonts w:eastAsia="楷体" w:hint="eastAsia"/>
          <w:b/>
          <w:bCs/>
          <w:color w:val="000000"/>
          <w:lang w:val="zh-CN"/>
        </w:rPr>
        <w:t>（二）存在问题。</w:t>
      </w:r>
    </w:p>
    <w:p>
      <w:pPr>
        <w:spacing w:line="560" w:lineRule="exact"/>
        <w:ind w:firstLineChars="225" w:firstLine="540"/>
        <w:rPr>
          <w:rFonts w:eastAsia="方正仿宋_GBK"/>
        </w:rPr>
      </w:pPr>
      <w:r>
        <w:rPr>
          <w:rFonts w:eastAsia="方正仿宋_GBK"/>
        </w:rPr>
        <w:t>州委外办编制部门年度预算，主要是根据本单位职能职责和年度工作计划开展的，但在部门预算执行过程中，仍存在一定的问题。主要是表现在：预算编制科学性和合理性还有待加强；财务人员业务水平有待提高；资金使用计划有待提高；绩效管理水平有待提升。</w:t>
      </w:r>
    </w:p>
    <w:p>
      <w:pPr>
        <w:adjustRightInd w:val="0"/>
        <w:snapToGrid w:val="0"/>
        <w:spacing w:line="560" w:lineRule="exact"/>
        <w:ind w:rightChars="-50" w:right="-120" w:firstLine="720"/>
        <w:rPr>
          <w:rFonts w:ascii="楷体_GB2312" w:eastAsia="楷体_GB2312" w:cs="楷体_GB2312"/>
          <w:b/>
          <w:bCs/>
          <w:color w:val="000000"/>
          <w:lang w:val="zh-CN"/>
        </w:rPr>
      </w:pPr>
      <w:r>
        <w:rPr>
          <w:rFonts w:ascii="楷体_GB2312" w:eastAsia="楷体_GB2312" w:cs="楷体_GB2312"/>
          <w:b/>
          <w:bCs/>
          <w:color w:val="000000"/>
          <w:lang w:val="zh-CN"/>
        </w:rPr>
        <w:t>（三）改进建议</w:t>
      </w:r>
    </w:p>
    <w:p>
      <w:pPr>
        <w:adjustRightInd w:val="0"/>
        <w:snapToGrid w:val="0"/>
        <w:spacing w:line="560" w:lineRule="exact"/>
        <w:ind w:rightChars="-50" w:right="-120" w:firstLine="720"/>
        <w:rPr>
          <w:rFonts w:eastAsia="方正仿宋_GBK"/>
          <w:color w:val="000000"/>
          <w:lang w:val="zh-CN"/>
        </w:rPr>
      </w:pPr>
      <w:r>
        <w:rPr>
          <w:rFonts w:eastAsia="方正仿宋_GBK"/>
          <w:b/>
          <w:bCs/>
          <w:color w:val="000000"/>
        </w:rPr>
        <w:t>1、</w:t>
      </w:r>
      <w:r>
        <w:rPr>
          <w:rFonts w:eastAsia="方正仿宋_GBK"/>
          <w:b/>
          <w:bCs/>
          <w:color w:val="000000"/>
          <w:lang w:val="zh-CN"/>
        </w:rPr>
        <w:t>科学合理编制预算。</w:t>
      </w:r>
      <w:r>
        <w:rPr>
          <w:rFonts w:eastAsia="方正仿宋_GBK"/>
          <w:color w:val="000000"/>
          <w:lang w:val="zh-CN"/>
        </w:rPr>
        <w:t>加强预算编制的前瞻性，按照新《预算法》及其实施条例的相关规定，按政策规定及本部门的发展规划，结合上一年度预算执行情况和本年度预算收支变化因素，提高预算编制的科学性、严谨性和可控性。</w:t>
      </w:r>
    </w:p>
    <w:p>
      <w:pPr>
        <w:adjustRightInd w:val="0"/>
        <w:snapToGrid w:val="0"/>
        <w:spacing w:line="560" w:lineRule="exact"/>
        <w:ind w:rightChars="-50" w:right="-120" w:firstLine="720"/>
        <w:rPr>
          <w:rFonts w:eastAsia="方正仿宋_GBK"/>
          <w:color w:val="000000"/>
          <w:lang w:val="zh-CN"/>
        </w:rPr>
      </w:pPr>
      <w:r>
        <w:rPr>
          <w:rFonts w:eastAsia="方正仿宋_GBK"/>
          <w:b/>
          <w:bCs/>
          <w:color w:val="000000"/>
        </w:rPr>
        <w:t>2、严格执行预算。</w:t>
      </w:r>
      <w:r>
        <w:rPr>
          <w:rFonts w:eastAsia="方正仿宋_GBK"/>
          <w:color w:val="000000"/>
          <w:lang w:val="zh-CN"/>
        </w:rPr>
        <w:t>在预算执行中严格按照预算项目进行，不得随意调整和变更预算，确需调剂预算的，按规定程序报经批准，以确保预算的刚性。</w:t>
      </w:r>
    </w:p>
    <w:p>
      <w:pPr>
        <w:adjustRightInd w:val="0"/>
        <w:snapToGrid w:val="0"/>
        <w:spacing w:line="560" w:lineRule="exact"/>
        <w:ind w:rightChars="-50" w:right="-120" w:firstLine="720"/>
        <w:rPr>
          <w:rFonts w:eastAsia="方正仿宋_GBK"/>
          <w:color w:val="000000"/>
          <w:lang w:val="zh-CN"/>
        </w:rPr>
      </w:pPr>
      <w:r>
        <w:rPr>
          <w:rFonts w:eastAsia="方正仿宋_GBK"/>
          <w:b/>
          <w:bCs/>
          <w:color w:val="000000"/>
        </w:rPr>
        <w:t>3、</w:t>
      </w:r>
      <w:r>
        <w:rPr>
          <w:rFonts w:eastAsia="方正仿宋_GBK"/>
          <w:b/>
          <w:bCs/>
          <w:color w:val="000000"/>
          <w:lang w:val="zh-CN"/>
        </w:rPr>
        <w:t>加强学习培训。</w:t>
      </w:r>
      <w:r>
        <w:rPr>
          <w:rFonts w:eastAsia="方正仿宋_GBK"/>
          <w:color w:val="000000"/>
          <w:lang w:val="zh-CN"/>
        </w:rPr>
        <w:t>加强《预算法》《政府会计制度》等学习培训，规范部门预算收支核算，落实预算执行分析责任，及时了解预算执行差异，合理调整、纠正预算执行偏差，切实提高部门预算收支管理水平。</w:t>
      </w:r>
    </w:p>
    <w:p>
      <w:pPr>
        <w:spacing w:line="576" w:lineRule="exact"/>
        <w:ind w:firstLineChars="200" w:firstLine="480"/>
      </w:pPr>
      <w:r>
        <w:rPr>
          <w:rFonts w:hint="eastAsia"/>
        </w:rPr>
        <w:t>特此报告。</w:t>
      </w:r>
    </w:p>
    <w:p>
      <w:pPr>
        <w:spacing w:line="560" w:lineRule="exact"/>
        <w:ind w:rightChars="-50" w:right="-120"/>
      </w:pPr>
    </w:p>
    <w:p>
      <w:pPr>
        <w:pStyle w:val="16"/>
        <w:spacing w:line="560" w:lineRule="exact"/>
        <w:ind w:rightChars="-50" w:right="-120"/>
        <w:rPr>
          <w:rFonts w:ascii="Times New Roman" w:hAnsi="Times New Roman"/>
        </w:rPr>
      </w:pPr>
    </w:p>
    <w:p>
      <w:pPr>
        <w:pStyle w:val="16"/>
        <w:spacing w:line="560" w:lineRule="exact"/>
        <w:ind w:rightChars="-50" w:right="-120"/>
        <w:rPr>
          <w:rFonts w:ascii="Times New Roman" w:hAnsi="Times New Roman"/>
        </w:rPr>
      </w:pPr>
    </w:p>
    <w:p>
      <w:pPr>
        <w:pStyle w:val="16"/>
        <w:spacing w:line="560" w:lineRule="exact"/>
        <w:ind w:rightChars="-50" w:right="-120"/>
        <w:rPr>
          <w:rFonts w:ascii="Times New Roman" w:hAnsi="Times New Roman"/>
        </w:rPr>
      </w:pPr>
    </w:p>
    <w:p>
      <w:pPr>
        <w:spacing w:line="576" w:lineRule="exact"/>
        <w:ind w:firstLineChars="600" w:firstLine="1440"/>
      </w:pPr>
      <w:r>
        <w:t>中共阿坝州委外事工作委员会办公室</w:t>
      </w:r>
    </w:p>
    <w:p>
      <w:pPr>
        <w:pStyle w:val="16"/>
        <w:spacing w:line="560" w:lineRule="exact"/>
        <w:ind w:rightChars="-50" w:right="-120"/>
        <w:rPr>
          <w:rFonts w:ascii="Times New Roman" w:hAnsi="Times New Roman"/>
        </w:rPr>
      </w:pPr>
      <w:r>
        <w:rPr>
          <w:rFonts w:ascii="仿宋_GB2312" w:cs="仿宋_GB2312" w:hint="eastAsia"/>
        </w:rPr>
        <w:t xml:space="preserve">                     2024年</w:t>
      </w:r>
      <w:r>
        <w:rPr>
          <w:rFonts w:ascii="仿宋_GB2312" w:cs="仿宋_GB2312"/>
        </w:rPr>
        <w:t>9</w:t>
      </w:r>
      <w:r>
        <w:rPr>
          <w:rFonts w:ascii="仿宋_GB2312" w:cs="仿宋_GB2312" w:hint="eastAsia"/>
        </w:rPr>
        <w:t>月</w:t>
      </w:r>
      <w:r>
        <w:rPr>
          <w:rFonts w:ascii="AR PL UKai CN" w:cs="仿宋_GB2312" w:hAnsi="AR PL UKai CN"/>
        </w:rPr>
        <w:t>10</w:t>
      </w:r>
      <w:r>
        <w:rPr>
          <w:rFonts w:ascii="仿宋_GB2312" w:cs="仿宋_GB2312" w:hint="eastAsia"/>
        </w:rPr>
        <w:t>日</w:t>
      </w:r>
    </w:p>
    <w:p>
      <w:pPr>
        <w:pStyle w:val="20"/>
        <w:shd w:val="clear" w:color="auto" w:fill="FFFFFF"/>
        <w:jc w:val="both"/>
        <w:rPr>
          <w:sz w:val="32"/>
          <w:szCs w:val="32"/>
        </w:rPr>
      </w:pPr>
    </w:p>
    <w:sectPr>
      <w:pgSz w:w="11907" w:h="16840"/>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AR PL UKai CN"/>
    <w:panose1 w:val="02010601030101010101"/>
    <w:charset w:val="86"/>
    <w:family w:val="auto"/>
    <w:pitch w:val="variable"/>
    <w:sig w:usb0="00000001" w:usb1="080E0000" w:usb2="00000010" w:usb3="00000000" w:csb0="00040000" w:csb1="00000000"/>
  </w:font>
  <w:font w:name="仿宋_GB2312">
    <w:altName w:val="永中仿宋"/>
    <w:panose1 w:val="02010609030101010101"/>
    <w:charset w:val="86"/>
    <w:family w:val="modern"/>
    <w:pitch w:val="variable"/>
    <w:sig w:usb0="00000001" w:usb1="080E0000" w:usb2="00000010" w:usb3="00000000" w:csb0="00040000" w:csb1="00000000"/>
  </w:font>
  <w:font w:name="Times New Roman">
    <w:altName w:val="DejaVu Sans"/>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variable"/>
    <w:sig w:usb0="00000001" w:usb1="080E0000" w:usb2="00000010" w:usb3="00000000" w:csb0="00040000" w:csb1="00000000"/>
  </w:font>
  <w:font w:name="AR PL UKai CN">
    <w:altName w:val="宋体"/>
    <w:panose1 w:val="00000000000000000000"/>
    <w:charset w:val="86"/>
    <w:family w:val="script"/>
    <w:pitch w:val="variable"/>
    <w:sig w:usb0="00000000" w:usb1="3ACFFDFF" w:usb2="00000036" w:usb3="00000000" w:csb0="2016009F" w:csb1="DFD70000"/>
  </w:font>
  <w:font w:name="黑体">
    <w:altName w:val="AR PL UKai CN"/>
    <w:panose1 w:val="02010609060101010101"/>
    <w:charset w:val="86"/>
    <w:family w:val="modern"/>
    <w:pitch w:val="variable"/>
    <w:sig w:usb0="800002BF" w:usb1="38CF7CFA" w:usb2="00000016" w:usb3="00000000" w:csb0="00040001" w:csb1="00000000"/>
  </w:font>
  <w:font w:name="楷体">
    <w:altName w:val="永中楷体"/>
    <w:panose1 w:val="02010609060101010101"/>
    <w:charset w:val="86"/>
    <w:family w:val="modern"/>
    <w:pitch w:val="variable"/>
    <w:sig w:usb0="800002BF" w:usb1="38CF7CFA" w:usb2="00000016" w:usb3="00000000" w:csb0="00040001" w:csb1="00000000"/>
  </w:font>
  <w:font w:name="楷体_GB2312">
    <w:altName w:val="永中楷体"/>
    <w:panose1 w:val="02010609030101010101"/>
    <w:charset w:val="86"/>
    <w:family w:val="modern"/>
    <w:pitch w:val="variable"/>
    <w:sig w:usb0="00000001" w:usb1="080E0000" w:usb2="00000010" w:usb3="00000000" w:csb0="00040000" w:csb1="00000000"/>
  </w:font>
  <w:font w:name="宋体">
    <w:altName w:val="AR PL UKai C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10002FF" w:usb1="4000ACFF" w:usb2="00000009" w:usb3="00000000" w:csb0="0000019F" w:csb1="00000000"/>
  </w:font>
  <w:font w:name="仿宋">
    <w:altName w:val="永中仿宋"/>
    <w:panose1 w:val="02010609060101010101"/>
    <w:charset w:val="86"/>
    <w:family w:val="modern"/>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ocumentProtection w:edit="readOnly" w:enforcement="0"/>
  <w:defaultTabStop w:val="420"/>
  <w:drawingGridHorizontalSpacing w:val="120"/>
  <w:drawingGridVerticalSpacing w:val="163"/>
  <w:displayHorizontalDrawingGridEvery w:val="0"/>
  <w:displayVerticalDrawingGridEvery w:val="1"/>
  <w:noPunctuationKerning/>
  <w:compat>
    <w:spaceForUL/>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宋体" w:eastAsia="宋体" w:cs="宋体"/>
      <w:sz w:val="24"/>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Salutation"/>
    <w:basedOn w:val="0"/>
    <w:next w:val="0"/>
    <w:pPr>
      <w:widowControl w:val="0"/>
      <w:jc w:val="both"/>
    </w:pPr>
    <w:rPr>
      <w:rFonts w:ascii="Calibri" w:cs="Calibri" w:hAnsi="Calibri"/>
      <w:kern w:val="2"/>
      <w:sz w:val="21"/>
      <w:szCs w:val="21"/>
    </w:rPr>
  </w:style>
  <w:style w:type="paragraph" w:styleId="16">
    <w:name w:val="Body Text"/>
    <w:next w:val="17"/>
    <w:pPr>
      <w:widowControl w:val="0"/>
      <w:autoSpaceDE w:val="0"/>
      <w:autoSpaceDN w:val="0"/>
      <w:adjustRightInd w:val="0"/>
      <w:snapToGrid w:val="0"/>
      <w:spacing w:line="588" w:lineRule="atLeast"/>
      <w:jc w:val="both"/>
    </w:pPr>
    <w:rPr>
      <w:rFonts w:ascii="宋体" w:eastAsia="仿宋_GB2312" w:cs="Times New Roman" w:hAnsi="宋体"/>
      <w:spacing w:val="-2"/>
      <w:kern w:val="2"/>
      <w:sz w:val="32"/>
      <w:szCs w:val="24"/>
      <w:lang w:val="en-US" w:eastAsia="zh-CN" w:bidi="ar-SA"/>
    </w:rPr>
  </w:style>
  <w:style w:type="paragraph" w:styleId="17">
    <w:name w:val="footer"/>
    <w:basedOn w:val="0"/>
    <w:pPr>
      <w:tabs>
        <w:tab w:val="center" w:pos="4153"/>
        <w:tab w:val="right" w:pos="8306"/>
      </w:tabs>
      <w:snapToGrid w:val="0"/>
    </w:pPr>
    <w:rPr>
      <w:sz w:val="18"/>
      <w:szCs w:val="18"/>
    </w:rPr>
  </w:style>
  <w:style w:type="paragraph" w:styleId="18">
    <w:name w:val="Balloon Text"/>
    <w:basedOn w:val="0"/>
    <w:rPr>
      <w:sz w:val="18"/>
      <w:szCs w:val="18"/>
    </w:rPr>
  </w:style>
  <w:style w:type="paragraph" w:styleId="19">
    <w:name w:val="header"/>
    <w:basedOn w:val="0"/>
    <w:pPr>
      <w:pBdr>
        <w:bottom w:val="single" w:sz="6" w:space="1" w:color="auto"/>
      </w:pBdr>
      <w:tabs>
        <w:tab w:val="center" w:pos="4153"/>
        <w:tab w:val="right" w:pos="8306"/>
      </w:tabs>
      <w:snapToGrid w:val="0"/>
      <w:jc w:val="center"/>
    </w:pPr>
    <w:rPr>
      <w:sz w:val="18"/>
      <w:szCs w:val="18"/>
    </w:rPr>
  </w:style>
  <w:style w:type="paragraph" w:styleId="20">
    <w:name w:val="Normal (Web)"/>
    <w:basedOn w:val="0"/>
    <w:pPr>
      <w:spacing w:before="100" w:beforeAutospacing="1" w:after="100" w:afterAutospacing="1"/>
    </w:pPr>
  </w:style>
  <w:style w:type="character" w:styleId="21">
    <w:name w:val="Strong"/>
    <w:basedOn w:val="10"/>
    <w:rPr>
      <w:b/>
      <w:bCs/>
    </w:rPr>
  </w:style>
  <w:style w:type="paragraph" w:styleId="22">
    <w:name w:val="List Paragraph"/>
    <w:basedOn w:val="0"/>
    <w:pPr>
      <w:ind w:firstLineChars="200" w:firstLine="200"/>
    </w:pPr>
  </w:style>
  <w:style w:type="paragraph" w:customStyle="1" w:styleId="23">
    <w:name w:val="Default"/>
    <w:pPr>
      <w:widowControl w:val="0"/>
      <w:autoSpaceDE w:val="0"/>
      <w:autoSpaceDN w:val="0"/>
      <w:adjustRightInd w:val="0"/>
    </w:pPr>
    <w:rPr>
      <w:rFonts w:ascii="仿宋"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2.png"/><Relationship Id="rId3" Type="http://schemas.openxmlformats.org/officeDocument/2006/relationships/image" Target="media/5.png"/><Relationship Id="rId4" Type="http://schemas.openxmlformats.org/officeDocument/2006/relationships/image" Target="media/8.png"/><Relationship Id="rId5" Type="http://schemas.openxmlformats.org/officeDocument/2006/relationships/chart" Target="charts/chart1.xml"/><Relationship Id="rId6" Type="http://schemas.openxmlformats.org/officeDocument/2006/relationships/chart" Target="charts/chart2.xml"/><Relationship Id="rId7" Type="http://schemas.openxmlformats.org/officeDocument/2006/relationships/image" Target="media/13.png"/><Relationship Id="rId8" Type="http://schemas.openxmlformats.org/officeDocument/2006/relationships/chart" Target="charts/chart3.xml"/><Relationship Id="rId9" Type="http://schemas.openxmlformats.org/officeDocument/2006/relationships/styles" Target="styles.xml"/><Relationship Id="rId1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AR PL UKai CN"/>
                <a:ea typeface="AR PL UKai CN"/>
                <a:cs typeface="Lucida Sans"/>
              </a:defRPr>
            </a:pPr>
            <a:r>
              <a:rPr lang="zh-CN"/>
              <a:t>财政拨款收、支决算总计变动情况</a:t>
            </a:r>
          </a:p>
        </c:rich>
      </c:tx>
      <c:layout/>
      <c:overlay val="0"/>
      <c:spPr>
        <a:ln>
          <a:noFill/>
        </a:ln>
      </c:spPr>
    </c:title>
    <c:autoTitleDeleted val="1"/>
    <c:plotArea>
      <c:layout/>
      <c:barChart>
        <c:barDir val="col"/>
        <c:grouping val="clustered"/>
        <c:varyColors val="0"/>
        <c:ser>
          <c:idx val="0"/>
          <c:order val="0"/>
          <c:tx>
            <c:strRef>
              <c:f>'Sheet1 (4)'!$B$1</c:f>
              <c:strCache>
                <c:ptCount val="1"/>
                <c:pt idx="0">
                  <c:v>财政拨款收、支决算总计变动情况</c:v>
                </c:pt>
              </c:strCache>
            </c:strRef>
          </c:tx>
          <c:spPr>
            <a:solidFill>
              <a:srgbClr val="4F81BD"/>
            </a:solidFill>
            <a:ln>
              <a:noFill/>
            </a:ln>
          </c:spPr>
          <c:invertIfNegative val="0"/>
          <c:dLbls>
            <c:txPr>
              <a:bodyPr/>
              <a:lstStyle/>
              <a:p>
                <a:pPr>
                  <a:defRPr sz="1000" b="0" i="0" u="none" strike="noStrike" baseline="0">
                    <a:solidFill>
                      <a:srgbClr val="000000"/>
                    </a:solidFill>
                    <a:latin typeface="AR PL UKai CN"/>
                    <a:ea typeface="AR PL UKai CN"/>
                    <a:cs typeface="Lucida Sans"/>
                  </a:defRPr>
                </a:pPr>
                <a:endParaRPr lang="zh-CN"/>
              </a:p>
            </c:txPr>
            <c:numFmt formatCode="General" sourceLinked="1"/>
            <c:showLegendKey val="0"/>
            <c:showVal val="1"/>
            <c:showCatName val="0"/>
            <c:showSerName val="0"/>
            <c:showPercent val="0"/>
            <c:showBubbleSize val="0"/>
            <c:showLeaderLines val="0"/>
          </c:dLbls>
          <c:cat>
            <c:strRef>
              <c:f>'Sheet1 (4)'!$A$2:$A$3</c:f>
              <c:strCache>
                <c:ptCount val="2"/>
                <c:pt idx="0">
                  <c:v>2022年财政拨款收支情况</c:v>
                </c:pt>
                <c:pt idx="1">
                  <c:v>2023年财政拨款收支情况</c:v>
                </c:pt>
              </c:strCache>
            </c:strRef>
          </c:cat>
          <c:val>
            <c:numRef>
              <c:f>'Sheet1 (4)'!$B$2:$B$3</c:f>
              <c:numCache>
                <c:formatCode>General</c:formatCode>
                <c:ptCount val="2"/>
                <c:pt idx="0">
                  <c:v>276.64</c:v>
                </c:pt>
                <c:pt idx="1">
                  <c:v>381.26</c:v>
                </c:pt>
              </c:numCache>
            </c:numRef>
          </c:val>
        </c:ser>
        <c:gapWidth val="150"/>
        <c:axId val="0"/>
        <c:axId val="1"/>
      </c:barChart>
      <c:catAx>
        <c:axId val="0"/>
        <c:scaling>
          <c:orientation val="minMax"/>
        </c:scaling>
        <c:delete val="0"/>
        <c:axPos val="b"/>
        <c:numFmt formatCode="General" sourceLinked="1"/>
        <c:majorTickMark val="out"/>
        <c:minorTickMark val="none"/>
        <c:tickLblPos val="nextTo"/>
        <c:txPr>
          <a:bodyPr/>
          <a:lstStyle/>
          <a:p>
            <a:pPr>
              <a:defRPr sz="1000" b="0" i="0" u="none" strike="noStrike" baseline="0">
                <a:solidFill>
                  <a:srgbClr val="000000"/>
                </a:solidFill>
                <a:latin typeface="AR PL UKai CN"/>
                <a:ea typeface="AR PL UKai CN"/>
                <a:cs typeface="Lucida Sans"/>
              </a:defRPr>
            </a:pPr>
            <a:endParaRPr lang="zh-CN"/>
          </a:p>
        </c:txPr>
        <c:crosses val="autoZero"/>
        <c:auto val="1"/>
        <c:lblOffset val="100"/>
        <c:lblAlgn val="ctr"/>
        <c:noMultiLvlLbl val="0"/>
        <c:crossAx val="1"/>
      </c:catAx>
      <c:valAx>
        <c:axId val="1"/>
        <c:scaling>
          <c:orientation val="minMax"/>
        </c:scaling>
        <c:delete val="0"/>
        <c:axPos val="l"/>
        <c:majorGridlines/>
        <c:numFmt formatCode="General" sourceLinked="1"/>
        <c:majorTickMark val="out"/>
        <c:minorTickMark val="none"/>
        <c:tickLblPos val="nextTo"/>
        <c:txPr>
          <a:bodyPr/>
          <a:lstStyle/>
          <a:p>
            <a:pPr>
              <a:defRPr sz="1000" b="0" i="0" u="none" strike="noStrike" baseline="0">
                <a:solidFill>
                  <a:srgbClr val="000000"/>
                </a:solidFill>
                <a:latin typeface="AR PL UKai CN"/>
                <a:ea typeface="AR PL UKai CN"/>
                <a:cs typeface="Lucida Sans"/>
              </a:defRPr>
            </a:pPr>
            <a:endParaRPr lang="zh-CN"/>
          </a:p>
        </c:txPr>
        <c:crossesAt val="1.0"/>
        <c:crossBetween val="between"/>
        <c:crossAx val="0"/>
      </c:valAx>
      <c:spPr>
        <a:solidFill>
          <a:srgbClr val="FFFFFF"/>
        </a:solidFill>
      </c:spPr>
    </c:plotArea>
    <c:plotVisOnly val="1"/>
    <c:dispBlanksAs val="gap"/>
    <c:showDLblsOverMax val="0"/>
  </c:chart>
  <c:spPr/>
  <c:txPr>
    <a:bodyPr/>
    <a:lstStyle/>
    <a:p>
      <a:pPr>
        <a:defRPr sz="1000" b="0" i="0" u="none" strike="noStrike" baseline="0">
          <a:solidFill>
            <a:srgbClr val="000000"/>
          </a:solidFill>
          <a:latin typeface="AR PL UKai CN"/>
          <a:ea typeface="AR PL UKai CN"/>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AR PL UKai CN"/>
                <a:ea typeface="AR PL UKai CN"/>
                <a:cs typeface="Lucida Sans"/>
              </a:defRPr>
            </a:pPr>
            <a:r>
              <a:rPr lang="zh-CN"/>
              <a:t>一般公共预算财政拨款支出决算变动情况</a:t>
            </a:r>
          </a:p>
        </c:rich>
      </c:tx>
      <c:layout/>
      <c:overlay val="0"/>
      <c:spPr>
        <a:ln>
          <a:noFill/>
        </a:ln>
      </c:spPr>
    </c:title>
    <c:autoTitleDeleted val="1"/>
    <c:plotArea>
      <c:layout/>
      <c:barChart>
        <c:barDir val="col"/>
        <c:grouping val="clustered"/>
        <c:varyColors val="0"/>
        <c:ser>
          <c:idx val="0"/>
          <c:order val="0"/>
          <c:tx>
            <c:strRef>
              <c:f>'Sheet1 (5)'!$B$1</c:f>
              <c:strCache>
                <c:ptCount val="1"/>
                <c:pt idx="0">
                  <c:v>财政拨款收、支决算总计变动情况</c:v>
                </c:pt>
              </c:strCache>
            </c:strRef>
          </c:tx>
          <c:spPr>
            <a:solidFill>
              <a:srgbClr val="4F81BD"/>
            </a:solidFill>
            <a:ln>
              <a:noFill/>
            </a:ln>
          </c:spPr>
          <c:invertIfNegative val="0"/>
          <c:dLbls>
            <c:txPr>
              <a:bodyPr/>
              <a:lstStyle/>
              <a:p>
                <a:pPr>
                  <a:defRPr sz="1000" b="0" i="0" u="none" strike="noStrike" baseline="0">
                    <a:solidFill>
                      <a:srgbClr val="000000"/>
                    </a:solidFill>
                    <a:latin typeface="AR PL UKai CN"/>
                    <a:ea typeface="AR PL UKai CN"/>
                    <a:cs typeface="Lucida Sans"/>
                  </a:defRPr>
                </a:pPr>
                <a:endParaRPr lang="zh-CN"/>
              </a:p>
            </c:txPr>
            <c:numFmt formatCode="General" sourceLinked="1"/>
            <c:showLegendKey val="0"/>
            <c:showVal val="1"/>
            <c:showCatName val="0"/>
            <c:showSerName val="0"/>
            <c:showPercent val="0"/>
            <c:showBubbleSize val="0"/>
            <c:showLeaderLines val="0"/>
          </c:dLbls>
          <c:cat>
            <c:strRef>
              <c:f>'Sheet1 (5)'!$A$2:$A$3</c:f>
              <c:strCache>
                <c:ptCount val="2"/>
                <c:pt idx="0">
                  <c:v>2022年一般公共预算财政拨款支出</c:v>
                </c:pt>
                <c:pt idx="1">
                  <c:v>2023年一般公共预算财政拨款支出</c:v>
                </c:pt>
              </c:strCache>
            </c:strRef>
          </c:cat>
          <c:val>
            <c:numRef>
              <c:f>'Sheet1 (5)'!$B$2:$B$3</c:f>
              <c:numCache>
                <c:formatCode>General</c:formatCode>
                <c:ptCount val="2"/>
                <c:pt idx="0">
                  <c:v>276.64</c:v>
                </c:pt>
                <c:pt idx="1">
                  <c:v>381.16</c:v>
                </c:pt>
              </c:numCache>
            </c:numRef>
          </c:val>
        </c:ser>
        <c:gapWidth val="150"/>
        <c:axId val="0"/>
        <c:axId val="1"/>
      </c:barChart>
      <c:catAx>
        <c:axId val="0"/>
        <c:scaling>
          <c:orientation val="minMax"/>
        </c:scaling>
        <c:delete val="0"/>
        <c:axPos val="b"/>
        <c:numFmt formatCode="General" sourceLinked="1"/>
        <c:majorTickMark val="out"/>
        <c:minorTickMark val="none"/>
        <c:tickLblPos val="nextTo"/>
        <c:txPr>
          <a:bodyPr/>
          <a:lstStyle/>
          <a:p>
            <a:pPr>
              <a:defRPr sz="1000" b="0" i="0" u="none" strike="noStrike" baseline="0">
                <a:solidFill>
                  <a:srgbClr val="000000"/>
                </a:solidFill>
                <a:latin typeface="AR PL UKai CN"/>
                <a:ea typeface="AR PL UKai CN"/>
                <a:cs typeface="Lucida Sans"/>
              </a:defRPr>
            </a:pPr>
            <a:endParaRPr lang="zh-CN"/>
          </a:p>
        </c:txPr>
        <c:crosses val="autoZero"/>
        <c:auto val="1"/>
        <c:lblOffset val="100"/>
        <c:lblAlgn val="ctr"/>
        <c:noMultiLvlLbl val="0"/>
        <c:crossAx val="1"/>
      </c:catAx>
      <c:valAx>
        <c:axId val="1"/>
        <c:scaling>
          <c:orientation val="minMax"/>
        </c:scaling>
        <c:delete val="0"/>
        <c:axPos val="l"/>
        <c:majorGridlines/>
        <c:numFmt formatCode="General" sourceLinked="1"/>
        <c:majorTickMark val="out"/>
        <c:minorTickMark val="none"/>
        <c:tickLblPos val="nextTo"/>
        <c:txPr>
          <a:bodyPr/>
          <a:lstStyle/>
          <a:p>
            <a:pPr>
              <a:defRPr sz="1000" b="0" i="0" u="none" strike="noStrike" baseline="0">
                <a:solidFill>
                  <a:srgbClr val="000000"/>
                </a:solidFill>
                <a:latin typeface="AR PL UKai CN"/>
                <a:ea typeface="AR PL UKai CN"/>
                <a:cs typeface="Lucida Sans"/>
              </a:defRPr>
            </a:pPr>
            <a:endParaRPr lang="zh-CN"/>
          </a:p>
        </c:txPr>
        <c:crossesAt val="1.0"/>
        <c:crossBetween val="between"/>
        <c:crossAx val="0"/>
      </c:valAx>
      <c:spPr>
        <a:solidFill>
          <a:srgbClr val="FFFFFF"/>
        </a:solidFill>
      </c:spPr>
    </c:plotArea>
    <c:plotVisOnly val="1"/>
    <c:dispBlanksAs val="gap"/>
    <c:showDLblsOverMax val="0"/>
  </c:chart>
  <c:spPr/>
  <c:txPr>
    <a:bodyPr/>
    <a:lstStyle/>
    <a:p>
      <a:pPr>
        <a:defRPr sz="1000" b="0" i="0" u="none" strike="noStrike" baseline="0">
          <a:solidFill>
            <a:srgbClr val="000000"/>
          </a:solidFill>
          <a:latin typeface="AR PL UKai CN"/>
          <a:ea typeface="AR PL UKai CN"/>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44546A"/>
                </a:solidFill>
                <a:latin typeface="方正书宋_GBK"/>
                <a:ea typeface="方正书宋_GBK"/>
                <a:cs typeface="Lucida Sans"/>
              </a:defRPr>
            </a:pPr>
            <a:r>
              <a:rPr lang="zh-CN"/>
              <a:t>三公”经费财政拨款支出决算具体情况</a:t>
            </a:r>
          </a:p>
        </c:rich>
      </c:tx>
      <c:layout>
        <c:manualLayout>
          <c:xMode val="edge"/>
          <c:yMode val="edge"/>
          <c:x val="0.20347394"/>
          <c:y val="0.118863046"/>
        </c:manualLayout>
      </c:layout>
      <c:overlay val="0"/>
      <c:spPr>
        <a:ln>
          <a:noFill/>
        </a:ln>
      </c:spPr>
    </c:title>
    <c:autoTitleDeleted val="1"/>
    <c:plotArea>
      <c:layout/>
      <c:pieChart>
        <c:varyColors val="1"/>
        <c:ser>
          <c:idx val="0"/>
          <c:order val="0"/>
          <c:tx>
            <c:strRef>
              <c:f>'工作表465537'!$A$2</c:f>
              <c:strCache>
                <c:ptCount val="1"/>
                <c:pt idx="0">
                  <c:v>三公”经费财政拨款支出决算具体情况</c:v>
                </c:pt>
              </c:strCache>
            </c:strRef>
          </c:tx>
          <c:spPr>
            <a:ln>
              <a:noFill/>
            </a:ln>
          </c:spPr>
          <c:dPt>
            <c:idx val="0"/>
            <c:bubble3D val="0"/>
            <c:spPr>
              <a:gradFill rotWithShape="0">
                <a:gsLst>
                  <a:gs pos="0">
                    <a:srgbClr val="6EA9E0"/>
                  </a:gs>
                  <a:gs pos="100000">
                    <a:srgbClr val="418FD7"/>
                  </a:gs>
                </a:gsLst>
                <a:lin ang="5400000" scaled="1"/>
              </a:gradFill>
              <a:ln>
                <a:noFill/>
              </a:ln>
            </c:spPr>
          </c:dPt>
          <c:dPt>
            <c:idx val="1"/>
            <c:bubble3D val="0"/>
            <c:spPr>
              <a:gradFill rotWithShape="0">
                <a:gsLst>
                  <a:gs pos="0">
                    <a:srgbClr val="F88E48"/>
                  </a:gs>
                  <a:gs pos="100000">
                    <a:srgbClr val="F56C11"/>
                  </a:gs>
                </a:gsLst>
                <a:lin ang="5400000" scaled="1"/>
              </a:gradFill>
              <a:ln>
                <a:noFill/>
              </a:ln>
            </c:spPr>
          </c:dPt>
          <c:dPt>
            <c:idx val="2"/>
            <c:bubble3D val="0"/>
            <c:spPr>
              <a:gradFill rotWithShape="0">
                <a:gsLst>
                  <a:gs pos="0">
                    <a:srgbClr val="B2B2B2"/>
                  </a:gs>
                  <a:gs pos="100000">
                    <a:srgbClr val="999999"/>
                  </a:gs>
                </a:gsLst>
                <a:lin ang="5400000" scaled="1"/>
              </a:gradFill>
              <a:ln>
                <a:noFill/>
              </a:ln>
            </c:spPr>
          </c:dPt>
          <c:dLbls>
            <c:spPr>
              <a:noFill/>
              <a:ln>
                <a:noFill/>
              </a:ln>
            </c:spPr>
            <c:txPr>
              <a:bodyPr/>
              <a:lstStyle/>
              <a:p>
                <a:pPr>
                  <a:defRPr sz="900" b="0" i="0" u="none" strike="noStrike" baseline="0">
                    <a:solidFill>
                      <a:srgbClr val="333F4F"/>
                    </a:solidFill>
                    <a:latin typeface="AR PL UKai CN"/>
                    <a:ea typeface="AR PL UKai CN"/>
                    <a:cs typeface="Lucida Sans"/>
                  </a:defRPr>
                </a:pPr>
                <a:endParaRPr lang="zh-CN"/>
              </a:p>
            </c:txPr>
            <c:numFmt formatCode="0%" sourceLinked="0"/>
            <c:dLbl>
              <c:idx val="0"/>
              <c:layout>
                <c:manualLayout>
                  <c:x val="-0.03732421"/>
                  <c:y val="0.20930232"/>
                </c:manualLayout>
              </c:layout>
              <c:spPr>
                <a:noFill/>
                <a:ln>
                  <a:noFill/>
                </a:ln>
              </c:spPr>
              <c:txPr>
                <a:bodyPr/>
                <a:lstStyle/>
                <a:p>
                  <a:pPr>
                    <a:defRPr sz="900" b="0" i="0" u="none" strike="noStrike" baseline="0">
                      <a:solidFill>
                        <a:srgbClr val="333F4F"/>
                      </a:solidFill>
                      <a:latin typeface="AR PL UKai CN"/>
                      <a:ea typeface="AR PL UKai CN"/>
                      <a:cs typeface="Lucida Sans"/>
                    </a:defRPr>
                  </a:pPr>
                  <a:endParaRPr lang="zh-CN"/>
                </a:p>
              </c:txPr>
              <c:dLblPos val="bestFit"/>
              <c:showLegendKey val="0"/>
              <c:showVal val="0"/>
              <c:showCatName val="1"/>
              <c:showSerName val="0"/>
              <c:showPercent val="1"/>
              <c:showBubbleSize val="0"/>
            </c:dLbl>
            <c:dLbl>
              <c:idx val="1"/>
              <c:spPr>
                <a:noFill/>
                <a:ln>
                  <a:noFill/>
                </a:ln>
              </c:spPr>
              <c:txPr>
                <a:bodyPr/>
                <a:lstStyle/>
                <a:p>
                  <a:pPr>
                    <a:defRPr sz="900" b="0" i="0" u="none" strike="noStrike" baseline="0">
                      <a:solidFill>
                        <a:srgbClr val="333F4F"/>
                      </a:solidFill>
                      <a:latin typeface="AR PL UKai CN"/>
                      <a:ea typeface="AR PL UKai CN"/>
                      <a:cs typeface="Lucida Sans"/>
                    </a:defRPr>
                  </a:pPr>
                  <a:endParaRPr lang="zh-CN"/>
                </a:p>
              </c:txPr>
              <c:dLblPos val="inEnd"/>
              <c:showLegendKey val="0"/>
              <c:showVal val="0"/>
              <c:showCatName val="1"/>
              <c:showSerName val="0"/>
              <c:showPercent val="1"/>
              <c:showBubbleSize val="0"/>
            </c:dLbl>
            <c:dLbl>
              <c:idx val="2"/>
              <c:layout>
                <c:manualLayout>
                  <c:x val="-0.06710092"/>
                  <c:y val="0.18604651"/>
                </c:manualLayout>
              </c:layout>
              <c:spPr>
                <a:noFill/>
                <a:ln>
                  <a:noFill/>
                </a:ln>
              </c:spPr>
              <c:txPr>
                <a:bodyPr/>
                <a:lstStyle/>
                <a:p>
                  <a:pPr>
                    <a:defRPr sz="900" b="0" i="0" u="none" strike="noStrike" baseline="0">
                      <a:solidFill>
                        <a:srgbClr val="333F4F"/>
                      </a:solidFill>
                      <a:latin typeface="AR PL UKai CN"/>
                      <a:ea typeface="AR PL UKai CN"/>
                      <a:cs typeface="Lucida Sans"/>
                    </a:defRPr>
                  </a:pPr>
                  <a:endParaRPr lang="zh-CN"/>
                </a:p>
              </c:txPr>
              <c:dLblPos val="bestFit"/>
              <c:showLegendKey val="0"/>
              <c:showVal val="0"/>
              <c:showCatName val="1"/>
              <c:showSerName val="0"/>
              <c:showPercent val="1"/>
              <c:showBubbleSize val="0"/>
            </c:dLbl>
            <c:dLblPos val="inEnd"/>
            <c:showLegendKey val="0"/>
            <c:showVal val="0"/>
            <c:showCatName val="1"/>
            <c:showSerName val="0"/>
            <c:showPercent val="1"/>
            <c:showBubbleSize val="0"/>
            <c:showLeaderLines val="1"/>
          </c:dLbls>
          <c:cat>
            <c:strRef>
              <c:f>'工作表465537'!$B$1:$D$1</c:f>
              <c:strCache>
                <c:ptCount val="3"/>
                <c:pt idx="0">
                  <c:v>因公(境)出国</c:v>
                </c:pt>
                <c:pt idx="1">
                  <c:v>公务用车购置及运行维护费</c:v>
                </c:pt>
                <c:pt idx="2">
                  <c:v>公务接待费</c:v>
                </c:pt>
              </c:strCache>
            </c:strRef>
          </c:cat>
          <c:val>
            <c:numRef>
              <c:f>'工作表465537'!$B$2:$D$2</c:f>
              <c:numCache>
                <c:formatCode>0.00%</c:formatCode>
                <c:ptCount val="3"/>
                <c:pt idx="0">
                  <c:v>0.057999999999999996</c:v>
                </c:pt>
                <c:pt idx="1">
                  <c:v>0.9409000000000001</c:v>
                </c:pt>
                <c:pt idx="2">
                  <c:v>0.001</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333F4F"/>
              </a:solidFill>
              <a:latin typeface="AR PL UKai CN"/>
              <a:ea typeface="AR PL UKai CN"/>
              <a:cs typeface="Lucida Sans"/>
            </a:defRPr>
          </a:pPr>
          <a:endParaRPr lang="zh-CN"/>
        </a:p>
      </c:txPr>
    </c:legend>
    <c:plotVisOnly val="1"/>
    <c:dispBlanksAs val="gap"/>
    <c:showDLblsOverMax val="0"/>
  </c:chart>
  <c:spPr>
    <a:solidFill>
      <a:srgbClr val="FFFFFF"/>
    </a:solidFill>
    <a:ln w="12700">
      <a:solidFill>
        <a:srgbClr val="DFE4EB"/>
      </a:solidFill>
      <a:prstDash val="solid"/>
    </a:ln>
  </c:spPr>
  <c:txPr>
    <a:bodyPr/>
    <a:lstStyle/>
    <a:p>
      <a:pPr>
        <a:defRPr sz="900" b="0" i="0" u="none" strike="noStrike" baseline="0">
          <a:solidFill>
            <a:srgbClr val="000000"/>
          </a:solidFill>
          <a:latin typeface="AR PL UKai CN"/>
          <a:ea typeface="AR PL UKai CN"/>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487</TotalTime>
  <Application>Yozo_Office27021597764231179</Application>
  <Pages>25</Pages>
  <Words>9566</Words>
  <Characters>10402</Characters>
  <Lines>505</Lines>
  <Paragraphs>194</Paragraphs>
  <CharactersWithSpaces>10486</CharactersWithSpaces>
  <Company>P R C</Company>
</Properties>
</file>

<file path=docProps/core.xml><?xml version="1.0" encoding="utf-8"?>
<cp:coreProperties xmlns:cp="http://schemas.openxmlformats.org/package/2006/metadata/core-properties" xmlns:dc="http://purl.org/dc/elements/1.1/" xmlns:dcterms="http://purl.org/dc/terms/" xmlns:xsi="http://www.w3.org/2001/XMLSchema-instance">
  <dc:title>2019年度四川省阿坝州部门决算公开</dc:title>
  <dc:creator>Administrator</dc:creator>
  <cp:lastModifiedBy>user</cp:lastModifiedBy>
  <cp:revision>4</cp:revision>
  <cp:lastPrinted>2022-09-21T09:20:00Z</cp:lastPrinted>
  <dcterms:created xsi:type="dcterms:W3CDTF">2024-09-18T02:40:00Z</dcterms:created>
  <dcterms:modified xsi:type="dcterms:W3CDTF">2024-09-18T10:09:11Z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2052-11.1.0.10161</vt:lpwstr>
  </property>
  <property fmtid="{D5CDD505-2E9C-101B-9397-08002B2CF9AE}" pid="3" name="ICV">
    <vt:lpwstr>38A9E44F427F4932AF80751783052F81</vt:lpwstr>
  </property>
</Properties>
</file>