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hint="eastAsia" w:ascii="Times New Roman" w:hAnsi="Times New Roman" w:eastAsia="黑体" w:cs="黑体"/>
          <w:color w:val="auto"/>
          <w:kern w:val="2"/>
          <w:sz w:val="32"/>
          <w:szCs w:val="32"/>
          <w:highlight w:val="none"/>
          <w:lang w:val="en-US" w:eastAsia="zh-CN" w:bidi="ar-SA"/>
        </w:rPr>
      </w:pPr>
      <w:bookmarkStart w:id="0" w:name="_Toc15396597"/>
      <w:bookmarkStart w:id="1" w:name="_Toc15377425"/>
      <w:bookmarkStart w:id="2" w:name="_Toc15377193"/>
      <w:bookmarkStart w:id="3" w:name="_Toc15306267"/>
      <w:bookmarkStart w:id="4" w:name="_Toc15396475"/>
      <w:bookmarkStart w:id="5" w:name="_Toc15378441"/>
      <w:r>
        <w:rPr>
          <w:rFonts w:hint="eastAsia" w:ascii="Times New Roman" w:hAnsi="Times New Roman" w:eastAsia="黑体" w:cs="黑体"/>
          <w:color w:val="auto"/>
          <w:kern w:val="2"/>
          <w:sz w:val="32"/>
          <w:szCs w:val="32"/>
          <w:highlight w:val="none"/>
          <w:lang w:val="en-US" w:eastAsia="zh-CN" w:bidi="ar-SA"/>
        </w:rPr>
        <w:t>附件4</w:t>
      </w: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rPr>
          <w:rFonts w:hint="eastAsia" w:ascii="Times New Roman" w:hAnsi="Times New Roman" w:eastAsia="方正小标宋简体" w:cs="Times New Roman"/>
          <w:color w:val="auto"/>
          <w:kern w:val="2"/>
          <w:sz w:val="72"/>
          <w:szCs w:val="72"/>
          <w:highlight w:val="none"/>
          <w:lang w:val="en-US" w:eastAsia="zh-CN" w:bidi="ar-SA"/>
        </w:rPr>
      </w:pP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2025年度中共阿坝州委巡察工作</w:t>
      </w: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领导小组办公室决算公开</w:t>
      </w:r>
    </w:p>
    <w:p>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6"/>
        <w:jc w:val="both"/>
        <w:rPr>
          <w:rFonts w:hint="default" w:ascii="Times New Roman" w:hAnsi="Times New Roman" w:eastAsia="方正小标宋简体" w:cs="Times New Roman"/>
          <w:color w:val="auto"/>
          <w:kern w:val="2"/>
          <w:sz w:val="44"/>
          <w:szCs w:val="44"/>
          <w:highlight w:val="none"/>
          <w:lang w:val="en-US" w:eastAsia="zh-CN" w:bidi="ar-SA"/>
        </w:rPr>
      </w:pPr>
    </w:p>
    <w:p>
      <w:pPr>
        <w:pStyle w:val="6"/>
        <w:jc w:val="both"/>
        <w:rPr>
          <w:rFonts w:hint="default" w:ascii="Times New Roman" w:hAnsi="Times New Roman" w:eastAsia="方正小标宋简体" w:cs="Times New Roman"/>
          <w:color w:val="auto"/>
          <w:kern w:val="2"/>
          <w:sz w:val="44"/>
          <w:szCs w:val="44"/>
          <w:highlight w:val="none"/>
          <w:lang w:val="en-US" w:eastAsia="zh-CN" w:bidi="ar-SA"/>
        </w:rPr>
      </w:pPr>
    </w:p>
    <w:p>
      <w:pPr>
        <w:pStyle w:val="6"/>
        <w:jc w:val="both"/>
        <w:rPr>
          <w:rFonts w:hint="default" w:ascii="Times New Roman" w:hAnsi="Times New Roman" w:eastAsia="方正小标宋简体" w:cs="Times New Roman"/>
          <w:color w:val="auto"/>
          <w:kern w:val="2"/>
          <w:sz w:val="44"/>
          <w:szCs w:val="44"/>
          <w:highlight w:val="none"/>
          <w:lang w:val="en-US" w:eastAsia="zh-CN" w:bidi="ar-SA"/>
        </w:rPr>
      </w:pPr>
    </w:p>
    <w:p>
      <w:pPr>
        <w:pStyle w:val="6"/>
        <w:jc w:val="both"/>
        <w:rPr>
          <w:rFonts w:hint="default" w:ascii="Times New Roman" w:hAnsi="Times New Roman" w:eastAsia="方正小标宋简体" w:cs="Times New Roman"/>
          <w:color w:val="auto"/>
          <w:kern w:val="2"/>
          <w:sz w:val="44"/>
          <w:szCs w:val="44"/>
          <w:highlight w:val="none"/>
          <w:lang w:val="en-US" w:eastAsia="zh-CN" w:bidi="ar-SA"/>
        </w:rPr>
      </w:pPr>
    </w:p>
    <w:p>
      <w:pPr>
        <w:pStyle w:val="6"/>
        <w:jc w:val="both"/>
        <w:rPr>
          <w:rFonts w:hint="default" w:ascii="Times New Roman" w:hAnsi="Times New Roman" w:eastAsia="方正小标宋简体" w:cs="Times New Roman"/>
          <w:color w:val="auto"/>
          <w:kern w:val="2"/>
          <w:sz w:val="44"/>
          <w:szCs w:val="44"/>
          <w:highlight w:val="none"/>
          <w:lang w:val="en-US" w:eastAsia="zh-CN" w:bidi="ar-SA"/>
        </w:rPr>
      </w:pPr>
    </w:p>
    <w:p>
      <w:pPr>
        <w:pStyle w:val="6"/>
        <w:jc w:val="both"/>
        <w:rPr>
          <w:rFonts w:hint="default" w:ascii="Times New Roman" w:hAnsi="Times New Roman" w:eastAsia="方正小标宋简体" w:cs="Times New Roman"/>
          <w:color w:val="auto"/>
          <w:kern w:val="2"/>
          <w:sz w:val="44"/>
          <w:szCs w:val="44"/>
          <w:highlight w:val="none"/>
          <w:lang w:val="en-US" w:eastAsia="zh-CN" w:bidi="ar-SA"/>
        </w:rPr>
      </w:pPr>
    </w:p>
    <w:p>
      <w:pPr>
        <w:pStyle w:val="6"/>
        <w:jc w:val="both"/>
        <w:rPr>
          <w:rFonts w:hint="default" w:ascii="Times New Roman" w:hAnsi="Times New Roman" w:eastAsia="方正小标宋简体" w:cs="Times New Roman"/>
          <w:color w:val="auto"/>
          <w:kern w:val="2"/>
          <w:sz w:val="44"/>
          <w:szCs w:val="44"/>
          <w:highlight w:val="none"/>
          <w:lang w:val="en-US" w:eastAsia="zh-CN" w:bidi="ar-SA"/>
        </w:rPr>
      </w:pPr>
    </w:p>
    <w:p>
      <w:pPr>
        <w:spacing w:line="600" w:lineRule="exact"/>
        <w:jc w:val="center"/>
        <w:outlineLvl w:val="0"/>
        <w:rPr>
          <w:rFonts w:ascii="Times New Roman" w:hAnsi="Times New Roman"/>
        </w:rPr>
        <w:sectPr>
          <w:headerReference r:id="rId3" w:type="default"/>
          <w:footerReference r:id="rId4" w:type="default"/>
          <w:pgSz w:w="11906" w:h="16838"/>
          <w:pgMar w:top="2098" w:right="1474" w:bottom="1984" w:left="1587" w:header="851" w:footer="1587" w:gutter="0"/>
          <w:pgNumType w:fmt="decimal" w:start="1"/>
          <w:cols w:space="0" w:num="1"/>
          <w:titlePg/>
          <w:rtlGutter w:val="0"/>
          <w:docGrid w:type="linesAndChars" w:linePitch="289" w:charSpace="-3629"/>
        </w:sectPr>
      </w:pPr>
      <w:r>
        <w:rPr>
          <w:rFonts w:hint="eastAsia" w:ascii="Times New Roman" w:hAnsi="Times New Roman" w:eastAsia="方正仿宋_GBK" w:cs="方正仿宋_GBK"/>
          <w:color w:val="auto"/>
          <w:sz w:val="32"/>
          <w:szCs w:val="32"/>
          <w:highlight w:val="none"/>
        </w:rPr>
        <w:t>公开时间：</w:t>
      </w:r>
      <w:r>
        <w:rPr>
          <w:rFonts w:hint="eastAsia" w:ascii="Times New Roman" w:hAnsi="Times New Roman" w:eastAsia="仿宋_GB2312" w:cs="仿宋_GB2312"/>
          <w:color w:val="auto"/>
          <w:sz w:val="32"/>
          <w:szCs w:val="32"/>
          <w:highlight w:val="none"/>
        </w:rPr>
        <w:t>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方正仿宋_GBK" w:cs="方正仿宋_GBK"/>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方正仿宋_GBK" w:cs="方正仿宋_GBK"/>
          <w:color w:val="auto"/>
          <w:sz w:val="32"/>
          <w:szCs w:val="32"/>
          <w:highlight w:val="none"/>
        </w:rPr>
        <w:t>月</w:t>
      </w:r>
      <w:r>
        <w:rPr>
          <w:rFonts w:hint="eastAsia" w:ascii="Times New Roman" w:hAnsi="Times New Roman" w:eastAsia="方正仿宋_GBK" w:cs="方正仿宋_GBK"/>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18日</w:t>
      </w:r>
    </w:p>
    <w:bookmarkEnd w:id="0"/>
    <w:bookmarkEnd w:id="1"/>
    <w:bookmarkEnd w:id="2"/>
    <w:bookmarkEnd w:id="3"/>
    <w:bookmarkEnd w:id="4"/>
    <w:bookmarkEnd w:id="5"/>
    <w:p>
      <w:pPr>
        <w:pStyle w:val="3"/>
        <w:keepNext/>
        <w:keepLines/>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eastAsia="黑体" w:cs="黑体"/>
          <w:color w:val="auto"/>
          <w:sz w:val="32"/>
          <w:szCs w:val="32"/>
          <w:highlight w:val="none"/>
        </w:rPr>
      </w:pPr>
      <w:r>
        <w:rPr>
          <w:rFonts w:hint="eastAsia" w:ascii="Times New Roman" w:hAnsi="Times New Roman" w:eastAsia="方正黑体简体" w:cs="方正黑体简体"/>
          <w:b w:val="0"/>
          <w:bCs w:val="0"/>
          <w:color w:val="auto"/>
          <w:kern w:val="2"/>
          <w:sz w:val="44"/>
          <w:szCs w:val="44"/>
          <w:highlight w:val="none"/>
          <w:lang w:val="zh-CN" w:eastAsia="zh-CN" w:bidi="ar-SA"/>
        </w:rPr>
        <w:t>目录</w:t>
      </w:r>
    </w:p>
    <w:p>
      <w:pPr>
        <w:pStyle w:val="13"/>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before="0" w:line="576"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黑体" w:cs="黑体"/>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一、部门职责</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黑体" w:cs="黑体"/>
          <w:color w:val="auto"/>
          <w:kern w:val="2"/>
          <w:sz w:val="32"/>
          <w:szCs w:val="32"/>
          <w:highlight w:val="none"/>
          <w:lang w:val="en-US" w:eastAsia="zh-CN" w:bidi="ar-SA"/>
        </w:rPr>
        <w:t>1</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二、机构设置</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w:t>
      </w:r>
    </w:p>
    <w:p>
      <w:pPr>
        <w:pStyle w:val="13"/>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before="0" w:line="576"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rPr>
        <w:t>第二部分</w:t>
      </w:r>
      <w:r>
        <w:rPr>
          <w:rFonts w:hint="eastAsia" w:ascii="Times New Roman" w:hAnsi="Times New Roman" w:eastAsia="方正黑体简体" w:cs="方正黑体简体"/>
          <w:color w:val="auto"/>
          <w:sz w:val="32"/>
          <w:szCs w:val="32"/>
          <w:highlight w:val="none"/>
          <w:lang w:val="en-US" w:eastAsia="zh-CN"/>
        </w:rPr>
        <w:t xml:space="preserve"> 2025年度</w:t>
      </w:r>
      <w:r>
        <w:rPr>
          <w:rFonts w:hint="eastAsia" w:ascii="Times New Roman" w:hAnsi="Times New Roman" w:eastAsia="方正黑体简体" w:cs="方正黑体简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2</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一、收入支出决算总体情况说明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二、收入决算情况说明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2</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三、支出决算情况说明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3</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四、财政拨款收入支出决算总体情况说明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4</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eastAsia" w:ascii="Times New Roman" w:hAnsi="Times New Roman" w:eastAsia="仿宋_GB2312"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五、一般公共预算财政拨款支出决算情况说明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5</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六、一般公共预算财政拨款基本支出决算情况说明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8</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eastAsia"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七、财政拨款“三公”经费支出决算情况说明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8</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八、政府性基金预算支出决算情况说明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10</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九、国有资本经营预算支出决算情况说明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10</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十、其他重要事项的情况说明</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10</w:t>
      </w:r>
    </w:p>
    <w:p>
      <w:pPr>
        <w:pStyle w:val="13"/>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before="0" w:line="576"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12</w:t>
      </w:r>
    </w:p>
    <w:p>
      <w:pPr>
        <w:pStyle w:val="13"/>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before="0" w:line="576"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14</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_GB2312" w:cs="仿宋_GB2312"/>
          <w:color w:val="auto"/>
          <w:sz w:val="30"/>
          <w:szCs w:val="30"/>
          <w:highlight w:val="none"/>
          <w:lang w:val="en-US"/>
        </w:rPr>
      </w:pPr>
      <w:r>
        <w:rPr>
          <w:rFonts w:hint="eastAsia" w:ascii="Times New Roman" w:hAnsi="Times New Roman" w:eastAsia="方正仿宋_GBK" w:cs="方正仿宋_GBK"/>
          <w:color w:val="auto"/>
          <w:kern w:val="2"/>
          <w:sz w:val="32"/>
          <w:szCs w:val="32"/>
          <w:highlight w:val="none"/>
          <w:lang w:val="en-US" w:eastAsia="zh-CN" w:bidi="ar-SA"/>
        </w:rPr>
        <w:t>一、巡察专项预算项目绩效评价报告</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14</w:t>
      </w:r>
    </w:p>
    <w:p>
      <w:pPr>
        <w:pStyle w:val="13"/>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before="0" w:line="576"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方正黑体简体" w:cs="方正黑体简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ab/>
      </w:r>
      <w:r>
        <w:rPr>
          <w:rFonts w:hint="eastAsia" w:ascii="Times New Roman" w:hAnsi="Times New Roman" w:eastAsia="黑体" w:cs="黑体"/>
          <w:color w:val="auto"/>
          <w:sz w:val="32"/>
          <w:szCs w:val="32"/>
          <w:highlight w:val="none"/>
          <w:lang w:val="en-US" w:eastAsia="zh-CN"/>
        </w:rPr>
        <w:t>19</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一、收入支出决算总表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19</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二、收入决算表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19</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三、支出决算表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19</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四、财政拨款收入支出决算总表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19</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五、财政拨款支出决算明细表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19</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六、一般公共预算财政拨款支出决算表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19</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七、一般公共预算财政拨款支出决算明细表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19</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八、一般公共预算财政拨款基本支出决算明细表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19</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九、一般公共预算财政拨款项目支出决算表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19</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十、政府性基金预算财政拨款收入支出决算表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19</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十一、国有资本经营预算财政拨款收入支出决算表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19</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_GB2312" w:cs="仿宋_GB2312"/>
          <w:color w:val="auto"/>
          <w:sz w:val="30"/>
          <w:szCs w:val="30"/>
          <w:highlight w:val="none"/>
          <w:lang w:val="en-US"/>
        </w:rPr>
      </w:pPr>
      <w:r>
        <w:rPr>
          <w:rFonts w:hint="eastAsia" w:ascii="Times New Roman" w:hAnsi="Times New Roman" w:eastAsia="方正仿宋_GBK" w:cs="方正仿宋_GBK"/>
          <w:color w:val="auto"/>
          <w:kern w:val="2"/>
          <w:sz w:val="32"/>
          <w:szCs w:val="32"/>
          <w:highlight w:val="none"/>
          <w:lang w:val="en-US" w:eastAsia="zh-CN" w:bidi="ar-SA"/>
        </w:rPr>
        <w:t>十二、国有资本经营预算财政拨款支出决算表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19</w:t>
      </w:r>
    </w:p>
    <w:p>
      <w:pPr>
        <w:pStyle w:val="16"/>
        <w:keepNext w:val="0"/>
        <w:keepLines w:val="0"/>
        <w:pageBreakBefore w:val="0"/>
        <w:widowControl w:val="0"/>
        <w:tabs>
          <w:tab w:val="right" w:leader="middleDot" w:pos="8674"/>
          <w:tab w:val="right" w:leader="middleDot" w:pos="8844"/>
          <w:tab w:val="clear" w:pos="8296"/>
        </w:tabs>
        <w:kinsoku/>
        <w:wordWrap/>
        <w:overflowPunct/>
        <w:topLinePunct w:val="0"/>
        <w:autoSpaceDE/>
        <w:autoSpaceDN/>
        <w:bidi w:val="0"/>
        <w:adjustRightInd w:val="0"/>
        <w:snapToGrid w:val="0"/>
        <w:spacing w:line="576" w:lineRule="exact"/>
        <w:ind w:left="0" w:leftChars="0" w:firstLine="606" w:firstLineChars="200"/>
        <w:jc w:val="left"/>
        <w:textAlignment w:val="auto"/>
        <w:rPr>
          <w:rFonts w:hint="default" w:ascii="Times New Roman" w:hAnsi="Times New Roman" w:eastAsia="仿宋" w:cs="仿宋_GB2312"/>
          <w:color w:val="auto"/>
          <w:sz w:val="30"/>
          <w:szCs w:val="30"/>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十三、财政拨款“三公”经费支出决算表</w:t>
      </w:r>
      <w:r>
        <w:rPr>
          <w:rFonts w:hint="eastAsia" w:ascii="Times New Roman" w:hAnsi="Times New Roman" w:eastAsia="仿宋" w:cs="仿宋"/>
          <w:color w:val="auto"/>
          <w:sz w:val="32"/>
          <w:szCs w:val="32"/>
          <w:highlight w:val="none"/>
          <w:lang w:val="en-US" w:eastAsia="zh-CN"/>
        </w:rPr>
        <w:tab/>
      </w:r>
      <w:r>
        <w:rPr>
          <w:rFonts w:hint="eastAsia" w:ascii="Times New Roman" w:hAnsi="Times New Roman" w:eastAsia="仿宋" w:cs="仿宋"/>
          <w:color w:val="auto"/>
          <w:sz w:val="32"/>
          <w:szCs w:val="32"/>
          <w:highlight w:val="none"/>
          <w:lang w:val="en-US" w:eastAsia="zh-CN"/>
        </w:rPr>
        <w:t>19</w:t>
      </w:r>
    </w:p>
    <w:p>
      <w:pPr>
        <w:pStyle w:val="16"/>
        <w:keepNext w:val="0"/>
        <w:keepLines w:val="0"/>
        <w:pageBreakBefore w:val="0"/>
        <w:widowControl w:val="0"/>
        <w:kinsoku/>
        <w:wordWrap/>
        <w:overflowPunct/>
        <w:topLinePunct w:val="0"/>
        <w:autoSpaceDE/>
        <w:autoSpaceDN/>
        <w:bidi w:val="0"/>
        <w:adjustRightInd w:val="0"/>
        <w:snapToGrid w:val="0"/>
        <w:spacing w:line="576" w:lineRule="exact"/>
        <w:ind w:left="0" w:leftChars="0" w:firstLine="606" w:firstLineChars="200"/>
        <w:jc w:val="left"/>
        <w:textAlignment w:val="auto"/>
        <w:rPr>
          <w:rFonts w:hint="eastAsia" w:ascii="Times New Roman" w:hAnsi="Times New Roman" w:eastAsia="仿宋_GB2312" w:cs="仿宋_GB2312"/>
          <w:b/>
          <w:bCs/>
          <w:color w:val="auto"/>
          <w:sz w:val="32"/>
          <w:szCs w:val="32"/>
          <w:highlight w:val="none"/>
          <w:lang w:eastAsia="zh-CN"/>
        </w:rPr>
      </w:pPr>
    </w:p>
    <w:p>
      <w:pPr>
        <w:pStyle w:val="3"/>
        <w:pageBreakBefore w:val="0"/>
        <w:widowControl w:val="0"/>
        <w:kinsoku/>
        <w:wordWrap/>
        <w:overflowPunct/>
        <w:topLinePunct w:val="0"/>
        <w:autoSpaceDE/>
        <w:autoSpaceDN/>
        <w:bidi w:val="0"/>
        <w:spacing w:line="576" w:lineRule="exact"/>
        <w:ind w:firstLine="846" w:firstLineChars="200"/>
        <w:jc w:val="center"/>
        <w:textAlignment w:val="auto"/>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2098" w:right="1474" w:bottom="1984" w:left="1587" w:header="851" w:footer="1587" w:gutter="0"/>
          <w:pgNumType w:fmt="decimal" w:start="1"/>
          <w:cols w:space="0" w:num="1"/>
          <w:rtlGutter w:val="0"/>
          <w:docGrid w:type="linesAndChars" w:linePitch="289" w:charSpace="-3629"/>
        </w:sectPr>
      </w:pPr>
      <w:bookmarkStart w:id="6" w:name="_Toc15396599"/>
      <w:bookmarkStart w:id="7" w:name="_Toc15377196"/>
    </w:p>
    <w:p>
      <w:pPr>
        <w:pStyle w:val="3"/>
        <w:keepNext/>
        <w:keepLines/>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eastAsia="黑体" w:cs="黑体"/>
          <w:color w:val="auto"/>
          <w:kern w:val="2"/>
          <w:sz w:val="32"/>
          <w:szCs w:val="32"/>
          <w:highlight w:val="none"/>
          <w:lang w:val="en-US" w:eastAsia="zh-CN" w:bidi="ar-SA"/>
        </w:rPr>
      </w:pPr>
      <w:r>
        <w:rPr>
          <w:rFonts w:hint="eastAsia" w:ascii="Times New Roman" w:hAnsi="Times New Roman" w:eastAsia="方正黑体简体" w:cs="方正黑体简体"/>
          <w:b w:val="0"/>
          <w:bCs w:val="0"/>
          <w:color w:val="auto"/>
          <w:kern w:val="2"/>
          <w:sz w:val="44"/>
          <w:szCs w:val="44"/>
          <w:highlight w:val="none"/>
          <w:lang w:val="zh-CN" w:eastAsia="zh-CN" w:bidi="ar-SA"/>
        </w:rPr>
        <w:t>第一部分</w:t>
      </w:r>
      <w:r>
        <w:rPr>
          <w:rFonts w:hint="eastAsia" w:ascii="Times New Roman" w:hAnsi="Times New Roman" w:eastAsia="方正黑体简体" w:cs="方正黑体简体"/>
          <w:b w:val="0"/>
          <w:bCs w:val="0"/>
          <w:color w:val="auto"/>
          <w:kern w:val="2"/>
          <w:sz w:val="44"/>
          <w:szCs w:val="44"/>
          <w:highlight w:val="none"/>
          <w:lang w:val="en-US" w:eastAsia="zh-CN" w:bidi="ar-SA"/>
        </w:rPr>
        <w:t xml:space="preserve"> </w:t>
      </w:r>
      <w:r>
        <w:rPr>
          <w:rFonts w:hint="eastAsia" w:ascii="Times New Roman" w:hAnsi="Times New Roman" w:eastAsia="方正黑体简体" w:cs="方正黑体简体"/>
          <w:b w:val="0"/>
          <w:bCs w:val="0"/>
          <w:color w:val="auto"/>
          <w:kern w:val="2"/>
          <w:sz w:val="44"/>
          <w:szCs w:val="44"/>
          <w:highlight w:val="none"/>
          <w:lang w:val="zh-CN" w:eastAsia="zh-CN" w:bidi="ar-SA"/>
        </w:rPr>
        <w:t xml:space="preserve"> 部门概况</w:t>
      </w:r>
      <w:bookmarkEnd w:id="6"/>
      <w:bookmarkEnd w:id="7"/>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一、部门职责</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向省委巡视办和州委巡察工作领导小组办公室报告巡察工作情况，传达贯彻省委巡视办、州委巡察工作领导小组的决策和部署；统筹、协调、指导巡察组开展工作；承担政策研究、制度建设等工作、组织起草州委巡察工作规划、年度计划、年度巡察工作总结等重要材料；对州委和州委巡察工作领导小组决定的事项进行督办；配合州纪委、州委组织部等部门对巡察工作人员进行培训、考核、监督和管理负责与纪委监委机关、组织、政法、审计和信访等部门的沟通衔接工作；指导县（市）党委巡察工作；承担州委巡察工作领导小组职责；办理州委巡察工作领导小组和上级巡视工作领导小组办公室交办的其他事项。</w:t>
      </w:r>
    </w:p>
    <w:p>
      <w:pPr>
        <w:pageBreakBefore w:val="0"/>
        <w:widowControl w:val="0"/>
        <w:kinsoku/>
        <w:wordWrap/>
        <w:overflowPunct/>
        <w:topLinePunct w:val="0"/>
        <w:autoSpaceDE/>
        <w:autoSpaceDN/>
        <w:bidi w:val="0"/>
        <w:snapToGrid w:val="0"/>
        <w:spacing w:line="576" w:lineRule="exact"/>
        <w:ind w:firstLine="606" w:firstLineChars="200"/>
        <w:textAlignment w:val="auto"/>
        <w:rPr>
          <w:rFonts w:hint="eastAsia" w:ascii="Times New Roman" w:hAnsi="Times New Roman" w:eastAsia="方正黑体简体" w:cs="方正黑体简体"/>
          <w:color w:val="auto"/>
          <w:kern w:val="2"/>
          <w:sz w:val="32"/>
          <w:szCs w:val="32"/>
          <w:highlight w:val="none"/>
          <w:lang w:val="en-US" w:eastAsia="zh-CN" w:bidi="ar-SA"/>
        </w:rPr>
      </w:pPr>
      <w:bookmarkStart w:id="8" w:name="_Toc15396601"/>
      <w:bookmarkStart w:id="9" w:name="_Toc15377200"/>
      <w:r>
        <w:rPr>
          <w:rFonts w:hint="eastAsia" w:ascii="Times New Roman" w:hAnsi="Times New Roman" w:eastAsia="方正黑体简体" w:cs="方正黑体简体"/>
          <w:color w:val="auto"/>
          <w:kern w:val="2"/>
          <w:sz w:val="32"/>
          <w:szCs w:val="32"/>
          <w:highlight w:val="none"/>
          <w:lang w:val="en-US" w:eastAsia="zh-CN" w:bidi="ar-SA"/>
        </w:rPr>
        <w:t>二、机构设置</w:t>
      </w:r>
      <w:bookmarkEnd w:id="8"/>
      <w:bookmarkEnd w:id="9"/>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下属二级预算单位1个，其中行政单位1个，参照公务员法管理的事业单位0个，其他事业单位0个。</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纳入中共阿坝州委巡察工作领导小组办公室2025年度部门决算编制范围的二级预算单位包括：</w:t>
      </w:r>
    </w:p>
    <w:p>
      <w:pPr>
        <w:pStyle w:val="6"/>
        <w:keepNext w:val="0"/>
        <w:keepLines w:val="0"/>
        <w:pageBreakBefore w:val="0"/>
        <w:widowControl w:val="0"/>
        <w:numPr>
          <w:ilvl w:val="0"/>
          <w:numId w:val="0"/>
        </w:numPr>
        <w:kinsoku/>
        <w:wordWrap/>
        <w:overflowPunct/>
        <w:topLinePunct w:val="0"/>
        <w:autoSpaceDE/>
        <w:autoSpaceDN/>
        <w:bidi w:val="0"/>
        <w:adjustRightInd w:val="0"/>
        <w:snapToGrid w:val="0"/>
        <w:spacing w:before="93" w:line="576" w:lineRule="exact"/>
        <w:ind w:firstLine="606" w:firstLineChars="200"/>
        <w:textAlignment w:val="auto"/>
        <w:outlineLvl w:val="2"/>
        <w:rPr>
          <w:rFonts w:hint="eastAsia" w:ascii="Times New Roman" w:hAnsi="Times New Roman" w:eastAsia="方正仿宋_GBK" w:cs="方正仿宋_GBK"/>
          <w:b/>
          <w:bCs/>
          <w:color w:val="auto"/>
          <w:kern w:val="2"/>
          <w:sz w:val="32"/>
          <w:szCs w:val="32"/>
          <w:highlight w:val="none"/>
          <w:lang w:val="en-US" w:eastAsia="zh-CN" w:bidi="ar-SA"/>
        </w:rPr>
      </w:pPr>
      <w:bookmarkStart w:id="10" w:name="_Toc15306275"/>
      <w:bookmarkStart w:id="11" w:name="_Toc15377201"/>
      <w:bookmarkStart w:id="12" w:name="_Toc15377432"/>
      <w:bookmarkStart w:id="13" w:name="_Toc15378448"/>
      <w:r>
        <w:rPr>
          <w:rFonts w:hint="eastAsia" w:ascii="Times New Roman" w:hAnsi="Times New Roman" w:eastAsia="方正仿宋_GBK" w:cs="方正仿宋_GBK"/>
          <w:b/>
          <w:bCs/>
          <w:color w:val="auto"/>
          <w:kern w:val="2"/>
          <w:sz w:val="32"/>
          <w:szCs w:val="32"/>
          <w:highlight w:val="none"/>
          <w:lang w:val="en-US" w:eastAsia="zh-CN" w:bidi="ar-SA"/>
        </w:rPr>
        <w:t>1.中共阿坝州委巡察工作领导小组办公室</w:t>
      </w:r>
      <w:bookmarkEnd w:id="10"/>
      <w:bookmarkEnd w:id="11"/>
      <w:bookmarkEnd w:id="12"/>
      <w:bookmarkEnd w:id="13"/>
    </w:p>
    <w:p>
      <w:pPr>
        <w:pStyle w:val="6"/>
        <w:numPr>
          <w:ilvl w:val="0"/>
          <w:numId w:val="0"/>
        </w:numPr>
        <w:adjustRightInd w:val="0"/>
        <w:snapToGrid w:val="0"/>
        <w:spacing w:before="93" w:line="600" w:lineRule="exact"/>
        <w:outlineLvl w:val="2"/>
        <w:rPr>
          <w:rFonts w:hint="eastAsia" w:ascii="Times New Roman" w:hAnsi="Times New Roman" w:eastAsia="仿宋" w:cs="仿宋"/>
          <w:color w:val="auto"/>
          <w:kern w:val="2"/>
          <w:sz w:val="32"/>
          <w:szCs w:val="32"/>
          <w:highlight w:val="none"/>
          <w:lang w:val="en-US" w:eastAsia="zh-CN" w:bidi="ar-SA"/>
        </w:rPr>
      </w:pPr>
    </w:p>
    <w:p>
      <w:pPr>
        <w:pStyle w:val="3"/>
        <w:keepNext/>
        <w:keepLines/>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ascii="Times New Roman" w:hAnsi="Times New Roman"/>
          <w:color w:val="auto"/>
          <w:highlight w:val="none"/>
        </w:rPr>
      </w:pPr>
      <w:bookmarkStart w:id="14" w:name="_Toc15396602"/>
      <w:bookmarkStart w:id="15" w:name="_Toc15377204"/>
      <w:r>
        <w:rPr>
          <w:rFonts w:hint="eastAsia" w:ascii="Times New Roman" w:hAnsi="Times New Roman" w:eastAsia="方正黑体简体" w:cs="方正黑体简体"/>
          <w:b w:val="0"/>
          <w:bCs w:val="0"/>
          <w:color w:val="auto"/>
          <w:kern w:val="2"/>
          <w:sz w:val="44"/>
          <w:szCs w:val="44"/>
          <w:highlight w:val="none"/>
          <w:lang w:val="zh-CN" w:eastAsia="zh-CN" w:bidi="ar-SA"/>
        </w:rPr>
        <w:t>第二部分</w:t>
      </w:r>
      <w:r>
        <w:rPr>
          <w:rFonts w:hint="eastAsia" w:ascii="Times New Roman" w:hAnsi="Times New Roman" w:eastAsia="方正黑体简体" w:cs="方正黑体简体"/>
          <w:b w:val="0"/>
          <w:bCs w:val="0"/>
          <w:color w:val="auto"/>
          <w:kern w:val="2"/>
          <w:sz w:val="44"/>
          <w:szCs w:val="44"/>
          <w:highlight w:val="none"/>
          <w:lang w:val="en-US" w:eastAsia="zh-CN" w:bidi="ar-SA"/>
        </w:rPr>
        <w:t xml:space="preserve"> </w:t>
      </w:r>
      <w:r>
        <w:rPr>
          <w:rFonts w:hint="eastAsia" w:ascii="Times New Roman" w:hAnsi="Times New Roman" w:eastAsia="方正黑体简体" w:cs="方正黑体简体"/>
          <w:b w:val="0"/>
          <w:bCs w:val="0"/>
          <w:color w:val="auto"/>
          <w:kern w:val="2"/>
          <w:sz w:val="44"/>
          <w:szCs w:val="44"/>
          <w:highlight w:val="none"/>
          <w:lang w:val="zh-CN" w:eastAsia="zh-CN" w:bidi="ar-SA"/>
        </w:rPr>
        <w:t xml:space="preserve"> </w:t>
      </w:r>
      <w:r>
        <w:rPr>
          <w:rFonts w:hint="eastAsia" w:ascii="Times New Roman" w:hAnsi="Times New Roman" w:eastAsia="方正黑体简体" w:cs="方正黑体简体"/>
          <w:b w:val="0"/>
          <w:bCs w:val="0"/>
          <w:color w:val="auto"/>
          <w:kern w:val="2"/>
          <w:sz w:val="44"/>
          <w:szCs w:val="44"/>
          <w:highlight w:val="none"/>
          <w:lang w:val="en-US" w:eastAsia="zh-CN" w:bidi="ar-SA"/>
        </w:rPr>
        <w:t>2025年度</w:t>
      </w:r>
      <w:r>
        <w:rPr>
          <w:rFonts w:hint="eastAsia" w:ascii="Times New Roman" w:hAnsi="Times New Roman" w:eastAsia="方正黑体简体" w:cs="方正黑体简体"/>
          <w:b w:val="0"/>
          <w:bCs w:val="0"/>
          <w:color w:val="auto"/>
          <w:kern w:val="2"/>
          <w:sz w:val="44"/>
          <w:szCs w:val="44"/>
          <w:highlight w:val="none"/>
          <w:lang w:val="zh-CN" w:eastAsia="zh-CN" w:bidi="ar-SA"/>
        </w:rPr>
        <w:t>部门决算情况说明</w:t>
      </w:r>
      <w:bookmarkEnd w:id="14"/>
      <w:bookmarkEnd w:id="15"/>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bookmarkStart w:id="16" w:name="_Toc15396603"/>
      <w:bookmarkStart w:id="17" w:name="_Toc15377205"/>
      <w:r>
        <w:rPr>
          <w:rFonts w:hint="eastAsia" w:ascii="Times New Roman" w:hAnsi="Times New Roman" w:eastAsia="方正黑体简体" w:cs="方正黑体简体"/>
          <w:color w:val="auto"/>
          <w:kern w:val="2"/>
          <w:sz w:val="32"/>
          <w:szCs w:val="32"/>
          <w:highlight w:val="none"/>
          <w:lang w:val="en-US" w:eastAsia="zh-CN" w:bidi="ar-SA"/>
        </w:rPr>
        <w:t>一、收入支出决算总体情况说明</w:t>
      </w:r>
      <w:bookmarkEnd w:id="16"/>
      <w:bookmarkEnd w:id="17"/>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2025年度收入、支出总计均为922.46万元。与上年度相比，收入、支出总计各增加281.82万元，增长43.99%。主要变动原因一是2025年配合巡视工作，巡察工作量增加，二是因人员变动。</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（图1：收入、支出决算总计变动情况图）（柱状图）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386"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lang w:eastAsia="zh-CN"/>
        </w:rPr>
        <w:drawing>
          <wp:anchor distT="0" distB="0" distL="114300" distR="114300" simplePos="0" relativeHeight="251659264" behindDoc="0" locked="1" layoutInCell="1" allowOverlap="0">
            <wp:simplePos x="0" y="0"/>
            <wp:positionH relativeFrom="column">
              <wp:posOffset>233045</wp:posOffset>
            </wp:positionH>
            <wp:positionV relativeFrom="page">
              <wp:posOffset>3864610</wp:posOffset>
            </wp:positionV>
            <wp:extent cx="5080000" cy="3810000"/>
            <wp:effectExtent l="4445" t="4445" r="20955" b="1460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bookmarkStart w:id="18" w:name="_Toc15377206"/>
      <w:bookmarkStart w:id="19" w:name="_Toc15396604"/>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二、收入决算情况说明</w:t>
      </w:r>
      <w:bookmarkEnd w:id="18"/>
      <w:bookmarkEnd w:id="19"/>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2025年度本年收入合计922.46万元，其中：一般公共预算财政拨款收入922.46万元，占100%。</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（图2：收入决算结构图）（饼状图）</w:t>
      </w:r>
    </w:p>
    <w:p>
      <w:pPr>
        <w:keepNext w:val="0"/>
        <w:keepLines w:val="0"/>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color w:val="auto"/>
          <w:sz w:val="32"/>
          <w:szCs w:val="32"/>
          <w:highlight w:val="none"/>
          <w:lang w:eastAsia="zh-CN"/>
        </w:rPr>
      </w:pPr>
      <w:bookmarkStart w:id="65" w:name="_GoBack"/>
      <w:bookmarkEnd w:id="65"/>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249555</wp:posOffset>
            </wp:positionH>
            <wp:positionV relativeFrom="paragraph">
              <wp:posOffset>76200</wp:posOffset>
            </wp:positionV>
            <wp:extent cx="5080000" cy="3810000"/>
            <wp:effectExtent l="4445" t="4445" r="20955" b="1460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bookmarkStart w:id="20" w:name="_Toc15377207"/>
      <w:bookmarkStart w:id="21" w:name="_Toc15396605"/>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三、支出决算情况说明</w:t>
      </w:r>
      <w:bookmarkEnd w:id="20"/>
      <w:bookmarkEnd w:id="21"/>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2025年度本年支出合计922.46万元，其中：基本支出617.21万元，占66.91%；项目支出305.25万元，占33.09%。</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（图3：支出决算结构图）（饼状图）</w:t>
      </w:r>
      <w:bookmarkStart w:id="22" w:name="_Toc15377208"/>
      <w:bookmarkStart w:id="23" w:name="_Toc15396606"/>
    </w:p>
    <w:p>
      <w:pPr>
        <w:pStyle w:val="15"/>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 w:cs="仿宋"/>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黑体"/>
          <w:color w:val="auto"/>
          <w:sz w:val="32"/>
          <w:szCs w:val="32"/>
          <w:highlight w:val="none"/>
        </w:rPr>
      </w:pPr>
    </w:p>
    <w:p>
      <w:pPr>
        <w:pStyle w:val="15"/>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黑体"/>
          <w:color w:val="auto"/>
          <w:sz w:val="32"/>
          <w:szCs w:val="32"/>
          <w:highlight w:val="none"/>
        </w:rPr>
      </w:pPr>
    </w:p>
    <w:p>
      <w:pPr>
        <w:pStyle w:val="15"/>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黑体"/>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76" w:lineRule="exact"/>
        <w:ind w:firstLine="386" w:firstLineChars="200"/>
        <w:textAlignment w:val="auto"/>
        <w:rPr>
          <w:rFonts w:hint="eastAsia" w:ascii="Times New Roman" w:hAnsi="Times New Roman" w:eastAsia="黑体"/>
          <w:lang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386" w:firstLineChars="200"/>
        <w:textAlignment w:val="auto"/>
        <w:outlineLvl w:val="1"/>
        <w:rPr>
          <w:rFonts w:hint="eastAsia" w:ascii="Times New Roman" w:hAnsi="Times New Roman" w:eastAsia="黑体"/>
          <w:color w:val="auto"/>
          <w:sz w:val="32"/>
          <w:szCs w:val="32"/>
          <w:highlight w:val="none"/>
        </w:rPr>
      </w:pPr>
      <w:r>
        <w:rPr>
          <w:rFonts w:hint="eastAsia" w:ascii="Times New Roman" w:hAnsi="Times New Roman" w:eastAsia="黑体"/>
          <w:lang w:eastAsia="zh-CN"/>
        </w:rPr>
        <w:drawing>
          <wp:anchor distT="0" distB="0" distL="114300" distR="114300" simplePos="0" relativeHeight="251665408" behindDoc="0" locked="1" layoutInCell="1" allowOverlap="0">
            <wp:simplePos x="0" y="0"/>
            <wp:positionH relativeFrom="column">
              <wp:posOffset>237490</wp:posOffset>
            </wp:positionH>
            <wp:positionV relativeFrom="page">
              <wp:posOffset>1430655</wp:posOffset>
            </wp:positionV>
            <wp:extent cx="5080000" cy="3810000"/>
            <wp:effectExtent l="4445" t="4445" r="5715" b="10795"/>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黑体"/>
          <w:color w:val="auto"/>
          <w:sz w:val="32"/>
          <w:szCs w:val="32"/>
          <w:highlight w:val="none"/>
        </w:rPr>
      </w:pPr>
    </w:p>
    <w:p>
      <w:pPr>
        <w:pStyle w:val="2"/>
        <w:pageBreakBefore w:val="0"/>
        <w:widowControl w:val="0"/>
        <w:kinsoku/>
        <w:wordWrap/>
        <w:overflowPunct/>
        <w:topLinePunct w:val="0"/>
        <w:autoSpaceDE/>
        <w:autoSpaceDN/>
        <w:bidi w:val="0"/>
        <w:adjustRightInd/>
        <w:spacing w:line="576" w:lineRule="exact"/>
        <w:ind w:firstLine="606" w:firstLineChars="200"/>
        <w:textAlignment w:val="auto"/>
        <w:rPr>
          <w:rFonts w:hint="eastAsia" w:ascii="Times New Roman" w:hAnsi="Times New Roman" w:eastAsia="黑体"/>
          <w:color w:val="auto"/>
          <w:sz w:val="32"/>
          <w:szCs w:val="32"/>
          <w:highlight w:val="none"/>
        </w:rPr>
      </w:pPr>
    </w:p>
    <w:p>
      <w:pPr>
        <w:pStyle w:val="2"/>
        <w:pageBreakBefore w:val="0"/>
        <w:widowControl w:val="0"/>
        <w:kinsoku/>
        <w:wordWrap/>
        <w:overflowPunct/>
        <w:topLinePunct w:val="0"/>
        <w:autoSpaceDE/>
        <w:autoSpaceDN/>
        <w:bidi w:val="0"/>
        <w:adjustRightInd/>
        <w:spacing w:line="576" w:lineRule="exact"/>
        <w:ind w:firstLine="446" w:firstLineChars="200"/>
        <w:textAlignment w:val="auto"/>
        <w:rPr>
          <w:rFonts w:hint="eastAsia" w:ascii="Times New Roman" w:hAnsi="Times New Roman"/>
        </w:rPr>
      </w:pPr>
    </w:p>
    <w:p>
      <w:pPr>
        <w:pStyle w:val="2"/>
        <w:rPr>
          <w:rFonts w:hint="eastAsia"/>
          <w:lang w:val="en-US" w:eastAsia="zh-CN"/>
        </w:rPr>
      </w:pPr>
    </w:p>
    <w:p>
      <w:pPr>
        <w:rPr>
          <w:rFonts w:hint="eastAsia"/>
          <w:lang w:val="en-US" w:eastAsia="zh-CN"/>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四、财政拨款收入支出决算总体情况说明</w:t>
      </w:r>
      <w:bookmarkEnd w:id="22"/>
      <w:bookmarkEnd w:id="23"/>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2025年度财政拨款收入、支出总计均为922.46万元。与上年度相比，财政拨款收入、支出总计各增加281.82万元，增长43.99%。主要变动原因一是2025年配合巡视工作，巡察工作量增加，二是因人员变动。</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（图4：财政拨款收、支决算总计变动情况）（柱状图）</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p>
    <w:p>
      <w:pPr>
        <w:pStyle w:val="15"/>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Style w:val="15"/>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Style w:val="15"/>
        <w:pageBreakBefore w:val="0"/>
        <w:widowControl w:val="0"/>
        <w:kinsoku/>
        <w:wordWrap/>
        <w:overflowPunct/>
        <w:topLinePunct w:val="0"/>
        <w:autoSpaceDE/>
        <w:autoSpaceDN/>
        <w:bidi w:val="0"/>
        <w:adjustRightInd/>
        <w:snapToGrid/>
        <w:spacing w:line="576" w:lineRule="exact"/>
        <w:ind w:left="0" w:leftChars="0" w:firstLine="606"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576" w:lineRule="exact"/>
        <w:ind w:firstLine="386" w:firstLineChars="200"/>
        <w:textAlignment w:val="auto"/>
        <w:rPr>
          <w:rFonts w:hint="eastAsia" w:ascii="Times New Roman" w:hAnsi="Times New Roman"/>
          <w:lang w:val="en-US" w:eastAsia="zh-CN"/>
        </w:rPr>
      </w:pPr>
    </w:p>
    <w:p>
      <w:pPr>
        <w:pStyle w:val="2"/>
        <w:pageBreakBefore w:val="0"/>
        <w:widowControl w:val="0"/>
        <w:kinsoku/>
        <w:wordWrap/>
        <w:overflowPunct/>
        <w:topLinePunct w:val="0"/>
        <w:autoSpaceDE/>
        <w:autoSpaceDN/>
        <w:bidi w:val="0"/>
        <w:adjustRightInd/>
        <w:spacing w:line="576" w:lineRule="exact"/>
        <w:ind w:firstLine="446" w:firstLineChars="200"/>
        <w:textAlignment w:val="auto"/>
        <w:rPr>
          <w:rFonts w:hint="eastAsia" w:ascii="Times New Roman" w:hAnsi="Times New Roman"/>
          <w:lang w:val="en-US" w:eastAsia="zh-CN"/>
        </w:rPr>
      </w:pPr>
      <w:r>
        <w:rPr>
          <w:rFonts w:hint="eastAsia" w:ascii="Times New Roman" w:hAnsi="Times New Roman"/>
          <w:lang w:val="en-US" w:eastAsia="zh-CN"/>
        </w:rPr>
        <w:drawing>
          <wp:anchor distT="0" distB="0" distL="114300" distR="114300" simplePos="0" relativeHeight="251666432" behindDoc="0" locked="1" layoutInCell="1" allowOverlap="0">
            <wp:simplePos x="0" y="0"/>
            <wp:positionH relativeFrom="column">
              <wp:posOffset>262890</wp:posOffset>
            </wp:positionH>
            <wp:positionV relativeFrom="page">
              <wp:posOffset>1449705</wp:posOffset>
            </wp:positionV>
            <wp:extent cx="5080000" cy="3810000"/>
            <wp:effectExtent l="4445" t="4445" r="5715" b="10795"/>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ageBreakBefore w:val="0"/>
        <w:widowControl w:val="0"/>
        <w:kinsoku/>
        <w:wordWrap/>
        <w:overflowPunct/>
        <w:topLinePunct w:val="0"/>
        <w:autoSpaceDE/>
        <w:autoSpaceDN/>
        <w:bidi w:val="0"/>
        <w:adjustRightInd/>
        <w:spacing w:line="576" w:lineRule="exact"/>
        <w:ind w:firstLine="386" w:firstLineChars="200"/>
        <w:textAlignment w:val="auto"/>
        <w:rPr>
          <w:rFonts w:hint="eastAsia" w:ascii="Times New Roman" w:hAnsi="Times New Roman"/>
          <w:lang w:val="en-US" w:eastAsia="zh-CN"/>
        </w:rPr>
      </w:pPr>
    </w:p>
    <w:p>
      <w:pPr>
        <w:pStyle w:val="2"/>
        <w:pageBreakBefore w:val="0"/>
        <w:widowControl w:val="0"/>
        <w:kinsoku/>
        <w:wordWrap/>
        <w:overflowPunct/>
        <w:topLinePunct w:val="0"/>
        <w:autoSpaceDE/>
        <w:autoSpaceDN/>
        <w:bidi w:val="0"/>
        <w:adjustRightInd/>
        <w:spacing w:line="576" w:lineRule="exact"/>
        <w:ind w:firstLine="446" w:firstLineChars="200"/>
        <w:textAlignment w:val="auto"/>
        <w:rPr>
          <w:rFonts w:hint="eastAsia" w:ascii="Times New Roman" w:hAnsi="Times New Roman"/>
          <w:lang w:val="en-US" w:eastAsia="zh-CN"/>
        </w:rPr>
      </w:pPr>
    </w:p>
    <w:p>
      <w:pPr>
        <w:pageBreakBefore w:val="0"/>
        <w:widowControl w:val="0"/>
        <w:kinsoku/>
        <w:wordWrap/>
        <w:overflowPunct/>
        <w:topLinePunct w:val="0"/>
        <w:autoSpaceDE/>
        <w:autoSpaceDN/>
        <w:bidi w:val="0"/>
        <w:adjustRightInd/>
        <w:spacing w:line="576" w:lineRule="exact"/>
        <w:ind w:firstLine="386" w:firstLineChars="200"/>
        <w:textAlignment w:val="auto"/>
        <w:rPr>
          <w:rFonts w:hint="eastAsia" w:ascii="Times New Roman" w:hAnsi="Times New Roman"/>
          <w:lang w:val="en-US" w:eastAsia="zh-CN"/>
        </w:rPr>
      </w:pPr>
    </w:p>
    <w:p>
      <w:pPr>
        <w:pStyle w:val="2"/>
        <w:pageBreakBefore w:val="0"/>
        <w:widowControl w:val="0"/>
        <w:tabs>
          <w:tab w:val="left" w:pos="1400"/>
        </w:tabs>
        <w:kinsoku/>
        <w:wordWrap/>
        <w:overflowPunct/>
        <w:topLinePunct w:val="0"/>
        <w:autoSpaceDE/>
        <w:autoSpaceDN/>
        <w:bidi w:val="0"/>
        <w:adjustRightInd/>
        <w:spacing w:line="576" w:lineRule="exact"/>
        <w:textAlignment w:val="auto"/>
        <w:rPr>
          <w:rFonts w:hint="eastAsia" w:ascii="Times New Roman" w:hAnsi="Times New Roman"/>
          <w:lang w:eastAsia="zh-CN"/>
        </w:rPr>
      </w:pPr>
      <w:bookmarkStart w:id="24" w:name="_Toc15377209"/>
      <w:bookmarkStart w:id="25" w:name="_Toc15396607"/>
    </w:p>
    <w:p>
      <w:pPr>
        <w:pStyle w:val="2"/>
        <w:tabs>
          <w:tab w:val="left" w:pos="766"/>
        </w:tabs>
        <w:rPr>
          <w:rFonts w:hint="eastAsia"/>
          <w:lang w:val="en-US" w:eastAsia="zh-CN"/>
        </w:rPr>
      </w:pPr>
    </w:p>
    <w:p>
      <w:pPr>
        <w:rPr>
          <w:rFonts w:hint="eastAsia"/>
          <w:lang w:val="en-US" w:eastAsia="zh-CN"/>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五、一般公共预算财政拨款支出决算情况说明</w:t>
      </w:r>
      <w:bookmarkEnd w:id="24"/>
      <w:bookmarkEnd w:id="25"/>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rPr>
      </w:pPr>
      <w:bookmarkStart w:id="26" w:name="_Toc15377210"/>
      <w:r>
        <w:rPr>
          <w:rFonts w:hint="eastAsia" w:ascii="Times New Roman" w:hAnsi="Times New Roman" w:eastAsia="方正楷体_GBK" w:cs="方正楷体_GBK"/>
          <w:b w:val="0"/>
          <w:bCs/>
          <w:color w:val="auto"/>
          <w:sz w:val="32"/>
          <w:szCs w:val="32"/>
          <w:highlight w:val="none"/>
          <w:u w:val="none"/>
          <w:lang w:val="zh-CN"/>
        </w:rPr>
        <w:t>（一）一般公共预算财政拨款支出决算总体情况</w:t>
      </w:r>
      <w:bookmarkEnd w:id="26"/>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一般公共预算财政拨款支出922.46万元，占本年支出合计的100%。与上年度相比，一般公共预算财政拨款支出增加281.82万元，增长43.99%。主要变动原因一是2025年配合巡视工作，巡察工作量增加，二是因人员变动。</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（图5：一般公共预算财政拨款支出决算变动情况）（柱状图）</w:t>
      </w: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Style w:val="15"/>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Style w:val="15"/>
        <w:keepNext w:val="0"/>
        <w:keepLines w:val="0"/>
        <w:pageBreakBefore w:val="0"/>
        <w:widowControl w:val="0"/>
        <w:kinsoku/>
        <w:wordWrap/>
        <w:overflowPunct/>
        <w:topLinePunct w:val="0"/>
        <w:autoSpaceDE/>
        <w:autoSpaceDN/>
        <w:bidi w:val="0"/>
        <w:adjustRightInd/>
        <w:snapToGrid/>
        <w:spacing w:line="576" w:lineRule="exact"/>
        <w:ind w:left="0" w:leftChars="0" w:firstLine="386" w:firstLineChars="200"/>
        <w:textAlignment w:val="auto"/>
        <w:rPr>
          <w:rFonts w:hint="eastAsia" w:ascii="Times New Roman" w:hAnsi="Times New Roman"/>
          <w:lang w:val="en-US" w:eastAsia="zh-CN"/>
        </w:rPr>
      </w:pPr>
    </w:p>
    <w:p>
      <w:pPr>
        <w:pageBreakBefore w:val="0"/>
        <w:widowControl w:val="0"/>
        <w:kinsoku/>
        <w:wordWrap/>
        <w:overflowPunct/>
        <w:topLinePunct w:val="0"/>
        <w:autoSpaceDE/>
        <w:autoSpaceDN/>
        <w:bidi w:val="0"/>
        <w:adjustRightInd/>
        <w:snapToGrid/>
        <w:spacing w:line="576" w:lineRule="exact"/>
        <w:ind w:firstLine="386" w:firstLineChars="200"/>
        <w:textAlignment w:val="auto"/>
        <w:outlineLvl w:val="2"/>
        <w:rPr>
          <w:rFonts w:hint="eastAsia" w:ascii="Times New Roman" w:hAnsi="Times New Roman" w:eastAsia="楷体_GB2312" w:cs="楷体_GB2312"/>
          <w:b/>
          <w:color w:val="auto"/>
          <w:sz w:val="32"/>
          <w:szCs w:val="32"/>
          <w:highlight w:val="none"/>
        </w:rPr>
      </w:pPr>
      <w:bookmarkStart w:id="27" w:name="_Toc15377211"/>
      <w:r>
        <w:rPr>
          <w:rFonts w:hint="eastAsia" w:ascii="Times New Roman" w:hAnsi="Times New Roman"/>
          <w:lang w:val="en-US" w:eastAsia="zh-CN"/>
        </w:rPr>
        <w:drawing>
          <wp:anchor distT="0" distB="0" distL="114300" distR="114300" simplePos="0" relativeHeight="251667456" behindDoc="0" locked="1" layoutInCell="1" allowOverlap="0">
            <wp:simplePos x="0" y="0"/>
            <wp:positionH relativeFrom="column">
              <wp:posOffset>228600</wp:posOffset>
            </wp:positionH>
            <wp:positionV relativeFrom="page">
              <wp:posOffset>1473200</wp:posOffset>
            </wp:positionV>
            <wp:extent cx="5080000" cy="3810000"/>
            <wp:effectExtent l="4445" t="4445" r="5715" b="10795"/>
            <wp:wrapNone/>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2"/>
        <w:rPr>
          <w:rFonts w:hint="eastAsia" w:ascii="Times New Roman" w:hAnsi="Times New Roman" w:eastAsia="楷体_GB2312" w:cs="楷体_GB2312"/>
          <w:b/>
          <w:color w:val="auto"/>
          <w:sz w:val="32"/>
          <w:szCs w:val="32"/>
          <w:highlight w:val="none"/>
        </w:rPr>
      </w:pPr>
    </w:p>
    <w:p>
      <w:pPr>
        <w:pStyle w:val="2"/>
        <w:rPr>
          <w:rFonts w:hint="eastAsia" w:ascii="Times New Roman" w:hAnsi="Times New Roman" w:eastAsia="楷体" w:cs="楷体"/>
          <w:b w:val="0"/>
          <w:bCs/>
          <w:color w:val="auto"/>
          <w:sz w:val="32"/>
          <w:szCs w:val="32"/>
          <w:highlight w:val="none"/>
        </w:rPr>
      </w:pPr>
    </w:p>
    <w:p>
      <w:pPr>
        <w:rPr>
          <w:rFonts w:hint="eastAsia"/>
        </w:rPr>
      </w:pP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rPr>
      </w:pPr>
      <w:r>
        <w:rPr>
          <w:rFonts w:hint="eastAsia" w:ascii="Times New Roman" w:hAnsi="Times New Roman" w:eastAsia="方正楷体_GBK" w:cs="方正楷体_GBK"/>
          <w:b w:val="0"/>
          <w:bCs/>
          <w:color w:val="auto"/>
          <w:sz w:val="32"/>
          <w:szCs w:val="32"/>
          <w:highlight w:val="none"/>
          <w:u w:val="none"/>
          <w:lang w:val="zh-CN"/>
        </w:rPr>
        <w:t>（二）一般公共预算财政拨款支出决算结构情况</w:t>
      </w:r>
      <w:bookmarkEnd w:id="27"/>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2025年度一般公共预算财政拨款支出922.46万元，主要用于以下方面：一般公共服务支出768.06万元，占83.26%；社会保障和就业支出80.72万元，占8.75%；卫生健康支出29.26万元，占3.17%；住房保障支出44.42万元，占4.82%。</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（图6：一般公共预算财政拨款支出决算结构）（饼状图）</w:t>
      </w:r>
    </w:p>
    <w:p>
      <w:pPr>
        <w:pStyle w:val="15"/>
        <w:pageBreakBefore w:val="0"/>
        <w:widowControl w:val="0"/>
        <w:kinsoku/>
        <w:wordWrap/>
        <w:overflowPunct/>
        <w:topLinePunct w:val="0"/>
        <w:autoSpaceDE/>
        <w:autoSpaceDN/>
        <w:bidi w:val="0"/>
        <w:adjustRightInd/>
        <w:snapToGrid/>
        <w:spacing w:line="576" w:lineRule="exact"/>
        <w:ind w:left="0" w:leftChars="0" w:firstLine="606"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napToGrid/>
        <w:spacing w:line="576" w:lineRule="exact"/>
        <w:ind w:firstLine="386" w:firstLineChars="200"/>
        <w:textAlignment w:val="auto"/>
        <w:rPr>
          <w:rFonts w:hint="eastAsia" w:ascii="Times New Roman" w:hAnsi="Times New Roman"/>
          <w:lang w:val="en-US" w:eastAsia="zh-CN"/>
        </w:rPr>
      </w:pPr>
    </w:p>
    <w:p>
      <w:pPr>
        <w:pStyle w:val="15"/>
        <w:pageBreakBefore w:val="0"/>
        <w:widowControl w:val="0"/>
        <w:kinsoku/>
        <w:wordWrap/>
        <w:overflowPunct/>
        <w:topLinePunct w:val="0"/>
        <w:autoSpaceDE/>
        <w:autoSpaceDN/>
        <w:bidi w:val="0"/>
        <w:adjustRightInd/>
        <w:snapToGrid/>
        <w:spacing w:line="576" w:lineRule="exact"/>
        <w:ind w:firstLine="386" w:firstLineChars="200"/>
        <w:textAlignment w:val="auto"/>
        <w:rPr>
          <w:rFonts w:hint="eastAsia" w:ascii="Times New Roman" w:hAnsi="Times New Roman"/>
          <w:lang w:val="en-US" w:eastAsia="zh-CN"/>
        </w:rPr>
      </w:pPr>
    </w:p>
    <w:p>
      <w:pPr>
        <w:pageBreakBefore w:val="0"/>
        <w:widowControl w:val="0"/>
        <w:kinsoku/>
        <w:wordWrap/>
        <w:overflowPunct/>
        <w:topLinePunct w:val="0"/>
        <w:autoSpaceDE/>
        <w:autoSpaceDN/>
        <w:bidi w:val="0"/>
        <w:adjustRightInd/>
        <w:snapToGrid/>
        <w:spacing w:line="576" w:lineRule="exact"/>
        <w:ind w:firstLine="386" w:firstLineChars="200"/>
        <w:textAlignment w:val="auto"/>
        <w:rPr>
          <w:rFonts w:hint="eastAsia" w:ascii="Times New Roman" w:hAnsi="Times New Roman"/>
          <w:lang w:val="en-US" w:eastAsia="zh-CN"/>
        </w:rPr>
      </w:pPr>
    </w:p>
    <w:p>
      <w:pPr>
        <w:pageBreakBefore w:val="0"/>
        <w:widowControl w:val="0"/>
        <w:kinsoku/>
        <w:wordWrap/>
        <w:overflowPunct/>
        <w:topLinePunct w:val="0"/>
        <w:autoSpaceDE/>
        <w:autoSpaceDN/>
        <w:bidi w:val="0"/>
        <w:adjustRightInd/>
        <w:snapToGrid/>
        <w:spacing w:line="576" w:lineRule="exact"/>
        <w:textAlignment w:val="auto"/>
        <w:rPr>
          <w:rFonts w:hint="eastAsia" w:ascii="Times New Roman" w:hAnsi="Times New Roman"/>
          <w:lang w:val="en-US" w:eastAsia="zh-CN"/>
        </w:rPr>
      </w:pPr>
    </w:p>
    <w:p>
      <w:pPr>
        <w:pStyle w:val="15"/>
        <w:pageBreakBefore w:val="0"/>
        <w:widowControl w:val="0"/>
        <w:kinsoku/>
        <w:wordWrap/>
        <w:overflowPunct/>
        <w:topLinePunct w:val="0"/>
        <w:autoSpaceDE/>
        <w:autoSpaceDN/>
        <w:bidi w:val="0"/>
        <w:adjustRightInd/>
        <w:snapToGrid/>
        <w:spacing w:line="576" w:lineRule="exact"/>
        <w:ind w:firstLine="386" w:firstLineChars="200"/>
        <w:textAlignment w:val="auto"/>
        <w:rPr>
          <w:rFonts w:hint="eastAsia" w:ascii="Times New Roman" w:hAnsi="Times New Roman"/>
          <w:lang w:val="en-US" w:eastAsia="zh-CN"/>
        </w:rPr>
      </w:pPr>
    </w:p>
    <w:p>
      <w:pPr>
        <w:pageBreakBefore w:val="0"/>
        <w:widowControl w:val="0"/>
        <w:kinsoku/>
        <w:wordWrap/>
        <w:overflowPunct/>
        <w:topLinePunct w:val="0"/>
        <w:autoSpaceDE/>
        <w:autoSpaceDN/>
        <w:bidi w:val="0"/>
        <w:adjustRightInd/>
        <w:snapToGrid/>
        <w:spacing w:line="576" w:lineRule="exact"/>
        <w:ind w:firstLine="386" w:firstLineChars="200"/>
        <w:textAlignment w:val="auto"/>
        <w:rPr>
          <w:rFonts w:hint="eastAsia" w:ascii="Times New Roman" w:hAnsi="Times New Roman"/>
          <w:lang w:val="en-US" w:eastAsia="zh-CN"/>
        </w:rPr>
      </w:pPr>
    </w:p>
    <w:p>
      <w:pPr>
        <w:pStyle w:val="15"/>
        <w:pageBreakBefore w:val="0"/>
        <w:widowControl w:val="0"/>
        <w:kinsoku/>
        <w:wordWrap/>
        <w:overflowPunct/>
        <w:topLinePunct w:val="0"/>
        <w:autoSpaceDE/>
        <w:autoSpaceDN/>
        <w:bidi w:val="0"/>
        <w:adjustRightInd/>
        <w:snapToGrid/>
        <w:spacing w:line="576" w:lineRule="exact"/>
        <w:ind w:firstLine="386" w:firstLineChars="200"/>
        <w:textAlignment w:val="auto"/>
        <w:rPr>
          <w:rFonts w:hint="eastAsia" w:ascii="Times New Roman" w:hAnsi="Times New Roman"/>
          <w:lang w:val="en-US" w:eastAsia="zh-CN"/>
        </w:rPr>
      </w:pPr>
    </w:p>
    <w:p>
      <w:pPr>
        <w:pageBreakBefore w:val="0"/>
        <w:widowControl w:val="0"/>
        <w:kinsoku/>
        <w:wordWrap/>
        <w:overflowPunct/>
        <w:topLinePunct w:val="0"/>
        <w:autoSpaceDE/>
        <w:autoSpaceDN/>
        <w:bidi w:val="0"/>
        <w:adjustRightInd/>
        <w:snapToGrid/>
        <w:spacing w:line="576" w:lineRule="exact"/>
        <w:ind w:firstLine="386" w:firstLineChars="200"/>
        <w:textAlignment w:val="auto"/>
        <w:rPr>
          <w:rFonts w:hint="eastAsia" w:ascii="Times New Roman" w:hAnsi="Times New Roman"/>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ind w:firstLine="386"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lang w:val="en-US" w:eastAsia="zh-CN"/>
        </w:rPr>
        <w:drawing>
          <wp:anchor distT="0" distB="0" distL="114300" distR="114300" simplePos="0" relativeHeight="251663360" behindDoc="0" locked="1" layoutInCell="1" allowOverlap="0">
            <wp:simplePos x="0" y="0"/>
            <wp:positionH relativeFrom="column">
              <wp:posOffset>228600</wp:posOffset>
            </wp:positionH>
            <wp:positionV relativeFrom="page">
              <wp:posOffset>1412875</wp:posOffset>
            </wp:positionV>
            <wp:extent cx="5080000" cy="3810000"/>
            <wp:effectExtent l="4445" t="4445" r="20955" b="14605"/>
            <wp:wrapNone/>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2"/>
        <w:rPr>
          <w:rFonts w:hint="eastAsia" w:ascii="Times New Roman" w:hAnsi="Times New Roman" w:eastAsia="楷体_GB2312" w:cs="楷体_GB2312"/>
          <w:b/>
          <w:color w:val="auto"/>
          <w:sz w:val="32"/>
          <w:szCs w:val="32"/>
          <w:highlight w:val="none"/>
        </w:rPr>
      </w:pPr>
      <w:bookmarkStart w:id="28" w:name="_Toc15377212"/>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2"/>
        <w:rPr>
          <w:rFonts w:hint="eastAsia" w:ascii="Times New Roman" w:hAnsi="Times New Roman" w:eastAsia="楷体_GB2312" w:cs="楷体_GB2312"/>
          <w:b/>
          <w:color w:val="auto"/>
          <w:sz w:val="32"/>
          <w:szCs w:val="32"/>
          <w:highlight w:val="none"/>
        </w:rPr>
      </w:pPr>
    </w:p>
    <w:p>
      <w:pPr>
        <w:pageBreakBefore w:val="0"/>
        <w:widowControl w:val="0"/>
        <w:kinsoku/>
        <w:wordWrap/>
        <w:overflowPunct/>
        <w:topLinePunct w:val="0"/>
        <w:autoSpaceDE/>
        <w:autoSpaceDN/>
        <w:bidi w:val="0"/>
        <w:adjustRightInd/>
        <w:snapToGrid/>
        <w:spacing w:line="576" w:lineRule="exact"/>
        <w:textAlignment w:val="auto"/>
        <w:outlineLvl w:val="2"/>
        <w:rPr>
          <w:rFonts w:hint="eastAsia" w:ascii="Times New Roman" w:hAnsi="Times New Roman" w:eastAsia="楷体" w:cs="楷体"/>
          <w:b w:val="0"/>
          <w:bCs/>
          <w:color w:val="auto"/>
          <w:sz w:val="32"/>
          <w:szCs w:val="32"/>
          <w:highlight w:val="none"/>
        </w:rPr>
      </w:pP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rPr>
      </w:pPr>
      <w:r>
        <w:rPr>
          <w:rFonts w:hint="eastAsia" w:ascii="Times New Roman" w:hAnsi="Times New Roman" w:eastAsia="方正楷体_GBK" w:cs="方正楷体_GBK"/>
          <w:b w:val="0"/>
          <w:bCs/>
          <w:color w:val="auto"/>
          <w:sz w:val="32"/>
          <w:szCs w:val="32"/>
          <w:highlight w:val="none"/>
          <w:u w:val="none"/>
          <w:lang w:val="zh-CN"/>
        </w:rPr>
        <w:t>（三）一般公共预算财政拨款支出决算具体情况</w:t>
      </w:r>
      <w:bookmarkEnd w:id="28"/>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29" w:name="_Toc15378460"/>
      <w:bookmarkStart w:id="30" w:name="_Toc15377444"/>
      <w:bookmarkStart w:id="31" w:name="_Toc15377213"/>
      <w:r>
        <w:rPr>
          <w:rFonts w:hint="eastAsia" w:ascii="Times New Roman" w:hAnsi="Times New Roman" w:eastAsia="方正仿宋_GBK" w:cs="方正仿宋_GBK"/>
          <w:color w:val="auto"/>
          <w:kern w:val="2"/>
          <w:sz w:val="32"/>
          <w:szCs w:val="32"/>
          <w:highlight w:val="none"/>
          <w:lang w:val="en-US" w:eastAsia="zh-CN" w:bidi="ar-SA"/>
        </w:rPr>
        <w:t>2025年度一般公共预算支出决算数为922.46万元，完成预算100%。其中：</w:t>
      </w:r>
      <w:bookmarkEnd w:id="29"/>
      <w:bookmarkEnd w:id="30"/>
      <w:bookmarkEnd w:id="31"/>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1.一般公共服务（201）纪检监察事务（11）行政运行（01）：</w:t>
      </w:r>
      <w:r>
        <w:rPr>
          <w:rFonts w:hint="eastAsia" w:ascii="Times New Roman" w:hAnsi="Times New Roman" w:eastAsia="方正仿宋_GBK" w:cs="方正仿宋_GBK"/>
          <w:color w:val="auto"/>
          <w:kern w:val="2"/>
          <w:sz w:val="32"/>
          <w:szCs w:val="32"/>
          <w:highlight w:val="none"/>
          <w:lang w:val="en-US" w:eastAsia="zh-CN" w:bidi="ar-SA"/>
        </w:rPr>
        <w:t>支出决算为462.81万元，完成预算100%，决算数等于预算数持平；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一般行政管理事务（02）：</w:t>
      </w:r>
      <w:r>
        <w:rPr>
          <w:rFonts w:hint="eastAsia" w:ascii="Times New Roman" w:hAnsi="Times New Roman" w:eastAsia="方正仿宋_GBK" w:cs="方正仿宋_GBK"/>
          <w:color w:val="auto"/>
          <w:kern w:val="2"/>
          <w:sz w:val="32"/>
          <w:szCs w:val="32"/>
          <w:highlight w:val="none"/>
          <w:lang w:val="en-US" w:eastAsia="zh-CN" w:bidi="ar-SA"/>
        </w:rPr>
        <w:t>支出决算为117.46万元，完成预算100%，决算数等于预算数持平；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巡视工作（06）：</w:t>
      </w:r>
      <w:r>
        <w:rPr>
          <w:rFonts w:hint="eastAsia" w:ascii="Times New Roman" w:hAnsi="Times New Roman" w:eastAsia="方正仿宋_GBK" w:cs="方正仿宋_GBK"/>
          <w:color w:val="auto"/>
          <w:kern w:val="2"/>
          <w:sz w:val="32"/>
          <w:szCs w:val="32"/>
          <w:highlight w:val="none"/>
          <w:lang w:val="en-US" w:eastAsia="zh-CN" w:bidi="ar-SA"/>
        </w:rPr>
        <w:t>支出决算为187.79万元，完成预算100%，决算数等于预算数持平。</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2.社会保障和就业（208）行政事业单位养老（05）机关事业单位基本养老保险缴费（05）：</w:t>
      </w:r>
      <w:r>
        <w:rPr>
          <w:rFonts w:hint="eastAsia" w:ascii="Times New Roman" w:hAnsi="Times New Roman" w:eastAsia="方正仿宋_GBK" w:cs="方正仿宋_GBK"/>
          <w:color w:val="auto"/>
          <w:kern w:val="2"/>
          <w:sz w:val="32"/>
          <w:szCs w:val="32"/>
          <w:highlight w:val="none"/>
          <w:lang w:val="en-US" w:eastAsia="zh-CN" w:bidi="ar-SA"/>
        </w:rPr>
        <w:t>支出决算为53.87万元，完成预算100%，决算数等于预算数持平；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机关事业单位职业年金缴费（06）：</w:t>
      </w:r>
      <w:r>
        <w:rPr>
          <w:rFonts w:hint="eastAsia" w:ascii="Times New Roman" w:hAnsi="Times New Roman" w:eastAsia="方正仿宋_GBK" w:cs="方正仿宋_GBK"/>
          <w:color w:val="auto"/>
          <w:kern w:val="2"/>
          <w:sz w:val="32"/>
          <w:szCs w:val="32"/>
          <w:highlight w:val="none"/>
          <w:lang w:val="en-US" w:eastAsia="zh-CN" w:bidi="ar-SA"/>
        </w:rPr>
        <w:t>支出决算为26.85万元，完成预算100%，决算数等于预算数持平。</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3.卫生健康（210）行政事业单位医疗（11）行政单位医疗（01）：</w:t>
      </w:r>
      <w:r>
        <w:rPr>
          <w:rFonts w:hint="eastAsia" w:ascii="Times New Roman" w:hAnsi="Times New Roman" w:eastAsia="方正仿宋_GBK" w:cs="方正仿宋_GBK"/>
          <w:color w:val="auto"/>
          <w:kern w:val="2"/>
          <w:sz w:val="32"/>
          <w:szCs w:val="32"/>
          <w:highlight w:val="none"/>
          <w:lang w:val="en-US" w:eastAsia="zh-CN" w:bidi="ar-SA"/>
        </w:rPr>
        <w:t>支出决算为25.28万元，完成预算100%，决算数等于预算数持平；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公务员医疗补助（03）：</w:t>
      </w:r>
      <w:r>
        <w:rPr>
          <w:rFonts w:hint="eastAsia" w:ascii="Times New Roman" w:hAnsi="Times New Roman" w:eastAsia="方正仿宋_GBK" w:cs="方正仿宋_GBK"/>
          <w:color w:val="auto"/>
          <w:kern w:val="2"/>
          <w:sz w:val="32"/>
          <w:szCs w:val="32"/>
          <w:highlight w:val="none"/>
          <w:lang w:val="en-US" w:eastAsia="zh-CN" w:bidi="ar-SA"/>
        </w:rPr>
        <w:t>支出决算为3.98万元，完成预算100%，决算数等于预算数持平。</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4.住房保障支出（221）住房改革支出（02）住房公积金（01）:</w:t>
      </w:r>
      <w:r>
        <w:rPr>
          <w:rFonts w:hint="eastAsia" w:ascii="Times New Roman" w:hAnsi="Times New Roman" w:eastAsia="方正仿宋_GBK" w:cs="方正仿宋_GBK"/>
          <w:color w:val="auto"/>
          <w:kern w:val="2"/>
          <w:sz w:val="32"/>
          <w:szCs w:val="32"/>
          <w:highlight w:val="none"/>
          <w:lang w:val="en-US" w:eastAsia="zh-CN" w:bidi="ar-SA"/>
        </w:rPr>
        <w:t>支出决算为43.22万元，完成预算100%，决算数等于预算数持平；</w:t>
      </w:r>
      <w:r>
        <w:rPr>
          <w:rFonts w:hint="eastAsia" w:ascii="Times New Roman" w:hAnsi="Times New Roman" w:eastAsia="方正仿宋_GBK" w:cs="方正仿宋_GBK"/>
          <w:b/>
          <w:bCs/>
          <w:color w:val="auto"/>
          <w:kern w:val="2"/>
          <w:sz w:val="32"/>
          <w:szCs w:val="32"/>
          <w:highlight w:val="none"/>
          <w:lang w:val="en-US" w:eastAsia="zh-CN" w:bidi="ar-SA"/>
        </w:rPr>
        <w:t>购房补贴（03）：</w:t>
      </w:r>
      <w:r>
        <w:rPr>
          <w:rFonts w:hint="eastAsia" w:ascii="Times New Roman" w:hAnsi="Times New Roman" w:eastAsia="方正仿宋_GBK" w:cs="方正仿宋_GBK"/>
          <w:color w:val="auto"/>
          <w:kern w:val="2"/>
          <w:sz w:val="32"/>
          <w:szCs w:val="32"/>
          <w:highlight w:val="none"/>
          <w:lang w:val="en-US" w:eastAsia="zh-CN" w:bidi="ar-SA"/>
        </w:rPr>
        <w:t>支出决算为1.2万元，完成预算100%，决算数等于预算数持平。</w:t>
      </w:r>
    </w:p>
    <w:p>
      <w:pPr>
        <w:pageBreakBefore w:val="0"/>
        <w:widowControl w:val="0"/>
        <w:tabs>
          <w:tab w:val="right" w:pos="8306"/>
        </w:tabs>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bookmarkStart w:id="32" w:name="_Toc15396608"/>
      <w:bookmarkStart w:id="33" w:name="_Toc15377214"/>
      <w:r>
        <w:rPr>
          <w:rFonts w:hint="eastAsia" w:ascii="Times New Roman" w:hAnsi="Times New Roman" w:eastAsia="方正黑体简体" w:cs="方正黑体简体"/>
          <w:color w:val="auto"/>
          <w:kern w:val="2"/>
          <w:sz w:val="32"/>
          <w:szCs w:val="32"/>
          <w:highlight w:val="none"/>
          <w:lang w:val="en-US" w:eastAsia="zh-CN" w:bidi="ar-SA"/>
        </w:rPr>
        <w:t>六、一般公共预算财政拨款基本支出决算情况说明</w:t>
      </w:r>
      <w:bookmarkEnd w:id="32"/>
      <w:bookmarkEnd w:id="33"/>
      <w:r>
        <w:rPr>
          <w:rFonts w:hint="eastAsia" w:ascii="Times New Roman" w:hAnsi="Times New Roman" w:eastAsia="方正黑体简体" w:cs="方正黑体简体"/>
          <w:color w:val="auto"/>
          <w:kern w:val="2"/>
          <w:sz w:val="32"/>
          <w:szCs w:val="32"/>
          <w:highlight w:val="none"/>
          <w:lang w:val="en-US" w:eastAsia="zh-CN" w:bidi="ar-SA"/>
        </w:rPr>
        <w:tab/>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2025年度一般公共预算财政拨款基本支出617.21万元，其中：</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人员经费551.03万元，主要包括：基本工资、津贴补贴、奖金、绩效工资、机关事业单位基本养老保险缴费、职业年金缴费、其他社会保障缴费、生活补助、奖励金、住房公积金、其他对个人和家庭的补助支出等。</w:t>
      </w:r>
      <w:r>
        <w:rPr>
          <w:rFonts w:hint="eastAsia" w:ascii="Times New Roman" w:hAnsi="Times New Roman" w:eastAsia="方正仿宋_GBK" w:cs="方正仿宋_GBK"/>
          <w:color w:val="auto"/>
          <w:kern w:val="2"/>
          <w:sz w:val="32"/>
          <w:szCs w:val="32"/>
          <w:highlight w:val="none"/>
          <w:lang w:val="en-US" w:eastAsia="zh-CN" w:bidi="ar-SA"/>
        </w:rPr>
        <w:br w:type="textWrapping"/>
      </w:r>
      <w:r>
        <w:rPr>
          <w:rFonts w:hint="eastAsia" w:ascii="Times New Roman" w:hAnsi="Times New Roman" w:eastAsia="方正仿宋_GBK" w:cs="方正仿宋_GBK"/>
          <w:color w:val="auto"/>
          <w:kern w:val="2"/>
          <w:sz w:val="32"/>
          <w:szCs w:val="32"/>
          <w:highlight w:val="none"/>
          <w:lang w:val="en-US" w:eastAsia="zh-CN" w:bidi="ar-SA"/>
        </w:rPr>
        <w:t>　　公用经费66.18万元，主要包括：办公费、水费、电费、邮电费、差旅费、维修（护）费、租赁费、福利费、公务用车运行维护费、其他商品和服务支出等。</w:t>
      </w:r>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bookmarkStart w:id="34" w:name="_Toc15396609"/>
      <w:bookmarkStart w:id="35" w:name="_Toc15377215"/>
      <w:r>
        <w:rPr>
          <w:rFonts w:hint="eastAsia" w:ascii="Times New Roman" w:hAnsi="Times New Roman" w:eastAsia="方正黑体简体" w:cs="方正黑体简体"/>
          <w:color w:val="auto"/>
          <w:kern w:val="2"/>
          <w:sz w:val="32"/>
          <w:szCs w:val="32"/>
          <w:highlight w:val="none"/>
          <w:lang w:val="en-US" w:eastAsia="zh-CN" w:bidi="ar-SA"/>
        </w:rPr>
        <w:t>七、财政拨款“三公”经费支出决算情况说明</w:t>
      </w:r>
      <w:bookmarkEnd w:id="34"/>
      <w:bookmarkEnd w:id="35"/>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rPr>
      </w:pPr>
      <w:bookmarkStart w:id="36" w:name="_Toc15377216"/>
      <w:r>
        <w:rPr>
          <w:rFonts w:hint="eastAsia" w:ascii="Times New Roman" w:hAnsi="Times New Roman" w:eastAsia="方正楷体_GBK" w:cs="方正楷体_GBK"/>
          <w:b w:val="0"/>
          <w:bCs/>
          <w:color w:val="auto"/>
          <w:sz w:val="32"/>
          <w:szCs w:val="32"/>
          <w:highlight w:val="none"/>
          <w:u w:val="none"/>
          <w:lang w:val="zh-CN"/>
        </w:rPr>
        <w:t>（一）财政拨款“三公”经费支出决算总体情况说明</w:t>
      </w:r>
      <w:bookmarkEnd w:id="36"/>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2025年度财政拨款“三公”经费支出决算为13.73万元，完成预算100%，较上年度减少1.36万元，下降9.01%。决算数等于预算数持平。</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rPr>
      </w:pPr>
      <w:bookmarkStart w:id="37" w:name="_Toc15377217"/>
      <w:r>
        <w:rPr>
          <w:rFonts w:hint="eastAsia" w:ascii="Times New Roman" w:hAnsi="Times New Roman" w:eastAsia="方正楷体_GBK" w:cs="方正楷体_GBK"/>
          <w:b w:val="0"/>
          <w:bCs/>
          <w:color w:val="auto"/>
          <w:sz w:val="32"/>
          <w:szCs w:val="32"/>
          <w:highlight w:val="none"/>
          <w:u w:val="none"/>
          <w:lang w:val="zh-CN"/>
        </w:rPr>
        <w:t>（二）财政拨款“三公”经费支出决算具体情况说明</w:t>
      </w:r>
      <w:bookmarkEnd w:id="37"/>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2025年度财政拨款“三公”经费支出决算中，因公出国（境）费支出决算0万元，占0%；公务用车购置及运行维护费支出决算13.73万元，占100%；公务接待费支出决算0万元，占0%。具体情况如下：</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（图7：财政拨款“三公”经费支出结构）（饼状图）</w:t>
      </w:r>
    </w:p>
    <w:p>
      <w:pPr>
        <w:keepNext w:val="0"/>
        <w:keepLines w:val="0"/>
        <w:pageBreakBefore w:val="0"/>
        <w:widowControl w:val="0"/>
        <w:kinsoku/>
        <w:wordWrap/>
        <w:overflowPunct/>
        <w:topLinePunct w:val="0"/>
        <w:autoSpaceDE/>
        <w:autoSpaceDN/>
        <w:bidi w:val="0"/>
        <w:adjustRightInd/>
        <w:snapToGrid/>
        <w:spacing w:line="576" w:lineRule="exact"/>
        <w:ind w:firstLine="386" w:firstLineChars="200"/>
        <w:textAlignment w:val="auto"/>
        <w:rPr>
          <w:rFonts w:hint="eastAsia" w:ascii="Times New Roman" w:hAnsi="Times New Roman"/>
          <w:lang w:val="en-US" w:eastAsia="zh-CN"/>
        </w:rPr>
      </w:pPr>
      <w:r>
        <w:rPr>
          <w:rFonts w:hint="eastAsia" w:ascii="Times New Roman" w:hAnsi="Times New Roman"/>
          <w:lang w:val="en-US" w:eastAsia="zh-CN"/>
        </w:rPr>
        <w:drawing>
          <wp:anchor distT="0" distB="0" distL="114300" distR="114300" simplePos="0" relativeHeight="251664384" behindDoc="0" locked="1" layoutInCell="1" allowOverlap="0">
            <wp:simplePos x="0" y="0"/>
            <wp:positionH relativeFrom="column">
              <wp:posOffset>171450</wp:posOffset>
            </wp:positionH>
            <wp:positionV relativeFrom="page">
              <wp:posOffset>4036695</wp:posOffset>
            </wp:positionV>
            <wp:extent cx="5080000" cy="3810000"/>
            <wp:effectExtent l="4445" t="4445" r="20955" b="14605"/>
            <wp:wrapNone/>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eastAsia" w:ascii="Times New Roman" w:hAnsi="Times New Roman" w:eastAsia="仿宋_GB2312" w:cs="仿宋_GB2312"/>
          <w:b/>
          <w:bCs/>
          <w:color w:val="auto"/>
          <w:kern w:val="2"/>
          <w:sz w:val="32"/>
          <w:szCs w:val="32"/>
          <w:highlight w:val="none"/>
          <w:lang w:val="en-US" w:eastAsia="zh-CN" w:bidi="ar-SA"/>
        </w:rPr>
      </w:pPr>
    </w:p>
    <w:p>
      <w:pPr>
        <w:pStyle w:val="2"/>
        <w:pageBreakBefore w:val="0"/>
        <w:widowControl w:val="0"/>
        <w:kinsoku/>
        <w:wordWrap/>
        <w:overflowPunct/>
        <w:topLinePunct w:val="0"/>
        <w:autoSpaceDE/>
        <w:autoSpaceDN/>
        <w:bidi w:val="0"/>
        <w:adjustRightInd/>
        <w:spacing w:line="576" w:lineRule="exact"/>
        <w:textAlignment w:val="auto"/>
        <w:rPr>
          <w:rFonts w:hint="eastAsia" w:ascii="Times New Roman" w:hAnsi="Times New Roman"/>
          <w:lang w:val="en-US" w:eastAsia="zh-CN"/>
        </w:rPr>
      </w:pPr>
    </w:p>
    <w:p>
      <w:pPr>
        <w:rPr>
          <w:rFonts w:hint="eastAsia" w:ascii="Times New Roman" w:hAnsi="Times New Roman"/>
          <w:lang w:val="en-US" w:eastAsia="zh-CN"/>
        </w:rPr>
      </w:pPr>
    </w:p>
    <w:p>
      <w:pPr>
        <w:pageBreakBefore w:val="0"/>
        <w:widowControl w:val="0"/>
        <w:kinsoku/>
        <w:wordWrap/>
        <w:overflowPunct/>
        <w:topLinePunct w:val="0"/>
        <w:autoSpaceDE/>
        <w:autoSpaceDN/>
        <w:bidi w:val="0"/>
        <w:adjustRightInd/>
        <w:snapToGrid/>
        <w:spacing w:line="576" w:lineRule="exact"/>
        <w:ind w:firstLine="606"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1.因公出国（境）经费支出0万元，完成预算0%。</w:t>
      </w:r>
      <w:r>
        <w:rPr>
          <w:rFonts w:hint="eastAsia" w:ascii="Times New Roman" w:hAnsi="Times New Roman" w:eastAsia="方正仿宋_GBK" w:cs="方正仿宋_GBK"/>
          <w:color w:val="auto"/>
          <w:kern w:val="2"/>
          <w:sz w:val="32"/>
          <w:szCs w:val="32"/>
          <w:highlight w:val="none"/>
          <w:lang w:val="en-US" w:eastAsia="zh-CN" w:bidi="ar-SA"/>
        </w:rPr>
        <w:t>全年安排因公出国（境）团组0次，出国（境）0人。因公出国境支出决算与2024年一致。</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2.公务用车购置及运行维护费支出13.73万元，完成预算100%。</w:t>
      </w:r>
      <w:r>
        <w:rPr>
          <w:rFonts w:hint="eastAsia" w:ascii="Times New Roman" w:hAnsi="Times New Roman" w:eastAsia="方正仿宋_GBK" w:cs="方正仿宋_GBK"/>
          <w:color w:val="auto"/>
          <w:kern w:val="2"/>
          <w:sz w:val="32"/>
          <w:szCs w:val="32"/>
          <w:highlight w:val="none"/>
          <w:lang w:val="en-US" w:eastAsia="zh-CN" w:bidi="ar-SA"/>
        </w:rPr>
        <w:t>公务用车购置及运行维护费支出决算比上年度减少1.36万元，下降9.01%。主要原因是厉行节约，三公经费压缩。</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其中：公务用车购置支出0万元。全年按规定更新购置公务用车0辆，其中：轿车0辆、金额0万元，越野车0辆、金额0万元，载客汽车0辆、金额0万元。截至2025年12月31日，单位共有公务用车3辆，其中：越野车3辆。</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公务用车运行维护费支出13.73万元。主要用于巡察工作所需的公务用车燃料费、维修费、过路过桥费、保险费等支出。</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3.公务接待费支出0万元，完成预算0%。</w:t>
      </w:r>
      <w:r>
        <w:rPr>
          <w:rFonts w:hint="eastAsia" w:ascii="Times New Roman" w:hAnsi="Times New Roman" w:eastAsia="方正仿宋_GBK" w:cs="方正仿宋_GBK"/>
          <w:color w:val="auto"/>
          <w:kern w:val="2"/>
          <w:sz w:val="32"/>
          <w:szCs w:val="32"/>
          <w:highlight w:val="none"/>
          <w:lang w:val="en-US" w:eastAsia="zh-CN" w:bidi="ar-SA"/>
        </w:rPr>
        <w:t>公务接待费支出决算与上年度持平。其中：</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国内公务接待支出0万元。国内公务接待0批次，0人次（不包括陪同人员），共计支出0万元。</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外事接待支出0万元。外事接待0批次，0人次（不包括陪同人员），共计支出0万元。</w:t>
      </w:r>
      <w:bookmarkStart w:id="38" w:name="_Toc15396610"/>
      <w:bookmarkStart w:id="39" w:name="_Toc15377218"/>
    </w:p>
    <w:p>
      <w:pPr>
        <w:pageBreakBefore w:val="0"/>
        <w:widowControl w:val="0"/>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八、政府性基金预算支出决算情况说明</w:t>
      </w:r>
      <w:bookmarkEnd w:id="38"/>
      <w:bookmarkEnd w:id="39"/>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2025年度政府性基金预算财政拨款支出0万元，占本年支出合计的0%。与上年度相比持平。</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bookmarkStart w:id="40" w:name="_Toc15396611"/>
      <w:bookmarkStart w:id="41" w:name="_Toc15377219"/>
      <w:r>
        <w:rPr>
          <w:rFonts w:hint="eastAsia" w:ascii="Times New Roman" w:hAnsi="Times New Roman" w:eastAsia="方正黑体简体" w:cs="方正黑体简体"/>
          <w:color w:val="auto"/>
          <w:kern w:val="2"/>
          <w:sz w:val="32"/>
          <w:szCs w:val="32"/>
          <w:highlight w:val="none"/>
          <w:lang w:val="en-US" w:eastAsia="zh-CN" w:bidi="ar-SA"/>
        </w:rPr>
        <w:t>九、国有资本经营预算支出决算情况说明</w:t>
      </w:r>
      <w:bookmarkEnd w:id="40"/>
      <w:bookmarkEnd w:id="41"/>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2025年度国有资本经营预算财政拨款支出0万元，占本年支出合计的0%。与上年度相比持平。</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06" w:firstLineChars="200"/>
        <w:textAlignment w:val="auto"/>
        <w:outlineLvl w:val="1"/>
        <w:rPr>
          <w:rFonts w:hint="eastAsia" w:ascii="Times New Roman" w:hAnsi="Times New Roman" w:eastAsia="方正黑体简体" w:cs="方正黑体简体"/>
          <w:color w:val="auto"/>
          <w:kern w:val="2"/>
          <w:sz w:val="32"/>
          <w:szCs w:val="32"/>
          <w:highlight w:val="none"/>
          <w:lang w:val="en-US" w:eastAsia="zh-CN" w:bidi="ar-SA"/>
        </w:rPr>
      </w:pPr>
      <w:bookmarkStart w:id="42" w:name="_Toc15396612"/>
      <w:bookmarkStart w:id="43" w:name="_Toc15377221"/>
      <w:r>
        <w:rPr>
          <w:rFonts w:hint="eastAsia" w:ascii="Times New Roman" w:hAnsi="Times New Roman" w:eastAsia="方正黑体简体" w:cs="方正黑体简体"/>
          <w:color w:val="auto"/>
          <w:kern w:val="2"/>
          <w:sz w:val="32"/>
          <w:szCs w:val="32"/>
          <w:highlight w:val="none"/>
          <w:lang w:val="en-US" w:eastAsia="zh-CN" w:bidi="ar-SA"/>
        </w:rPr>
        <w:t>十、其他重要事项的情况说明</w:t>
      </w:r>
      <w:bookmarkEnd w:id="42"/>
      <w:bookmarkEnd w:id="43"/>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rPr>
      </w:pPr>
      <w:bookmarkStart w:id="44" w:name="_Toc15377222"/>
      <w:r>
        <w:rPr>
          <w:rFonts w:hint="eastAsia" w:ascii="Times New Roman" w:hAnsi="Times New Roman" w:eastAsia="方正楷体_GBK" w:cs="方正楷体_GBK"/>
          <w:b w:val="0"/>
          <w:bCs/>
          <w:color w:val="auto"/>
          <w:sz w:val="32"/>
          <w:szCs w:val="32"/>
          <w:highlight w:val="none"/>
          <w:u w:val="none"/>
          <w:lang w:val="zh-CN"/>
        </w:rPr>
        <w:t>（一）机关运行经费支出情况</w:t>
      </w:r>
      <w:bookmarkEnd w:id="44"/>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2025年度，中共阿坝州委巡察工作领导小组办公室机关运行经费支出66.18万元，比上年度增加8.75万元，增长15.24%。主要原因是人员增加。</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rPr>
      </w:pPr>
      <w:bookmarkStart w:id="45" w:name="_Toc15377223"/>
      <w:r>
        <w:rPr>
          <w:rFonts w:hint="eastAsia" w:ascii="Times New Roman" w:hAnsi="Times New Roman" w:eastAsia="方正楷体_GBK" w:cs="方正楷体_GBK"/>
          <w:b w:val="0"/>
          <w:bCs/>
          <w:color w:val="auto"/>
          <w:sz w:val="32"/>
          <w:szCs w:val="32"/>
          <w:highlight w:val="none"/>
          <w:u w:val="none"/>
          <w:lang w:val="zh-CN"/>
        </w:rPr>
        <w:t>（二）政府采购支出情况</w:t>
      </w:r>
      <w:bookmarkEnd w:id="45"/>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2025年度，中共阿坝州委巡察工作领导小组办公室政府采购支出总额1.05万元，其中：政府采购货物支出1.05万元、政府采购工程支出0万元、政府采购服务支出0万元。主要用于办公设备。授予中小企业合同金额0万元，占政府采购支出总额的0%，其中：授予小微企业合同金额0万元，占政府采购支出总额的0%。</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rPr>
      </w:pPr>
      <w:bookmarkStart w:id="46" w:name="_Toc15377224"/>
      <w:r>
        <w:rPr>
          <w:rFonts w:hint="eastAsia" w:ascii="Times New Roman" w:hAnsi="Times New Roman" w:eastAsia="方正楷体_GBK" w:cs="方正楷体_GBK"/>
          <w:b w:val="0"/>
          <w:bCs/>
          <w:color w:val="auto"/>
          <w:sz w:val="32"/>
          <w:szCs w:val="32"/>
          <w:highlight w:val="none"/>
          <w:u w:val="none"/>
          <w:lang w:val="zh-CN"/>
        </w:rPr>
        <w:t>（三）国有资产占有使用情况</w:t>
      </w:r>
      <w:bookmarkEnd w:id="46"/>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截至2025年12月31日，中共阿坝州委巡察工作领导小组办公室共有车辆3辆，其中：副部（省）级及以上领导用车0辆、主要负责人用车0辆、机要通信用车0辆、应急保障用车0辆、执法执勤用车0辆、特种专业技术用车0辆、离退休干部服务用车0辆、其他用车3辆，其他用车主要是用于单位日常公务出行、基层调研督导等工作。单价100万元（含）以上设备（不含车辆）0台（套）。</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rPr>
      </w:pPr>
      <w:r>
        <w:rPr>
          <w:rFonts w:hint="eastAsia" w:ascii="Times New Roman" w:hAnsi="Times New Roman" w:eastAsia="方正楷体_GBK" w:cs="方正楷体_GBK"/>
          <w:b w:val="0"/>
          <w:bCs/>
          <w:color w:val="auto"/>
          <w:sz w:val="32"/>
          <w:szCs w:val="32"/>
          <w:highlight w:val="none"/>
          <w:u w:val="none"/>
          <w:lang w:val="zh-CN"/>
        </w:rPr>
        <w:t>（四）预算绩效管理情况</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小标宋简体" w:cs="方正小标宋简体"/>
          <w:b w:val="0"/>
          <w:color w:val="auto"/>
          <w:highlight w:val="none"/>
        </w:rPr>
      </w:pPr>
      <w:r>
        <w:rPr>
          <w:rFonts w:hint="eastAsia" w:ascii="Times New Roman" w:hAnsi="Times New Roman" w:eastAsia="方正仿宋_GBK" w:cs="方正仿宋_GBK"/>
          <w:color w:val="auto"/>
          <w:kern w:val="2"/>
          <w:sz w:val="32"/>
          <w:szCs w:val="32"/>
          <w:highlight w:val="none"/>
          <w:lang w:val="en-US" w:eastAsia="zh-CN" w:bidi="ar-SA"/>
        </w:rPr>
        <w:t>根据预算绩效管理要求，中共阿坝州委巡察工作领导小组办公室在2025年度组织对巡察专项经费1个项目涉及金额305.25万元开展了事前绩效评估，对1个项目编制了绩效目标，预算执行过程中，选取1个项目开展绩效监控。</w:t>
      </w:r>
      <w:bookmarkStart w:id="47" w:name="_Toc15377225"/>
      <w:bookmarkStart w:id="48" w:name="_Toc15396613"/>
    </w:p>
    <w:p>
      <w:pPr>
        <w:pStyle w:val="3"/>
        <w:keepNext/>
        <w:keepLines/>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黑体简体" w:cs="方正黑体简体"/>
          <w:b w:val="0"/>
          <w:bCs w:val="0"/>
          <w:color w:val="auto"/>
          <w:kern w:val="2"/>
          <w:sz w:val="44"/>
          <w:szCs w:val="44"/>
          <w:highlight w:val="none"/>
          <w:lang w:val="zh-CN" w:eastAsia="zh-CN" w:bidi="ar-SA"/>
        </w:rPr>
        <w:t>第三部分</w:t>
      </w:r>
      <w:r>
        <w:rPr>
          <w:rFonts w:hint="eastAsia" w:ascii="Times New Roman" w:hAnsi="Times New Roman" w:eastAsia="方正黑体简体" w:cs="方正黑体简体"/>
          <w:b w:val="0"/>
          <w:bCs w:val="0"/>
          <w:color w:val="auto"/>
          <w:kern w:val="2"/>
          <w:sz w:val="44"/>
          <w:szCs w:val="44"/>
          <w:highlight w:val="none"/>
          <w:lang w:val="en-US" w:eastAsia="zh-CN" w:bidi="ar-SA"/>
        </w:rPr>
        <w:t xml:space="preserve">  </w:t>
      </w:r>
      <w:r>
        <w:rPr>
          <w:rFonts w:hint="eastAsia" w:ascii="Times New Roman" w:hAnsi="Times New Roman" w:eastAsia="方正黑体简体" w:cs="方正黑体简体"/>
          <w:b w:val="0"/>
          <w:bCs w:val="0"/>
          <w:color w:val="auto"/>
          <w:kern w:val="2"/>
          <w:sz w:val="44"/>
          <w:szCs w:val="44"/>
          <w:highlight w:val="none"/>
          <w:lang w:val="zh-CN" w:eastAsia="zh-CN" w:bidi="ar-SA"/>
        </w:rPr>
        <w:t>名词解释</w:t>
      </w:r>
      <w:bookmarkEnd w:id="47"/>
      <w:bookmarkEnd w:id="48"/>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1.财政拨款收入：</w:t>
      </w:r>
      <w:r>
        <w:rPr>
          <w:rFonts w:hint="eastAsia" w:ascii="Times New Roman" w:hAnsi="Times New Roman" w:eastAsia="方正仿宋_GBK" w:cs="方正仿宋_GBK"/>
          <w:color w:val="auto"/>
          <w:kern w:val="2"/>
          <w:sz w:val="32"/>
          <w:szCs w:val="32"/>
          <w:highlight w:val="none"/>
          <w:lang w:val="en-US" w:eastAsia="zh-CN" w:bidi="ar-SA"/>
        </w:rPr>
        <w:t>指单位从同级财政部门取得的财政预算资金。</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2.事业收入：</w:t>
      </w:r>
      <w:r>
        <w:rPr>
          <w:rFonts w:hint="eastAsia" w:ascii="Times New Roman" w:hAnsi="Times New Roman" w:eastAsia="方正仿宋_GBK" w:cs="方正仿宋_GBK"/>
          <w:color w:val="auto"/>
          <w:kern w:val="2"/>
          <w:sz w:val="32"/>
          <w:szCs w:val="32"/>
          <w:highlight w:val="none"/>
          <w:lang w:val="en-US" w:eastAsia="zh-CN" w:bidi="ar-SA"/>
        </w:rPr>
        <w:t>指事业单位开展专业业务活动及辅助活动取得的收入。</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3.经营收入：</w:t>
      </w:r>
      <w:r>
        <w:rPr>
          <w:rFonts w:hint="eastAsia" w:ascii="Times New Roman" w:hAnsi="Times New Roman" w:eastAsia="方正仿宋_GBK" w:cs="方正仿宋_GBK"/>
          <w:color w:val="auto"/>
          <w:kern w:val="2"/>
          <w:sz w:val="32"/>
          <w:szCs w:val="32"/>
          <w:highlight w:val="none"/>
          <w:lang w:val="en-US" w:eastAsia="zh-CN" w:bidi="ar-SA"/>
        </w:rPr>
        <w:t>指事业单位在专业业务活动及其辅助活动之外开展非独立核算经营活动取得的收入。</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4.其他收入：</w:t>
      </w:r>
      <w:r>
        <w:rPr>
          <w:rFonts w:hint="eastAsia" w:ascii="Times New Roman" w:hAnsi="Times New Roman" w:eastAsia="方正仿宋_GBK" w:cs="方正仿宋_GBK"/>
          <w:color w:val="auto"/>
          <w:kern w:val="2"/>
          <w:sz w:val="32"/>
          <w:szCs w:val="32"/>
          <w:highlight w:val="none"/>
          <w:lang w:val="en-US" w:eastAsia="zh-CN" w:bidi="ar-SA"/>
        </w:rPr>
        <w:t xml:space="preserve">指单位取得的除上述收入以外的各项收入。 </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5.使用非财政拨款结余（含专用结余）：</w:t>
      </w:r>
      <w:r>
        <w:rPr>
          <w:rFonts w:hint="eastAsia" w:ascii="Times New Roman" w:hAnsi="Times New Roman" w:eastAsia="方正仿宋_GBK" w:cs="方正仿宋_GBK"/>
          <w:color w:val="auto"/>
          <w:kern w:val="2"/>
          <w:sz w:val="32"/>
          <w:szCs w:val="32"/>
          <w:highlight w:val="none"/>
          <w:lang w:val="en-US" w:eastAsia="zh-CN" w:bidi="ar-SA"/>
        </w:rPr>
        <w:t xml:space="preserve">指事业单位使用以前年度积累的非财政拨款结余弥补当年收支差额的金额。 </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6.年初结转和结余：</w:t>
      </w:r>
      <w:r>
        <w:rPr>
          <w:rFonts w:hint="eastAsia" w:ascii="Times New Roman" w:hAnsi="Times New Roman" w:eastAsia="方正仿宋_GBK" w:cs="方正仿宋_GBK"/>
          <w:color w:val="auto"/>
          <w:kern w:val="2"/>
          <w:sz w:val="32"/>
          <w:szCs w:val="32"/>
          <w:highlight w:val="none"/>
          <w:lang w:val="en-US" w:eastAsia="zh-CN" w:bidi="ar-SA"/>
        </w:rPr>
        <w:t xml:space="preserve">指以前年度尚未完成、结转到本年按有关规定继续使用的资金。 </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7.结余分配：</w:t>
      </w:r>
      <w:r>
        <w:rPr>
          <w:rFonts w:hint="eastAsia" w:ascii="Times New Roman" w:hAnsi="Times New Roman" w:eastAsia="方正仿宋_GBK" w:cs="方正仿宋_GBK"/>
          <w:color w:val="auto"/>
          <w:kern w:val="2"/>
          <w:sz w:val="32"/>
          <w:szCs w:val="32"/>
          <w:highlight w:val="none"/>
          <w:lang w:val="en-US" w:eastAsia="zh-CN" w:bidi="ar-SA"/>
        </w:rPr>
        <w:t>指事业单位按照会计制度规定缴纳的所得税、提取的专用结余以及转入非财政拨款结余的金额等。</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8.年末结转和结余：</w:t>
      </w:r>
      <w:r>
        <w:rPr>
          <w:rFonts w:hint="eastAsia" w:ascii="Times New Roman" w:hAnsi="Times New Roman" w:eastAsia="方正仿宋_GBK" w:cs="方正仿宋_GBK"/>
          <w:color w:val="auto"/>
          <w:kern w:val="2"/>
          <w:sz w:val="32"/>
          <w:szCs w:val="32"/>
          <w:highlight w:val="none"/>
          <w:lang w:val="en-US" w:eastAsia="zh-CN" w:bidi="ar-SA"/>
        </w:rPr>
        <w:t>指单位按有关规定结转到下年或以后年度继续使用的资金。</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9.一般公共服务（201）纪检监察事务（11）行政运行（01）：</w:t>
      </w:r>
      <w:r>
        <w:rPr>
          <w:rFonts w:hint="eastAsia" w:ascii="Times New Roman" w:hAnsi="Times New Roman" w:eastAsia="方正仿宋_GBK" w:cs="方正仿宋_GBK"/>
          <w:color w:val="auto"/>
          <w:kern w:val="2"/>
          <w:sz w:val="32"/>
          <w:szCs w:val="32"/>
          <w:highlight w:val="none"/>
          <w:lang w:val="en-US" w:eastAsia="zh-CN" w:bidi="ar-SA"/>
        </w:rPr>
        <w:t>反映行政单位（包括实行公务员管理的事业单位）的基本支出。</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10.社会保障和就业（208）行政事业单位养老支出（05）机关事业单位基本养老保险缴费支出（05）：</w:t>
      </w:r>
      <w:r>
        <w:rPr>
          <w:rFonts w:hint="eastAsia" w:ascii="Times New Roman" w:hAnsi="Times New Roman" w:eastAsia="方正仿宋_GBK" w:cs="方正仿宋_GBK"/>
          <w:color w:val="auto"/>
          <w:kern w:val="2"/>
          <w:sz w:val="32"/>
          <w:szCs w:val="32"/>
          <w:highlight w:val="none"/>
          <w:lang w:val="en-US" w:eastAsia="zh-CN" w:bidi="ar-SA"/>
        </w:rPr>
        <w:t>反映机关事业单位实施养老保险制度由单位缴纳的基本养老保险费支出。</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11.卫生健康（210）行政事业单位医疗（11）行政单位医疗（01）：</w:t>
      </w:r>
      <w:r>
        <w:rPr>
          <w:rFonts w:hint="eastAsia" w:ascii="Times New Roman" w:hAnsi="Times New Roman" w:eastAsia="方正仿宋_GBK" w:cs="方正仿宋_GBK"/>
          <w:color w:val="auto"/>
          <w:kern w:val="2"/>
          <w:sz w:val="32"/>
          <w:szCs w:val="32"/>
          <w:highlight w:val="none"/>
          <w:lang w:val="en-US" w:eastAsia="zh-CN" w:bidi="ar-SA"/>
        </w:rPr>
        <w:t>反映财政部门安排的行政单位基本医疗保险缴费经费，未参加医疗保险的行政单位的公费医疗经费，按国家规定享受离休人员、红军老战士待遇人员的医疗经费。</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12.住房保障（221）住房改革（02）住房公积金（01）：</w:t>
      </w:r>
      <w:r>
        <w:rPr>
          <w:rFonts w:hint="eastAsia" w:ascii="Times New Roman" w:hAnsi="Times New Roman" w:eastAsia="方正仿宋_GBK" w:cs="方正仿宋_GBK"/>
          <w:color w:val="auto"/>
          <w:kern w:val="2"/>
          <w:sz w:val="32"/>
          <w:szCs w:val="32"/>
          <w:highlight w:val="none"/>
          <w:lang w:val="en-US" w:eastAsia="zh-CN" w:bidi="ar-SA"/>
        </w:rPr>
        <w:t>反映行政事业单位按人力资源和社会保障部、财政部规定的基本工资和津贴补贴以及规定比例为职工缴纳的住房公积金。</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13.基本支出：</w:t>
      </w:r>
      <w:r>
        <w:rPr>
          <w:rFonts w:hint="eastAsia" w:ascii="Times New Roman" w:hAnsi="Times New Roman" w:eastAsia="方正仿宋_GBK" w:cs="方正仿宋_GBK"/>
          <w:color w:val="auto"/>
          <w:kern w:val="2"/>
          <w:sz w:val="32"/>
          <w:szCs w:val="32"/>
          <w:highlight w:val="none"/>
          <w:lang w:val="en-US" w:eastAsia="zh-CN" w:bidi="ar-SA"/>
        </w:rPr>
        <w:t>指为保障机构正常运转、完成日常工作任务而发生的人员支出和公用支出。</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14.项目支出：</w:t>
      </w:r>
      <w:r>
        <w:rPr>
          <w:rFonts w:hint="eastAsia" w:ascii="Times New Roman" w:hAnsi="Times New Roman" w:eastAsia="方正仿宋_GBK" w:cs="方正仿宋_GBK"/>
          <w:color w:val="auto"/>
          <w:kern w:val="2"/>
          <w:sz w:val="32"/>
          <w:szCs w:val="32"/>
          <w:highlight w:val="none"/>
          <w:lang w:val="en-US" w:eastAsia="zh-CN" w:bidi="ar-SA"/>
        </w:rPr>
        <w:t xml:space="preserve">指在基本支出之外为完成特定行政任务和事业发展目标所发生的支出。 </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15.“三公”经费：</w:t>
      </w:r>
      <w:r>
        <w:rPr>
          <w:rFonts w:hint="eastAsia" w:ascii="Times New Roman" w:hAnsi="Times New Roman" w:eastAsia="方正仿宋_GBK" w:cs="方正仿宋_GBK"/>
          <w:color w:val="auto"/>
          <w:kern w:val="2"/>
          <w:sz w:val="32"/>
          <w:szCs w:val="32"/>
          <w:highlight w:val="none"/>
          <w:lang w:val="en-US" w:eastAsia="zh-CN" w:bidi="ar-SA"/>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16.机关运行经费：</w:t>
      </w:r>
      <w:r>
        <w:rPr>
          <w:rFonts w:hint="eastAsia" w:ascii="Times New Roman" w:hAnsi="Times New Roman" w:eastAsia="方正仿宋_GBK" w:cs="方正仿宋_GBK"/>
          <w:color w:val="auto"/>
          <w:kern w:val="2"/>
          <w:sz w:val="32"/>
          <w:szCs w:val="32"/>
          <w:highlight w:val="none"/>
          <w:lang w:val="en-US" w:eastAsia="zh-CN" w:bidi="ar-SA"/>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
        <w:keepNext/>
        <w:keepLines/>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lang w:val="en-US" w:eastAsia="zh-CN"/>
        </w:rPr>
      </w:pPr>
      <w:bookmarkStart w:id="49"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0" w:name="_Toc15396614"/>
      <w:r>
        <w:rPr>
          <w:rFonts w:hint="eastAsia" w:ascii="Times New Roman" w:hAnsi="Times New Roman" w:eastAsia="方正黑体简体" w:cs="方正黑体简体"/>
          <w:b w:val="0"/>
          <w:bCs w:val="0"/>
          <w:color w:val="auto"/>
          <w:kern w:val="2"/>
          <w:sz w:val="44"/>
          <w:szCs w:val="44"/>
          <w:highlight w:val="none"/>
          <w:lang w:val="zh-CN" w:eastAsia="zh-CN" w:bidi="ar-SA"/>
        </w:rPr>
        <w:t>第四部分</w:t>
      </w:r>
      <w:r>
        <w:rPr>
          <w:rFonts w:hint="eastAsia" w:ascii="Times New Roman" w:hAnsi="Times New Roman" w:eastAsia="方正黑体简体" w:cs="方正黑体简体"/>
          <w:b w:val="0"/>
          <w:bCs w:val="0"/>
          <w:color w:val="auto"/>
          <w:kern w:val="2"/>
          <w:sz w:val="44"/>
          <w:szCs w:val="44"/>
          <w:highlight w:val="none"/>
          <w:lang w:val="en-US" w:eastAsia="zh-CN" w:bidi="ar-SA"/>
        </w:rPr>
        <w:t xml:space="preserve"> </w:t>
      </w:r>
      <w:r>
        <w:rPr>
          <w:rFonts w:hint="eastAsia" w:ascii="Times New Roman" w:hAnsi="Times New Roman" w:eastAsia="方正黑体简体" w:cs="方正黑体简体"/>
          <w:b w:val="0"/>
          <w:bCs w:val="0"/>
          <w:color w:val="auto"/>
          <w:kern w:val="2"/>
          <w:sz w:val="44"/>
          <w:szCs w:val="44"/>
          <w:highlight w:val="none"/>
          <w:lang w:val="zh-CN" w:eastAsia="zh-CN" w:bidi="ar-SA"/>
        </w:rPr>
        <w:t xml:space="preserve"> 附</w:t>
      </w:r>
      <w:bookmarkEnd w:id="50"/>
      <w:r>
        <w:rPr>
          <w:rFonts w:hint="eastAsia" w:ascii="Times New Roman" w:hAnsi="Times New Roman" w:eastAsia="方正黑体简体" w:cs="方正黑体简体"/>
          <w:b w:val="0"/>
          <w:bCs w:val="0"/>
          <w:color w:val="auto"/>
          <w:kern w:val="2"/>
          <w:sz w:val="44"/>
          <w:szCs w:val="44"/>
          <w:highlight w:val="none"/>
          <w:lang w:val="en-US" w:eastAsia="zh-CN" w:bidi="ar-SA"/>
        </w:rPr>
        <w:t>件</w:t>
      </w:r>
    </w:p>
    <w:p>
      <w:pPr>
        <w:pStyle w:val="36"/>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中共阿坝州委巡察工作领导小组办公室</w:t>
      </w:r>
    </w:p>
    <w:p>
      <w:pPr>
        <w:pStyle w:val="36"/>
        <w:keepNext w:val="0"/>
        <w:keepLines w:val="0"/>
        <w:pageBreakBefore w:val="0"/>
        <w:widowControl w:val="0"/>
        <w:kinsoku/>
        <w:wordWrap/>
        <w:overflowPunct/>
        <w:topLinePunct w:val="0"/>
        <w:autoSpaceDE/>
        <w:autoSpaceDN/>
        <w:bidi w:val="0"/>
        <w:spacing w:line="576" w:lineRule="exact"/>
        <w:ind w:left="0" w:leftChars="0" w:firstLine="846" w:firstLineChars="20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巡察专项预算项目绩效评价报告</w:t>
      </w:r>
    </w:p>
    <w:p>
      <w:pPr>
        <w:pStyle w:val="36"/>
        <w:keepNext w:val="0"/>
        <w:keepLines w:val="0"/>
        <w:pageBreakBefore w:val="0"/>
        <w:widowControl w:val="0"/>
        <w:kinsoku/>
        <w:wordWrap/>
        <w:overflowPunct/>
        <w:topLinePunct w:val="0"/>
        <w:autoSpaceDE/>
        <w:autoSpaceDN/>
        <w:bidi w:val="0"/>
        <w:spacing w:line="576" w:lineRule="exact"/>
        <w:ind w:left="0" w:leftChars="0" w:firstLine="606" w:firstLineChars="200"/>
        <w:jc w:val="both"/>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6" w:lineRule="exact"/>
        <w:ind w:firstLine="606" w:firstLineChars="200"/>
        <w:textAlignment w:val="auto"/>
        <w:rPr>
          <w:rFonts w:hint="eastAsia" w:ascii="Times New Roman" w:hAnsi="Times New Roman" w:eastAsia="方正黑体简体" w:cs="方正黑体简体"/>
          <w:color w:val="auto"/>
          <w:kern w:val="2"/>
          <w:sz w:val="32"/>
          <w:szCs w:val="32"/>
          <w:highlight w:val="none"/>
          <w:lang w:val="zh-CN" w:eastAsia="zh-CN" w:bidi="ar-SA"/>
        </w:rPr>
      </w:pPr>
      <w:r>
        <w:rPr>
          <w:rFonts w:hint="eastAsia" w:ascii="Times New Roman" w:hAnsi="Times New Roman" w:eastAsia="方正黑体简体" w:cs="方正黑体简体"/>
          <w:color w:val="auto"/>
          <w:kern w:val="2"/>
          <w:sz w:val="32"/>
          <w:szCs w:val="32"/>
          <w:highlight w:val="none"/>
          <w:lang w:val="en-US" w:eastAsia="zh-CN" w:bidi="ar-SA"/>
        </w:rPr>
        <w:t>一、</w:t>
      </w:r>
      <w:r>
        <w:rPr>
          <w:rFonts w:hint="eastAsia" w:ascii="Times New Roman" w:hAnsi="Times New Roman" w:eastAsia="方正黑体简体" w:cs="方正黑体简体"/>
          <w:color w:val="auto"/>
          <w:kern w:val="2"/>
          <w:sz w:val="32"/>
          <w:szCs w:val="32"/>
          <w:highlight w:val="none"/>
          <w:lang w:val="zh-CN" w:eastAsia="zh-CN" w:bidi="ar-SA"/>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rPr>
      </w:pPr>
      <w:r>
        <w:rPr>
          <w:rFonts w:hint="eastAsia" w:ascii="Times New Roman" w:hAnsi="Times New Roman" w:eastAsia="方正楷体_GBK" w:cs="方正楷体_GBK"/>
          <w:b w:val="0"/>
          <w:bCs/>
          <w:color w:val="auto"/>
          <w:sz w:val="32"/>
          <w:szCs w:val="32"/>
          <w:highlight w:val="none"/>
          <w:u w:val="none"/>
          <w:lang w:val="zh-CN"/>
        </w:rPr>
        <w:t>（一）设立背景及基本情况。</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为深入贯彻落实全面从严治党战略方针，压紧压实各级党组织管党治党政治责任，发挥巡察政治监督作用，推动党内监督向基层延伸、向纵深发展，根据《中国共产党巡视工作条例》、《中共阿坝州委巡察工作规划》以及年度巡察工作要点，设立巡察专项经费项目。</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本项目由中共阿坝州委巡察工作领导小组办公室作为主管部门及项目实施单位，专项用于保障年度巡察组进驻、实地巡察、线索梳理、反馈整改督导、业务培训等巡察全流程工作开展，是常态化、规范化开展巡察工作的必要财力支撑。</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en-US" w:eastAsia="zh-CN"/>
        </w:rPr>
      </w:pPr>
      <w:r>
        <w:rPr>
          <w:rFonts w:hint="eastAsia" w:ascii="Times New Roman" w:hAnsi="Times New Roman" w:eastAsia="方正楷体_GBK" w:cs="方正楷体_GBK"/>
          <w:b w:val="0"/>
          <w:bCs/>
          <w:color w:val="auto"/>
          <w:sz w:val="32"/>
          <w:szCs w:val="32"/>
          <w:highlight w:val="none"/>
          <w:u w:val="none"/>
          <w:lang w:val="en-US" w:eastAsia="zh-CN"/>
        </w:rPr>
        <w:t>（二）</w:t>
      </w:r>
      <w:r>
        <w:rPr>
          <w:rFonts w:hint="default" w:ascii="Times New Roman" w:hAnsi="Times New Roman" w:eastAsia="方正楷体_GBK" w:cs="方正楷体_GBK"/>
          <w:b w:val="0"/>
          <w:bCs/>
          <w:color w:val="auto"/>
          <w:sz w:val="32"/>
          <w:szCs w:val="32"/>
          <w:highlight w:val="none"/>
          <w:u w:val="none"/>
          <w:lang w:val="en-US" w:eastAsia="zh-CN"/>
        </w:rPr>
        <w:t>实施目的及支持方向</w:t>
      </w:r>
      <w:r>
        <w:rPr>
          <w:rFonts w:hint="eastAsia" w:ascii="Times New Roman" w:hAnsi="Times New Roman" w:eastAsia="方正楷体_GBK" w:cs="方正楷体_GBK"/>
          <w:b w:val="0"/>
          <w:bCs/>
          <w:color w:val="auto"/>
          <w:sz w:val="32"/>
          <w:szCs w:val="32"/>
          <w:highlight w:val="none"/>
          <w:u w:val="none"/>
          <w:lang w:val="en-US" w:eastAsia="zh-CN"/>
        </w:rPr>
        <w:t>。</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en-US" w:eastAsia="zh-CN" w:bidi="ar-SA"/>
        </w:rPr>
        <w:t>足额保障年度巡察任务落地，有序完成年度常规巡察、专项巡察、巡察“回头看”，精准发现被巡察党组织在党的建设、履职尽责、廉政风险、民生领域等方面问题，督促问题整改，切实维护群众利益，营造风清气正的政治生态。该资金主要用于巡察外勤差旅费、劳务费、办公设备购置等与巡察直接相关的支出。</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eastAsia="zh-CN"/>
        </w:rPr>
      </w:pPr>
      <w:r>
        <w:rPr>
          <w:rFonts w:hint="eastAsia" w:ascii="Times New Roman" w:hAnsi="Times New Roman" w:eastAsia="方正楷体_GBK" w:cs="方正楷体_GBK"/>
          <w:b w:val="0"/>
          <w:bCs/>
          <w:color w:val="auto"/>
          <w:sz w:val="32"/>
          <w:szCs w:val="32"/>
          <w:highlight w:val="none"/>
          <w:u w:val="none"/>
          <w:lang w:val="en-US" w:eastAsia="zh-CN"/>
        </w:rPr>
        <w:t>（三）</w:t>
      </w:r>
      <w:r>
        <w:rPr>
          <w:rFonts w:hint="default" w:ascii="Times New Roman" w:hAnsi="Times New Roman" w:eastAsia="方正楷体_GBK" w:cs="方正楷体_GBK"/>
          <w:b w:val="0"/>
          <w:bCs/>
          <w:color w:val="auto"/>
          <w:sz w:val="32"/>
          <w:szCs w:val="32"/>
          <w:highlight w:val="none"/>
          <w:u w:val="none"/>
          <w:lang w:val="en-US" w:eastAsia="zh-CN"/>
        </w:rPr>
        <w:t>预算安排及分配管理</w:t>
      </w:r>
      <w:r>
        <w:rPr>
          <w:rFonts w:hint="eastAsia" w:ascii="Times New Roman" w:hAnsi="Times New Roman" w:eastAsia="方正楷体_GBK" w:cs="方正楷体_GBK"/>
          <w:b w:val="0"/>
          <w:bCs/>
          <w:color w:val="auto"/>
          <w:sz w:val="32"/>
          <w:szCs w:val="32"/>
          <w:highlight w:val="none"/>
          <w:u w:val="none"/>
          <w:lang w:val="zh-CN" w:eastAsia="zh-CN"/>
        </w:rPr>
        <w:t>。</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en-US" w:eastAsia="zh-CN" w:bidi="ar-SA"/>
        </w:rPr>
        <w:t>本年度巡察专项经费305.25万元，资金分配坚持统筹兼顾、保障重点、专款专用的原则，结合年度计划巡察单位数量、巡察组数、巡察时长、外勤任务量测算资金需求，不安排无实质工作内容的虚列支出。资金拨付严格按照国库集中支付流程办理，由州委巡察办根据工作进度、实际发生业务申请支付，财政部门按规定审核拨付，资金支付严格履行财政拨付流程，不存在截留、挤占、挪用情况。</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eastAsia="zh-CN"/>
        </w:rPr>
      </w:pPr>
      <w:r>
        <w:rPr>
          <w:rFonts w:hint="eastAsia" w:ascii="Times New Roman" w:hAnsi="Times New Roman" w:eastAsia="方正楷体_GBK" w:cs="方正楷体_GBK"/>
          <w:b w:val="0"/>
          <w:bCs/>
          <w:color w:val="auto"/>
          <w:sz w:val="32"/>
          <w:szCs w:val="32"/>
          <w:highlight w:val="none"/>
          <w:u w:val="none"/>
          <w:lang w:val="zh-CN" w:eastAsia="zh-CN"/>
        </w:rPr>
        <w:t>（</w:t>
      </w:r>
      <w:r>
        <w:rPr>
          <w:rFonts w:hint="eastAsia" w:ascii="Times New Roman" w:hAnsi="Times New Roman" w:eastAsia="方正楷体_GBK" w:cs="方正楷体_GBK"/>
          <w:b w:val="0"/>
          <w:bCs/>
          <w:color w:val="auto"/>
          <w:sz w:val="32"/>
          <w:szCs w:val="32"/>
          <w:highlight w:val="none"/>
          <w:u w:val="none"/>
          <w:lang w:val="en-US" w:eastAsia="zh-CN"/>
        </w:rPr>
        <w:t>四</w:t>
      </w:r>
      <w:r>
        <w:rPr>
          <w:rFonts w:hint="eastAsia" w:ascii="Times New Roman" w:hAnsi="Times New Roman" w:eastAsia="方正楷体_GBK" w:cs="方正楷体_GBK"/>
          <w:b w:val="0"/>
          <w:bCs/>
          <w:color w:val="auto"/>
          <w:sz w:val="32"/>
          <w:szCs w:val="32"/>
          <w:highlight w:val="none"/>
          <w:u w:val="none"/>
          <w:lang w:val="zh-CN" w:eastAsia="zh-CN"/>
        </w:rPr>
        <w:t>）项目绩效目标设置。</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en-US" w:eastAsia="zh-CN" w:bidi="ar-SA"/>
        </w:rPr>
        <w:t>年初围绕巡察全覆盖、巡察发现问题、问题整改成效、巡察队伍建设等设定整体绩效目标，按期完成年度巡察任务，提升党内监督实效，推动被巡察单位整改落实，充分发挥巡察利剑作用。</w:t>
      </w:r>
    </w:p>
    <w:p>
      <w:pPr>
        <w:keepNext w:val="0"/>
        <w:keepLines w:val="0"/>
        <w:pageBreakBefore w:val="0"/>
        <w:widowControl w:val="0"/>
        <w:kinsoku/>
        <w:wordWrap/>
        <w:overflowPunct/>
        <w:topLinePunct w:val="0"/>
        <w:autoSpaceDE/>
        <w:autoSpaceDN/>
        <w:bidi w:val="0"/>
        <w:adjustRightInd w:val="0"/>
        <w:snapToGrid w:val="0"/>
        <w:spacing w:line="576" w:lineRule="exact"/>
        <w:ind w:firstLine="606" w:firstLineChars="200"/>
        <w:textAlignment w:val="auto"/>
        <w:outlineLvl w:val="9"/>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二、评价实施</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rPr>
      </w:pPr>
      <w:r>
        <w:rPr>
          <w:rFonts w:hint="eastAsia" w:ascii="Times New Roman" w:hAnsi="Times New Roman" w:eastAsia="方正楷体_GBK" w:cs="方正楷体_GBK"/>
          <w:b w:val="0"/>
          <w:bCs/>
          <w:color w:val="auto"/>
          <w:sz w:val="32"/>
          <w:szCs w:val="32"/>
          <w:highlight w:val="none"/>
          <w:u w:val="none"/>
          <w:lang w:val="zh-CN"/>
        </w:rPr>
        <w:t>（一）评价目的。</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en-US" w:eastAsia="zh-CN" w:bidi="ar-SA"/>
        </w:rPr>
        <w:t>开展巡察专项经费绩效自评，旨在全面核查专项资金拨付、管理、使用的规范性，检验财政资金使用效益；检验绩效目标完成程度，发现资金管理和项目实施中的短板；总结经验做法，完善巡察经费保障机制，优化以后年度预算编制，提高财政资源配置效率，更好服务巡察监督工作。</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rPr>
      </w:pPr>
      <w:r>
        <w:rPr>
          <w:rFonts w:hint="eastAsia" w:ascii="Times New Roman" w:hAnsi="Times New Roman" w:eastAsia="方正楷体_GBK" w:cs="方正楷体_GBK"/>
          <w:b w:val="0"/>
          <w:bCs/>
          <w:color w:val="auto"/>
          <w:sz w:val="32"/>
          <w:szCs w:val="32"/>
          <w:highlight w:val="none"/>
          <w:u w:val="none"/>
          <w:lang w:val="zh-CN"/>
        </w:rPr>
        <w:t>（</w:t>
      </w:r>
      <w:r>
        <w:rPr>
          <w:rFonts w:hint="eastAsia" w:ascii="Times New Roman" w:hAnsi="Times New Roman" w:eastAsia="方正楷体_GBK" w:cs="方正楷体_GBK"/>
          <w:b w:val="0"/>
          <w:bCs/>
          <w:color w:val="auto"/>
          <w:sz w:val="32"/>
          <w:szCs w:val="32"/>
          <w:highlight w:val="none"/>
          <w:u w:val="none"/>
          <w:lang w:val="en-US" w:eastAsia="zh-CN"/>
        </w:rPr>
        <w:t>二</w:t>
      </w:r>
      <w:r>
        <w:rPr>
          <w:rFonts w:hint="eastAsia" w:ascii="Times New Roman" w:hAnsi="Times New Roman" w:eastAsia="方正楷体_GBK" w:cs="方正楷体_GBK"/>
          <w:b w:val="0"/>
          <w:bCs/>
          <w:color w:val="auto"/>
          <w:sz w:val="32"/>
          <w:szCs w:val="32"/>
          <w:highlight w:val="none"/>
          <w:u w:val="none"/>
          <w:lang w:val="zh-CN"/>
        </w:rPr>
        <w:t>）预设问题及评价重点。</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en-US" w:eastAsia="zh-CN" w:bidi="ar-SA"/>
        </w:rPr>
        <w:t>专项资金是否及时足额拨付、是否专款专用；开支是否合规、有无超标准支出；经费保障是否支撑巡察任务按期完成；巡察工作取得的实际成效是否达到预期；资金管理制度是否健全。</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eastAsia="zh-CN"/>
        </w:rPr>
      </w:pPr>
      <w:r>
        <w:rPr>
          <w:rFonts w:hint="eastAsia" w:ascii="Times New Roman" w:hAnsi="Times New Roman" w:eastAsia="方正楷体_GBK" w:cs="方正楷体_GBK"/>
          <w:b w:val="0"/>
          <w:bCs/>
          <w:color w:val="auto"/>
          <w:sz w:val="32"/>
          <w:szCs w:val="32"/>
          <w:highlight w:val="none"/>
          <w:u w:val="none"/>
          <w:lang w:val="zh-CN" w:eastAsia="zh-CN"/>
        </w:rPr>
        <w:t>（</w:t>
      </w:r>
      <w:r>
        <w:rPr>
          <w:rFonts w:hint="eastAsia" w:ascii="Times New Roman" w:hAnsi="Times New Roman" w:eastAsia="方正楷体_GBK" w:cs="方正楷体_GBK"/>
          <w:b w:val="0"/>
          <w:bCs/>
          <w:color w:val="auto"/>
          <w:sz w:val="32"/>
          <w:szCs w:val="32"/>
          <w:highlight w:val="none"/>
          <w:u w:val="none"/>
          <w:lang w:val="en-US" w:eastAsia="zh-CN"/>
        </w:rPr>
        <w:t>三</w:t>
      </w:r>
      <w:r>
        <w:rPr>
          <w:rFonts w:hint="eastAsia" w:ascii="Times New Roman" w:hAnsi="Times New Roman" w:eastAsia="方正楷体_GBK" w:cs="方正楷体_GBK"/>
          <w:b w:val="0"/>
          <w:bCs/>
          <w:color w:val="auto"/>
          <w:sz w:val="32"/>
          <w:szCs w:val="32"/>
          <w:highlight w:val="none"/>
          <w:u w:val="none"/>
          <w:lang w:val="zh-CN" w:eastAsia="zh-CN"/>
        </w:rPr>
        <w:t>）评价选点。</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en-US" w:eastAsia="zh-CN" w:bidi="ar-SA"/>
        </w:rPr>
        <w:t>到</w:t>
      </w:r>
      <w:r>
        <w:rPr>
          <w:rFonts w:hint="eastAsia" w:ascii="Times New Roman" w:hAnsi="Times New Roman" w:eastAsia="方正仿宋_GBK" w:cs="方正仿宋_GBK"/>
          <w:color w:val="auto"/>
          <w:kern w:val="2"/>
          <w:sz w:val="32"/>
          <w:szCs w:val="32"/>
          <w:highlight w:val="none"/>
          <w:lang w:val="zh-CN" w:eastAsia="zh-CN" w:bidi="ar-SA"/>
        </w:rPr>
        <w:t>项目</w:t>
      </w:r>
      <w:r>
        <w:rPr>
          <w:rFonts w:hint="eastAsia" w:ascii="Times New Roman" w:hAnsi="Times New Roman" w:eastAsia="方正仿宋_GBK" w:cs="方正仿宋_GBK"/>
          <w:color w:val="auto"/>
          <w:kern w:val="2"/>
          <w:sz w:val="32"/>
          <w:szCs w:val="32"/>
          <w:highlight w:val="none"/>
          <w:lang w:val="en-US" w:eastAsia="zh-CN" w:bidi="ar-SA"/>
        </w:rPr>
        <w:t>点实地查看和查阅资料相结合的方式</w:t>
      </w:r>
      <w:r>
        <w:rPr>
          <w:rFonts w:hint="eastAsia" w:ascii="Times New Roman" w:hAnsi="Times New Roman" w:eastAsia="方正仿宋_GBK" w:cs="方正仿宋_GBK"/>
          <w:color w:val="auto"/>
          <w:kern w:val="2"/>
          <w:sz w:val="32"/>
          <w:szCs w:val="32"/>
          <w:highlight w:val="none"/>
          <w:lang w:val="zh-CN" w:eastAsia="zh-CN" w:bidi="ar-SA"/>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rPr>
      </w:pPr>
      <w:r>
        <w:rPr>
          <w:rFonts w:hint="eastAsia" w:ascii="Times New Roman" w:hAnsi="Times New Roman" w:eastAsia="方正楷体_GBK" w:cs="方正楷体_GBK"/>
          <w:b w:val="0"/>
          <w:bCs/>
          <w:color w:val="auto"/>
          <w:sz w:val="32"/>
          <w:szCs w:val="32"/>
          <w:highlight w:val="none"/>
          <w:u w:val="none"/>
          <w:lang w:val="zh-CN" w:eastAsia="zh-CN"/>
        </w:rPr>
        <w:t>（</w:t>
      </w:r>
      <w:r>
        <w:rPr>
          <w:rFonts w:hint="eastAsia" w:ascii="Times New Roman" w:hAnsi="Times New Roman" w:eastAsia="方正楷体_GBK" w:cs="方正楷体_GBK"/>
          <w:b w:val="0"/>
          <w:bCs/>
          <w:color w:val="auto"/>
          <w:sz w:val="32"/>
          <w:szCs w:val="32"/>
          <w:highlight w:val="none"/>
          <w:u w:val="none"/>
          <w:lang w:val="en-US" w:eastAsia="zh-CN"/>
        </w:rPr>
        <w:t>四</w:t>
      </w:r>
      <w:r>
        <w:rPr>
          <w:rFonts w:hint="eastAsia" w:ascii="Times New Roman" w:hAnsi="Times New Roman" w:eastAsia="方正楷体_GBK" w:cs="方正楷体_GBK"/>
          <w:b w:val="0"/>
          <w:bCs/>
          <w:color w:val="auto"/>
          <w:sz w:val="32"/>
          <w:szCs w:val="32"/>
          <w:highlight w:val="none"/>
          <w:u w:val="none"/>
          <w:lang w:val="zh-CN" w:eastAsia="zh-CN"/>
        </w:rPr>
        <w:t>）</w:t>
      </w:r>
      <w:r>
        <w:rPr>
          <w:rFonts w:hint="eastAsia" w:ascii="Times New Roman" w:hAnsi="Times New Roman" w:eastAsia="方正楷体_GBK" w:cs="方正楷体_GBK"/>
          <w:b w:val="0"/>
          <w:bCs/>
          <w:color w:val="auto"/>
          <w:sz w:val="32"/>
          <w:szCs w:val="32"/>
          <w:highlight w:val="none"/>
          <w:u w:val="none"/>
          <w:lang w:val="zh-CN"/>
        </w:rPr>
        <w:t>评价方法。</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default" w:ascii="Times New Roman" w:hAnsi="Times New Roman" w:eastAsia="方正仿宋_GBK" w:cs="方正仿宋_GBK"/>
          <w:color w:val="auto"/>
          <w:kern w:val="2"/>
          <w:sz w:val="32"/>
          <w:szCs w:val="32"/>
          <w:highlight w:val="none"/>
          <w:lang w:val="en-US" w:eastAsia="zh-CN" w:bidi="ar-SA"/>
        </w:rPr>
        <w:t>自评小组依据</w:t>
      </w:r>
      <w:r>
        <w:rPr>
          <w:rFonts w:hint="eastAsia" w:ascii="Times New Roman" w:hAnsi="Times New Roman" w:eastAsia="方正仿宋_GBK" w:cs="方正仿宋_GBK"/>
          <w:color w:val="auto"/>
          <w:kern w:val="2"/>
          <w:sz w:val="32"/>
          <w:szCs w:val="32"/>
          <w:highlight w:val="none"/>
          <w:lang w:val="en-US" w:eastAsia="zh-CN" w:bidi="ar-SA"/>
        </w:rPr>
        <w:t>州财政相关要求</w:t>
      </w:r>
      <w:r>
        <w:rPr>
          <w:rFonts w:hint="default" w:ascii="Times New Roman" w:hAnsi="Times New Roman" w:eastAsia="方正仿宋_GBK" w:cs="方正仿宋_GBK"/>
          <w:color w:val="auto"/>
          <w:kern w:val="2"/>
          <w:sz w:val="32"/>
          <w:szCs w:val="32"/>
          <w:highlight w:val="none"/>
          <w:lang w:val="en-US" w:eastAsia="zh-CN" w:bidi="ar-SA"/>
        </w:rPr>
        <w:t>，全面考量项目实施程序的规范性、财务管理的合规性，以及项目执行率和目标绩效完成情况，</w:t>
      </w:r>
      <w:r>
        <w:rPr>
          <w:rFonts w:hint="eastAsia" w:ascii="Times New Roman" w:hAnsi="Times New Roman" w:eastAsia="方正仿宋_GBK" w:cs="方正仿宋_GBK"/>
          <w:color w:val="auto"/>
          <w:kern w:val="2"/>
          <w:sz w:val="32"/>
          <w:szCs w:val="32"/>
          <w:highlight w:val="none"/>
          <w:lang w:val="en-US" w:eastAsia="zh-CN" w:bidi="ar-SA"/>
        </w:rPr>
        <w:t>采用实地勘察法，单位自评法</w:t>
      </w:r>
      <w:r>
        <w:rPr>
          <w:rFonts w:hint="default" w:ascii="Times New Roman" w:hAnsi="Times New Roman" w:eastAsia="方正仿宋_GBK" w:cs="方正仿宋_GBK"/>
          <w:color w:val="auto"/>
          <w:kern w:val="2"/>
          <w:sz w:val="32"/>
          <w:szCs w:val="32"/>
          <w:highlight w:val="none"/>
          <w:lang w:val="en-US" w:eastAsia="zh-CN" w:bidi="ar-SA"/>
        </w:rPr>
        <w:t>对项目开展综合评价。</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rPr>
      </w:pPr>
      <w:r>
        <w:rPr>
          <w:rFonts w:hint="eastAsia" w:ascii="Times New Roman" w:hAnsi="Times New Roman" w:eastAsia="方正楷体_GBK" w:cs="方正楷体_GBK"/>
          <w:b w:val="0"/>
          <w:bCs/>
          <w:color w:val="auto"/>
          <w:sz w:val="32"/>
          <w:szCs w:val="32"/>
          <w:highlight w:val="none"/>
          <w:u w:val="none"/>
          <w:lang w:val="zh-CN" w:eastAsia="zh-CN"/>
        </w:rPr>
        <w:t>（</w:t>
      </w:r>
      <w:r>
        <w:rPr>
          <w:rFonts w:hint="eastAsia" w:ascii="Times New Roman" w:hAnsi="Times New Roman" w:eastAsia="方正楷体_GBK" w:cs="方正楷体_GBK"/>
          <w:b w:val="0"/>
          <w:bCs/>
          <w:color w:val="auto"/>
          <w:sz w:val="32"/>
          <w:szCs w:val="32"/>
          <w:highlight w:val="none"/>
          <w:u w:val="none"/>
          <w:lang w:val="en-US" w:eastAsia="zh-CN"/>
        </w:rPr>
        <w:t>五</w:t>
      </w:r>
      <w:r>
        <w:rPr>
          <w:rFonts w:hint="eastAsia" w:ascii="Times New Roman" w:hAnsi="Times New Roman" w:eastAsia="方正楷体_GBK" w:cs="方正楷体_GBK"/>
          <w:b w:val="0"/>
          <w:bCs/>
          <w:color w:val="auto"/>
          <w:sz w:val="32"/>
          <w:szCs w:val="32"/>
          <w:highlight w:val="none"/>
          <w:u w:val="none"/>
          <w:lang w:val="zh-CN" w:eastAsia="zh-CN"/>
        </w:rPr>
        <w:t>）</w:t>
      </w:r>
      <w:r>
        <w:rPr>
          <w:rFonts w:hint="eastAsia" w:ascii="Times New Roman" w:hAnsi="Times New Roman" w:eastAsia="方正楷体_GBK" w:cs="方正楷体_GBK"/>
          <w:b w:val="0"/>
          <w:bCs/>
          <w:color w:val="auto"/>
          <w:sz w:val="32"/>
          <w:szCs w:val="32"/>
          <w:highlight w:val="none"/>
          <w:u w:val="none"/>
          <w:lang w:val="zh-CN"/>
        </w:rPr>
        <w:t>评价组织。</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评价组由州委巡察办相关人员组成，职责分工明确。</w:t>
      </w:r>
    </w:p>
    <w:p>
      <w:pPr>
        <w:keepNext w:val="0"/>
        <w:keepLines w:val="0"/>
        <w:pageBreakBefore w:val="0"/>
        <w:kinsoku/>
        <w:wordWrap/>
        <w:overflowPunct/>
        <w:topLinePunct w:val="0"/>
        <w:autoSpaceDE/>
        <w:autoSpaceDN/>
        <w:bidi w:val="0"/>
        <w:adjustRightInd w:val="0"/>
        <w:snapToGrid w:val="0"/>
        <w:spacing w:line="576" w:lineRule="exact"/>
        <w:ind w:firstLine="606" w:firstLineChars="200"/>
        <w:textAlignment w:val="auto"/>
        <w:rPr>
          <w:rFonts w:hint="eastAsia" w:ascii="Times New Roman" w:hAnsi="Times New Roman" w:eastAsia="方正黑体简体" w:cs="方正黑体简体"/>
          <w:color w:val="auto"/>
          <w:kern w:val="2"/>
          <w:sz w:val="32"/>
          <w:szCs w:val="32"/>
          <w:highlight w:val="none"/>
          <w:lang w:val="zh-CN" w:eastAsia="zh-CN" w:bidi="ar-SA"/>
        </w:rPr>
      </w:pPr>
      <w:r>
        <w:rPr>
          <w:rFonts w:hint="eastAsia" w:ascii="Times New Roman" w:hAnsi="Times New Roman" w:eastAsia="方正黑体简体" w:cs="方正黑体简体"/>
          <w:color w:val="auto"/>
          <w:kern w:val="2"/>
          <w:sz w:val="32"/>
          <w:szCs w:val="32"/>
          <w:highlight w:val="none"/>
          <w:lang w:val="en-US" w:eastAsia="zh-CN" w:bidi="ar-SA"/>
        </w:rPr>
        <w:t>三、绩效分析</w:t>
      </w:r>
      <w:r>
        <w:rPr>
          <w:rFonts w:hint="eastAsia" w:ascii="Times New Roman" w:hAnsi="Times New Roman" w:eastAsia="方正黑体简体" w:cs="方正黑体简体"/>
          <w:color w:val="auto"/>
          <w:kern w:val="2"/>
          <w:sz w:val="32"/>
          <w:szCs w:val="32"/>
          <w:highlight w:val="none"/>
          <w:lang w:val="zh-CN" w:eastAsia="zh-CN" w:bidi="ar-SA"/>
        </w:rPr>
        <w:tab/>
      </w:r>
    </w:p>
    <w:p>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06" w:firstLineChars="200"/>
        <w:textAlignment w:val="auto"/>
        <w:outlineLvl w:val="9"/>
        <w:rPr>
          <w:rFonts w:hint="eastAsia" w:ascii="Times New Roman" w:hAnsi="Times New Roman" w:eastAsia="仿宋" w:cs="仿宋"/>
          <w:color w:val="auto"/>
          <w:kern w:val="2"/>
          <w:sz w:val="32"/>
          <w:szCs w:val="32"/>
          <w:highlight w:val="none"/>
          <w:lang w:val="en-US" w:eastAsia="zh-CN" w:bidi="ar-SA"/>
        </w:rPr>
      </w:pPr>
      <w:r>
        <w:rPr>
          <w:rFonts w:hint="default" w:ascii="Times New Roman" w:hAnsi="Times New Roman" w:eastAsia="方正仿宋_GBK" w:cs="方正仿宋_GBK"/>
          <w:color w:val="auto"/>
          <w:kern w:val="2"/>
          <w:sz w:val="32"/>
          <w:szCs w:val="32"/>
          <w:highlight w:val="none"/>
          <w:lang w:val="zh-CN" w:eastAsia="zh-CN" w:bidi="ar-SA"/>
        </w:rPr>
        <w:t>根据</w:t>
      </w:r>
      <w:r>
        <w:rPr>
          <w:rFonts w:hint="eastAsia" w:ascii="Times New Roman" w:hAnsi="Times New Roman" w:eastAsia="方正仿宋_GBK" w:cs="方正仿宋_GBK"/>
          <w:color w:val="auto"/>
          <w:kern w:val="2"/>
          <w:sz w:val="32"/>
          <w:szCs w:val="32"/>
          <w:highlight w:val="none"/>
          <w:lang w:val="zh-CN" w:eastAsia="zh-CN" w:bidi="ar-SA"/>
        </w:rPr>
        <w:t>项目</w:t>
      </w:r>
      <w:r>
        <w:rPr>
          <w:rFonts w:hint="default" w:ascii="Times New Roman" w:hAnsi="Times New Roman" w:eastAsia="方正仿宋_GBK" w:cs="方正仿宋_GBK"/>
          <w:color w:val="auto"/>
          <w:kern w:val="2"/>
          <w:sz w:val="32"/>
          <w:szCs w:val="32"/>
          <w:highlight w:val="none"/>
          <w:lang w:val="zh-CN" w:eastAsia="zh-CN" w:bidi="ar-SA"/>
        </w:rPr>
        <w:t>预算绩效评价指标体系</w:t>
      </w:r>
      <w:r>
        <w:rPr>
          <w:rFonts w:hint="eastAsia" w:ascii="Times New Roman" w:hAnsi="Times New Roman" w:eastAsia="方正仿宋_GBK" w:cs="方正仿宋_GBK"/>
          <w:color w:val="auto"/>
          <w:kern w:val="2"/>
          <w:sz w:val="32"/>
          <w:szCs w:val="32"/>
          <w:highlight w:val="none"/>
          <w:lang w:val="zh-CN" w:eastAsia="zh-CN" w:bidi="ar-SA"/>
        </w:rPr>
        <w:t>通用指标、专用指标、个性指标</w:t>
      </w:r>
      <w:r>
        <w:rPr>
          <w:rFonts w:hint="default" w:ascii="Times New Roman" w:hAnsi="Times New Roman" w:eastAsia="方正仿宋_GBK" w:cs="方正仿宋_GBK"/>
          <w:color w:val="auto"/>
          <w:kern w:val="2"/>
          <w:sz w:val="32"/>
          <w:szCs w:val="32"/>
          <w:highlight w:val="none"/>
          <w:lang w:val="zh-CN" w:eastAsia="zh-CN" w:bidi="ar-SA"/>
        </w:rPr>
        <w:t>涉及</w:t>
      </w:r>
      <w:r>
        <w:rPr>
          <w:rFonts w:hint="eastAsia" w:ascii="Times New Roman" w:hAnsi="Times New Roman" w:eastAsia="方正仿宋_GBK" w:cs="方正仿宋_GBK"/>
          <w:color w:val="auto"/>
          <w:kern w:val="2"/>
          <w:sz w:val="32"/>
          <w:szCs w:val="32"/>
          <w:highlight w:val="none"/>
          <w:lang w:val="zh-CN" w:eastAsia="zh-CN" w:bidi="ar-SA"/>
        </w:rPr>
        <w:t>二、三级</w:t>
      </w:r>
      <w:r>
        <w:rPr>
          <w:rFonts w:hint="default" w:ascii="Times New Roman" w:hAnsi="Times New Roman" w:eastAsia="方正仿宋_GBK" w:cs="方正仿宋_GBK"/>
          <w:color w:val="auto"/>
          <w:kern w:val="2"/>
          <w:sz w:val="32"/>
          <w:szCs w:val="32"/>
          <w:highlight w:val="none"/>
          <w:lang w:val="zh-CN" w:eastAsia="zh-CN" w:bidi="ar-SA"/>
        </w:rPr>
        <w:t>指标进行</w:t>
      </w:r>
      <w:r>
        <w:rPr>
          <w:rFonts w:hint="eastAsia" w:ascii="Times New Roman" w:hAnsi="Times New Roman" w:eastAsia="方正仿宋_GBK" w:cs="方正仿宋_GBK"/>
          <w:color w:val="auto"/>
          <w:kern w:val="2"/>
          <w:sz w:val="32"/>
          <w:szCs w:val="32"/>
          <w:highlight w:val="none"/>
          <w:lang w:val="zh-CN" w:eastAsia="zh-CN" w:bidi="ar-SA"/>
        </w:rPr>
        <w:t>逐项</w:t>
      </w:r>
      <w:r>
        <w:rPr>
          <w:rFonts w:hint="default" w:ascii="Times New Roman" w:hAnsi="Times New Roman" w:eastAsia="方正仿宋_GBK" w:cs="方正仿宋_GBK"/>
          <w:color w:val="auto"/>
          <w:kern w:val="2"/>
          <w:sz w:val="32"/>
          <w:szCs w:val="32"/>
          <w:highlight w:val="none"/>
          <w:lang w:val="zh-CN" w:eastAsia="zh-CN" w:bidi="ar-SA"/>
        </w:rPr>
        <w:t>绩效分析</w:t>
      </w:r>
      <w:r>
        <w:rPr>
          <w:rFonts w:hint="eastAsia" w:ascii="Times New Roman" w:hAnsi="Times New Roman" w:eastAsia="方正仿宋_GBK" w:cs="方正仿宋_GBK"/>
          <w:color w:val="auto"/>
          <w:kern w:val="2"/>
          <w:sz w:val="32"/>
          <w:szCs w:val="32"/>
          <w:highlight w:val="none"/>
          <w:lang w:val="zh-CN" w:eastAsia="zh-CN" w:bidi="ar-SA"/>
        </w:rPr>
        <w:t>并评分</w:t>
      </w:r>
      <w:r>
        <w:rPr>
          <w:rFonts w:hint="eastAsia" w:ascii="Times New Roman" w:hAnsi="Times New Roman" w:eastAsia="方正仿宋_GBK" w:cs="方正仿宋_GBK"/>
          <w:color w:val="auto"/>
          <w:kern w:val="2"/>
          <w:sz w:val="32"/>
          <w:szCs w:val="32"/>
          <w:highlight w:val="none"/>
          <w:lang w:val="en-US" w:eastAsia="zh-CN" w:bidi="ar-SA"/>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en-US" w:eastAsia="zh-CN"/>
        </w:rPr>
      </w:pPr>
      <w:r>
        <w:rPr>
          <w:rFonts w:hint="eastAsia" w:ascii="Times New Roman" w:hAnsi="Times New Roman" w:eastAsia="方正楷体_GBK" w:cs="方正楷体_GBK"/>
          <w:b w:val="0"/>
          <w:bCs/>
          <w:color w:val="auto"/>
          <w:sz w:val="32"/>
          <w:szCs w:val="32"/>
          <w:highlight w:val="none"/>
          <w:u w:val="none"/>
          <w:lang w:val="zh-CN"/>
        </w:rPr>
        <w:t>（一）</w:t>
      </w:r>
      <w:r>
        <w:rPr>
          <w:rFonts w:hint="eastAsia" w:ascii="Times New Roman" w:hAnsi="Times New Roman" w:eastAsia="方正楷体_GBK" w:cs="方正楷体_GBK"/>
          <w:b w:val="0"/>
          <w:bCs/>
          <w:color w:val="auto"/>
          <w:sz w:val="32"/>
          <w:szCs w:val="32"/>
          <w:highlight w:val="none"/>
          <w:u w:val="none"/>
          <w:lang w:val="en-US" w:eastAsia="zh-CN"/>
        </w:rPr>
        <w:t>通用指标</w:t>
      </w:r>
      <w:r>
        <w:rPr>
          <w:rFonts w:hint="default" w:ascii="Times New Roman" w:hAnsi="Times New Roman" w:eastAsia="方正楷体_GBK" w:cs="方正楷体_GBK"/>
          <w:b w:val="0"/>
          <w:bCs/>
          <w:color w:val="auto"/>
          <w:sz w:val="32"/>
          <w:szCs w:val="32"/>
          <w:highlight w:val="none"/>
          <w:u w:val="none"/>
          <w:lang w:val="zh-CN"/>
        </w:rPr>
        <w:t>绩效分析。</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b/>
          <w:bCs/>
          <w:color w:val="auto"/>
          <w:kern w:val="2"/>
          <w:sz w:val="32"/>
          <w:szCs w:val="32"/>
          <w:highlight w:val="none"/>
          <w:lang w:val="zh-CN"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1.</w:t>
      </w:r>
      <w:r>
        <w:rPr>
          <w:rFonts w:hint="eastAsia" w:ascii="Times New Roman" w:hAnsi="Times New Roman" w:eastAsia="方正仿宋_GBK" w:cs="方正仿宋_GBK"/>
          <w:b/>
          <w:bCs/>
          <w:color w:val="auto"/>
          <w:kern w:val="2"/>
          <w:sz w:val="32"/>
          <w:szCs w:val="32"/>
          <w:highlight w:val="none"/>
          <w:lang w:val="zh-CN" w:eastAsia="zh-CN" w:bidi="ar-SA"/>
        </w:rPr>
        <w:t>项目决策。</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zh-CN" w:eastAsia="zh-CN" w:bidi="ar-SA"/>
        </w:rPr>
        <w:t>巡察专项经费项目严格按照年度巡察工作计划编制预算，项目立项、预算申报经单位集体研究，报财政部门审核，决策流程完整，程序合规，未出现无依据立项、随意申报项目情况。</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b/>
          <w:bCs/>
          <w:color w:val="auto"/>
          <w:kern w:val="2"/>
          <w:sz w:val="32"/>
          <w:szCs w:val="32"/>
          <w:highlight w:val="none"/>
          <w:lang w:val="zh-CN"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2.</w:t>
      </w:r>
      <w:r>
        <w:rPr>
          <w:rFonts w:hint="eastAsia" w:ascii="Times New Roman" w:hAnsi="Times New Roman" w:eastAsia="方正仿宋_GBK" w:cs="方正仿宋_GBK"/>
          <w:b/>
          <w:bCs/>
          <w:color w:val="auto"/>
          <w:kern w:val="2"/>
          <w:sz w:val="32"/>
          <w:szCs w:val="32"/>
          <w:highlight w:val="none"/>
          <w:lang w:val="zh-CN" w:eastAsia="zh-CN" w:bidi="ar-SA"/>
        </w:rPr>
        <w:t>项目管理。</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default"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项目管理制度较为健全，对资金使用、项目实施作出明确规定。建立绩效跟踪机制，开展日常监督检查。</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b/>
          <w:bCs/>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3.项目实施。</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en-US" w:eastAsia="zh-CN" w:bidi="ar-SA"/>
        </w:rPr>
        <w:t>本年度巡察专项经费305.25万元，项目资金使用、拨付符合国家财经法规、财务管理制度，不存在超范围、超标准使用专项资金，不存在资金损失浪费、挤占、挪用等情况。</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b/>
          <w:bCs/>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4.项目结果。</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zh-CN" w:eastAsia="zh-CN" w:bidi="ar-SA"/>
        </w:rPr>
      </w:pPr>
      <w:r>
        <w:rPr>
          <w:rFonts w:hint="eastAsia" w:ascii="Times New Roman" w:hAnsi="Times New Roman" w:eastAsia="方正仿宋_GBK" w:cs="方正仿宋_GBK"/>
          <w:color w:val="auto"/>
          <w:kern w:val="2"/>
          <w:sz w:val="32"/>
          <w:szCs w:val="32"/>
          <w:highlight w:val="none"/>
          <w:lang w:val="en-US" w:eastAsia="zh-CN" w:bidi="ar-SA"/>
        </w:rPr>
        <w:t>项目完成预期目标，实施结果与绩效目标相匹配，且在规定时间内当年完成。</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default" w:ascii="Times New Roman" w:hAnsi="Times New Roman" w:eastAsia="方正楷体_GBK" w:cs="方正楷体_GBK"/>
          <w:b w:val="0"/>
          <w:bCs/>
          <w:color w:val="auto"/>
          <w:sz w:val="32"/>
          <w:szCs w:val="32"/>
          <w:highlight w:val="none"/>
          <w:u w:val="none"/>
          <w:lang w:val="zh-CN"/>
        </w:rPr>
      </w:pPr>
      <w:r>
        <w:rPr>
          <w:rFonts w:hint="eastAsia" w:ascii="Times New Roman" w:hAnsi="Times New Roman" w:eastAsia="方正楷体_GBK" w:cs="方正楷体_GBK"/>
          <w:b w:val="0"/>
          <w:bCs/>
          <w:color w:val="auto"/>
          <w:sz w:val="32"/>
          <w:szCs w:val="32"/>
          <w:highlight w:val="none"/>
          <w:u w:val="none"/>
          <w:lang w:val="en-US" w:eastAsia="zh-CN"/>
        </w:rPr>
        <w:t>（二）专用指标</w:t>
      </w:r>
      <w:r>
        <w:rPr>
          <w:rFonts w:hint="default" w:ascii="Times New Roman" w:hAnsi="Times New Roman" w:eastAsia="方正楷体_GBK" w:cs="方正楷体_GBK"/>
          <w:b w:val="0"/>
          <w:bCs/>
          <w:color w:val="auto"/>
          <w:sz w:val="32"/>
          <w:szCs w:val="32"/>
          <w:highlight w:val="none"/>
          <w:u w:val="none"/>
          <w:lang w:val="zh-CN"/>
        </w:rPr>
        <w:t>绩效分析。</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 xml:space="preserve">资金使用均在预算批复范围内，不存在超范围、超用途开支情况，经费申报、审批、报销全流程执行内部管理制度，审批手续完整，业务流程规范。各项支出严格执行经费开支标准，未发生超标准列支问题。 </w:t>
      </w:r>
    </w:p>
    <w:p>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ind w:left="0" w:leftChars="0" w:firstLine="606" w:firstLineChars="200"/>
        <w:contextualSpacing/>
        <w:jc w:val="left"/>
        <w:textAlignment w:val="auto"/>
        <w:rPr>
          <w:rFonts w:hint="eastAsia" w:ascii="Times New Roman" w:hAnsi="Times New Roman" w:eastAsia="方正楷体_GBK" w:cs="方正楷体_GBK"/>
          <w:b w:val="0"/>
          <w:bCs/>
          <w:color w:val="auto"/>
          <w:sz w:val="32"/>
          <w:szCs w:val="32"/>
          <w:highlight w:val="none"/>
          <w:u w:val="none"/>
          <w:lang w:val="zh-CN" w:eastAsia="zh-CN"/>
        </w:rPr>
      </w:pPr>
      <w:r>
        <w:rPr>
          <w:rFonts w:hint="eastAsia" w:ascii="Times New Roman" w:hAnsi="Times New Roman" w:eastAsia="方正楷体_GBK" w:cs="方正楷体_GBK"/>
          <w:b w:val="0"/>
          <w:bCs/>
          <w:color w:val="auto"/>
          <w:sz w:val="32"/>
          <w:szCs w:val="32"/>
          <w:highlight w:val="none"/>
          <w:u w:val="none"/>
          <w:lang w:val="en-US" w:eastAsia="zh-CN"/>
        </w:rPr>
        <w:t>（三）个性指标</w:t>
      </w:r>
      <w:r>
        <w:rPr>
          <w:rFonts w:hint="default" w:ascii="Times New Roman" w:hAnsi="Times New Roman" w:eastAsia="方正楷体_GBK" w:cs="方正楷体_GBK"/>
          <w:b w:val="0"/>
          <w:bCs/>
          <w:color w:val="auto"/>
          <w:sz w:val="32"/>
          <w:szCs w:val="32"/>
          <w:highlight w:val="none"/>
          <w:u w:val="none"/>
          <w:lang w:val="zh-CN"/>
        </w:rPr>
        <w:t>绩效分析。</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zh-CN" w:eastAsia="zh-CN" w:bidi="ar-SA"/>
        </w:rPr>
        <w:t>本项目立项符合政策导向，项目组织实施有序，资金管理总体规范，绝大多数绩效目标顺利实现，有效发挥财政资金保障作用。</w:t>
      </w:r>
    </w:p>
    <w:p>
      <w:pPr>
        <w:keepNext w:val="0"/>
        <w:keepLines w:val="0"/>
        <w:pageBreakBefore w:val="0"/>
        <w:widowControl w:val="0"/>
        <w:kinsoku/>
        <w:wordWrap/>
        <w:overflowPunct/>
        <w:topLinePunct w:val="0"/>
        <w:autoSpaceDE/>
        <w:autoSpaceDN/>
        <w:bidi w:val="0"/>
        <w:spacing w:line="576" w:lineRule="exact"/>
        <w:ind w:firstLine="606" w:firstLineChars="200"/>
        <w:textAlignment w:val="auto"/>
        <w:outlineLvl w:val="9"/>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四、评价结论</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zh-CN" w:eastAsia="zh-CN" w:bidi="ar-SA"/>
        </w:rPr>
        <w:t>本次评价综合得分</w:t>
      </w:r>
      <w:r>
        <w:rPr>
          <w:rFonts w:hint="eastAsia" w:ascii="Times New Roman" w:hAnsi="Times New Roman" w:eastAsia="方正仿宋_GBK" w:cs="方正仿宋_GBK"/>
          <w:color w:val="auto"/>
          <w:kern w:val="2"/>
          <w:sz w:val="32"/>
          <w:szCs w:val="32"/>
          <w:highlight w:val="none"/>
          <w:lang w:val="en-US" w:eastAsia="zh-CN" w:bidi="ar-SA"/>
        </w:rPr>
        <w:t>94</w:t>
      </w:r>
      <w:r>
        <w:rPr>
          <w:rFonts w:hint="eastAsia" w:ascii="Times New Roman" w:hAnsi="Times New Roman" w:eastAsia="方正仿宋_GBK" w:cs="方正仿宋_GBK"/>
          <w:color w:val="auto"/>
          <w:kern w:val="2"/>
          <w:sz w:val="32"/>
          <w:szCs w:val="32"/>
          <w:highlight w:val="none"/>
          <w:lang w:val="zh-CN" w:eastAsia="zh-CN" w:bidi="ar-SA"/>
        </w:rPr>
        <w:t>分，评价等级良好。项目立项合规，资金管理总体规范，基本完成各项绩效目标，取得良好社会效益，但仍存在部分薄弱环节。</w:t>
      </w:r>
    </w:p>
    <w:p>
      <w:pPr>
        <w:keepNext w:val="0"/>
        <w:keepLines w:val="0"/>
        <w:pageBreakBefore w:val="0"/>
        <w:widowControl w:val="0"/>
        <w:kinsoku/>
        <w:wordWrap/>
        <w:overflowPunct/>
        <w:topLinePunct w:val="0"/>
        <w:autoSpaceDE/>
        <w:autoSpaceDN/>
        <w:bidi w:val="0"/>
        <w:spacing w:line="576" w:lineRule="exact"/>
        <w:ind w:firstLine="606" w:firstLineChars="200"/>
        <w:textAlignment w:val="auto"/>
        <w:outlineLvl w:val="9"/>
        <w:rPr>
          <w:rFonts w:hint="eastAsia" w:ascii="Times New Roman" w:hAnsi="Times New Roman" w:eastAsia="方正黑体简体" w:cs="方正黑体简体"/>
          <w:color w:val="auto"/>
          <w:kern w:val="2"/>
          <w:sz w:val="32"/>
          <w:szCs w:val="32"/>
          <w:highlight w:val="none"/>
          <w:lang w:val="en-US" w:eastAsia="zh-CN" w:bidi="ar-SA"/>
        </w:rPr>
      </w:pPr>
      <w:r>
        <w:rPr>
          <w:rFonts w:hint="eastAsia" w:ascii="Times New Roman" w:hAnsi="Times New Roman" w:eastAsia="方正黑体简体" w:cs="方正黑体简体"/>
          <w:color w:val="auto"/>
          <w:kern w:val="2"/>
          <w:sz w:val="32"/>
          <w:szCs w:val="32"/>
          <w:highlight w:val="none"/>
          <w:lang w:val="en-US" w:eastAsia="zh-CN" w:bidi="ar-SA"/>
        </w:rPr>
        <w:t>五、存在主要问题</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zh-CN" w:eastAsia="zh-CN" w:bidi="ar-SA"/>
        </w:rPr>
        <w:t>一是部分绩效指标量化不够，可衡量性不足；二是执行进度不均衡；三是绩效监管有待加强；四是绩效评价结果运用不够充分。</w:t>
      </w:r>
    </w:p>
    <w:p>
      <w:pPr>
        <w:keepNext w:val="0"/>
        <w:keepLines w:val="0"/>
        <w:pageBreakBefore w:val="0"/>
        <w:widowControl w:val="0"/>
        <w:kinsoku/>
        <w:wordWrap/>
        <w:overflowPunct/>
        <w:topLinePunct w:val="0"/>
        <w:autoSpaceDE/>
        <w:autoSpaceDN/>
        <w:bidi w:val="0"/>
        <w:spacing w:line="576" w:lineRule="exact"/>
        <w:ind w:firstLine="606" w:firstLineChars="200"/>
        <w:textAlignment w:val="auto"/>
        <w:outlineLvl w:val="9"/>
        <w:rPr>
          <w:rFonts w:hint="eastAsia" w:ascii="Times New Roman" w:hAnsi="Times New Roman" w:eastAsia="方正黑体简体" w:cs="方正黑体简体"/>
          <w:color w:val="auto"/>
          <w:kern w:val="2"/>
          <w:sz w:val="32"/>
          <w:szCs w:val="32"/>
          <w:highlight w:val="none"/>
          <w:lang w:val="zh-CN" w:eastAsia="zh-CN" w:bidi="ar-SA"/>
        </w:rPr>
      </w:pPr>
      <w:r>
        <w:rPr>
          <w:rFonts w:hint="eastAsia" w:ascii="Times New Roman" w:hAnsi="Times New Roman" w:eastAsia="方正黑体简体" w:cs="方正黑体简体"/>
          <w:color w:val="auto"/>
          <w:kern w:val="2"/>
          <w:sz w:val="32"/>
          <w:szCs w:val="32"/>
          <w:highlight w:val="none"/>
          <w:lang w:val="zh-CN" w:eastAsia="zh-CN" w:bidi="ar-SA"/>
        </w:rPr>
        <w:t>六、改进建议</w:t>
      </w:r>
    </w:p>
    <w:p>
      <w:pPr>
        <w:pageBreakBefore w:val="0"/>
        <w:widowControl w:val="0"/>
        <w:kinsoku/>
        <w:wordWrap/>
        <w:overflowPunct/>
        <w:topLinePunct w:val="0"/>
        <w:autoSpaceDE/>
        <w:autoSpaceDN/>
        <w:bidi w:val="0"/>
        <w:adjustRightInd/>
        <w:snapToGrid w:val="0"/>
        <w:spacing w:line="576" w:lineRule="exact"/>
        <w:ind w:firstLine="60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zh-CN" w:eastAsia="zh-CN" w:bidi="ar-SA"/>
        </w:rPr>
        <w:t>一是细化量化绩效指标，提升指标质量；二是加快资金执行进度；三是强化全过程监督，完善档案台账；四是强化绩效结果运用，落实整改闭环，提升财政资金使用效益。</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1"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pStyle w:val="3"/>
        <w:keepNext/>
        <w:keepLines/>
        <w:pageBreakBefore w:val="0"/>
        <w:widowControl w:val="0"/>
        <w:kinsoku/>
        <w:wordWrap/>
        <w:overflowPunct/>
        <w:topLinePunct w:val="0"/>
        <w:autoSpaceDE/>
        <w:autoSpaceDN/>
        <w:bidi w:val="0"/>
        <w:adjustRightInd/>
        <w:snapToGrid/>
        <w:spacing w:line="576" w:lineRule="exact"/>
        <w:ind w:firstLine="0" w:firstLineChars="0"/>
        <w:jc w:val="center"/>
        <w:textAlignment w:val="auto"/>
        <w:rPr>
          <w:rFonts w:hint="eastAsia" w:ascii="Times New Roman" w:hAnsi="Times New Roman" w:eastAsia="方正黑体简体" w:cs="方正黑体简体"/>
          <w:b w:val="0"/>
          <w:bCs w:val="0"/>
          <w:color w:val="auto"/>
          <w:kern w:val="2"/>
          <w:sz w:val="44"/>
          <w:szCs w:val="44"/>
          <w:highlight w:val="none"/>
          <w:lang w:val="zh-CN" w:eastAsia="zh-CN" w:bidi="ar-SA"/>
        </w:rPr>
      </w:pPr>
      <w:r>
        <w:rPr>
          <w:rFonts w:hint="eastAsia" w:ascii="Times New Roman" w:hAnsi="Times New Roman" w:eastAsia="方正黑体简体" w:cs="方正黑体简体"/>
          <w:b w:val="0"/>
          <w:bCs w:val="0"/>
          <w:color w:val="auto"/>
          <w:kern w:val="2"/>
          <w:sz w:val="44"/>
          <w:szCs w:val="44"/>
          <w:highlight w:val="none"/>
          <w:lang w:val="zh-CN" w:eastAsia="zh-CN" w:bidi="ar-SA"/>
        </w:rPr>
        <w:t>第五部分 附表</w:t>
      </w:r>
      <w:bookmarkEnd w:id="49"/>
      <w:bookmarkEnd w:id="51"/>
      <w:bookmarkStart w:id="52" w:name="_Toc15396619"/>
    </w:p>
    <w:p>
      <w:pPr>
        <w:keepNext w:val="0"/>
        <w:keepLines w:val="0"/>
        <w:pageBreakBefore w:val="0"/>
        <w:widowControl w:val="0"/>
        <w:kinsoku/>
        <w:wordWrap/>
        <w:overflowPunct/>
        <w:topLinePunct w:val="0"/>
        <w:autoSpaceDE/>
        <w:autoSpaceDN/>
        <w:bidi w:val="0"/>
        <w:adjustRightInd/>
        <w:snapToGrid w:val="0"/>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val="0"/>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一、收入支出决算总表</w:t>
      </w:r>
      <w:bookmarkEnd w:id="52"/>
    </w:p>
    <w:p>
      <w:pPr>
        <w:keepNext w:val="0"/>
        <w:keepLines w:val="0"/>
        <w:pageBreakBefore w:val="0"/>
        <w:widowControl w:val="0"/>
        <w:kinsoku/>
        <w:wordWrap/>
        <w:overflowPunct/>
        <w:topLinePunct w:val="0"/>
        <w:autoSpaceDE/>
        <w:autoSpaceDN/>
        <w:bidi w:val="0"/>
        <w:adjustRightInd/>
        <w:snapToGrid w:val="0"/>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3" w:name="_Toc15396620"/>
      <w:r>
        <w:rPr>
          <w:rFonts w:hint="eastAsia" w:ascii="Times New Roman" w:hAnsi="Times New Roman" w:eastAsia="方正仿宋_GBK" w:cs="方正仿宋_GBK"/>
          <w:color w:val="auto"/>
          <w:kern w:val="2"/>
          <w:sz w:val="32"/>
          <w:szCs w:val="32"/>
          <w:highlight w:val="none"/>
          <w:lang w:val="en-US" w:eastAsia="zh-CN" w:bidi="ar-SA"/>
        </w:rPr>
        <w:t>二、收入决算表</w:t>
      </w:r>
      <w:bookmarkEnd w:id="53"/>
    </w:p>
    <w:p>
      <w:pPr>
        <w:keepNext w:val="0"/>
        <w:keepLines w:val="0"/>
        <w:pageBreakBefore w:val="0"/>
        <w:widowControl w:val="0"/>
        <w:kinsoku/>
        <w:wordWrap/>
        <w:overflowPunct/>
        <w:topLinePunct w:val="0"/>
        <w:autoSpaceDE/>
        <w:autoSpaceDN/>
        <w:bidi w:val="0"/>
        <w:adjustRightInd/>
        <w:snapToGrid w:val="0"/>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4" w:name="_Toc15396621"/>
      <w:r>
        <w:rPr>
          <w:rFonts w:hint="eastAsia" w:ascii="Times New Roman" w:hAnsi="Times New Roman" w:eastAsia="方正仿宋_GBK" w:cs="方正仿宋_GBK"/>
          <w:color w:val="auto"/>
          <w:kern w:val="2"/>
          <w:sz w:val="32"/>
          <w:szCs w:val="32"/>
          <w:highlight w:val="none"/>
          <w:lang w:val="en-US" w:eastAsia="zh-CN" w:bidi="ar-SA"/>
        </w:rPr>
        <w:t>三、支出决算表</w:t>
      </w:r>
      <w:bookmarkEnd w:id="54"/>
    </w:p>
    <w:p>
      <w:pPr>
        <w:keepNext w:val="0"/>
        <w:keepLines w:val="0"/>
        <w:pageBreakBefore w:val="0"/>
        <w:widowControl w:val="0"/>
        <w:kinsoku/>
        <w:wordWrap/>
        <w:overflowPunct/>
        <w:topLinePunct w:val="0"/>
        <w:autoSpaceDE/>
        <w:autoSpaceDN/>
        <w:bidi w:val="0"/>
        <w:adjustRightInd/>
        <w:snapToGrid w:val="0"/>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5" w:name="_Toc15396622"/>
      <w:r>
        <w:rPr>
          <w:rFonts w:hint="eastAsia" w:ascii="Times New Roman" w:hAnsi="Times New Roman" w:eastAsia="方正仿宋_GBK" w:cs="方正仿宋_GBK"/>
          <w:color w:val="auto"/>
          <w:kern w:val="2"/>
          <w:sz w:val="32"/>
          <w:szCs w:val="32"/>
          <w:highlight w:val="none"/>
          <w:lang w:val="en-US" w:eastAsia="zh-CN" w:bidi="ar-SA"/>
        </w:rPr>
        <w:t>四、财政拨款收入支出决算总表</w:t>
      </w:r>
      <w:bookmarkEnd w:id="55"/>
    </w:p>
    <w:p>
      <w:pPr>
        <w:keepNext w:val="0"/>
        <w:keepLines w:val="0"/>
        <w:pageBreakBefore w:val="0"/>
        <w:widowControl w:val="0"/>
        <w:kinsoku/>
        <w:wordWrap/>
        <w:overflowPunct/>
        <w:topLinePunct w:val="0"/>
        <w:autoSpaceDE/>
        <w:autoSpaceDN/>
        <w:bidi w:val="0"/>
        <w:adjustRightInd/>
        <w:snapToGrid w:val="0"/>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6" w:name="_Toc15396623"/>
      <w:r>
        <w:rPr>
          <w:rFonts w:hint="eastAsia" w:ascii="Times New Roman" w:hAnsi="Times New Roman" w:eastAsia="方正仿宋_GBK" w:cs="方正仿宋_GBK"/>
          <w:color w:val="auto"/>
          <w:kern w:val="2"/>
          <w:sz w:val="32"/>
          <w:szCs w:val="32"/>
          <w:highlight w:val="none"/>
          <w:lang w:val="en-US" w:eastAsia="zh-CN" w:bidi="ar-SA"/>
        </w:rPr>
        <w:t>五、财政拨款支出决算明细表</w:t>
      </w:r>
      <w:bookmarkEnd w:id="56"/>
      <w:bookmarkStart w:id="57" w:name="_Toc15396624"/>
    </w:p>
    <w:p>
      <w:pPr>
        <w:keepNext w:val="0"/>
        <w:keepLines w:val="0"/>
        <w:pageBreakBefore w:val="0"/>
        <w:widowControl w:val="0"/>
        <w:kinsoku/>
        <w:wordWrap/>
        <w:overflowPunct/>
        <w:topLinePunct w:val="0"/>
        <w:autoSpaceDE/>
        <w:autoSpaceDN/>
        <w:bidi w:val="0"/>
        <w:adjustRightInd/>
        <w:snapToGrid w:val="0"/>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六、一般公共预算财政拨款支出决算表</w:t>
      </w:r>
      <w:bookmarkEnd w:id="57"/>
    </w:p>
    <w:p>
      <w:pPr>
        <w:keepNext w:val="0"/>
        <w:keepLines w:val="0"/>
        <w:pageBreakBefore w:val="0"/>
        <w:widowControl w:val="0"/>
        <w:kinsoku/>
        <w:wordWrap/>
        <w:overflowPunct/>
        <w:topLinePunct w:val="0"/>
        <w:autoSpaceDE/>
        <w:autoSpaceDN/>
        <w:bidi w:val="0"/>
        <w:adjustRightInd/>
        <w:snapToGrid w:val="0"/>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8" w:name="_Toc15396625"/>
      <w:r>
        <w:rPr>
          <w:rFonts w:hint="eastAsia" w:ascii="Times New Roman" w:hAnsi="Times New Roman" w:eastAsia="方正仿宋_GBK" w:cs="方正仿宋_GBK"/>
          <w:color w:val="auto"/>
          <w:kern w:val="2"/>
          <w:sz w:val="32"/>
          <w:szCs w:val="32"/>
          <w:highlight w:val="none"/>
          <w:lang w:val="en-US" w:eastAsia="zh-CN" w:bidi="ar-SA"/>
        </w:rPr>
        <w:t>七、一般公共预算财政拨款支出决算明细表</w:t>
      </w:r>
      <w:bookmarkEnd w:id="58"/>
    </w:p>
    <w:p>
      <w:pPr>
        <w:keepNext w:val="0"/>
        <w:keepLines w:val="0"/>
        <w:pageBreakBefore w:val="0"/>
        <w:widowControl w:val="0"/>
        <w:kinsoku/>
        <w:wordWrap/>
        <w:overflowPunct/>
        <w:topLinePunct w:val="0"/>
        <w:autoSpaceDE/>
        <w:autoSpaceDN/>
        <w:bidi w:val="0"/>
        <w:adjustRightInd/>
        <w:snapToGrid w:val="0"/>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59" w:name="_Toc15396626"/>
      <w:r>
        <w:rPr>
          <w:rFonts w:hint="eastAsia" w:ascii="Times New Roman" w:hAnsi="Times New Roman" w:eastAsia="方正仿宋_GBK" w:cs="方正仿宋_GBK"/>
          <w:color w:val="auto"/>
          <w:kern w:val="2"/>
          <w:sz w:val="32"/>
          <w:szCs w:val="32"/>
          <w:highlight w:val="none"/>
          <w:lang w:val="en-US" w:eastAsia="zh-CN" w:bidi="ar-SA"/>
        </w:rPr>
        <w:t>八、一般公共预算财政拨款基本支出决算表</w:t>
      </w:r>
      <w:bookmarkEnd w:id="59"/>
    </w:p>
    <w:p>
      <w:pPr>
        <w:keepNext w:val="0"/>
        <w:keepLines w:val="0"/>
        <w:pageBreakBefore w:val="0"/>
        <w:widowControl w:val="0"/>
        <w:kinsoku/>
        <w:wordWrap/>
        <w:overflowPunct/>
        <w:topLinePunct w:val="0"/>
        <w:autoSpaceDE/>
        <w:autoSpaceDN/>
        <w:bidi w:val="0"/>
        <w:adjustRightInd/>
        <w:snapToGrid w:val="0"/>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60" w:name="_Toc15396627"/>
      <w:r>
        <w:rPr>
          <w:rFonts w:hint="eastAsia" w:ascii="Times New Roman" w:hAnsi="Times New Roman" w:eastAsia="方正仿宋_GBK" w:cs="方正仿宋_GBK"/>
          <w:color w:val="auto"/>
          <w:kern w:val="2"/>
          <w:sz w:val="32"/>
          <w:szCs w:val="32"/>
          <w:highlight w:val="none"/>
          <w:lang w:val="en-US" w:eastAsia="zh-CN" w:bidi="ar-SA"/>
        </w:rPr>
        <w:t>九、一般公共预算财政拨款项目支出决算表</w:t>
      </w:r>
      <w:bookmarkEnd w:id="60"/>
    </w:p>
    <w:p>
      <w:pPr>
        <w:keepNext w:val="0"/>
        <w:keepLines w:val="0"/>
        <w:pageBreakBefore w:val="0"/>
        <w:widowControl w:val="0"/>
        <w:kinsoku/>
        <w:wordWrap/>
        <w:overflowPunct/>
        <w:topLinePunct w:val="0"/>
        <w:autoSpaceDE/>
        <w:autoSpaceDN/>
        <w:bidi w:val="0"/>
        <w:adjustRightInd/>
        <w:snapToGrid w:val="0"/>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61" w:name="_Toc15396628"/>
      <w:r>
        <w:rPr>
          <w:rFonts w:hint="eastAsia" w:ascii="Times New Roman" w:hAnsi="Times New Roman" w:eastAsia="方正仿宋_GBK" w:cs="方正仿宋_GBK"/>
          <w:color w:val="auto"/>
          <w:kern w:val="2"/>
          <w:sz w:val="32"/>
          <w:szCs w:val="32"/>
          <w:highlight w:val="none"/>
          <w:lang w:val="en-US" w:eastAsia="zh-CN" w:bidi="ar-SA"/>
        </w:rPr>
        <w:t>十、</w:t>
      </w:r>
      <w:bookmarkEnd w:id="61"/>
      <w:r>
        <w:rPr>
          <w:rFonts w:hint="eastAsia" w:ascii="Times New Roman" w:hAnsi="Times New Roman" w:eastAsia="方正仿宋_GBK" w:cs="方正仿宋_GBK"/>
          <w:color w:val="auto"/>
          <w:kern w:val="2"/>
          <w:sz w:val="32"/>
          <w:szCs w:val="32"/>
          <w:highlight w:val="none"/>
          <w:lang w:val="en-US" w:eastAsia="zh-CN" w:bidi="ar-SA"/>
        </w:rPr>
        <w:t>政府性基金预算财政拨款收入支出决算表</w:t>
      </w:r>
    </w:p>
    <w:p>
      <w:pPr>
        <w:keepNext w:val="0"/>
        <w:keepLines w:val="0"/>
        <w:pageBreakBefore w:val="0"/>
        <w:widowControl w:val="0"/>
        <w:kinsoku/>
        <w:wordWrap/>
        <w:overflowPunct/>
        <w:topLinePunct w:val="0"/>
        <w:autoSpaceDE/>
        <w:autoSpaceDN/>
        <w:bidi w:val="0"/>
        <w:adjustRightInd/>
        <w:snapToGrid w:val="0"/>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62" w:name="_Toc15396629"/>
      <w:r>
        <w:rPr>
          <w:rFonts w:hint="eastAsia" w:ascii="Times New Roman" w:hAnsi="Times New Roman" w:eastAsia="方正仿宋_GBK" w:cs="方正仿宋_GBK"/>
          <w:color w:val="auto"/>
          <w:kern w:val="2"/>
          <w:sz w:val="32"/>
          <w:szCs w:val="32"/>
          <w:highlight w:val="none"/>
          <w:lang w:val="en-US" w:eastAsia="zh-CN" w:bidi="ar-SA"/>
        </w:rPr>
        <w:t>十一、</w:t>
      </w:r>
      <w:bookmarkEnd w:id="62"/>
      <w:r>
        <w:rPr>
          <w:rFonts w:hint="eastAsia" w:ascii="Times New Roman" w:hAnsi="Times New Roman" w:eastAsia="方正仿宋_GBK" w:cs="方正仿宋_GBK"/>
          <w:color w:val="auto"/>
          <w:kern w:val="2"/>
          <w:sz w:val="32"/>
          <w:szCs w:val="32"/>
          <w:highlight w:val="none"/>
          <w:lang w:val="en-US" w:eastAsia="zh-CN" w:bidi="ar-SA"/>
        </w:rPr>
        <w:t>国有资本经营预算财政拨款收入支出决算表</w:t>
      </w:r>
    </w:p>
    <w:p>
      <w:pPr>
        <w:keepNext w:val="0"/>
        <w:keepLines w:val="0"/>
        <w:pageBreakBefore w:val="0"/>
        <w:widowControl w:val="0"/>
        <w:kinsoku/>
        <w:wordWrap/>
        <w:overflowPunct/>
        <w:topLinePunct w:val="0"/>
        <w:autoSpaceDE/>
        <w:autoSpaceDN/>
        <w:bidi w:val="0"/>
        <w:adjustRightInd/>
        <w:snapToGrid w:val="0"/>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63" w:name="_Toc15396630"/>
      <w:r>
        <w:rPr>
          <w:rFonts w:hint="eastAsia" w:ascii="Times New Roman" w:hAnsi="Times New Roman" w:eastAsia="方正仿宋_GBK" w:cs="方正仿宋_GBK"/>
          <w:color w:val="auto"/>
          <w:kern w:val="2"/>
          <w:sz w:val="32"/>
          <w:szCs w:val="32"/>
          <w:highlight w:val="none"/>
          <w:lang w:val="en-US" w:eastAsia="zh-CN" w:bidi="ar-SA"/>
        </w:rPr>
        <w:t>十二、</w:t>
      </w:r>
      <w:bookmarkEnd w:id="63"/>
      <w:r>
        <w:rPr>
          <w:rFonts w:hint="eastAsia" w:ascii="Times New Roman" w:hAnsi="Times New Roman" w:eastAsia="方正仿宋_GBK" w:cs="方正仿宋_GBK"/>
          <w:color w:val="auto"/>
          <w:kern w:val="2"/>
          <w:sz w:val="32"/>
          <w:szCs w:val="32"/>
          <w:highlight w:val="none"/>
          <w:lang w:val="en-US" w:eastAsia="zh-CN" w:bidi="ar-SA"/>
        </w:rPr>
        <w:t>国有资本经营预算财政拨款支出决算表</w:t>
      </w:r>
    </w:p>
    <w:p>
      <w:pPr>
        <w:keepNext w:val="0"/>
        <w:keepLines w:val="0"/>
        <w:pageBreakBefore w:val="0"/>
        <w:widowControl w:val="0"/>
        <w:kinsoku/>
        <w:wordWrap/>
        <w:overflowPunct/>
        <w:topLinePunct w:val="0"/>
        <w:autoSpaceDE/>
        <w:autoSpaceDN/>
        <w:bidi w:val="0"/>
        <w:adjustRightInd/>
        <w:snapToGrid w:val="0"/>
        <w:spacing w:line="576"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64" w:name="_Toc15396631"/>
      <w:r>
        <w:rPr>
          <w:rFonts w:hint="eastAsia" w:ascii="Times New Roman" w:hAnsi="Times New Roman" w:eastAsia="方正仿宋_GBK" w:cs="方正仿宋_GBK"/>
          <w:color w:val="auto"/>
          <w:kern w:val="2"/>
          <w:sz w:val="32"/>
          <w:szCs w:val="32"/>
          <w:highlight w:val="none"/>
          <w:lang w:val="en-US" w:eastAsia="zh-CN" w:bidi="ar-SA"/>
        </w:rPr>
        <w:t>十三、</w:t>
      </w:r>
      <w:bookmarkEnd w:id="64"/>
      <w:r>
        <w:rPr>
          <w:rFonts w:hint="eastAsia" w:ascii="Times New Roman" w:hAnsi="Times New Roman" w:eastAsia="方正仿宋_GBK" w:cs="方正仿宋_GBK"/>
          <w:color w:val="auto"/>
          <w:kern w:val="2"/>
          <w:sz w:val="32"/>
          <w:szCs w:val="32"/>
          <w:highlight w:val="none"/>
          <w:lang w:val="en-US" w:eastAsia="zh-CN" w:bidi="ar-SA"/>
        </w:rPr>
        <w:t>财政拨款“三公”经费支出决算表</w:t>
      </w:r>
    </w:p>
    <w:p>
      <w:pPr>
        <w:keepNext w:val="0"/>
        <w:keepLines w:val="0"/>
        <w:pageBreakBefore w:val="0"/>
        <w:widowControl w:val="0"/>
        <w:kinsoku/>
        <w:wordWrap/>
        <w:overflowPunct/>
        <w:topLinePunct w:val="0"/>
        <w:autoSpaceDE/>
        <w:autoSpaceDN/>
        <w:bidi w:val="0"/>
        <w:adjustRightInd/>
        <w:snapToGrid w:val="0"/>
        <w:spacing w:line="560" w:lineRule="exact"/>
        <w:ind w:firstLine="0" w:firstLineChars="0"/>
        <w:textAlignment w:val="auto"/>
        <w:rPr>
          <w:rFonts w:hint="eastAsia" w:ascii="Times New Roman" w:hAnsi="Times New Roman" w:eastAsia="方正仿宋_GBK" w:cs="方正仿宋_GBK"/>
          <w:color w:val="auto"/>
          <w:kern w:val="2"/>
          <w:sz w:val="32"/>
          <w:szCs w:val="32"/>
          <w:highlight w:val="none"/>
          <w:lang w:val="en-US" w:eastAsia="zh-CN" w:bidi="ar-SA"/>
        </w:rPr>
      </w:pPr>
    </w:p>
    <w:sectPr>
      <w:footerReference r:id="rId7" w:type="default"/>
      <w:pgSz w:w="11906" w:h="16838"/>
      <w:pgMar w:top="2098" w:right="1474" w:bottom="1984" w:left="1587" w:header="851" w:footer="992" w:gutter="0"/>
      <w:pgNumType w:fmt="decimal" w:start="1"/>
      <w:cols w:space="0" w:num="1"/>
      <w:rtlGutter w:val="0"/>
      <w:docGrid w:type="linesAndChars" w:linePitch="289" w:charSpace="-36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简体">
    <w:altName w:val="方正黑体_GBK"/>
    <w:panose1 w:val="02000000000000000000"/>
    <w:charset w:val="86"/>
    <w:family w:val="auto"/>
    <w:pitch w:val="default"/>
    <w:sig w:usb0="00000000" w:usb1="00000000" w:usb2="00000012" w:usb3="00000000" w:csb0="00040001" w:csb1="00000000"/>
  </w:font>
  <w:font w:name="方正楷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w:t>
                          </w: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1"/>
                    </w:pPr>
                    <w:r>
                      <w:t>—</w:t>
                    </w: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t xml:space="preserve"> —</w:t>
                    </w:r>
                  </w:p>
                </w:txbxContent>
              </v:textbox>
            </v:shape>
          </w:pict>
        </mc:Fallback>
      </mc:AlternateContent>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1"/>
  <w:bordersDoNotSurroundFooter w:val="1"/>
  <w:documentProtection w:enforcement="0"/>
  <w:defaultTabStop w:val="418"/>
  <w:drawingGridHorizontalSpacing w:val="96"/>
  <w:drawingGridVerticalSpacing w:val="144"/>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2OTQxMmZlZGRkMTJlOTY0NDA4YjNiNGE2ZjBiNm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A13B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3E4200B"/>
    <w:rsid w:val="04561CA4"/>
    <w:rsid w:val="04874344"/>
    <w:rsid w:val="048C54B6"/>
    <w:rsid w:val="061E35DE"/>
    <w:rsid w:val="066E0107"/>
    <w:rsid w:val="067B57E2"/>
    <w:rsid w:val="069E53CC"/>
    <w:rsid w:val="06B02408"/>
    <w:rsid w:val="06C55A0B"/>
    <w:rsid w:val="07695F97"/>
    <w:rsid w:val="07996F6E"/>
    <w:rsid w:val="07DFD8BA"/>
    <w:rsid w:val="07EF46DA"/>
    <w:rsid w:val="07F4584C"/>
    <w:rsid w:val="083D5445"/>
    <w:rsid w:val="08B651F8"/>
    <w:rsid w:val="08D631A4"/>
    <w:rsid w:val="08DB07E4"/>
    <w:rsid w:val="08F7548E"/>
    <w:rsid w:val="09867E8F"/>
    <w:rsid w:val="0992531D"/>
    <w:rsid w:val="0A044109"/>
    <w:rsid w:val="0A2032A3"/>
    <w:rsid w:val="0A530F50"/>
    <w:rsid w:val="0A6071C9"/>
    <w:rsid w:val="0AE37EEA"/>
    <w:rsid w:val="0AF014D4"/>
    <w:rsid w:val="0B293A5F"/>
    <w:rsid w:val="0B36617C"/>
    <w:rsid w:val="0C6C4794"/>
    <w:rsid w:val="0C965124"/>
    <w:rsid w:val="0C970E9C"/>
    <w:rsid w:val="0CA8290A"/>
    <w:rsid w:val="0D35B1ED"/>
    <w:rsid w:val="0DE07E2B"/>
    <w:rsid w:val="0DE24882"/>
    <w:rsid w:val="0DE7A3F8"/>
    <w:rsid w:val="0DF20A80"/>
    <w:rsid w:val="0E4A08BC"/>
    <w:rsid w:val="0F98263C"/>
    <w:rsid w:val="0FB467F2"/>
    <w:rsid w:val="0FB66D7E"/>
    <w:rsid w:val="101860EC"/>
    <w:rsid w:val="10C055FF"/>
    <w:rsid w:val="1111121D"/>
    <w:rsid w:val="111F3590"/>
    <w:rsid w:val="11772AA4"/>
    <w:rsid w:val="118107EC"/>
    <w:rsid w:val="11CE5360"/>
    <w:rsid w:val="122B27B2"/>
    <w:rsid w:val="13225964"/>
    <w:rsid w:val="13D50BC4"/>
    <w:rsid w:val="13E9022F"/>
    <w:rsid w:val="14022904"/>
    <w:rsid w:val="14B922F8"/>
    <w:rsid w:val="14CB5B87"/>
    <w:rsid w:val="150D43F1"/>
    <w:rsid w:val="152F2A07"/>
    <w:rsid w:val="15D171CD"/>
    <w:rsid w:val="15FE9D13"/>
    <w:rsid w:val="16161084"/>
    <w:rsid w:val="1651030E"/>
    <w:rsid w:val="165E0673"/>
    <w:rsid w:val="16BB723D"/>
    <w:rsid w:val="17716EB9"/>
    <w:rsid w:val="178169D1"/>
    <w:rsid w:val="186504BB"/>
    <w:rsid w:val="18DF60A5"/>
    <w:rsid w:val="1938089F"/>
    <w:rsid w:val="19A445FC"/>
    <w:rsid w:val="1A136006"/>
    <w:rsid w:val="1A1F0E4F"/>
    <w:rsid w:val="1AF9E9F9"/>
    <w:rsid w:val="1B1577A1"/>
    <w:rsid w:val="1B7D550C"/>
    <w:rsid w:val="1B8151F1"/>
    <w:rsid w:val="1B87399C"/>
    <w:rsid w:val="1BE063BC"/>
    <w:rsid w:val="1BE8440E"/>
    <w:rsid w:val="1CEC2B3E"/>
    <w:rsid w:val="1D155CEE"/>
    <w:rsid w:val="1DB2BA92"/>
    <w:rsid w:val="1E200CF1"/>
    <w:rsid w:val="1E740ACF"/>
    <w:rsid w:val="1EEF3B92"/>
    <w:rsid w:val="1F62156A"/>
    <w:rsid w:val="1F6C7D56"/>
    <w:rsid w:val="1FBCE11B"/>
    <w:rsid w:val="1FBE07C2"/>
    <w:rsid w:val="1FCF0BC2"/>
    <w:rsid w:val="1FF35744"/>
    <w:rsid w:val="1FF6BC77"/>
    <w:rsid w:val="1FFB2B27"/>
    <w:rsid w:val="20955A01"/>
    <w:rsid w:val="20C938C2"/>
    <w:rsid w:val="20DE6C42"/>
    <w:rsid w:val="210E7527"/>
    <w:rsid w:val="21921F06"/>
    <w:rsid w:val="21962A9E"/>
    <w:rsid w:val="21AE7C77"/>
    <w:rsid w:val="21C33111"/>
    <w:rsid w:val="229D5007"/>
    <w:rsid w:val="22BC3C41"/>
    <w:rsid w:val="22BE1A91"/>
    <w:rsid w:val="22F83FEB"/>
    <w:rsid w:val="235F406A"/>
    <w:rsid w:val="23860B96"/>
    <w:rsid w:val="23906919"/>
    <w:rsid w:val="23DE5804"/>
    <w:rsid w:val="240371BF"/>
    <w:rsid w:val="24704055"/>
    <w:rsid w:val="259D0E7A"/>
    <w:rsid w:val="260F557C"/>
    <w:rsid w:val="26CB1A16"/>
    <w:rsid w:val="26D22DA5"/>
    <w:rsid w:val="26D703BB"/>
    <w:rsid w:val="27C1051A"/>
    <w:rsid w:val="281408E2"/>
    <w:rsid w:val="28180C8B"/>
    <w:rsid w:val="29F51284"/>
    <w:rsid w:val="29FD04D3"/>
    <w:rsid w:val="2BB4373F"/>
    <w:rsid w:val="2BFB2D9E"/>
    <w:rsid w:val="2BFF7BC6"/>
    <w:rsid w:val="2C8A61B5"/>
    <w:rsid w:val="2D2E01CF"/>
    <w:rsid w:val="2DF04E50"/>
    <w:rsid w:val="2E9545B0"/>
    <w:rsid w:val="2EEB534C"/>
    <w:rsid w:val="2F040D46"/>
    <w:rsid w:val="2F3B8D5F"/>
    <w:rsid w:val="2FAE5751"/>
    <w:rsid w:val="2FB1A395"/>
    <w:rsid w:val="2FBF6A5C"/>
    <w:rsid w:val="2FD9A7D8"/>
    <w:rsid w:val="30881194"/>
    <w:rsid w:val="312E1520"/>
    <w:rsid w:val="313B4368"/>
    <w:rsid w:val="318008AB"/>
    <w:rsid w:val="319F7F4E"/>
    <w:rsid w:val="31B41A25"/>
    <w:rsid w:val="321B2544"/>
    <w:rsid w:val="3304709D"/>
    <w:rsid w:val="337A0A4C"/>
    <w:rsid w:val="338B541C"/>
    <w:rsid w:val="33E83C08"/>
    <w:rsid w:val="340F0C0A"/>
    <w:rsid w:val="34281836"/>
    <w:rsid w:val="349D6851"/>
    <w:rsid w:val="350727B3"/>
    <w:rsid w:val="35243365"/>
    <w:rsid w:val="35A74427"/>
    <w:rsid w:val="35BA6CAF"/>
    <w:rsid w:val="364D14C1"/>
    <w:rsid w:val="3676374D"/>
    <w:rsid w:val="36AA5135"/>
    <w:rsid w:val="36BE0DA7"/>
    <w:rsid w:val="376B6AA6"/>
    <w:rsid w:val="376D39B2"/>
    <w:rsid w:val="37CB1A54"/>
    <w:rsid w:val="37D70DE7"/>
    <w:rsid w:val="37E16F03"/>
    <w:rsid w:val="37F53A3B"/>
    <w:rsid w:val="389B6C89"/>
    <w:rsid w:val="38B7EC6B"/>
    <w:rsid w:val="38D469F0"/>
    <w:rsid w:val="391C42F3"/>
    <w:rsid w:val="39627CCD"/>
    <w:rsid w:val="397BAF1F"/>
    <w:rsid w:val="39F257E0"/>
    <w:rsid w:val="39F848E9"/>
    <w:rsid w:val="3AB79AF3"/>
    <w:rsid w:val="3B2D45F6"/>
    <w:rsid w:val="3B7EF35A"/>
    <w:rsid w:val="3B8B2E78"/>
    <w:rsid w:val="3B9F1858"/>
    <w:rsid w:val="3B9FDB6C"/>
    <w:rsid w:val="3BF5BC2F"/>
    <w:rsid w:val="3C3F0A85"/>
    <w:rsid w:val="3C430575"/>
    <w:rsid w:val="3C581F4B"/>
    <w:rsid w:val="3C6E76F8"/>
    <w:rsid w:val="3CDDEABA"/>
    <w:rsid w:val="3CEBA265"/>
    <w:rsid w:val="3D6D9329"/>
    <w:rsid w:val="3D98207C"/>
    <w:rsid w:val="3D9B0D99"/>
    <w:rsid w:val="3DEE7CF3"/>
    <w:rsid w:val="3DF02244"/>
    <w:rsid w:val="3E78745D"/>
    <w:rsid w:val="3F19245C"/>
    <w:rsid w:val="3F577E93"/>
    <w:rsid w:val="3F6F396A"/>
    <w:rsid w:val="3F731171"/>
    <w:rsid w:val="3F9410E8"/>
    <w:rsid w:val="3FF4CAE0"/>
    <w:rsid w:val="3FF7B227"/>
    <w:rsid w:val="3FFE630B"/>
    <w:rsid w:val="40E54C45"/>
    <w:rsid w:val="420066BC"/>
    <w:rsid w:val="42542BA5"/>
    <w:rsid w:val="429531AD"/>
    <w:rsid w:val="430A7E7F"/>
    <w:rsid w:val="436C3D3F"/>
    <w:rsid w:val="43A407DF"/>
    <w:rsid w:val="43EC4077"/>
    <w:rsid w:val="44515BEA"/>
    <w:rsid w:val="449659D3"/>
    <w:rsid w:val="44B9702A"/>
    <w:rsid w:val="44E268DA"/>
    <w:rsid w:val="44F55354"/>
    <w:rsid w:val="453F7E5B"/>
    <w:rsid w:val="45B85B30"/>
    <w:rsid w:val="463902F3"/>
    <w:rsid w:val="4654512D"/>
    <w:rsid w:val="465D0367"/>
    <w:rsid w:val="48623B31"/>
    <w:rsid w:val="48657AC5"/>
    <w:rsid w:val="486A6C7A"/>
    <w:rsid w:val="48B819A3"/>
    <w:rsid w:val="49176D9B"/>
    <w:rsid w:val="495F255F"/>
    <w:rsid w:val="49F92273"/>
    <w:rsid w:val="4A627F82"/>
    <w:rsid w:val="4B0E749A"/>
    <w:rsid w:val="4B4F25DA"/>
    <w:rsid w:val="4BDA0CFB"/>
    <w:rsid w:val="4BE068DB"/>
    <w:rsid w:val="4C1C493F"/>
    <w:rsid w:val="4C59524B"/>
    <w:rsid w:val="4D3C0CCC"/>
    <w:rsid w:val="4D445EFB"/>
    <w:rsid w:val="4D577224"/>
    <w:rsid w:val="4D602609"/>
    <w:rsid w:val="4DBF1CEB"/>
    <w:rsid w:val="4E241889"/>
    <w:rsid w:val="4E964534"/>
    <w:rsid w:val="4EAB630A"/>
    <w:rsid w:val="4ECE2238"/>
    <w:rsid w:val="4EED611E"/>
    <w:rsid w:val="4F833267"/>
    <w:rsid w:val="4FBFA880"/>
    <w:rsid w:val="4FE439C5"/>
    <w:rsid w:val="4FE9BD67"/>
    <w:rsid w:val="4FFB052F"/>
    <w:rsid w:val="5069710A"/>
    <w:rsid w:val="508C2093"/>
    <w:rsid w:val="50D719C6"/>
    <w:rsid w:val="528A67D7"/>
    <w:rsid w:val="53073C53"/>
    <w:rsid w:val="53083A92"/>
    <w:rsid w:val="533671F5"/>
    <w:rsid w:val="53791642"/>
    <w:rsid w:val="537E6D0A"/>
    <w:rsid w:val="53915C12"/>
    <w:rsid w:val="53AF27A2"/>
    <w:rsid w:val="53F74C96"/>
    <w:rsid w:val="540957A8"/>
    <w:rsid w:val="54972730"/>
    <w:rsid w:val="54B13A02"/>
    <w:rsid w:val="54DA0105"/>
    <w:rsid w:val="555667CB"/>
    <w:rsid w:val="566969D2"/>
    <w:rsid w:val="56AD68BF"/>
    <w:rsid w:val="56E47B74"/>
    <w:rsid w:val="57BD3DD4"/>
    <w:rsid w:val="57BF1BD7"/>
    <w:rsid w:val="57C66B65"/>
    <w:rsid w:val="57E502DB"/>
    <w:rsid w:val="581F1A3E"/>
    <w:rsid w:val="596811C3"/>
    <w:rsid w:val="59FF6F1F"/>
    <w:rsid w:val="5AF92295"/>
    <w:rsid w:val="5B435A44"/>
    <w:rsid w:val="5B779D6D"/>
    <w:rsid w:val="5BDD79E6"/>
    <w:rsid w:val="5BF561CA"/>
    <w:rsid w:val="5BFF5DFC"/>
    <w:rsid w:val="5C425CFC"/>
    <w:rsid w:val="5CAF39D8"/>
    <w:rsid w:val="5CD71FC4"/>
    <w:rsid w:val="5D1F11B5"/>
    <w:rsid w:val="5DAE1B18"/>
    <w:rsid w:val="5DAE35C3"/>
    <w:rsid w:val="5DBF47A0"/>
    <w:rsid w:val="5DCF24C1"/>
    <w:rsid w:val="5DD76917"/>
    <w:rsid w:val="5DE7D9E5"/>
    <w:rsid w:val="5ECEC941"/>
    <w:rsid w:val="5F493CB7"/>
    <w:rsid w:val="5F6A27A7"/>
    <w:rsid w:val="5F7C436D"/>
    <w:rsid w:val="5FB05E86"/>
    <w:rsid w:val="5FBF9FF3"/>
    <w:rsid w:val="5FCD4E2C"/>
    <w:rsid w:val="5FD15F49"/>
    <w:rsid w:val="5FDF07D5"/>
    <w:rsid w:val="5FEF394A"/>
    <w:rsid w:val="5FF67715"/>
    <w:rsid w:val="5FFE7B75"/>
    <w:rsid w:val="60B46A9C"/>
    <w:rsid w:val="61FB545C"/>
    <w:rsid w:val="62B00548"/>
    <w:rsid w:val="62BF3928"/>
    <w:rsid w:val="634520A2"/>
    <w:rsid w:val="63F83144"/>
    <w:rsid w:val="647F5392"/>
    <w:rsid w:val="64FE478A"/>
    <w:rsid w:val="664B1D71"/>
    <w:rsid w:val="6670332B"/>
    <w:rsid w:val="67A1421E"/>
    <w:rsid w:val="67AA3209"/>
    <w:rsid w:val="67B2045B"/>
    <w:rsid w:val="681C4F0D"/>
    <w:rsid w:val="69046D0F"/>
    <w:rsid w:val="694435FF"/>
    <w:rsid w:val="69520EB1"/>
    <w:rsid w:val="698D0931"/>
    <w:rsid w:val="69D63F27"/>
    <w:rsid w:val="69EEE02B"/>
    <w:rsid w:val="69F7C3A3"/>
    <w:rsid w:val="6A993CED"/>
    <w:rsid w:val="6AC67AF8"/>
    <w:rsid w:val="6AFE676C"/>
    <w:rsid w:val="6AFFB5AC"/>
    <w:rsid w:val="6B053271"/>
    <w:rsid w:val="6B513865"/>
    <w:rsid w:val="6BCE6674"/>
    <w:rsid w:val="6BD7AA09"/>
    <w:rsid w:val="6BDCC5D4"/>
    <w:rsid w:val="6BDD77EF"/>
    <w:rsid w:val="6C4A05C8"/>
    <w:rsid w:val="6C7A3290"/>
    <w:rsid w:val="6C8742B8"/>
    <w:rsid w:val="6C8A170F"/>
    <w:rsid w:val="6CA64085"/>
    <w:rsid w:val="6CA83959"/>
    <w:rsid w:val="6CB54609"/>
    <w:rsid w:val="6D5238C5"/>
    <w:rsid w:val="6DBF5E93"/>
    <w:rsid w:val="6DDE15FC"/>
    <w:rsid w:val="6DE72D82"/>
    <w:rsid w:val="6DFF077E"/>
    <w:rsid w:val="6E4FA880"/>
    <w:rsid w:val="6E5F9F05"/>
    <w:rsid w:val="6E7E3605"/>
    <w:rsid w:val="6E7FDCC7"/>
    <w:rsid w:val="6EAA6DDF"/>
    <w:rsid w:val="6EB83BFB"/>
    <w:rsid w:val="6ED6A62E"/>
    <w:rsid w:val="6EE00B15"/>
    <w:rsid w:val="6F1C418A"/>
    <w:rsid w:val="6F544B20"/>
    <w:rsid w:val="6F6FB3EB"/>
    <w:rsid w:val="6F777C42"/>
    <w:rsid w:val="6F784160"/>
    <w:rsid w:val="6F8731EA"/>
    <w:rsid w:val="6FCAEB14"/>
    <w:rsid w:val="6FCE6052"/>
    <w:rsid w:val="6FD57C00"/>
    <w:rsid w:val="6FD7F93A"/>
    <w:rsid w:val="6FDE3B35"/>
    <w:rsid w:val="6FEFFFD8"/>
    <w:rsid w:val="6FF5CC65"/>
    <w:rsid w:val="6FFB47EC"/>
    <w:rsid w:val="6FFEE7DA"/>
    <w:rsid w:val="6FFF034A"/>
    <w:rsid w:val="703F2826"/>
    <w:rsid w:val="70496804"/>
    <w:rsid w:val="70C96594"/>
    <w:rsid w:val="710650F2"/>
    <w:rsid w:val="712A28F1"/>
    <w:rsid w:val="715C0E4B"/>
    <w:rsid w:val="71AF12E6"/>
    <w:rsid w:val="720B067D"/>
    <w:rsid w:val="72233669"/>
    <w:rsid w:val="72734D90"/>
    <w:rsid w:val="730438B3"/>
    <w:rsid w:val="7332FE48"/>
    <w:rsid w:val="73AB61DA"/>
    <w:rsid w:val="73AD73D5"/>
    <w:rsid w:val="73B6EB34"/>
    <w:rsid w:val="73E334C8"/>
    <w:rsid w:val="73FA497D"/>
    <w:rsid w:val="744731E5"/>
    <w:rsid w:val="74527205"/>
    <w:rsid w:val="74BBD01D"/>
    <w:rsid w:val="74ED5379"/>
    <w:rsid w:val="74FC2395"/>
    <w:rsid w:val="75383CE8"/>
    <w:rsid w:val="755FCF76"/>
    <w:rsid w:val="756FD944"/>
    <w:rsid w:val="75BB6880"/>
    <w:rsid w:val="75DEEEC2"/>
    <w:rsid w:val="75EF52B4"/>
    <w:rsid w:val="7675535B"/>
    <w:rsid w:val="76E3355F"/>
    <w:rsid w:val="76FF5125"/>
    <w:rsid w:val="7735228D"/>
    <w:rsid w:val="776F6FFA"/>
    <w:rsid w:val="778769C8"/>
    <w:rsid w:val="77B84C6C"/>
    <w:rsid w:val="77CCE541"/>
    <w:rsid w:val="77DC22F5"/>
    <w:rsid w:val="77F369FA"/>
    <w:rsid w:val="77F73C40"/>
    <w:rsid w:val="77F74095"/>
    <w:rsid w:val="77FEC06A"/>
    <w:rsid w:val="78252301"/>
    <w:rsid w:val="78D729BF"/>
    <w:rsid w:val="79086DAD"/>
    <w:rsid w:val="798F5924"/>
    <w:rsid w:val="79974F09"/>
    <w:rsid w:val="799F95C9"/>
    <w:rsid w:val="79A049AA"/>
    <w:rsid w:val="79D7FD79"/>
    <w:rsid w:val="79DD7134"/>
    <w:rsid w:val="79E5C887"/>
    <w:rsid w:val="79EE5BA4"/>
    <w:rsid w:val="79F77CCE"/>
    <w:rsid w:val="7A6730A5"/>
    <w:rsid w:val="7A894339"/>
    <w:rsid w:val="7AD1051F"/>
    <w:rsid w:val="7AFF7572"/>
    <w:rsid w:val="7B3B1E3C"/>
    <w:rsid w:val="7B58479C"/>
    <w:rsid w:val="7B6C7DFB"/>
    <w:rsid w:val="7B7BAB04"/>
    <w:rsid w:val="7B95154C"/>
    <w:rsid w:val="7B9A6B62"/>
    <w:rsid w:val="7BBFBED0"/>
    <w:rsid w:val="7BC3E394"/>
    <w:rsid w:val="7BD7481E"/>
    <w:rsid w:val="7BDF341C"/>
    <w:rsid w:val="7BEA70CD"/>
    <w:rsid w:val="7C1F3737"/>
    <w:rsid w:val="7C38223D"/>
    <w:rsid w:val="7CBFC87B"/>
    <w:rsid w:val="7CFA7F74"/>
    <w:rsid w:val="7CFE0F48"/>
    <w:rsid w:val="7D7EC23E"/>
    <w:rsid w:val="7D916348"/>
    <w:rsid w:val="7DB8F2CF"/>
    <w:rsid w:val="7DBF4FA9"/>
    <w:rsid w:val="7DFF3774"/>
    <w:rsid w:val="7E325ACE"/>
    <w:rsid w:val="7E8ADEBF"/>
    <w:rsid w:val="7EBFAFBB"/>
    <w:rsid w:val="7EEF11D3"/>
    <w:rsid w:val="7EFB0645"/>
    <w:rsid w:val="7F0971A6"/>
    <w:rsid w:val="7F3E5C3F"/>
    <w:rsid w:val="7F3F679B"/>
    <w:rsid w:val="7F4FC4EF"/>
    <w:rsid w:val="7F5E4D54"/>
    <w:rsid w:val="7F6BAA88"/>
    <w:rsid w:val="7F6E0135"/>
    <w:rsid w:val="7F7D58EC"/>
    <w:rsid w:val="7F8B55A4"/>
    <w:rsid w:val="7F954DBA"/>
    <w:rsid w:val="7F97C103"/>
    <w:rsid w:val="7FA30C79"/>
    <w:rsid w:val="7FAF8ABF"/>
    <w:rsid w:val="7FB7269E"/>
    <w:rsid w:val="7FC96657"/>
    <w:rsid w:val="7FDA9588"/>
    <w:rsid w:val="7FDD2D72"/>
    <w:rsid w:val="7FDF220F"/>
    <w:rsid w:val="7FEDC5F7"/>
    <w:rsid w:val="7FEDD9DE"/>
    <w:rsid w:val="7FF5890D"/>
    <w:rsid w:val="7FF90B93"/>
    <w:rsid w:val="7FF93490"/>
    <w:rsid w:val="7FFB1B18"/>
    <w:rsid w:val="7FFD6BE8"/>
    <w:rsid w:val="7FFDB7DB"/>
    <w:rsid w:val="7FFF24DE"/>
    <w:rsid w:val="7FFFB800"/>
    <w:rsid w:val="8CEF68BB"/>
    <w:rsid w:val="99FF2014"/>
    <w:rsid w:val="9D4B5CFF"/>
    <w:rsid w:val="9EFEAEA1"/>
    <w:rsid w:val="9F872915"/>
    <w:rsid w:val="A6DD0D7F"/>
    <w:rsid w:val="A7EA5E68"/>
    <w:rsid w:val="A7F32431"/>
    <w:rsid w:val="ADC6F725"/>
    <w:rsid w:val="AFA9B362"/>
    <w:rsid w:val="AFAFBCA8"/>
    <w:rsid w:val="B1BEF08C"/>
    <w:rsid w:val="B62F3C99"/>
    <w:rsid w:val="B6B7279E"/>
    <w:rsid w:val="B7CF06AB"/>
    <w:rsid w:val="B7CFA926"/>
    <w:rsid w:val="B7D7E6A0"/>
    <w:rsid w:val="B7F8786B"/>
    <w:rsid w:val="B7FF8608"/>
    <w:rsid w:val="BA7B23C6"/>
    <w:rsid w:val="BABB6AA1"/>
    <w:rsid w:val="BB2F4199"/>
    <w:rsid w:val="BCED9495"/>
    <w:rsid w:val="BD079C78"/>
    <w:rsid w:val="BD733540"/>
    <w:rsid w:val="BDF6FFAE"/>
    <w:rsid w:val="BE5FC23A"/>
    <w:rsid w:val="BEB5A2AF"/>
    <w:rsid w:val="BF3735D5"/>
    <w:rsid w:val="BF7F09AC"/>
    <w:rsid w:val="BFBE46A6"/>
    <w:rsid w:val="BFD475C3"/>
    <w:rsid w:val="BFD78BED"/>
    <w:rsid w:val="BFDE5EA6"/>
    <w:rsid w:val="CBAFE156"/>
    <w:rsid w:val="CBFC8F54"/>
    <w:rsid w:val="CBFD76A7"/>
    <w:rsid w:val="CDFF6F6B"/>
    <w:rsid w:val="CF6F87EA"/>
    <w:rsid w:val="CF6FC6F3"/>
    <w:rsid w:val="CFD3D3D7"/>
    <w:rsid w:val="CFDF1009"/>
    <w:rsid w:val="CFFE7B87"/>
    <w:rsid w:val="D1DFC23C"/>
    <w:rsid w:val="D76F8880"/>
    <w:rsid w:val="D7D7B16A"/>
    <w:rsid w:val="D7FF2326"/>
    <w:rsid w:val="D8D6DB89"/>
    <w:rsid w:val="D97D96BE"/>
    <w:rsid w:val="DB6F4CAB"/>
    <w:rsid w:val="DB777682"/>
    <w:rsid w:val="DBF1B18E"/>
    <w:rsid w:val="DD1FB521"/>
    <w:rsid w:val="DE4F7EEB"/>
    <w:rsid w:val="DEFBFEAE"/>
    <w:rsid w:val="DF1F3B80"/>
    <w:rsid w:val="DF6F9789"/>
    <w:rsid w:val="DFBBA685"/>
    <w:rsid w:val="DFDF78D9"/>
    <w:rsid w:val="DFFCCCAF"/>
    <w:rsid w:val="DFFFA9E8"/>
    <w:rsid w:val="E3BF14D0"/>
    <w:rsid w:val="E5F4E9DC"/>
    <w:rsid w:val="E70FE695"/>
    <w:rsid w:val="EBAE35A8"/>
    <w:rsid w:val="EBDEE889"/>
    <w:rsid w:val="EC7F7C6A"/>
    <w:rsid w:val="ECFED1BC"/>
    <w:rsid w:val="ED1D69BB"/>
    <w:rsid w:val="ED7FD312"/>
    <w:rsid w:val="EE3EFD21"/>
    <w:rsid w:val="EEF7AD08"/>
    <w:rsid w:val="EEF93043"/>
    <w:rsid w:val="EF53993F"/>
    <w:rsid w:val="EF6FD633"/>
    <w:rsid w:val="EFA6540C"/>
    <w:rsid w:val="EFB51EC3"/>
    <w:rsid w:val="EFBFB2F4"/>
    <w:rsid w:val="EFBFFA21"/>
    <w:rsid w:val="EFCECA4C"/>
    <w:rsid w:val="EFDFA52D"/>
    <w:rsid w:val="F2BEBCB8"/>
    <w:rsid w:val="F2DFBDAA"/>
    <w:rsid w:val="F36FB518"/>
    <w:rsid w:val="F3DE1A04"/>
    <w:rsid w:val="F3F722E5"/>
    <w:rsid w:val="F4E44F10"/>
    <w:rsid w:val="F5C6B89B"/>
    <w:rsid w:val="F5E57C03"/>
    <w:rsid w:val="F5F77437"/>
    <w:rsid w:val="F6BA26BB"/>
    <w:rsid w:val="F7CFB328"/>
    <w:rsid w:val="F7DE6412"/>
    <w:rsid w:val="F7FBD8FE"/>
    <w:rsid w:val="F9BF2A5A"/>
    <w:rsid w:val="FA5F1E70"/>
    <w:rsid w:val="FA5FDB97"/>
    <w:rsid w:val="FA7A06FB"/>
    <w:rsid w:val="FABA3600"/>
    <w:rsid w:val="FB7F486A"/>
    <w:rsid w:val="FBFF5B2E"/>
    <w:rsid w:val="FCFBF8AD"/>
    <w:rsid w:val="FCFF0396"/>
    <w:rsid w:val="FD7FFE2B"/>
    <w:rsid w:val="FDBEA031"/>
    <w:rsid w:val="FDDD4153"/>
    <w:rsid w:val="FDDF31DE"/>
    <w:rsid w:val="FDEA9552"/>
    <w:rsid w:val="FDED4B7B"/>
    <w:rsid w:val="FDEE196B"/>
    <w:rsid w:val="FDFD0336"/>
    <w:rsid w:val="FDFE6575"/>
    <w:rsid w:val="FE3AA812"/>
    <w:rsid w:val="FE734873"/>
    <w:rsid w:val="FE7BE3B8"/>
    <w:rsid w:val="FEBE4984"/>
    <w:rsid w:val="FEDFDDC2"/>
    <w:rsid w:val="FEED32F6"/>
    <w:rsid w:val="FEF781DD"/>
    <w:rsid w:val="FEF9C106"/>
    <w:rsid w:val="FF27AD6D"/>
    <w:rsid w:val="FF3F7E3F"/>
    <w:rsid w:val="FF4AED01"/>
    <w:rsid w:val="FF4D221B"/>
    <w:rsid w:val="FF7350FD"/>
    <w:rsid w:val="FF76FB26"/>
    <w:rsid w:val="FF7E4698"/>
    <w:rsid w:val="FFAF35D0"/>
    <w:rsid w:val="FFBA12D7"/>
    <w:rsid w:val="FFBD5688"/>
    <w:rsid w:val="FFDFFAEE"/>
    <w:rsid w:val="FFE635BF"/>
    <w:rsid w:val="FFEE1F74"/>
    <w:rsid w:val="FFF9B57B"/>
    <w:rsid w:val="FFFD2833"/>
    <w:rsid w:val="FFFD61D9"/>
    <w:rsid w:val="FFFD8F59"/>
    <w:rsid w:val="FFFDC65F"/>
    <w:rsid w:val="FFFE0AFC"/>
    <w:rsid w:val="FFFF0C10"/>
    <w:rsid w:val="FFFF2BB1"/>
    <w:rsid w:val="FFFF3197"/>
    <w:rsid w:val="FFFF88D5"/>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7"/>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able of figures"/>
    <w:basedOn w:val="1"/>
    <w:next w:val="1"/>
    <w:qFormat/>
    <w:uiPriority w:val="0"/>
    <w:pPr>
      <w:ind w:left="400" w:leftChars="200" w:hanging="200" w:hangingChars="200"/>
    </w:p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100" w:beforeAutospacing="1" w:after="100" w:afterAutospacing="1" w:line="240" w:lineRule="auto"/>
      <w:ind w:left="0" w:right="0" w:firstLine="0"/>
      <w:jc w:val="left"/>
      <w:textAlignment w:val="auto"/>
      <w:outlineLvl w:val="9"/>
    </w:pPr>
    <w:rPr>
      <w:snapToGrid/>
      <w:color w:val="auto"/>
      <w:spacing w:val="0"/>
      <w:w w:val="100"/>
      <w:kern w:val="0"/>
      <w:position w:val="0"/>
      <w:sz w:val="24"/>
      <w:u w:val="none" w:color="auto"/>
      <w:vertAlign w:val="baseline"/>
      <w:lang w:val="en-US" w:eastAsia="zh-CN"/>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character" w:customStyle="1" w:styleId="22">
    <w:name w:val="Header Char"/>
    <w:basedOn w:val="19"/>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9"/>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9"/>
    <w:semiHidden/>
    <w:qFormat/>
    <w:uiPriority w:val="99"/>
    <w:rPr>
      <w:rFonts w:ascii="Times New Roman" w:hAnsi="Times New Roman"/>
      <w:szCs w:val="24"/>
    </w:rPr>
  </w:style>
  <w:style w:type="character" w:customStyle="1" w:styleId="27">
    <w:name w:val="正文文本 Char"/>
    <w:link w:val="6"/>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9"/>
    <w:link w:val="3"/>
    <w:qFormat/>
    <w:uiPriority w:val="9"/>
    <w:rPr>
      <w:rFonts w:ascii="Times New Roman" w:hAnsi="Times New Roman"/>
      <w:b/>
      <w:bCs/>
      <w:kern w:val="44"/>
      <w:sz w:val="44"/>
      <w:szCs w:val="44"/>
    </w:rPr>
  </w:style>
  <w:style w:type="character" w:customStyle="1" w:styleId="31">
    <w:name w:val="标题 2 Char"/>
    <w:basedOn w:val="19"/>
    <w:link w:val="4"/>
    <w:qFormat/>
    <w:uiPriority w:val="9"/>
    <w:rPr>
      <w:rFonts w:asciiTheme="majorHAnsi" w:hAnsiTheme="majorHAnsi" w:eastAsiaTheme="majorEastAsia" w:cstheme="majorBidi"/>
      <w:b/>
      <w:bCs/>
      <w:kern w:val="2"/>
      <w:sz w:val="32"/>
      <w:szCs w:val="32"/>
    </w:rPr>
  </w:style>
  <w:style w:type="paragraph" w:customStyle="1" w:styleId="32">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9"/>
    <w:link w:val="10"/>
    <w:semiHidden/>
    <w:qFormat/>
    <w:uiPriority w:val="99"/>
    <w:rPr>
      <w:rFonts w:ascii="Times New Roman" w:hAnsi="Times New Roman"/>
      <w:kern w:val="2"/>
      <w:sz w:val="18"/>
      <w:szCs w:val="18"/>
    </w:rPr>
  </w:style>
  <w:style w:type="character" w:customStyle="1" w:styleId="34">
    <w:name w:val="标题 3 Char"/>
    <w:basedOn w:val="19"/>
    <w:link w:val="5"/>
    <w:qFormat/>
    <w:uiPriority w:val="9"/>
    <w:rPr>
      <w:rFonts w:ascii="Times New Roman" w:hAnsi="Times New Roman"/>
      <w:b/>
      <w:bCs/>
      <w:kern w:val="2"/>
      <w:sz w:val="32"/>
      <w:szCs w:val="32"/>
    </w:rPr>
  </w:style>
  <w:style w:type="paragraph" w:customStyle="1" w:styleId="35">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3000509000000000000" charset="-122"/>
                <a:ea typeface="方正仿宋_GBK" panose="03000509000000000000" charset="-122"/>
              </a:rPr>
              <a:t>收入、支出决算总计变动情况图</a:t>
            </a:r>
            <a:endParaRPr sz="1600">
              <a:latin typeface="方正仿宋_GBK" panose="03000509000000000000" charset="-122"/>
              <a:ea typeface="方正仿宋_GBK" panose="03000509000000000000" charset="-122"/>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收入</c:v>
                </c:pt>
                <c:pt idx="1">
                  <c:v>支出</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640.64</c:v>
                </c:pt>
                <c:pt idx="1">
                  <c:v>640.64</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收入</c:v>
                </c:pt>
                <c:pt idx="1">
                  <c:v>支出</c:v>
                </c:pt>
              </c:strCache>
            </c:strRef>
          </c:cat>
          <c:val>
            <c:numRef>
              <c:extLst>
                <c:ext xmlns:c15="http://schemas.microsoft.com/office/drawing/2012/chart" uri="{02D57815-91ED-43cb-92C2-25804820EDAC}">
                  <c15:fullRef>
                    <c15:sqref>Sheet1!$C$2:$C$3</c15:sqref>
                  </c15:fullRef>
                </c:ext>
              </c:extLst>
              <c:f>Sheet1!$C$2:$C$3</c:f>
              <c:numCache>
                <c:formatCode>General</c:formatCode>
                <c:ptCount val="2"/>
                <c:pt idx="0">
                  <c:v>922.46</c:v>
                </c:pt>
                <c:pt idx="1">
                  <c:v>922.46</c:v>
                </c:pt>
              </c:numCache>
            </c:numRef>
          </c:val>
        </c:ser>
        <c:dLbls>
          <c:showLegendKey val="0"/>
          <c:showVal val="1"/>
          <c:showCatName val="0"/>
          <c:showSerName val="0"/>
          <c:showPercent val="0"/>
          <c:showBubbleSize val="0"/>
        </c:dLbls>
        <c:gapWidth val="75"/>
        <c:overlap val="-25"/>
        <c:axId val="771988327"/>
        <c:axId val="912524831"/>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Sheet1!$A$2:$A$3</c15:sqref>
                        </c15:fullRef>
                        <c15:formulaRef>
                          <c15:sqref>Sheet1!$A$2:$A$3</c15:sqref>
                        </c15:formulaRef>
                      </c:ext>
                    </c:extLst>
                    <c:strCache>
                      <c:ptCount val="2"/>
                      <c:pt idx="0">
                        <c:v>收入</c:v>
                      </c:pt>
                      <c:pt idx="1">
                        <c:v>支出</c:v>
                      </c:pt>
                    </c:strCache>
                  </c:strRef>
                </c:cat>
              </c15:ser>
            </c15:filteredBarSeries>
          </c:ext>
        </c:extLst>
      </c:barChart>
      <c:catAx>
        <c:axId val="77198832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2524831"/>
        <c:crosses val="autoZero"/>
        <c:auto val="1"/>
        <c:lblAlgn val="ctr"/>
        <c:lblOffset val="100"/>
        <c:noMultiLvlLbl val="0"/>
      </c:catAx>
      <c:valAx>
        <c:axId val="9125248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98832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3000509000000000000" charset="-122"/>
                <a:ea typeface="方正仿宋_GBK" panose="03000509000000000000" charset="-122"/>
              </a:rPr>
              <a:t>收入决算结构图</a:t>
            </a:r>
            <a:endParaRPr sz="1600">
              <a:latin typeface="方正仿宋_GBK" panose="03000509000000000000" charset="-122"/>
              <a:ea typeface="方正仿宋_GBK" panose="03000509000000000000" charset="-122"/>
            </a:endParaRPr>
          </a:p>
        </c:rich>
      </c:tx>
      <c:layout>
        <c:manualLayout>
          <c:xMode val="edge"/>
          <c:yMode val="edge"/>
          <c:x val="0.376125"/>
          <c:y val="0.02"/>
        </c:manualLayout>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922.46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3000509000000000000" charset="-122"/>
                <a:ea typeface="方正仿宋_GBK" panose="03000509000000000000" charset="-122"/>
              </a:rPr>
              <a:t>支出决算结构图</a:t>
            </a:r>
            <a:endParaRPr sz="1600">
              <a:latin typeface="方正仿宋_GBK" panose="03000509000000000000" charset="-122"/>
              <a:ea typeface="方正仿宋_GBK" panose="03000509000000000000" charset="-122"/>
            </a:endParaRP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575567589167368"/>
                  <c:y val="-0.0474271452872089"/>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基本支出6</a:t>
                    </a:r>
                    <a:r>
                      <a:rPr lang="en-US" altLang="zh-CN"/>
                      <a:t>6.91</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0318176223856605"/>
                  <c:y val="-0.03507284969601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项目支出33</a:t>
                    </a:r>
                    <a:r>
                      <a:rPr lang="en-US" altLang="zh-CN"/>
                      <a:t>.09</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617.21</c:v>
                </c:pt>
                <c:pt idx="1">
                  <c:v>305.25</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3000509000000000000" charset="-122"/>
                <a:ea typeface="方正仿宋_GBK" panose="03000509000000000000" charset="-122"/>
              </a:rPr>
              <a:t>财政拨款收、支决算总计变动情况</a:t>
            </a:r>
            <a:endParaRPr sz="1600">
              <a:latin typeface="方正仿宋_GBK" panose="03000509000000000000" charset="-122"/>
              <a:ea typeface="方正仿宋_GBK" panose="03000509000000000000" charset="-122"/>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财政拨款收入</c:v>
                </c:pt>
                <c:pt idx="1">
                  <c:v>财政拨款支出</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640.64</c:v>
                </c:pt>
                <c:pt idx="1">
                  <c:v>640.64</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财政拨款收入</c:v>
                </c:pt>
                <c:pt idx="1">
                  <c:v>财政拨款支出</c:v>
                </c:pt>
              </c:strCache>
            </c:strRef>
          </c:cat>
          <c:val>
            <c:numRef>
              <c:extLst>
                <c:ext xmlns:c15="http://schemas.microsoft.com/office/drawing/2012/chart" uri="{02D57815-91ED-43cb-92C2-25804820EDAC}">
                  <c15:fullRef>
                    <c15:sqref>Sheet1!$C$2:$C$3</c15:sqref>
                  </c15:fullRef>
                </c:ext>
              </c:extLst>
              <c:f>Sheet1!$C$2:$C$3</c:f>
              <c:numCache>
                <c:formatCode>General</c:formatCode>
                <c:ptCount val="2"/>
                <c:pt idx="0">
                  <c:v>922.46</c:v>
                </c:pt>
                <c:pt idx="1">
                  <c:v>922.46</c:v>
                </c:pt>
              </c:numCache>
            </c:numRef>
          </c:val>
        </c:ser>
        <c:dLbls>
          <c:showLegendKey val="0"/>
          <c:showVal val="1"/>
          <c:showCatName val="0"/>
          <c:showSerName val="0"/>
          <c:showPercent val="0"/>
          <c:showBubbleSize val="0"/>
        </c:dLbls>
        <c:gapWidth val="219"/>
        <c:overlap val="-27"/>
        <c:axId val="93878262"/>
        <c:axId val="40096387"/>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Sheet1!$A$2:$A$3</c15:sqref>
                        </c15:fullRef>
                        <c15:formulaRef>
                          <c15:sqref>Sheet1!$A$2:$A$3</c15:sqref>
                        </c15:formulaRef>
                      </c:ext>
                    </c:extLst>
                    <c:strCache>
                      <c:ptCount val="2"/>
                      <c:pt idx="0">
                        <c:v>财政拨款收入</c:v>
                      </c:pt>
                      <c:pt idx="1">
                        <c:v>财政拨款支出</c:v>
                      </c:pt>
                    </c:strCache>
                  </c:strRef>
                </c:cat>
              </c15:ser>
            </c15:filteredBarSeries>
          </c:ext>
        </c:extLst>
      </c:barChart>
      <c:catAx>
        <c:axId val="9387826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096387"/>
        <c:crosses val="autoZero"/>
        <c:auto val="1"/>
        <c:lblAlgn val="ctr"/>
        <c:lblOffset val="100"/>
        <c:noMultiLvlLbl val="0"/>
      </c:catAx>
      <c:valAx>
        <c:axId val="400963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87826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3000509000000000000" charset="-122"/>
                <a:ea typeface="方正仿宋_GBK" panose="03000509000000000000" charset="-122"/>
              </a:rPr>
              <a:t>一般公共预算财政拨款支出决算变动情况</a:t>
            </a:r>
            <a:endParaRPr sz="1600">
              <a:latin typeface="方正仿宋_GBK" panose="03000509000000000000" charset="-122"/>
              <a:ea typeface="方正仿宋_GBK" panose="03000509000000000000" charset="-122"/>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hade val="65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640.64</c:v>
                </c:pt>
                <c:pt idx="1">
                  <c:v>922.46</c:v>
                </c:pt>
              </c:numCache>
            </c:numRef>
          </c:val>
        </c:ser>
        <c:dLbls>
          <c:showLegendKey val="0"/>
          <c:showVal val="1"/>
          <c:showCatName val="0"/>
          <c:showSerName val="0"/>
          <c:showPercent val="0"/>
          <c:showBubbleSize val="0"/>
        </c:dLbls>
        <c:gapWidth val="219"/>
        <c:overlap val="-27"/>
        <c:axId val="680434179"/>
        <c:axId val="826775903"/>
        <c:extLst>
          <c:ext xmlns:c15="http://schemas.microsoft.com/office/drawing/2012/chart" uri="{02D57815-91ED-43cb-92C2-25804820EDAC}">
            <c15:filteredBarSeries>
              <c15:ser>
                <c:idx val="1"/>
                <c:order val="1"/>
                <c:tx>
                  <c:strRef>
                    <c:extLst>
                      <c:ext uri="{02D57815-91ED-43cb-92C2-25804820EDAC}">
                        <c15:formulaRef>
                          <c15:sqref>Sheet1!#REF!</c15:sqref>
                        </c15:formulaRef>
                      </c:ext>
                    </c:extLst>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2024年</c:v>
                      </c:pt>
                      <c:pt idx="1">
                        <c:v>2025年</c:v>
                      </c:pt>
                    </c:strCache>
                  </c:strRef>
                </c:cat>
              </c15:ser>
            </c15:filteredBarSeries>
            <c15:filteredBarSeries>
              <c15:ser>
                <c:idx val="2"/>
                <c:order val="2"/>
                <c:tx>
                  <c:strRef>
                    <c:extLst>
                      <c:ext uri="{02D57815-91ED-43cb-92C2-25804820EDAC}">
                        <c15:formulaRef>
                          <c15:sqref>Sheet1!#REF!</c15:sqref>
                        </c15:formulaRef>
                      </c:ext>
                    </c:extLst>
                    <c:strCache>
                      <c:ptCount val="1"/>
                      <c:pt idx="0">
                        <c:v/>
                      </c:pt>
                    </c:strCache>
                  </c:strRef>
                </c:tx>
                <c:spPr>
                  <a:solidFill>
                    <a:schemeClr val="accent1">
                      <a:tint val="65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2024年</c:v>
                      </c:pt>
                      <c:pt idx="1">
                        <c:v>2025年</c:v>
                      </c:pt>
                    </c:strCache>
                  </c:strRef>
                </c:cat>
              </c15:ser>
            </c15:filteredBarSeries>
          </c:ext>
        </c:extLst>
      </c:barChart>
      <c:catAx>
        <c:axId val="68043417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6775903"/>
        <c:crosses val="autoZero"/>
        <c:auto val="1"/>
        <c:lblAlgn val="ctr"/>
        <c:lblOffset val="100"/>
        <c:noMultiLvlLbl val="0"/>
      </c:catAx>
      <c:valAx>
        <c:axId val="8267759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04341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3000509000000000000" charset="-122"/>
                <a:ea typeface="方正仿宋_GBK" panose="03000509000000000000" charset="-122"/>
              </a:rPr>
              <a:t>一般公共预算财政拨款支出决算结构</a:t>
            </a:r>
            <a:endParaRPr sz="1600">
              <a:latin typeface="方正仿宋_GBK" panose="03000509000000000000" charset="-122"/>
              <a:ea typeface="方正仿宋_GBK" panose="03000509000000000000" charset="-122"/>
            </a:endParaRP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153025649697487"/>
                  <c:y val="-0.11981562378102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一般公共服务支出8</a:t>
                    </a:r>
                    <a:r>
                      <a:rPr lang="en-US" altLang="zh-CN"/>
                      <a:t>3.26</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293770408647537"/>
                  <c:y val="0.050687118351300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社会保障和就业支出</a:t>
                    </a:r>
                  </a:p>
                  <a:p>
                    <a:pPr defTabSz="914400">
                      <a:defRPr lang="zh-CN" sz="900" b="0" i="0" u="none" strike="noStrike" kern="1200" baseline="0">
                        <a:solidFill>
                          <a:schemeClr val="tx1">
                            <a:lumMod val="75000"/>
                            <a:lumOff val="25000"/>
                          </a:schemeClr>
                        </a:solidFill>
                        <a:latin typeface="+mn-lt"/>
                        <a:ea typeface="+mn-ea"/>
                        <a:cs typeface="+mn-cs"/>
                      </a:defRPr>
                    </a:pPr>
                    <a:r>
                      <a:rPr lang="en-US" altLang="zh-CN"/>
                      <a:t>8.75</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160057242660042"/>
                  <c:y val="0.04385665676692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卫生健康支出3</a:t>
                    </a:r>
                    <a:r>
                      <a:rPr lang="en-US" altLang="zh-CN"/>
                      <a:t>.17</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270429818698719"/>
                  <c:y val="0.049445870718951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住房保障支出</a:t>
                    </a:r>
                  </a:p>
                  <a:p>
                    <a:pPr defTabSz="914400">
                      <a:defRPr lang="zh-CN" sz="900" b="0" i="0" u="none" strike="noStrike" kern="1200" baseline="0">
                        <a:solidFill>
                          <a:schemeClr val="tx1">
                            <a:lumMod val="75000"/>
                            <a:lumOff val="25000"/>
                          </a:schemeClr>
                        </a:solidFill>
                        <a:latin typeface="+mn-lt"/>
                        <a:ea typeface="+mn-ea"/>
                        <a:cs typeface="+mn-cs"/>
                      </a:defRPr>
                    </a:pPr>
                    <a:r>
                      <a:rPr lang="en-US" altLang="zh-CN"/>
                      <a:t>4.82</a:t>
                    </a:r>
                    <a:r>
                      <a:t>%</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768.06</c:v>
                </c:pt>
                <c:pt idx="1">
                  <c:v>80.72</c:v>
                </c:pt>
                <c:pt idx="2">
                  <c:v>29.26</c:v>
                </c:pt>
                <c:pt idx="3">
                  <c:v>44.42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方正仿宋_GBK" panose="03000509000000000000" charset="-122"/>
                <a:ea typeface="方正仿宋_GBK" panose="03000509000000000000" charset="-122"/>
                <a:cs typeface="方正仿宋_GBK" panose="03000509000000000000" charset="-122"/>
              </a:rPr>
              <a:t>财政拨款“三公”经费支出结构</a:t>
            </a:r>
            <a:endParaRPr sz="1600">
              <a:latin typeface="方正仿宋_GBK" panose="03000509000000000000" charset="-122"/>
              <a:ea typeface="方正仿宋_GBK" panose="03000509000000000000" charset="-122"/>
              <a:cs typeface="方正仿宋_GBK" panose="03000509000000000000" charset="-122"/>
            </a:endParaRP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345000708666477"/>
                  <c:y val="0.24568548056955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73749304886724"/>
                  <c:y val="0.10829693251464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Sheet1!$A$2:$A$4</c15:sqref>
                  </c15:fullRef>
                </c:ext>
              </c:extLst>
              <c:f>Sheet1!$A$2:$A$4</c:f>
              <c:strCache>
                <c:ptCount val="3"/>
                <c:pt idx="0">
                  <c:v>因公出国（境）费支出</c:v>
                </c:pt>
                <c:pt idx="1">
                  <c:v>公务用车购置及运行维护费支出</c:v>
                </c:pt>
                <c:pt idx="2">
                  <c:v>公务接待费支出</c:v>
                </c:pt>
              </c:strCache>
            </c:strRef>
          </c:cat>
          <c:val>
            <c:numRef>
              <c:extLst>
                <c:ext xmlns:c15="http://schemas.microsoft.com/office/drawing/2012/chart" uri="{02D57815-91ED-43cb-92C2-25804820EDAC}">
                  <c15:fullRef>
                    <c15:sqref>Sheet1!$B$2:$B$4</c15:sqref>
                  </c15:fullRef>
                </c:ext>
              </c:extLst>
              <c:f>Sheet1!$B$2:$B$4</c:f>
              <c:numCache>
                <c:formatCode>General</c:formatCode>
                <c:ptCount val="3"/>
                <c:pt idx="0">
                  <c:v>0</c:v>
                </c:pt>
                <c:pt idx="1">
                  <c:v>13.73</c:v>
                </c:pt>
                <c:pt idx="2">
                  <c:v>0</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withinLinear" id="14">
  <a:schemeClr val="accent1"/>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6528</Words>
  <Characters>6996</Characters>
  <Lines>61</Lines>
  <Paragraphs>17</Paragraphs>
  <TotalTime>46</TotalTime>
  <ScaleCrop>false</ScaleCrop>
  <LinksUpToDate>false</LinksUpToDate>
  <CharactersWithSpaces>7119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Administrator</cp:lastModifiedBy>
  <cp:lastPrinted>2026-08-05T01:27:00Z</cp:lastPrinted>
  <dcterms:modified xsi:type="dcterms:W3CDTF">2026-09-18T02:42:49Z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3BF536824C220DA3E40E8B68BA118B1C_42</vt:lpwstr>
  </property>
  <property fmtid="{D5CDD505-2E9C-101B-9397-08002B2CF9AE}" pid="4" name="KSOTemplateDocerSaveRecord">
    <vt:lpwstr>eyJoZGlkIjoiZDU5NTRmMjIxNGRkY2I2NGQwOTM4OTY5NmM5MjI1MWYiLCJ1c2VySWQiOiIzNTE1MDY0MTUifQ==</vt:lpwstr>
  </property>
</Properties>
</file>