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5FB4B">
      <w:pPr>
        <w:pStyle w:val="8"/>
        <w:rPr>
          <w:rFonts w:hint="eastAsia" w:ascii="Times New Roman" w:hAnsi="Times New Roman" w:eastAsia="黑体" w:cs="黑体"/>
          <w:color w:val="auto"/>
          <w:kern w:val="2"/>
          <w:sz w:val="32"/>
          <w:szCs w:val="32"/>
          <w:highlight w:val="none"/>
          <w:lang w:val="en-US" w:eastAsia="zh-CN" w:bidi="ar-SA"/>
        </w:rPr>
      </w:pPr>
      <w:bookmarkStart w:id="0" w:name="_Toc15306267"/>
      <w:bookmarkStart w:id="1" w:name="_Toc15377193"/>
      <w:bookmarkStart w:id="2" w:name="_Toc15378441"/>
      <w:bookmarkStart w:id="3" w:name="_Toc15377425"/>
      <w:bookmarkStart w:id="4" w:name="_Toc15396597"/>
      <w:bookmarkStart w:id="5" w:name="_Toc15396475"/>
      <w:r>
        <w:rPr>
          <w:rFonts w:hint="eastAsia" w:ascii="Times New Roman" w:hAnsi="Times New Roman" w:eastAsia="黑体" w:cs="黑体"/>
          <w:color w:val="auto"/>
          <w:kern w:val="2"/>
          <w:sz w:val="32"/>
          <w:szCs w:val="32"/>
          <w:highlight w:val="none"/>
          <w:lang w:val="en-US" w:eastAsia="zh-CN" w:bidi="ar-SA"/>
        </w:rPr>
        <w:t>附件4</w:t>
      </w:r>
      <w:bookmarkStart w:id="60" w:name="_GoBack"/>
      <w:bookmarkEnd w:id="60"/>
    </w:p>
    <w:p w14:paraId="0F00E359">
      <w:pPr>
        <w:pStyle w:val="8"/>
        <w:rPr>
          <w:rFonts w:hint="eastAsia" w:ascii="Times New Roman" w:hAnsi="Times New Roman" w:eastAsia="方正小标宋简体" w:cs="Times New Roman"/>
          <w:color w:val="auto"/>
          <w:kern w:val="2"/>
          <w:sz w:val="72"/>
          <w:szCs w:val="72"/>
          <w:highlight w:val="none"/>
          <w:lang w:val="en-US" w:eastAsia="zh-CN" w:bidi="ar-SA"/>
        </w:rPr>
      </w:pPr>
      <w:r>
        <w:rPr>
          <w:rFonts w:hint="eastAsia" w:ascii="Times New Roman" w:hAnsi="Times New Roman" w:eastAsia="方正小标宋简体" w:cs="Times New Roman"/>
          <w:color w:val="auto"/>
          <w:kern w:val="2"/>
          <w:sz w:val="72"/>
          <w:szCs w:val="72"/>
          <w:highlight w:val="none"/>
          <w:lang w:val="en-US" w:eastAsia="zh-CN" w:bidi="ar-SA"/>
        </w:rPr>
        <w:t xml:space="preserve">  </w:t>
      </w:r>
    </w:p>
    <w:p w14:paraId="210CC1ED">
      <w:pPr>
        <w:pStyle w:val="8"/>
        <w:rPr>
          <w:rFonts w:hint="eastAsia" w:ascii="Times New Roman" w:hAnsi="Times New Roman" w:eastAsia="方正小标宋简体" w:cs="Times New Roman"/>
          <w:color w:val="auto"/>
          <w:kern w:val="2"/>
          <w:sz w:val="72"/>
          <w:szCs w:val="72"/>
          <w:highlight w:val="none"/>
          <w:lang w:val="en-US" w:eastAsia="zh-CN" w:bidi="ar-SA"/>
        </w:rPr>
      </w:pPr>
    </w:p>
    <w:p w14:paraId="5A820F39">
      <w:pPr>
        <w:pStyle w:val="8"/>
        <w:rPr>
          <w:rFonts w:hint="default" w:ascii="Times New Roman" w:hAnsi="Times New Roman" w:eastAsia="方正小标宋简体" w:cs="Times New Roman"/>
          <w:color w:val="auto"/>
          <w:kern w:val="2"/>
          <w:sz w:val="72"/>
          <w:szCs w:val="72"/>
          <w:highlight w:val="none"/>
          <w:lang w:val="en-US" w:eastAsia="zh-CN" w:bidi="ar-SA"/>
        </w:rPr>
      </w:pPr>
    </w:p>
    <w:p w14:paraId="0F3C2D5B">
      <w:pPr>
        <w:pStyle w:val="8"/>
        <w:rPr>
          <w:rFonts w:hint="eastAsia" w:ascii="Times New Roman" w:hAnsi="Times New Roman" w:eastAsia="方正小标宋简体" w:cs="Times New Roman"/>
          <w:color w:val="auto"/>
          <w:kern w:val="2"/>
          <w:sz w:val="72"/>
          <w:szCs w:val="72"/>
          <w:highlight w:val="none"/>
          <w:lang w:val="en-US" w:eastAsia="zh-CN" w:bidi="ar-SA"/>
        </w:rPr>
      </w:pPr>
    </w:p>
    <w:p w14:paraId="39B16192">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2025年度阿坝州巡察工作事务中心</w:t>
      </w:r>
    </w:p>
    <w:p w14:paraId="4F8C222D">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决算公</w:t>
      </w:r>
      <w:bookmarkEnd w:id="0"/>
      <w:bookmarkEnd w:id="1"/>
      <w:bookmarkEnd w:id="2"/>
      <w:bookmarkEnd w:id="3"/>
      <w:bookmarkEnd w:id="4"/>
      <w:bookmarkEnd w:id="5"/>
      <w:r>
        <w:rPr>
          <w:rFonts w:hint="eastAsia" w:ascii="Times New Roman" w:hAnsi="Times New Roman" w:eastAsia="方正小标宋简体" w:cs="Times New Roman"/>
          <w:color w:val="auto"/>
          <w:kern w:val="2"/>
          <w:sz w:val="44"/>
          <w:szCs w:val="44"/>
          <w:highlight w:val="none"/>
          <w:lang w:val="en-US" w:eastAsia="zh-CN" w:bidi="ar-SA"/>
        </w:rPr>
        <w:t>开</w:t>
      </w:r>
    </w:p>
    <w:p w14:paraId="477E7751">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B452B78">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4F831C1F">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7ACE5F35">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31031073">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6C685C5">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2A16AD11">
      <w:pPr>
        <w:tabs>
          <w:tab w:val="left" w:pos="1209"/>
        </w:tabs>
        <w:bidi w:val="0"/>
        <w:jc w:val="left"/>
        <w:rPr>
          <w:rFonts w:hint="eastAsia" w:ascii="Times New Roman" w:hAnsi="Times New Roman"/>
          <w:lang w:val="en-US" w:eastAsia="zh-CN"/>
        </w:rPr>
      </w:pPr>
    </w:p>
    <w:p w14:paraId="137BB4E7">
      <w:pPr>
        <w:pStyle w:val="13"/>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公开时间：</w:t>
      </w:r>
      <w:r>
        <w:rPr>
          <w:rFonts w:hint="eastAsia" w:ascii="Times New Roman" w:hAnsi="Times New Roman" w:eastAsia="仿宋" w:cs="仿宋"/>
          <w:color w:val="auto"/>
          <w:sz w:val="32"/>
          <w:szCs w:val="32"/>
          <w:highlight w:val="none"/>
        </w:rPr>
        <w:t>20</w:t>
      </w:r>
      <w:r>
        <w:rPr>
          <w:rFonts w:hint="eastAsia" w:ascii="Times New Roman" w:hAnsi="Times New Roman" w:eastAsia="仿宋" w:cs="仿宋"/>
          <w:color w:val="auto"/>
          <w:sz w:val="32"/>
          <w:szCs w:val="32"/>
          <w:highlight w:val="none"/>
          <w:lang w:val="en-US" w:eastAsia="zh-CN"/>
        </w:rPr>
        <w:t>26</w:t>
      </w:r>
      <w:r>
        <w:rPr>
          <w:rFonts w:hint="eastAsia" w:ascii="Times New Roman" w:hAnsi="Times New Roman" w:eastAsia="方正仿宋_GBK" w:cs="方正仿宋_GBK"/>
          <w:color w:val="auto"/>
          <w:kern w:val="2"/>
          <w:sz w:val="32"/>
          <w:szCs w:val="32"/>
          <w:highlight w:val="none"/>
          <w:lang w:val="en-US" w:eastAsia="zh-CN" w:bidi="ar-SA"/>
        </w:rPr>
        <w:t>年</w:t>
      </w:r>
      <w:r>
        <w:rPr>
          <w:rFonts w:hint="eastAsia" w:ascii="Times New Roman" w:hAnsi="Times New Roman" w:eastAsia="仿宋" w:cs="仿宋"/>
          <w:color w:val="auto"/>
          <w:sz w:val="32"/>
          <w:szCs w:val="32"/>
          <w:highlight w:val="none"/>
          <w:lang w:val="en-US" w:eastAsia="zh-CN"/>
        </w:rPr>
        <w:t xml:space="preserve"> 9 </w:t>
      </w:r>
      <w:r>
        <w:rPr>
          <w:rFonts w:hint="eastAsia" w:ascii="Times New Roman" w:hAnsi="Times New Roman" w:eastAsia="方正仿宋_GBK" w:cs="方正仿宋_GBK"/>
          <w:color w:val="auto"/>
          <w:kern w:val="2"/>
          <w:sz w:val="32"/>
          <w:szCs w:val="32"/>
          <w:highlight w:val="none"/>
          <w:lang w:val="en-US" w:eastAsia="zh-CN" w:bidi="ar-SA"/>
        </w:rPr>
        <w:t xml:space="preserve">月 </w:t>
      </w:r>
      <w:r>
        <w:rPr>
          <w:rFonts w:hint="eastAsia" w:ascii="Times New Roman" w:hAnsi="Times New Roman" w:eastAsia="仿宋" w:cs="仿宋"/>
          <w:color w:val="auto"/>
          <w:sz w:val="32"/>
          <w:szCs w:val="32"/>
          <w:highlight w:val="none"/>
          <w:lang w:val="en-US" w:eastAsia="zh-CN"/>
        </w:rPr>
        <w:t>1</w:t>
      </w:r>
      <w:r>
        <w:rPr>
          <w:rFonts w:hint="eastAsia" w:ascii="Times New Roman" w:hAnsi="Times New Roman" w:cs="仿宋"/>
          <w:color w:val="auto"/>
          <w:sz w:val="32"/>
          <w:szCs w:val="32"/>
          <w:highlight w:val="none"/>
          <w:lang w:val="en-US" w:eastAsia="zh-CN"/>
        </w:rPr>
        <w:t>8</w:t>
      </w:r>
      <w:r>
        <w:rPr>
          <w:rFonts w:hint="eastAsia" w:ascii="Times New Roman" w:hAnsi="Times New Roman" w:eastAsia="仿宋" w:cs="仿宋"/>
          <w:color w:val="auto"/>
          <w:sz w:val="32"/>
          <w:szCs w:val="32"/>
          <w:highlight w:val="none"/>
          <w:lang w:val="en-US" w:eastAsia="zh-CN"/>
        </w:rPr>
        <w:t xml:space="preserve"> </w:t>
      </w:r>
      <w:r>
        <w:rPr>
          <w:rFonts w:hint="eastAsia" w:ascii="Times New Roman" w:hAnsi="Times New Roman" w:eastAsia="方正仿宋_GBK" w:cs="方正仿宋_GBK"/>
          <w:color w:val="auto"/>
          <w:kern w:val="2"/>
          <w:sz w:val="32"/>
          <w:szCs w:val="32"/>
          <w:highlight w:val="none"/>
          <w:lang w:val="en-US" w:eastAsia="zh-CN" w:bidi="ar-SA"/>
        </w:rPr>
        <w:t>日</w:t>
      </w:r>
    </w:p>
    <w:p w14:paraId="563307D0">
      <w:pPr>
        <w:pStyle w:val="13"/>
        <w:rPr>
          <w:rFonts w:hint="default" w:ascii="Times New Roman" w:hAnsi="Times New Roman" w:eastAsia="方正仿宋_GBK" w:cs="方正仿宋_GBK"/>
          <w:color w:val="auto"/>
          <w:kern w:val="2"/>
          <w:sz w:val="32"/>
          <w:szCs w:val="32"/>
          <w:highlight w:val="none"/>
          <w:lang w:val="en-US" w:eastAsia="zh-CN" w:bidi="ar-SA"/>
        </w:rPr>
        <w:sectPr>
          <w:headerReference r:id="rId3" w:type="default"/>
          <w:footerReference r:id="rId5" w:type="default"/>
          <w:headerReference r:id="rId4" w:type="even"/>
          <w:footerReference r:id="rId6" w:type="even"/>
          <w:pgSz w:w="11906" w:h="16838"/>
          <w:pgMar w:top="2098" w:right="1474" w:bottom="1984" w:left="1587" w:header="851" w:footer="1587" w:gutter="0"/>
          <w:pgNumType w:fmt="decimal" w:start="1"/>
          <w:cols w:space="0" w:num="1"/>
          <w:titlePg/>
          <w:rtlGutter w:val="0"/>
          <w:docGrid w:type="linesAndChars" w:linePitch="318" w:charSpace="121"/>
        </w:sectPr>
      </w:pPr>
    </w:p>
    <w:p w14:paraId="153D7773">
      <w:pPr>
        <w:pStyle w:val="5"/>
        <w:keepNext/>
        <w:keepLines/>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黑体简体" w:cs="方正黑体简体"/>
          <w:b w:val="0"/>
          <w:bCs w:val="0"/>
          <w:color w:val="auto"/>
          <w:kern w:val="2"/>
          <w:sz w:val="44"/>
          <w:szCs w:val="44"/>
          <w:highlight w:val="none"/>
          <w:lang w:val="en-US" w:eastAsia="zh-CN" w:bidi="ar-SA"/>
        </w:rPr>
        <w:t>目录</w:t>
      </w:r>
    </w:p>
    <w:p w14:paraId="091ED16D">
      <w:pPr>
        <w:pStyle w:val="13"/>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before="0" w:line="576" w:lineRule="exact"/>
        <w:jc w:val="left"/>
        <w:textAlignment w:val="auto"/>
        <w:rPr>
          <w:rFonts w:hint="eastAsia" w:ascii="Times New Roman" w:hAnsi="Times New Roman" w:eastAsia="方正黑体简体" w:cs="方正黑体简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rPr>
        <w:t>第一部分 部门概况</w:t>
      </w:r>
      <w:r>
        <w:rPr>
          <w:rFonts w:hint="eastAsia" w:ascii="Times New Roman" w:hAnsi="Times New Roman" w:eastAsia="方正黑体简体" w:cs="方正黑体简体"/>
          <w:color w:val="auto"/>
          <w:sz w:val="32"/>
          <w:szCs w:val="32"/>
          <w:highlight w:val="none"/>
          <w:lang w:val="en-US" w:eastAsia="zh-CN"/>
        </w:rPr>
        <w:tab/>
      </w:r>
      <w:r>
        <w:rPr>
          <w:rFonts w:hint="eastAsia" w:ascii="Times New Roman" w:hAnsi="Times New Roman" w:eastAsia="方正黑体简体" w:cs="方正黑体简体"/>
          <w:color w:val="auto"/>
          <w:sz w:val="32"/>
          <w:szCs w:val="32"/>
          <w:highlight w:val="none"/>
          <w:lang w:val="en-US" w:eastAsia="zh-CN"/>
        </w:rPr>
        <w:t>1</w:t>
      </w:r>
    </w:p>
    <w:p w14:paraId="4A0FB306">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_GB2312" w:cs="仿宋_GB2312"/>
          <w:color w:val="auto"/>
          <w:sz w:val="30"/>
          <w:szCs w:val="30"/>
          <w:highlight w:val="none"/>
          <w:lang w:val="en-US"/>
        </w:rPr>
      </w:pPr>
      <w:r>
        <w:rPr>
          <w:rFonts w:hint="eastAsia" w:ascii="Times New Roman" w:hAnsi="Times New Roman" w:eastAsia="方正仿宋_GBK" w:cs="方正仿宋_GBK"/>
          <w:color w:val="auto"/>
          <w:sz w:val="32"/>
          <w:szCs w:val="32"/>
          <w:highlight w:val="none"/>
        </w:rPr>
        <w:t>一、</w:t>
      </w:r>
      <w:r>
        <w:rPr>
          <w:rFonts w:hint="eastAsia" w:ascii="Times New Roman" w:hAnsi="Times New Roman" w:eastAsia="方正仿宋_GBK" w:cs="方正仿宋_GBK"/>
          <w:color w:val="auto"/>
          <w:sz w:val="32"/>
          <w:szCs w:val="32"/>
          <w:highlight w:val="none"/>
          <w:lang w:eastAsia="zh-CN"/>
        </w:rPr>
        <w:t>部门职责</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w:t>
      </w:r>
    </w:p>
    <w:p w14:paraId="3AD375D8">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二、机构设置</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w:t>
      </w:r>
    </w:p>
    <w:p w14:paraId="40FD11BD">
      <w:pPr>
        <w:pStyle w:val="13"/>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before="0" w:line="576" w:lineRule="exact"/>
        <w:jc w:val="left"/>
        <w:textAlignment w:val="auto"/>
        <w:rPr>
          <w:rFonts w:hint="eastAsia" w:ascii="Times New Roman" w:hAnsi="Times New Roman" w:eastAsia="方正黑体简体" w:cs="方正黑体简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rPr>
        <w:t>第二部分</w:t>
      </w:r>
      <w:r>
        <w:rPr>
          <w:rFonts w:hint="eastAsia" w:ascii="Times New Roman" w:hAnsi="Times New Roman" w:eastAsia="方正黑体简体" w:cs="方正黑体简体"/>
          <w:color w:val="auto"/>
          <w:sz w:val="32"/>
          <w:szCs w:val="32"/>
          <w:highlight w:val="none"/>
          <w:lang w:val="en-US" w:eastAsia="zh-CN"/>
        </w:rPr>
        <w:t xml:space="preserve"> 2025年度</w:t>
      </w:r>
      <w:r>
        <w:rPr>
          <w:rFonts w:hint="eastAsia" w:ascii="Times New Roman" w:hAnsi="Times New Roman" w:eastAsia="方正黑体简体" w:cs="方正黑体简体"/>
          <w:color w:val="auto"/>
          <w:sz w:val="32"/>
          <w:szCs w:val="32"/>
          <w:highlight w:val="none"/>
        </w:rPr>
        <w:t>部门决算情况说明</w:t>
      </w:r>
      <w:r>
        <w:rPr>
          <w:rFonts w:hint="eastAsia" w:ascii="Times New Roman" w:hAnsi="Times New Roman" w:eastAsia="方正黑体简体" w:cs="方正黑体简体"/>
          <w:color w:val="auto"/>
          <w:sz w:val="32"/>
          <w:szCs w:val="32"/>
          <w:highlight w:val="none"/>
          <w:lang w:val="en-US" w:eastAsia="zh-CN"/>
        </w:rPr>
        <w:tab/>
      </w:r>
      <w:r>
        <w:rPr>
          <w:rFonts w:hint="eastAsia" w:ascii="Times New Roman" w:hAnsi="Times New Roman" w:eastAsia="方正黑体简体" w:cs="方正黑体简体"/>
          <w:color w:val="auto"/>
          <w:sz w:val="32"/>
          <w:szCs w:val="32"/>
          <w:highlight w:val="none"/>
          <w:lang w:val="en-US" w:eastAsia="zh-CN"/>
        </w:rPr>
        <w:t>2</w:t>
      </w:r>
    </w:p>
    <w:p w14:paraId="3CB543DF">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一、收入支出决算总体情况说明</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2</w:t>
      </w:r>
    </w:p>
    <w:p w14:paraId="15BE3652">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二、收入决算情况说明</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2</w:t>
      </w:r>
    </w:p>
    <w:p w14:paraId="11E728B0">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三、支出决算情况说明</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3</w:t>
      </w:r>
    </w:p>
    <w:p w14:paraId="4B65B20F">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四、财政拨款收入支出决算总体情况说明</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4</w:t>
      </w:r>
    </w:p>
    <w:p w14:paraId="6291834D">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五、一般公共预算财政拨款支出决算情况说明</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5</w:t>
      </w:r>
    </w:p>
    <w:p w14:paraId="7C66FC1D">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六、一般公共预算财政拨款基本支出决算情况说明</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8</w:t>
      </w:r>
    </w:p>
    <w:p w14:paraId="309968A5">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七、财政拨款</w:t>
      </w:r>
      <w:r>
        <w:rPr>
          <w:rFonts w:hint="eastAsia" w:ascii="Times New Roman" w:hAnsi="Times New Roman" w:eastAsia="方正仿宋_GBK" w:cs="方正仿宋_GBK"/>
          <w:color w:val="auto"/>
          <w:sz w:val="32"/>
          <w:szCs w:val="32"/>
          <w:highlight w:val="none"/>
          <w:lang w:eastAsia="zh-CN"/>
        </w:rPr>
        <w:t>“</w:t>
      </w:r>
      <w:r>
        <w:rPr>
          <w:rFonts w:hint="eastAsia" w:ascii="Times New Roman" w:hAnsi="Times New Roman" w:eastAsia="方正仿宋_GBK" w:cs="方正仿宋_GBK"/>
          <w:color w:val="auto"/>
          <w:sz w:val="32"/>
          <w:szCs w:val="32"/>
          <w:highlight w:val="none"/>
        </w:rPr>
        <w:t>三公”经费支出决算情况说明</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8</w:t>
      </w:r>
    </w:p>
    <w:p w14:paraId="1448937E">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八、政府性基金预算支出决算情况说明</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10</w:t>
      </w:r>
    </w:p>
    <w:p w14:paraId="7BF0A4F0">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九、</w:t>
      </w:r>
      <w:r>
        <w:rPr>
          <w:rFonts w:hint="eastAsia" w:ascii="Times New Roman" w:hAnsi="Times New Roman" w:eastAsia="方正仿宋_GBK" w:cs="方正仿宋_GBK"/>
          <w:color w:val="auto"/>
          <w:sz w:val="32"/>
          <w:szCs w:val="32"/>
          <w:highlight w:val="none"/>
          <w:lang w:eastAsia="zh-CN"/>
        </w:rPr>
        <w:t>国</w:t>
      </w:r>
      <w:r>
        <w:rPr>
          <w:rFonts w:hint="eastAsia" w:ascii="Times New Roman" w:hAnsi="Times New Roman" w:eastAsia="方正仿宋_GBK" w:cs="方正仿宋_GBK"/>
          <w:color w:val="auto"/>
          <w:sz w:val="32"/>
          <w:szCs w:val="32"/>
          <w:highlight w:val="none"/>
        </w:rPr>
        <w:t>有资本经营预算支出决算情况说明</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10</w:t>
      </w:r>
    </w:p>
    <w:p w14:paraId="088E9BAE">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lang w:eastAsia="zh-CN"/>
        </w:rPr>
        <w:t>十</w:t>
      </w:r>
      <w:r>
        <w:rPr>
          <w:rFonts w:hint="eastAsia" w:ascii="Times New Roman" w:hAnsi="Times New Roman" w:eastAsia="方正仿宋_GBK" w:cs="方正仿宋_GBK"/>
          <w:color w:val="auto"/>
          <w:sz w:val="32"/>
          <w:szCs w:val="32"/>
          <w:highlight w:val="none"/>
        </w:rPr>
        <w:t>、其他重要事项的情况说明</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10</w:t>
      </w:r>
    </w:p>
    <w:p w14:paraId="46453DB6">
      <w:pPr>
        <w:pStyle w:val="13"/>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before="0" w:line="576" w:lineRule="exact"/>
        <w:jc w:val="left"/>
        <w:textAlignment w:val="auto"/>
        <w:rPr>
          <w:rFonts w:hint="default" w:ascii="Times New Roman" w:hAnsi="Times New Roman" w:eastAsia="方正黑体简体" w:cs="方正黑体简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rPr>
        <w:t>第三部分 名词解释</w:t>
      </w:r>
      <w:r>
        <w:rPr>
          <w:rFonts w:hint="eastAsia" w:ascii="Times New Roman" w:hAnsi="Times New Roman" w:eastAsia="方正黑体简体" w:cs="方正黑体简体"/>
          <w:color w:val="auto"/>
          <w:sz w:val="32"/>
          <w:szCs w:val="32"/>
          <w:highlight w:val="none"/>
          <w:lang w:val="en-US" w:eastAsia="zh-CN"/>
        </w:rPr>
        <w:tab/>
      </w:r>
      <w:r>
        <w:rPr>
          <w:rFonts w:hint="eastAsia" w:ascii="Times New Roman" w:hAnsi="Times New Roman" w:eastAsia="方正黑体简体" w:cs="方正黑体简体"/>
          <w:color w:val="auto"/>
          <w:sz w:val="32"/>
          <w:szCs w:val="32"/>
          <w:highlight w:val="none"/>
          <w:lang w:val="en-US" w:eastAsia="zh-CN"/>
        </w:rPr>
        <w:t>12</w:t>
      </w:r>
    </w:p>
    <w:p w14:paraId="09CC05E4">
      <w:pPr>
        <w:pStyle w:val="13"/>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before="0" w:line="576" w:lineRule="exact"/>
        <w:jc w:val="left"/>
        <w:textAlignment w:val="auto"/>
        <w:rPr>
          <w:rFonts w:hint="default" w:ascii="Times New Roman" w:hAnsi="Times New Roman" w:eastAsia="方正黑体简体" w:cs="方正黑体简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rPr>
        <w:t>第</w:t>
      </w:r>
      <w:r>
        <w:rPr>
          <w:rFonts w:hint="eastAsia" w:ascii="Times New Roman" w:hAnsi="Times New Roman" w:eastAsia="方正黑体简体" w:cs="方正黑体简体"/>
          <w:color w:val="auto"/>
          <w:sz w:val="32"/>
          <w:szCs w:val="32"/>
          <w:highlight w:val="none"/>
          <w:lang w:eastAsia="zh-CN"/>
        </w:rPr>
        <w:t>四</w:t>
      </w:r>
      <w:r>
        <w:rPr>
          <w:rFonts w:hint="eastAsia" w:ascii="Times New Roman" w:hAnsi="Times New Roman" w:eastAsia="方正黑体简体" w:cs="方正黑体简体"/>
          <w:color w:val="auto"/>
          <w:sz w:val="32"/>
          <w:szCs w:val="32"/>
          <w:highlight w:val="none"/>
        </w:rPr>
        <w:t>部分 附表</w:t>
      </w:r>
      <w:r>
        <w:rPr>
          <w:rFonts w:hint="eastAsia" w:ascii="Times New Roman" w:hAnsi="Times New Roman" w:eastAsia="方正黑体简体" w:cs="方正黑体简体"/>
          <w:color w:val="auto"/>
          <w:sz w:val="32"/>
          <w:szCs w:val="32"/>
          <w:highlight w:val="none"/>
          <w:lang w:val="en-US" w:eastAsia="zh-CN"/>
        </w:rPr>
        <w:tab/>
      </w:r>
      <w:r>
        <w:rPr>
          <w:rFonts w:hint="eastAsia" w:ascii="Times New Roman" w:hAnsi="Times New Roman" w:eastAsia="方正黑体简体" w:cs="方正黑体简体"/>
          <w:color w:val="auto"/>
          <w:sz w:val="32"/>
          <w:szCs w:val="32"/>
          <w:highlight w:val="none"/>
          <w:lang w:val="en-US" w:eastAsia="zh-CN"/>
        </w:rPr>
        <w:t>14</w:t>
      </w:r>
    </w:p>
    <w:p w14:paraId="44FE0319">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一、收入支出决算总表</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14</w:t>
      </w:r>
    </w:p>
    <w:p w14:paraId="51A61264">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二、收入决算表</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14</w:t>
      </w:r>
    </w:p>
    <w:p w14:paraId="073524B5">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三、支出决算表</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14</w:t>
      </w:r>
    </w:p>
    <w:p w14:paraId="34817AFB">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四、财政拨款收入支出决算总表</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14</w:t>
      </w:r>
    </w:p>
    <w:p w14:paraId="1D238436">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五、财政拨款支出决算明细表</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14</w:t>
      </w:r>
    </w:p>
    <w:p w14:paraId="7BBA8A00">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六、一般公共预算财政拨款支出决算表</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14</w:t>
      </w:r>
    </w:p>
    <w:p w14:paraId="6A033409">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七、一般公共预算财政拨款支出决算明细表</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14</w:t>
      </w:r>
    </w:p>
    <w:p w14:paraId="4345EDB9">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八、一般公共预算财政拨款基本支出决算</w:t>
      </w:r>
      <w:r>
        <w:rPr>
          <w:rFonts w:hint="eastAsia" w:ascii="Times New Roman" w:hAnsi="Times New Roman" w:eastAsia="方正仿宋_GBK" w:cs="方正仿宋_GBK"/>
          <w:color w:val="auto"/>
          <w:sz w:val="32"/>
          <w:szCs w:val="32"/>
          <w:highlight w:val="none"/>
          <w:lang w:eastAsia="zh-CN"/>
        </w:rPr>
        <w:t>明细</w:t>
      </w:r>
      <w:r>
        <w:rPr>
          <w:rFonts w:hint="eastAsia" w:ascii="Times New Roman" w:hAnsi="Times New Roman" w:eastAsia="方正仿宋_GBK" w:cs="方正仿宋_GBK"/>
          <w:color w:val="auto"/>
          <w:sz w:val="32"/>
          <w:szCs w:val="32"/>
          <w:highlight w:val="none"/>
        </w:rPr>
        <w:t>表</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14</w:t>
      </w:r>
    </w:p>
    <w:p w14:paraId="1B3740AD">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九、一般公共预算财政拨款项目支出决算表</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14</w:t>
      </w:r>
    </w:p>
    <w:p w14:paraId="057BF508">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十、政府性基金预算财政拨款收入支出决算表</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14</w:t>
      </w:r>
    </w:p>
    <w:p w14:paraId="1BF1F59E">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十一、国有资本经营预算财政拨款收入支出决算表</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14</w:t>
      </w:r>
    </w:p>
    <w:p w14:paraId="717CAB40">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_GB2312" w:cs="仿宋_GB2312"/>
          <w:color w:val="auto"/>
          <w:sz w:val="30"/>
          <w:szCs w:val="30"/>
          <w:highlight w:val="none"/>
          <w:lang w:val="en-US"/>
        </w:rPr>
      </w:pPr>
      <w:r>
        <w:rPr>
          <w:rFonts w:hint="eastAsia" w:ascii="Times New Roman" w:hAnsi="Times New Roman" w:eastAsia="方正仿宋_GBK" w:cs="方正仿宋_GBK"/>
          <w:color w:val="auto"/>
          <w:sz w:val="32"/>
          <w:szCs w:val="32"/>
          <w:highlight w:val="none"/>
        </w:rPr>
        <w:t>十二、</w:t>
      </w:r>
      <w:r>
        <w:rPr>
          <w:rFonts w:hint="eastAsia" w:ascii="Times New Roman" w:hAnsi="Times New Roman" w:eastAsia="方正仿宋_GBK" w:cs="方正仿宋_GBK"/>
          <w:color w:val="auto"/>
          <w:sz w:val="32"/>
          <w:szCs w:val="32"/>
          <w:highlight w:val="none"/>
          <w:lang w:val="en-US" w:eastAsia="zh-CN"/>
        </w:rPr>
        <w:t>国有资本经营预算财政拨款支出决算表</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14</w:t>
      </w:r>
    </w:p>
    <w:p w14:paraId="2DA2D4AC">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sz w:val="32"/>
          <w:szCs w:val="32"/>
          <w:highlight w:val="none"/>
        </w:rPr>
        <w:t>十三、财政拨款“三公”经费支出决算表</w:t>
      </w:r>
      <w:r>
        <w:rPr>
          <w:rFonts w:hint="eastAsia" w:ascii="Times New Roman" w:hAnsi="Times New Roman" w:eastAsia="仿宋" w:cs="仿宋"/>
          <w:color w:val="auto"/>
          <w:sz w:val="30"/>
          <w:szCs w:val="30"/>
          <w:highlight w:val="none"/>
          <w:lang w:val="en-US" w:eastAsia="zh-CN"/>
        </w:rPr>
        <w:tab/>
      </w:r>
      <w:r>
        <w:rPr>
          <w:rFonts w:hint="eastAsia" w:ascii="Times New Roman" w:hAnsi="Times New Roman" w:eastAsia="仿宋" w:cs="仿宋"/>
          <w:color w:val="auto"/>
          <w:sz w:val="30"/>
          <w:szCs w:val="30"/>
          <w:highlight w:val="none"/>
          <w:lang w:val="en-US" w:eastAsia="zh-CN"/>
        </w:rPr>
        <w:t>14</w:t>
      </w:r>
    </w:p>
    <w:p w14:paraId="23FCCF28">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eastAsia" w:ascii="Times New Roman" w:hAnsi="Times New Roman" w:eastAsia="仿宋_GB2312" w:cs="仿宋_GB2312"/>
          <w:b/>
          <w:bCs/>
          <w:color w:val="auto"/>
          <w:sz w:val="32"/>
          <w:szCs w:val="32"/>
          <w:highlight w:val="none"/>
          <w:lang w:eastAsia="zh-CN"/>
        </w:rPr>
      </w:pPr>
    </w:p>
    <w:p w14:paraId="7202B47C">
      <w:pPr>
        <w:pStyle w:val="5"/>
        <w:pageBreakBefore w:val="0"/>
        <w:widowControl w:val="0"/>
        <w:kinsoku/>
        <w:wordWrap/>
        <w:overflowPunct/>
        <w:topLinePunct w:val="0"/>
        <w:autoSpaceDE/>
        <w:autoSpaceDN/>
        <w:bidi w:val="0"/>
        <w:spacing w:line="576" w:lineRule="exact"/>
        <w:jc w:val="center"/>
        <w:textAlignment w:val="auto"/>
        <w:rPr>
          <w:rFonts w:hint="eastAsia" w:ascii="Times New Roman" w:hAnsi="Times New Roman" w:eastAsia="方正小标宋简体" w:cs="方正小标宋简体"/>
          <w:b w:val="0"/>
          <w:color w:val="auto"/>
          <w:highlight w:val="none"/>
        </w:rPr>
        <w:sectPr>
          <w:footerReference r:id="rId8" w:type="first"/>
          <w:footerReference r:id="rId7" w:type="default"/>
          <w:pgSz w:w="11906" w:h="16838"/>
          <w:pgMar w:top="2098" w:right="1474" w:bottom="1984" w:left="1587" w:header="851" w:footer="992" w:gutter="0"/>
          <w:pgNumType w:fmt="decimal" w:start="1"/>
          <w:cols w:space="0" w:num="1"/>
          <w:rtlGutter w:val="0"/>
          <w:docGrid w:type="linesAndChars" w:linePitch="318" w:charSpace="121"/>
        </w:sectPr>
      </w:pPr>
      <w:bookmarkStart w:id="6" w:name="_Toc15377196"/>
      <w:bookmarkStart w:id="7" w:name="_Toc15396599"/>
    </w:p>
    <w:p w14:paraId="33948E8D">
      <w:pPr>
        <w:pStyle w:val="5"/>
        <w:keepNext/>
        <w:keepLines/>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Times New Roman" w:hAnsi="Times New Roman"/>
        </w:rPr>
      </w:pPr>
      <w:r>
        <w:rPr>
          <w:rFonts w:hint="eastAsia" w:ascii="Times New Roman" w:hAnsi="Times New Roman" w:eastAsia="方正黑体简体" w:cs="方正黑体简体"/>
          <w:b w:val="0"/>
          <w:bCs w:val="0"/>
          <w:color w:val="auto"/>
          <w:kern w:val="2"/>
          <w:sz w:val="44"/>
          <w:szCs w:val="44"/>
          <w:highlight w:val="none"/>
          <w:lang w:val="zh-CN" w:eastAsia="zh-CN" w:bidi="ar-SA"/>
        </w:rPr>
        <w:t>第一部分 部门概况</w:t>
      </w:r>
      <w:bookmarkEnd w:id="6"/>
      <w:bookmarkEnd w:id="7"/>
    </w:p>
    <w:p w14:paraId="04C1DA92">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黑体简体" w:cs="方正黑体简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lang w:val="en-US" w:eastAsia="zh-CN"/>
        </w:rPr>
        <w:t>一、部门职责</w:t>
      </w:r>
    </w:p>
    <w:p w14:paraId="034DC572">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负责州委巡察工作信息化建设和服务保障工作；承担巡察工作有关系统网络、平台软件的建设、管理和维护；负责巡察工作有关数据信息的管理、收集、汇总、分析、上报和数据信息保密等工作；协助做好州委巡察组及上级巡视机构日常联络服务工作；完成州委巡察办交办的其他工作任务。</w:t>
      </w:r>
    </w:p>
    <w:p w14:paraId="51F0FEF8">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黑体简体" w:cs="方正黑体简体"/>
          <w:color w:val="auto"/>
          <w:sz w:val="32"/>
          <w:szCs w:val="32"/>
          <w:highlight w:val="none"/>
          <w:lang w:val="en-US" w:eastAsia="zh-CN"/>
        </w:rPr>
      </w:pPr>
      <w:bookmarkStart w:id="8" w:name="_Toc15396601"/>
      <w:bookmarkStart w:id="9" w:name="_Toc15377200"/>
      <w:r>
        <w:rPr>
          <w:rFonts w:hint="eastAsia" w:ascii="Times New Roman" w:hAnsi="Times New Roman" w:eastAsia="方正黑体简体" w:cs="方正黑体简体"/>
          <w:color w:val="auto"/>
          <w:sz w:val="32"/>
          <w:szCs w:val="32"/>
          <w:highlight w:val="none"/>
          <w:lang w:val="en-US" w:eastAsia="zh-CN"/>
        </w:rPr>
        <w:t>二、机构设置</w:t>
      </w:r>
      <w:bookmarkEnd w:id="8"/>
      <w:bookmarkEnd w:id="9"/>
    </w:p>
    <w:p w14:paraId="03E6296E">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阿坝州巡察工作事务中心下属二级预算单位1个，其中行政单位0个，参照公务员法管理的事业单位0个，其他事业单位1个。</w:t>
      </w:r>
    </w:p>
    <w:p w14:paraId="5BF2EF5B">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纳入阿坝州巡察工作事务中心2025年度部门决算编制范围的二级预算单位包括：</w:t>
      </w:r>
    </w:p>
    <w:p w14:paraId="34586CD0">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仿宋_GBK" w:cs="方正仿宋_GBK"/>
          <w:b/>
          <w:bCs/>
          <w:color w:val="auto"/>
          <w:sz w:val="32"/>
          <w:szCs w:val="32"/>
          <w:highlight w:val="none"/>
          <w:lang w:eastAsia="zh-CN"/>
        </w:rPr>
      </w:pPr>
      <w:r>
        <w:rPr>
          <w:rFonts w:hint="eastAsia" w:ascii="Times New Roman" w:hAnsi="Times New Roman" w:eastAsia="方正仿宋_GBK" w:cs="方正仿宋_GBK"/>
          <w:b/>
          <w:bCs/>
          <w:color w:val="auto"/>
          <w:sz w:val="32"/>
          <w:szCs w:val="32"/>
          <w:highlight w:val="none"/>
          <w:lang w:val="en-US" w:eastAsia="zh-CN"/>
        </w:rPr>
        <w:t>1.阿坝州巡察工作事务中心</w:t>
      </w:r>
    </w:p>
    <w:p w14:paraId="7246E9E7">
      <w:pPr>
        <w:pStyle w:val="8"/>
        <w:numPr>
          <w:ilvl w:val="0"/>
          <w:numId w:val="0"/>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p>
    <w:p w14:paraId="79B830DB">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58FC6360">
      <w:pPr>
        <w:pStyle w:val="5"/>
        <w:keepNext/>
        <w:keepLines/>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ascii="Times New Roman" w:hAnsi="Times New Roman"/>
          <w:color w:val="auto"/>
          <w:highlight w:val="none"/>
        </w:rPr>
      </w:pPr>
      <w:bookmarkStart w:id="10" w:name="_Toc15396602"/>
      <w:bookmarkStart w:id="11" w:name="_Toc15377204"/>
      <w:r>
        <w:rPr>
          <w:rFonts w:hint="eastAsia" w:ascii="Times New Roman" w:hAnsi="Times New Roman" w:eastAsia="方正黑体简体" w:cs="方正黑体简体"/>
          <w:b w:val="0"/>
          <w:bCs w:val="0"/>
          <w:color w:val="auto"/>
          <w:kern w:val="2"/>
          <w:sz w:val="44"/>
          <w:szCs w:val="44"/>
          <w:highlight w:val="none"/>
          <w:lang w:val="zh-CN" w:eastAsia="zh-CN" w:bidi="ar-SA"/>
        </w:rPr>
        <w:t>第二部分</w:t>
      </w:r>
      <w:r>
        <w:rPr>
          <w:rFonts w:hint="eastAsia" w:ascii="Times New Roman" w:hAnsi="Times New Roman" w:eastAsia="方正黑体简体" w:cs="方正黑体简体"/>
          <w:b w:val="0"/>
          <w:bCs w:val="0"/>
          <w:color w:val="auto"/>
          <w:kern w:val="2"/>
          <w:sz w:val="44"/>
          <w:szCs w:val="44"/>
          <w:highlight w:val="none"/>
          <w:lang w:val="en-US" w:eastAsia="zh-CN" w:bidi="ar-SA"/>
        </w:rPr>
        <w:t xml:space="preserve"> 2025年度</w:t>
      </w:r>
      <w:r>
        <w:rPr>
          <w:rFonts w:hint="eastAsia" w:ascii="Times New Roman" w:hAnsi="Times New Roman" w:eastAsia="方正黑体简体" w:cs="方正黑体简体"/>
          <w:b w:val="0"/>
          <w:bCs w:val="0"/>
          <w:color w:val="auto"/>
          <w:kern w:val="2"/>
          <w:sz w:val="44"/>
          <w:szCs w:val="44"/>
          <w:highlight w:val="none"/>
          <w:lang w:val="zh-CN" w:eastAsia="zh-CN" w:bidi="ar-SA"/>
        </w:rPr>
        <w:t>部门决算情况说明</w:t>
      </w:r>
      <w:bookmarkEnd w:id="10"/>
      <w:bookmarkEnd w:id="11"/>
    </w:p>
    <w:p w14:paraId="11EE2B06">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黑体简体" w:cs="方正黑体简体"/>
          <w:color w:val="auto"/>
          <w:sz w:val="32"/>
          <w:szCs w:val="32"/>
          <w:highlight w:val="none"/>
          <w:lang w:val="en-US" w:eastAsia="zh-CN"/>
        </w:rPr>
      </w:pPr>
      <w:bookmarkStart w:id="12" w:name="_Toc15396603"/>
      <w:bookmarkStart w:id="13" w:name="_Toc15377205"/>
      <w:r>
        <w:rPr>
          <w:rFonts w:hint="eastAsia" w:ascii="Times New Roman" w:hAnsi="Times New Roman" w:eastAsia="方正黑体简体" w:cs="方正黑体简体"/>
          <w:color w:val="auto"/>
          <w:sz w:val="32"/>
          <w:szCs w:val="32"/>
          <w:highlight w:val="none"/>
          <w:lang w:val="en-US" w:eastAsia="zh-CN"/>
        </w:rPr>
        <w:t>一、收入支出决算总体情况说明</w:t>
      </w:r>
      <w:bookmarkEnd w:id="12"/>
      <w:bookmarkEnd w:id="13"/>
    </w:p>
    <w:p w14:paraId="37EB81FC">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收入、支出总计均为23.97万元。与上年度相比，收入、支出总计各增加23.97万元，增长100%。主要变动原因是该单位为2024年批准设立，上年度无对应决算数据。2025年下半年，调入工作人员2名、公开招考录用工作人员2名。</w:t>
      </w:r>
    </w:p>
    <w:p w14:paraId="7B7B124A">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（图1：收入、支出决算总计变动情况图）（柱状图）</w:t>
      </w:r>
      <w:r>
        <w:rPr>
          <w:rFonts w:hint="eastAsia" w:ascii="Times New Roman" w:hAnsi="Times New Roman" w:eastAsia="方正仿宋_GBK" w:cs="方正仿宋_GBK"/>
          <w:color w:val="auto"/>
          <w:kern w:val="2"/>
          <w:sz w:val="32"/>
          <w:szCs w:val="32"/>
          <w:highlight w:val="none"/>
          <w:lang w:val="en-US" w:eastAsia="zh-CN" w:bidi="ar-SA"/>
        </w:rPr>
        <w:drawing>
          <wp:anchor distT="0" distB="0" distL="114300" distR="114300" simplePos="0" relativeHeight="251659264" behindDoc="0" locked="1" layoutInCell="1" allowOverlap="1">
            <wp:simplePos x="0" y="0"/>
            <wp:positionH relativeFrom="column">
              <wp:posOffset>203835</wp:posOffset>
            </wp:positionH>
            <wp:positionV relativeFrom="page">
              <wp:posOffset>4220210</wp:posOffset>
            </wp:positionV>
            <wp:extent cx="5079365" cy="3808730"/>
            <wp:effectExtent l="4445" t="4445" r="21590" b="15875"/>
            <wp:wrapNone/>
            <wp:docPr id="2"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Start w:id="14" w:name="_Toc15377206"/>
      <w:bookmarkStart w:id="15" w:name="_Toc15396604"/>
    </w:p>
    <w:p w14:paraId="2BBE3474">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p>
    <w:p w14:paraId="67F8C2C1">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p>
    <w:p w14:paraId="71160EC4">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p>
    <w:p w14:paraId="470F35B1">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p>
    <w:p w14:paraId="3088DB93">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p>
    <w:p w14:paraId="13F2DE73">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p>
    <w:p w14:paraId="7F5220A6">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p>
    <w:p w14:paraId="1D1BB62B">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p>
    <w:p w14:paraId="2C68A2DC">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p>
    <w:p w14:paraId="45B788E6">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p>
    <w:p w14:paraId="7B509C1C">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p>
    <w:p w14:paraId="24DEB1E1">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黑体简体" w:cs="方正黑体简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lang w:val="en-US" w:eastAsia="zh-CN"/>
        </w:rPr>
        <w:t>二、收入决算情况说明</w:t>
      </w:r>
      <w:bookmarkEnd w:id="14"/>
      <w:bookmarkEnd w:id="15"/>
    </w:p>
    <w:p w14:paraId="37DDF509">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2025年度本年收入合计23.97万元，其中：一般公共预算财政拨款收入23.97万元，占100%。</w:t>
      </w:r>
    </w:p>
    <w:p w14:paraId="7BEA88CD">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（图2：收入决算结构图）（饼状图）</w:t>
      </w:r>
      <w:bookmarkStart w:id="16" w:name="_Toc15396605"/>
      <w:bookmarkStart w:id="17" w:name="_Toc15377207"/>
    </w:p>
    <w:p w14:paraId="7F8FD91E">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134620</wp:posOffset>
            </wp:positionH>
            <wp:positionV relativeFrom="paragraph">
              <wp:posOffset>64770</wp:posOffset>
            </wp:positionV>
            <wp:extent cx="5080000" cy="3810000"/>
            <wp:effectExtent l="4445" t="4445" r="20955" b="14605"/>
            <wp:wrapNone/>
            <wp:docPr id="3"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02DEC814">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3763D027">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67704773">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76BB8179">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44BC1DA0">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4682FC4C">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0A91E0BF">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2B5C001E">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2A363094">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705E2B72">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35CBA201">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黑体简体" w:cs="方正黑体简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lang w:val="en-US" w:eastAsia="zh-CN"/>
        </w:rPr>
        <w:t>三、支出决算情况说明</w:t>
      </w:r>
      <w:bookmarkEnd w:id="16"/>
      <w:bookmarkEnd w:id="17"/>
    </w:p>
    <w:p w14:paraId="70753DA2">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2025年度本年支出合计23.97万元，其中：基本支出23.97万元，占100%。</w:t>
      </w:r>
    </w:p>
    <w:p w14:paraId="2F17BAE7">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（图3：支出决算结构图）（饼状图）</w:t>
      </w:r>
    </w:p>
    <w:p w14:paraId="6596602A">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2ADD26C">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201293F">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D6A5EDC">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3A9EE60">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6BA32BD">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7932249F">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64DB53BD">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5692E202">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30ABAA1A">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25A5D07D">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6ABE3341">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5FEB830F">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75F08EA2">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3F1E091B">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7B2265C1">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1"/>
        <w:rPr>
          <w:rFonts w:hint="eastAsia" w:ascii="Times New Roman" w:hAnsi="Times New Roman" w:eastAsia="黑体"/>
          <w:color w:val="auto"/>
          <w:sz w:val="32"/>
          <w:szCs w:val="32"/>
          <w:highlight w:val="none"/>
          <w:lang w:eastAsia="zh-CN"/>
        </w:rPr>
      </w:pPr>
    </w:p>
    <w:p w14:paraId="3C0D7DD2">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黑体简体" w:cs="方正黑体简体"/>
          <w:color w:val="auto"/>
          <w:sz w:val="32"/>
          <w:szCs w:val="32"/>
          <w:highlight w:val="none"/>
          <w:lang w:val="en-US" w:eastAsia="zh-CN"/>
        </w:rPr>
      </w:pPr>
    </w:p>
    <w:p w14:paraId="3FB047DF">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黑体简体" w:cs="方正黑体简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lang w:val="en-US" w:eastAsia="zh-CN"/>
        </w:rPr>
        <w:drawing>
          <wp:anchor distT="0" distB="0" distL="114300" distR="114300" simplePos="0" relativeHeight="251661312" behindDoc="0" locked="1" layoutInCell="1" allowOverlap="1">
            <wp:simplePos x="0" y="0"/>
            <wp:positionH relativeFrom="column">
              <wp:posOffset>210185</wp:posOffset>
            </wp:positionH>
            <wp:positionV relativeFrom="page">
              <wp:posOffset>1401445</wp:posOffset>
            </wp:positionV>
            <wp:extent cx="5080000" cy="3810000"/>
            <wp:effectExtent l="4445" t="4445" r="20955" b="14605"/>
            <wp:wrapNone/>
            <wp:docPr id="12" name="图表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bookmarkStart w:id="18" w:name="_Toc15377208"/>
      <w:bookmarkStart w:id="19" w:name="_Toc15396606"/>
      <w:r>
        <w:rPr>
          <w:rFonts w:hint="eastAsia" w:ascii="Times New Roman" w:hAnsi="Times New Roman" w:eastAsia="方正黑体简体" w:cs="方正黑体简体"/>
          <w:color w:val="auto"/>
          <w:sz w:val="32"/>
          <w:szCs w:val="32"/>
          <w:highlight w:val="none"/>
          <w:lang w:val="en-US" w:eastAsia="zh-CN"/>
        </w:rPr>
        <w:t>四、财政拨款收入支出决算总体情况说明</w:t>
      </w:r>
      <w:bookmarkEnd w:id="18"/>
      <w:bookmarkEnd w:id="19"/>
    </w:p>
    <w:p w14:paraId="6279BB83">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财政拨款收入、支出总计均为23.97万元。与上年度相比，财政拨款收入、支出总计各增加23.97万元，增长100%。主要变动原因是该单位为2024年批准设立，上年度无对应决算数据；2025年下半年，调入工作人员2名、公开招考录用工作人员2名。</w:t>
      </w:r>
    </w:p>
    <w:p w14:paraId="19056D2E">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（图4：财政拨款收、支决算总计变动情况）（柱状图）</w:t>
      </w:r>
    </w:p>
    <w:p w14:paraId="243AB97E">
      <w:pPr>
        <w:pStyle w:val="2"/>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705A07DB">
      <w:pPr>
        <w:pStyle w:val="3"/>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07480AE1">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6CD5B4BF">
      <w:pPr>
        <w:pStyle w:val="2"/>
        <w:keepNext w:val="0"/>
        <w:keepLines w:val="0"/>
        <w:pageBreakBefore w:val="0"/>
        <w:widowControl w:val="0"/>
        <w:kinsoku/>
        <w:wordWrap/>
        <w:overflowPunct/>
        <w:topLinePunct w:val="0"/>
        <w:autoSpaceDE/>
        <w:autoSpaceDN/>
        <w:bidi w:val="0"/>
        <w:adjustRightInd/>
        <w:spacing w:line="576" w:lineRule="exact"/>
        <w:ind w:firstLine="360" w:firstLineChars="200"/>
        <w:textAlignment w:val="auto"/>
        <w:rPr>
          <w:rFonts w:hint="eastAsia" w:ascii="Times New Roman" w:hAnsi="Times New Roman"/>
          <w:lang w:val="en-US" w:eastAsia="zh-CN"/>
        </w:rPr>
      </w:pPr>
    </w:p>
    <w:p w14:paraId="50DF17BC">
      <w:pPr>
        <w:pStyle w:val="2"/>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0B0C2F3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rPr>
      </w:pPr>
      <w:bookmarkStart w:id="20" w:name="_Toc15377209"/>
      <w:bookmarkStart w:id="21" w:name="_Toc15396607"/>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3360" behindDoc="0" locked="1" layoutInCell="1" allowOverlap="1">
            <wp:simplePos x="0" y="0"/>
            <wp:positionH relativeFrom="column">
              <wp:posOffset>219710</wp:posOffset>
            </wp:positionH>
            <wp:positionV relativeFrom="page">
              <wp:posOffset>1410970</wp:posOffset>
            </wp:positionV>
            <wp:extent cx="5123180" cy="3843655"/>
            <wp:effectExtent l="5080" t="4445" r="15240" b="19050"/>
            <wp:wrapNone/>
            <wp:docPr id="13" name="图表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79F2EC80">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1"/>
        <w:rPr>
          <w:rFonts w:hint="eastAsia" w:ascii="Times New Roman" w:hAnsi="Times New Roman" w:eastAsia="黑体"/>
          <w:color w:val="auto"/>
          <w:sz w:val="32"/>
          <w:szCs w:val="32"/>
          <w:highlight w:val="none"/>
        </w:rPr>
      </w:pPr>
    </w:p>
    <w:p w14:paraId="652D1F80">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1"/>
        <w:rPr>
          <w:rFonts w:hint="eastAsia" w:ascii="Times New Roman" w:hAnsi="Times New Roman" w:eastAsia="黑体"/>
          <w:color w:val="auto"/>
          <w:sz w:val="32"/>
          <w:szCs w:val="32"/>
          <w:highlight w:val="none"/>
        </w:rPr>
      </w:pPr>
    </w:p>
    <w:p w14:paraId="78359D3F">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1"/>
        <w:rPr>
          <w:rFonts w:hint="eastAsia" w:ascii="Times New Roman" w:hAnsi="Times New Roman" w:eastAsia="黑体"/>
          <w:color w:val="auto"/>
          <w:sz w:val="32"/>
          <w:szCs w:val="32"/>
          <w:highlight w:val="none"/>
        </w:rPr>
      </w:pPr>
    </w:p>
    <w:p w14:paraId="60B34A61">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1"/>
        <w:rPr>
          <w:rFonts w:hint="eastAsia" w:ascii="Times New Roman" w:hAnsi="Times New Roman" w:eastAsia="黑体"/>
          <w:color w:val="auto"/>
          <w:sz w:val="32"/>
          <w:szCs w:val="32"/>
          <w:highlight w:val="none"/>
        </w:rPr>
      </w:pPr>
    </w:p>
    <w:p w14:paraId="466C1AFE">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1"/>
        <w:rPr>
          <w:rFonts w:hint="eastAsia" w:ascii="Times New Roman" w:hAnsi="Times New Roman" w:eastAsia="黑体"/>
          <w:color w:val="auto"/>
          <w:sz w:val="32"/>
          <w:szCs w:val="32"/>
          <w:highlight w:val="none"/>
        </w:rPr>
      </w:pPr>
    </w:p>
    <w:p w14:paraId="51DD9BEC">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1"/>
        <w:rPr>
          <w:rFonts w:hint="eastAsia" w:ascii="Times New Roman" w:hAnsi="Times New Roman" w:eastAsia="黑体"/>
          <w:color w:val="auto"/>
          <w:sz w:val="32"/>
          <w:szCs w:val="32"/>
          <w:highlight w:val="none"/>
        </w:rPr>
      </w:pPr>
    </w:p>
    <w:p w14:paraId="39F9C2EC">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1"/>
        <w:rPr>
          <w:rFonts w:hint="eastAsia" w:ascii="Times New Roman" w:hAnsi="Times New Roman" w:eastAsia="黑体"/>
          <w:color w:val="auto"/>
          <w:sz w:val="32"/>
          <w:szCs w:val="32"/>
          <w:highlight w:val="none"/>
        </w:rPr>
      </w:pPr>
    </w:p>
    <w:p w14:paraId="7DD1294D">
      <w:pPr>
        <w:keepNext w:val="0"/>
        <w:keepLines w:val="0"/>
        <w:pageBreakBefore w:val="0"/>
        <w:widowControl w:val="0"/>
        <w:kinsoku/>
        <w:wordWrap/>
        <w:overflowPunct/>
        <w:topLinePunct w:val="0"/>
        <w:autoSpaceDE/>
        <w:autoSpaceDN/>
        <w:bidi w:val="0"/>
        <w:adjustRightInd/>
        <w:snapToGrid/>
        <w:spacing w:line="576" w:lineRule="exact"/>
        <w:textAlignment w:val="auto"/>
        <w:outlineLvl w:val="1"/>
        <w:rPr>
          <w:rFonts w:hint="eastAsia" w:ascii="Times New Roman" w:hAnsi="Times New Roman" w:eastAsia="黑体"/>
          <w:color w:val="auto"/>
          <w:sz w:val="32"/>
          <w:szCs w:val="32"/>
          <w:highlight w:val="none"/>
        </w:rPr>
      </w:pPr>
    </w:p>
    <w:p w14:paraId="665848CC">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黑体简体" w:cs="方正黑体简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lang w:val="en-US" w:eastAsia="zh-CN"/>
        </w:rPr>
        <w:t>五、一般公共预算财政拨款支出决算情况说明</w:t>
      </w:r>
      <w:bookmarkEnd w:id="20"/>
      <w:bookmarkEnd w:id="21"/>
    </w:p>
    <w:p w14:paraId="61B87DC1">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方正楷体_GBK" w:cs="方正楷体_GBK"/>
          <w:b w:val="0"/>
          <w:bCs/>
          <w:color w:val="auto"/>
          <w:sz w:val="32"/>
          <w:szCs w:val="32"/>
          <w:highlight w:val="none"/>
        </w:rPr>
      </w:pPr>
      <w:bookmarkStart w:id="22" w:name="_Toc15377210"/>
      <w:r>
        <w:rPr>
          <w:rFonts w:hint="eastAsia" w:ascii="Times New Roman" w:hAnsi="Times New Roman" w:eastAsia="方正楷体_GBK" w:cs="方正楷体_GBK"/>
          <w:b w:val="0"/>
          <w:bCs/>
          <w:color w:val="auto"/>
          <w:sz w:val="32"/>
          <w:szCs w:val="32"/>
          <w:highlight w:val="none"/>
        </w:rPr>
        <w:t>（一）一般公共预算财政拨款支出决算总体情况</w:t>
      </w:r>
      <w:bookmarkEnd w:id="22"/>
    </w:p>
    <w:p w14:paraId="2A9E6E13">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一般公共预算财政拨款支出23.97万元，占本年支出合计的100%。与上年度相比，一般公共预算财政拨款支出增加23.97万元，增长100%。主要变动原因是该单位为2024年批准设立，上年度无对应决算数据；2025年下半年，调入工作人员2名、公开招考录用工作人员2名。</w:t>
      </w:r>
    </w:p>
    <w:p w14:paraId="4E8F9F0D">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（图5：一般公共预算财政拨款支出决算变动情况）（柱状图）</w:t>
      </w:r>
    </w:p>
    <w:p w14:paraId="598C1393">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5877A9A8">
      <w:pPr>
        <w:pStyle w:val="2"/>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089B8C11">
      <w:pPr>
        <w:pStyle w:val="3"/>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02D1A9A7">
      <w:pPr>
        <w:keepNext w:val="0"/>
        <w:keepLines w:val="0"/>
        <w:pageBreakBefore w:val="0"/>
        <w:widowControl w:val="0"/>
        <w:kinsoku/>
        <w:wordWrap/>
        <w:overflowPunct/>
        <w:topLinePunct w:val="0"/>
        <w:autoSpaceDE/>
        <w:autoSpaceDN/>
        <w:bidi w:val="0"/>
        <w:adjustRightInd/>
        <w:spacing w:line="576" w:lineRule="exact"/>
        <w:ind w:firstLine="420" w:firstLineChars="200"/>
        <w:textAlignment w:val="auto"/>
        <w:rPr>
          <w:rFonts w:hint="eastAsia" w:ascii="Times New Roman" w:hAnsi="Times New Roman"/>
          <w:lang w:val="en-US" w:eastAsia="zh-CN"/>
        </w:rPr>
      </w:pPr>
    </w:p>
    <w:p w14:paraId="5F46C560">
      <w:pPr>
        <w:pStyle w:val="2"/>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2DF059A0">
      <w:pPr>
        <w:pStyle w:val="2"/>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5F60ADDB">
      <w:pPr>
        <w:pStyle w:val="2"/>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F1E7814">
      <w:pPr>
        <w:pStyle w:val="2"/>
        <w:keepNext w:val="0"/>
        <w:keepLines w:val="0"/>
        <w:pageBreakBefore w:val="0"/>
        <w:widowControl w:val="0"/>
        <w:kinsoku/>
        <w:wordWrap/>
        <w:overflowPunct/>
        <w:topLinePunct w:val="0"/>
        <w:autoSpaceDE/>
        <w:autoSpaceDN/>
        <w:bidi w:val="0"/>
        <w:adjustRightInd/>
        <w:snapToGrid w:val="0"/>
        <w:spacing w:line="576" w:lineRule="exact"/>
        <w:ind w:firstLine="36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lang w:val="en-US" w:eastAsia="zh-CN"/>
        </w:rPr>
        <w:drawing>
          <wp:anchor distT="0" distB="0" distL="114300" distR="114300" simplePos="0" relativeHeight="251662336" behindDoc="0" locked="1" layoutInCell="1" allowOverlap="1">
            <wp:simplePos x="0" y="0"/>
            <wp:positionH relativeFrom="column">
              <wp:posOffset>282575</wp:posOffset>
            </wp:positionH>
            <wp:positionV relativeFrom="page">
              <wp:posOffset>1412875</wp:posOffset>
            </wp:positionV>
            <wp:extent cx="5080000" cy="3810000"/>
            <wp:effectExtent l="4445" t="4445" r="20955" b="14605"/>
            <wp:wrapNone/>
            <wp:docPr id="15" name="图表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3369763">
      <w:pPr>
        <w:pStyle w:val="3"/>
        <w:keepNext w:val="0"/>
        <w:keepLines w:val="0"/>
        <w:pageBreakBefore w:val="0"/>
        <w:widowControl w:val="0"/>
        <w:kinsoku/>
        <w:wordWrap/>
        <w:overflowPunct/>
        <w:topLinePunct w:val="0"/>
        <w:autoSpaceDE/>
        <w:autoSpaceDN/>
        <w:bidi w:val="0"/>
        <w:adjustRightInd/>
        <w:spacing w:line="576" w:lineRule="exact"/>
        <w:ind w:firstLine="420" w:firstLineChars="200"/>
        <w:textAlignment w:val="auto"/>
        <w:rPr>
          <w:rFonts w:hint="eastAsia" w:ascii="Times New Roman" w:hAnsi="Times New Roman"/>
          <w:lang w:val="en-US" w:eastAsia="zh-CN"/>
        </w:rPr>
      </w:pPr>
    </w:p>
    <w:p w14:paraId="341FDFCB">
      <w:pPr>
        <w:pStyle w:val="2"/>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17390D97">
      <w:pPr>
        <w:pStyle w:val="3"/>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078F7C7C">
      <w:pPr>
        <w:keepNext w:val="0"/>
        <w:keepLines w:val="0"/>
        <w:pageBreakBefore w:val="0"/>
        <w:widowControl w:val="0"/>
        <w:kinsoku/>
        <w:wordWrap/>
        <w:overflowPunct/>
        <w:topLinePunct w:val="0"/>
        <w:autoSpaceDE/>
        <w:autoSpaceDN/>
        <w:bidi w:val="0"/>
        <w:adjustRightInd/>
        <w:spacing w:line="576" w:lineRule="exact"/>
        <w:textAlignment w:val="auto"/>
        <w:outlineLvl w:val="2"/>
        <w:rPr>
          <w:rFonts w:hint="eastAsia" w:ascii="Times New Roman" w:hAnsi="Times New Roman" w:eastAsia="楷体_GB2312" w:cs="楷体_GB2312"/>
          <w:b/>
          <w:color w:val="auto"/>
          <w:sz w:val="32"/>
          <w:szCs w:val="32"/>
          <w:highlight w:val="none"/>
        </w:rPr>
      </w:pPr>
      <w:bookmarkStart w:id="23" w:name="_Toc15377211"/>
    </w:p>
    <w:p w14:paraId="5D4AA54A">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方正楷体_GBK" w:cs="方正楷体_GBK"/>
          <w:b w:val="0"/>
          <w:bCs/>
          <w:color w:val="auto"/>
          <w:sz w:val="32"/>
          <w:szCs w:val="32"/>
          <w:highlight w:val="none"/>
        </w:rPr>
      </w:pPr>
      <w:r>
        <w:rPr>
          <w:rFonts w:hint="eastAsia" w:ascii="Times New Roman" w:hAnsi="Times New Roman" w:eastAsia="方正楷体_GBK" w:cs="方正楷体_GBK"/>
          <w:b w:val="0"/>
          <w:bCs/>
          <w:color w:val="auto"/>
          <w:sz w:val="32"/>
          <w:szCs w:val="32"/>
          <w:highlight w:val="none"/>
        </w:rPr>
        <w:t>（二）一般公共预算财政拨款支出决算结构情况</w:t>
      </w:r>
      <w:bookmarkEnd w:id="23"/>
    </w:p>
    <w:p w14:paraId="2F43AF15">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2025年度一般公共预算财政拨款支出23.97万元，主要用于以下方面：一般公共服务支出17.65万元，占73.63%；社会保障和就业支出3.27万元，占13.64%；卫生健康支出1.32万元，占5.51%；住房保障支出1.73万元，占7.22%。</w:t>
      </w:r>
    </w:p>
    <w:p w14:paraId="624054E0">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（图6：一般公共预算财政拨款支出决算结构）（饼状图）</w:t>
      </w:r>
    </w:p>
    <w:p w14:paraId="0B8B9E79">
      <w:pPr>
        <w:pStyle w:val="2"/>
        <w:keepNext w:val="0"/>
        <w:keepLines w:val="0"/>
        <w:pageBreakBefore w:val="0"/>
        <w:widowControl w:val="0"/>
        <w:kinsoku/>
        <w:wordWrap/>
        <w:overflowPunct/>
        <w:topLinePunct w:val="0"/>
        <w:autoSpaceDE/>
        <w:autoSpaceDN/>
        <w:bidi w:val="0"/>
        <w:adjustRightInd/>
        <w:spacing w:line="576" w:lineRule="exact"/>
        <w:ind w:firstLine="360" w:firstLineChars="200"/>
        <w:textAlignment w:val="auto"/>
        <w:rPr>
          <w:rFonts w:hint="eastAsia" w:ascii="Times New Roman" w:hAnsi="Times New Roman"/>
          <w:lang w:val="en-US" w:eastAsia="zh-CN"/>
        </w:rPr>
      </w:pPr>
    </w:p>
    <w:p w14:paraId="244F8A1F">
      <w:pPr>
        <w:keepNext w:val="0"/>
        <w:keepLines w:val="0"/>
        <w:pageBreakBefore w:val="0"/>
        <w:widowControl w:val="0"/>
        <w:kinsoku/>
        <w:wordWrap/>
        <w:overflowPunct/>
        <w:topLinePunct w:val="0"/>
        <w:autoSpaceDE/>
        <w:autoSpaceDN/>
        <w:bidi w:val="0"/>
        <w:adjustRightInd/>
        <w:spacing w:line="576" w:lineRule="exact"/>
        <w:ind w:firstLine="420" w:firstLineChars="200"/>
        <w:textAlignment w:val="auto"/>
        <w:rPr>
          <w:rFonts w:hint="eastAsia" w:ascii="Times New Roman" w:hAnsi="Times New Roman"/>
          <w:lang w:val="en-US" w:eastAsia="zh-CN"/>
        </w:rPr>
      </w:pPr>
    </w:p>
    <w:p w14:paraId="17CA4227">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楷体_GB2312" w:cs="楷体_GB2312"/>
          <w:b/>
          <w:color w:val="auto"/>
          <w:sz w:val="32"/>
          <w:szCs w:val="32"/>
          <w:highlight w:val="none"/>
        </w:rPr>
      </w:pPr>
      <w:bookmarkStart w:id="24" w:name="_Toc15377212"/>
    </w:p>
    <w:p w14:paraId="63EFE802">
      <w:pPr>
        <w:keepNext w:val="0"/>
        <w:keepLines w:val="0"/>
        <w:pageBreakBefore w:val="0"/>
        <w:widowControl w:val="0"/>
        <w:kinsoku/>
        <w:wordWrap/>
        <w:overflowPunct/>
        <w:topLinePunct w:val="0"/>
        <w:autoSpaceDE/>
        <w:autoSpaceDN/>
        <w:bidi w:val="0"/>
        <w:adjustRightInd/>
        <w:spacing w:line="576" w:lineRule="exact"/>
        <w:ind w:firstLine="640" w:firstLineChars="200"/>
        <w:jc w:val="both"/>
        <w:textAlignment w:val="auto"/>
        <w:outlineLvl w:val="2"/>
        <w:rPr>
          <w:rFonts w:hint="eastAsia" w:ascii="Times New Roman" w:hAnsi="Times New Roman" w:eastAsia="楷体_GB2312" w:cs="楷体_GB2312"/>
          <w:b/>
          <w:color w:val="auto"/>
          <w:sz w:val="32"/>
          <w:szCs w:val="32"/>
          <w:highlight w:val="none"/>
        </w:rPr>
      </w:pPr>
    </w:p>
    <w:p w14:paraId="1D9224AD">
      <w:pPr>
        <w:pStyle w:val="3"/>
        <w:keepNext w:val="0"/>
        <w:keepLines w:val="0"/>
        <w:pageBreakBefore w:val="0"/>
        <w:widowControl w:val="0"/>
        <w:kinsoku/>
        <w:wordWrap/>
        <w:overflowPunct/>
        <w:topLinePunct w:val="0"/>
        <w:autoSpaceDE/>
        <w:autoSpaceDN/>
        <w:bidi w:val="0"/>
        <w:adjustRightInd/>
        <w:spacing w:line="576" w:lineRule="exact"/>
        <w:ind w:left="0" w:leftChars="0" w:firstLine="420" w:firstLineChars="200"/>
        <w:textAlignment w:val="auto"/>
        <w:rPr>
          <w:rFonts w:hint="eastAsia" w:ascii="Times New Roman" w:hAnsi="Times New Roman"/>
        </w:rPr>
      </w:pPr>
    </w:p>
    <w:p w14:paraId="20BB52BE">
      <w:pPr>
        <w:keepNext w:val="0"/>
        <w:keepLines w:val="0"/>
        <w:pageBreakBefore w:val="0"/>
        <w:widowControl w:val="0"/>
        <w:kinsoku/>
        <w:wordWrap/>
        <w:overflowPunct/>
        <w:topLinePunct w:val="0"/>
        <w:autoSpaceDE/>
        <w:autoSpaceDN/>
        <w:bidi w:val="0"/>
        <w:adjustRightInd/>
        <w:snapToGrid/>
        <w:spacing w:line="576" w:lineRule="exact"/>
        <w:ind w:firstLine="420"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lang w:val="en-US" w:eastAsia="zh-CN"/>
        </w:rPr>
        <w:drawing>
          <wp:anchor distT="0" distB="0" distL="114300" distR="114300" simplePos="0" relativeHeight="251664384" behindDoc="0" locked="0" layoutInCell="1" allowOverlap="1">
            <wp:simplePos x="0" y="0"/>
            <wp:positionH relativeFrom="column">
              <wp:posOffset>246380</wp:posOffset>
            </wp:positionH>
            <wp:positionV relativeFrom="paragraph">
              <wp:posOffset>142875</wp:posOffset>
            </wp:positionV>
            <wp:extent cx="5080000" cy="3810000"/>
            <wp:effectExtent l="4445" t="4445" r="20955" b="14605"/>
            <wp:wrapNone/>
            <wp:docPr id="16" name="图表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7BE506C8">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楷体_GB2312" w:cs="楷体_GB2312"/>
          <w:b/>
          <w:color w:val="auto"/>
          <w:sz w:val="32"/>
          <w:szCs w:val="32"/>
          <w:highlight w:val="none"/>
        </w:rPr>
      </w:pPr>
    </w:p>
    <w:p w14:paraId="03232E46">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楷体_GB2312" w:cs="楷体_GB2312"/>
          <w:b/>
          <w:color w:val="auto"/>
          <w:sz w:val="32"/>
          <w:szCs w:val="32"/>
          <w:highlight w:val="none"/>
        </w:rPr>
      </w:pPr>
    </w:p>
    <w:p w14:paraId="59B4747E">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楷体_GB2312" w:cs="楷体_GB2312"/>
          <w:b/>
          <w:color w:val="auto"/>
          <w:sz w:val="32"/>
          <w:szCs w:val="32"/>
          <w:highlight w:val="none"/>
        </w:rPr>
      </w:pPr>
    </w:p>
    <w:p w14:paraId="4744AB83">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楷体_GB2312" w:cs="楷体_GB2312"/>
          <w:b/>
          <w:color w:val="auto"/>
          <w:sz w:val="32"/>
          <w:szCs w:val="32"/>
          <w:highlight w:val="none"/>
        </w:rPr>
      </w:pPr>
    </w:p>
    <w:p w14:paraId="0CB75942">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楷体_GB2312" w:cs="楷体_GB2312"/>
          <w:b/>
          <w:color w:val="auto"/>
          <w:sz w:val="32"/>
          <w:szCs w:val="32"/>
          <w:highlight w:val="none"/>
        </w:rPr>
      </w:pPr>
    </w:p>
    <w:p w14:paraId="505AF8A7">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楷体_GB2312" w:cs="楷体_GB2312"/>
          <w:b/>
          <w:color w:val="auto"/>
          <w:sz w:val="32"/>
          <w:szCs w:val="32"/>
          <w:highlight w:val="none"/>
        </w:rPr>
      </w:pPr>
    </w:p>
    <w:p w14:paraId="3F9D8FE6">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楷体_GB2312" w:cs="楷体_GB2312"/>
          <w:b/>
          <w:color w:val="auto"/>
          <w:sz w:val="32"/>
          <w:szCs w:val="32"/>
          <w:highlight w:val="none"/>
        </w:rPr>
      </w:pPr>
    </w:p>
    <w:p w14:paraId="51867148">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楷体_GB2312" w:cs="楷体_GB2312"/>
          <w:b/>
          <w:color w:val="auto"/>
          <w:sz w:val="32"/>
          <w:szCs w:val="32"/>
          <w:highlight w:val="none"/>
        </w:rPr>
      </w:pPr>
    </w:p>
    <w:p w14:paraId="31AADFEF">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楷体_GB2312" w:cs="楷体_GB2312"/>
          <w:b/>
          <w:color w:val="auto"/>
          <w:sz w:val="32"/>
          <w:szCs w:val="32"/>
          <w:highlight w:val="none"/>
        </w:rPr>
      </w:pPr>
    </w:p>
    <w:p w14:paraId="6972B07A">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楷体_GB2312" w:cs="楷体_GB2312"/>
          <w:b/>
          <w:color w:val="auto"/>
          <w:sz w:val="32"/>
          <w:szCs w:val="32"/>
          <w:highlight w:val="none"/>
        </w:rPr>
      </w:pPr>
    </w:p>
    <w:p w14:paraId="4F23D74A">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方正楷体_GBK" w:cs="方正楷体_GBK"/>
          <w:b w:val="0"/>
          <w:bCs/>
          <w:color w:val="auto"/>
          <w:sz w:val="32"/>
          <w:szCs w:val="32"/>
          <w:highlight w:val="none"/>
        </w:rPr>
      </w:pPr>
      <w:r>
        <w:rPr>
          <w:rFonts w:hint="eastAsia" w:ascii="Times New Roman" w:hAnsi="Times New Roman" w:eastAsia="方正楷体_GBK" w:cs="方正楷体_GBK"/>
          <w:b w:val="0"/>
          <w:bCs/>
          <w:color w:val="auto"/>
          <w:sz w:val="32"/>
          <w:szCs w:val="32"/>
          <w:highlight w:val="none"/>
        </w:rPr>
        <w:t>（三）一般公共预算财政拨款支出决算具体情况</w:t>
      </w:r>
      <w:bookmarkEnd w:id="24"/>
    </w:p>
    <w:p w14:paraId="1F6E7038">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25" w:name="_Toc15377213"/>
      <w:bookmarkStart w:id="26" w:name="_Toc15378460"/>
      <w:bookmarkStart w:id="27" w:name="_Toc15377444"/>
      <w:r>
        <w:rPr>
          <w:rFonts w:hint="eastAsia" w:ascii="Times New Roman" w:hAnsi="Times New Roman" w:eastAsia="方正仿宋_GBK" w:cs="方正仿宋_GBK"/>
          <w:color w:val="auto"/>
          <w:kern w:val="2"/>
          <w:sz w:val="32"/>
          <w:szCs w:val="32"/>
          <w:highlight w:val="none"/>
          <w:lang w:val="en-US" w:eastAsia="zh-CN" w:bidi="ar-SA"/>
        </w:rPr>
        <w:t>2025年度一般公共预算支出决算数为23.97万元，完成预算100%。其中：</w:t>
      </w:r>
      <w:bookmarkEnd w:id="25"/>
      <w:bookmarkEnd w:id="26"/>
      <w:bookmarkEnd w:id="27"/>
    </w:p>
    <w:p w14:paraId="17D4104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1.一般公共服务（201）纪检监察事务（11）事业运行（50）：</w:t>
      </w:r>
      <w:r>
        <w:rPr>
          <w:rFonts w:hint="eastAsia" w:ascii="Times New Roman" w:hAnsi="Times New Roman" w:eastAsia="方正仿宋_GBK" w:cs="方正仿宋_GBK"/>
          <w:color w:val="auto"/>
          <w:kern w:val="2"/>
          <w:sz w:val="32"/>
          <w:szCs w:val="32"/>
          <w:highlight w:val="none"/>
          <w:lang w:val="en-US" w:eastAsia="zh-CN" w:bidi="ar-SA"/>
        </w:rPr>
        <w:t>支出决算为17.65万元，完成预算100%，决算数等于预算数持平。</w:t>
      </w:r>
    </w:p>
    <w:p w14:paraId="3D2FB4E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 xml:space="preserve">2.社会保障和就业（208）行政事业单位养老支出（05）机关事业单位基本养老保险缴费支出（05）: </w:t>
      </w:r>
      <w:r>
        <w:rPr>
          <w:rFonts w:hint="eastAsia" w:ascii="Times New Roman" w:hAnsi="Times New Roman" w:eastAsia="方正仿宋_GBK" w:cs="方正仿宋_GBK"/>
          <w:color w:val="auto"/>
          <w:kern w:val="2"/>
          <w:sz w:val="32"/>
          <w:szCs w:val="32"/>
          <w:highlight w:val="none"/>
          <w:lang w:val="en-US" w:eastAsia="zh-CN" w:bidi="ar-SA"/>
        </w:rPr>
        <w:t>支出决算为2.08万元，完成预算100%，决算数等于预算数持平；</w:t>
      </w:r>
      <w:r>
        <w:rPr>
          <w:rFonts w:hint="eastAsia" w:ascii="Times New Roman" w:hAnsi="Times New Roman" w:eastAsia="方正仿宋_GBK" w:cs="方正仿宋_GBK"/>
          <w:b/>
          <w:bCs/>
          <w:color w:val="auto"/>
          <w:kern w:val="2"/>
          <w:sz w:val="32"/>
          <w:szCs w:val="32"/>
          <w:highlight w:val="none"/>
          <w:lang w:val="en-US" w:eastAsia="zh-CN" w:bidi="ar-SA"/>
        </w:rPr>
        <w:t>机关事业单位职业年金缴费支出（06）：</w:t>
      </w:r>
      <w:r>
        <w:rPr>
          <w:rFonts w:hint="eastAsia" w:ascii="Times New Roman" w:hAnsi="Times New Roman" w:eastAsia="方正仿宋_GBK" w:cs="方正仿宋_GBK"/>
          <w:color w:val="auto"/>
          <w:kern w:val="2"/>
          <w:sz w:val="32"/>
          <w:szCs w:val="32"/>
          <w:highlight w:val="none"/>
          <w:lang w:val="en-US" w:eastAsia="zh-CN" w:bidi="ar-SA"/>
        </w:rPr>
        <w:t>支出决算为1.19万元，完成预算100%，决算数等于预算数持平。</w:t>
      </w:r>
    </w:p>
    <w:p w14:paraId="475B4E4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3.卫生健康支出（210）行政事业单位医疗（11）事业单位医疗（02）：</w:t>
      </w:r>
      <w:r>
        <w:rPr>
          <w:rFonts w:hint="eastAsia" w:ascii="Times New Roman" w:hAnsi="Times New Roman" w:eastAsia="方正仿宋_GBK" w:cs="方正仿宋_GBK"/>
          <w:color w:val="auto"/>
          <w:kern w:val="2"/>
          <w:sz w:val="32"/>
          <w:szCs w:val="32"/>
          <w:highlight w:val="none"/>
          <w:lang w:val="en-US" w:eastAsia="zh-CN" w:bidi="ar-SA"/>
        </w:rPr>
        <w:t>支出决算为0.95万元，完成预算100%，决算数等于预算数持平；</w:t>
      </w:r>
      <w:r>
        <w:rPr>
          <w:rFonts w:hint="eastAsia" w:ascii="Times New Roman" w:hAnsi="Times New Roman" w:eastAsia="方正仿宋_GBK" w:cs="方正仿宋_GBK"/>
          <w:b/>
          <w:bCs/>
          <w:color w:val="auto"/>
          <w:kern w:val="2"/>
          <w:sz w:val="32"/>
          <w:szCs w:val="32"/>
          <w:highlight w:val="none"/>
          <w:lang w:val="en-US" w:eastAsia="zh-CN" w:bidi="ar-SA"/>
        </w:rPr>
        <w:t>其他行政事业单位医疗支出（99）：</w:t>
      </w:r>
      <w:r>
        <w:rPr>
          <w:rFonts w:hint="eastAsia" w:ascii="Times New Roman" w:hAnsi="Times New Roman" w:eastAsia="方正仿宋_GBK" w:cs="方正仿宋_GBK"/>
          <w:color w:val="auto"/>
          <w:kern w:val="2"/>
          <w:sz w:val="32"/>
          <w:szCs w:val="32"/>
          <w:highlight w:val="none"/>
          <w:lang w:val="en-US" w:eastAsia="zh-CN" w:bidi="ar-SA"/>
        </w:rPr>
        <w:t>支出决算为0.37万元，完成预算100%，决算数等于预算数持平。</w:t>
      </w:r>
    </w:p>
    <w:p w14:paraId="2BC6C764">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 w:cs="仿宋"/>
          <w:color w:val="auto"/>
          <w:sz w:val="32"/>
          <w:szCs w:val="32"/>
          <w:highlight w:val="none"/>
        </w:rPr>
      </w:pPr>
      <w:r>
        <w:rPr>
          <w:rFonts w:hint="eastAsia" w:ascii="Times New Roman" w:hAnsi="Times New Roman" w:eastAsia="方正仿宋_GBK" w:cs="方正仿宋_GBK"/>
          <w:b/>
          <w:bCs/>
          <w:color w:val="auto"/>
          <w:kern w:val="2"/>
          <w:sz w:val="32"/>
          <w:szCs w:val="32"/>
          <w:highlight w:val="none"/>
          <w:lang w:val="en-US" w:eastAsia="zh-CN" w:bidi="ar-SA"/>
        </w:rPr>
        <w:t>4.住房保障支出（221）住房改革支出（02）住房公积金（01）：</w:t>
      </w:r>
      <w:r>
        <w:rPr>
          <w:rFonts w:hint="eastAsia" w:ascii="Times New Roman" w:hAnsi="Times New Roman" w:eastAsia="方正仿宋_GBK" w:cs="方正仿宋_GBK"/>
          <w:color w:val="auto"/>
          <w:kern w:val="2"/>
          <w:sz w:val="32"/>
          <w:szCs w:val="32"/>
          <w:highlight w:val="none"/>
          <w:lang w:val="en-US" w:eastAsia="zh-CN" w:bidi="ar-SA"/>
        </w:rPr>
        <w:t>支出决算为1.73万元，完成预算100%，决算数等于预算数持平。</w:t>
      </w:r>
      <w:bookmarkStart w:id="28" w:name="_Toc15396608"/>
      <w:bookmarkStart w:id="29" w:name="_Toc15377214"/>
    </w:p>
    <w:p w14:paraId="4084B3CB">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黑体简体" w:cs="方正黑体简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lang w:val="en-US" w:eastAsia="zh-CN"/>
        </w:rPr>
        <w:t>六、一般公共预算财政拨款基本支出决算情况说明</w:t>
      </w:r>
      <w:bookmarkEnd w:id="28"/>
      <w:bookmarkEnd w:id="29"/>
      <w:r>
        <w:rPr>
          <w:rFonts w:hint="eastAsia" w:ascii="Times New Roman" w:hAnsi="Times New Roman" w:eastAsia="方正黑体简体" w:cs="方正黑体简体"/>
          <w:color w:val="auto"/>
          <w:sz w:val="32"/>
          <w:szCs w:val="32"/>
          <w:highlight w:val="none"/>
          <w:lang w:val="en-US" w:eastAsia="zh-CN"/>
        </w:rPr>
        <w:tab/>
      </w:r>
    </w:p>
    <w:p w14:paraId="2C589F68">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2025年度一般公共预算财政拨款基本支出23.97万元，其中：</w:t>
      </w:r>
    </w:p>
    <w:p w14:paraId="4D34FB51">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人员经费23.97万元，主要包括：基本工资、津贴补贴、奖金、绩效工资、机关事业单位基本养老保险缴费、职业年金缴费、其他社会保障缴费、住房公积金等。</w:t>
      </w:r>
      <w:r>
        <w:rPr>
          <w:rFonts w:hint="eastAsia" w:ascii="Times New Roman" w:hAnsi="Times New Roman" w:eastAsia="方正仿宋_GBK" w:cs="方正仿宋_GBK"/>
          <w:color w:val="auto"/>
          <w:kern w:val="2"/>
          <w:sz w:val="32"/>
          <w:szCs w:val="32"/>
          <w:highlight w:val="none"/>
          <w:lang w:val="en-US" w:eastAsia="zh-CN" w:bidi="ar-SA"/>
        </w:rPr>
        <w:br w:type="textWrapping"/>
      </w:r>
      <w:r>
        <w:rPr>
          <w:rFonts w:hint="eastAsia" w:ascii="Times New Roman" w:hAnsi="Times New Roman" w:eastAsia="方正仿宋_GBK" w:cs="方正仿宋_GBK"/>
          <w:color w:val="auto"/>
          <w:kern w:val="2"/>
          <w:sz w:val="32"/>
          <w:szCs w:val="32"/>
          <w:highlight w:val="none"/>
          <w:lang w:val="en-US" w:eastAsia="zh-CN" w:bidi="ar-SA"/>
        </w:rPr>
        <w:t>　　公用经费0万元。</w:t>
      </w:r>
    </w:p>
    <w:p w14:paraId="375A05C7">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黑体简体" w:cs="方正黑体简体"/>
          <w:color w:val="auto"/>
          <w:sz w:val="32"/>
          <w:szCs w:val="32"/>
          <w:highlight w:val="none"/>
          <w:lang w:val="en-US" w:eastAsia="zh-CN"/>
        </w:rPr>
      </w:pPr>
      <w:bookmarkStart w:id="30" w:name="_Toc15377215"/>
      <w:bookmarkStart w:id="31" w:name="_Toc15396609"/>
      <w:r>
        <w:rPr>
          <w:rFonts w:hint="eastAsia" w:ascii="Times New Roman" w:hAnsi="Times New Roman" w:eastAsia="方正黑体简体" w:cs="方正黑体简体"/>
          <w:color w:val="auto"/>
          <w:sz w:val="32"/>
          <w:szCs w:val="32"/>
          <w:highlight w:val="none"/>
          <w:lang w:val="en-US" w:eastAsia="zh-CN"/>
        </w:rPr>
        <w:t>七、财政拨款“三公”经费支出决算情况说明</w:t>
      </w:r>
      <w:bookmarkEnd w:id="30"/>
      <w:bookmarkEnd w:id="31"/>
    </w:p>
    <w:p w14:paraId="36A1DA4E">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方正楷体_GBK" w:cs="方正楷体_GBK"/>
          <w:b w:val="0"/>
          <w:bCs/>
          <w:color w:val="auto"/>
          <w:sz w:val="32"/>
          <w:szCs w:val="32"/>
          <w:highlight w:val="none"/>
        </w:rPr>
      </w:pPr>
      <w:bookmarkStart w:id="32" w:name="_Toc15377216"/>
      <w:r>
        <w:rPr>
          <w:rFonts w:hint="eastAsia" w:ascii="Times New Roman" w:hAnsi="Times New Roman" w:eastAsia="方正楷体_GBK" w:cs="方正楷体_GBK"/>
          <w:b w:val="0"/>
          <w:bCs/>
          <w:color w:val="auto"/>
          <w:sz w:val="32"/>
          <w:szCs w:val="32"/>
          <w:highlight w:val="none"/>
        </w:rPr>
        <w:t>（一）财政拨款“三公”经费支出决算总体情况说明</w:t>
      </w:r>
      <w:bookmarkEnd w:id="32"/>
    </w:p>
    <w:p w14:paraId="63B49FCE">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2025年度财政拨款“三公”经费支出决算为0万元。</w:t>
      </w:r>
    </w:p>
    <w:p w14:paraId="3592425C">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方正楷体_GBK" w:cs="方正楷体_GBK"/>
          <w:b w:val="0"/>
          <w:bCs/>
          <w:color w:val="auto"/>
          <w:sz w:val="32"/>
          <w:szCs w:val="32"/>
          <w:highlight w:val="none"/>
        </w:rPr>
      </w:pPr>
      <w:bookmarkStart w:id="33" w:name="_Toc15377217"/>
      <w:r>
        <w:rPr>
          <w:rFonts w:hint="eastAsia" w:ascii="Times New Roman" w:hAnsi="Times New Roman" w:eastAsia="方正楷体_GBK" w:cs="方正楷体_GBK"/>
          <w:b w:val="0"/>
          <w:bCs/>
          <w:color w:val="auto"/>
          <w:sz w:val="32"/>
          <w:szCs w:val="32"/>
          <w:highlight w:val="none"/>
        </w:rPr>
        <w:t>（二）财政拨款“三公”经费支出决算具体情况说明</w:t>
      </w:r>
      <w:bookmarkEnd w:id="33"/>
    </w:p>
    <w:p w14:paraId="275956E9">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2025年度财政拨款“三公”经费支出决算中，因公出国（境）费支出决算0万元，占0%；公务用车购置及运行维护费支出决算0万元，占0%；公务接待费支出决算0万元，占0%。具体情况如下：</w:t>
      </w:r>
    </w:p>
    <w:p w14:paraId="528BED0C">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（图7：财政拨款“三公”经费支出结构）（饼状图）</w:t>
      </w:r>
    </w:p>
    <w:p w14:paraId="65F56A9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47BACFE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4CCB13D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7059A02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5408" behindDoc="0" locked="1" layoutInCell="1" allowOverlap="1">
            <wp:simplePos x="0" y="0"/>
            <wp:positionH relativeFrom="column">
              <wp:posOffset>219075</wp:posOffset>
            </wp:positionH>
            <wp:positionV relativeFrom="page">
              <wp:posOffset>1416050</wp:posOffset>
            </wp:positionV>
            <wp:extent cx="5080000" cy="3810000"/>
            <wp:effectExtent l="4445" t="4445" r="20955" b="14605"/>
            <wp:wrapNone/>
            <wp:docPr id="19" name="图表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7DD75475">
      <w:pPr>
        <w:pStyle w:val="2"/>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088AB123">
      <w:pPr>
        <w:pStyle w:val="2"/>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24D565D1">
      <w:pPr>
        <w:pStyle w:val="2"/>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46E3259C">
      <w:pPr>
        <w:pStyle w:val="2"/>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144D0AB5">
      <w:pPr>
        <w:pStyle w:val="2"/>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F4BE048">
      <w:pPr>
        <w:pStyle w:val="2"/>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B72DA2C">
      <w:pPr>
        <w:pStyle w:val="2"/>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14:paraId="709DC05A">
      <w:pPr>
        <w:pStyle w:val="2"/>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Times New Roman" w:hAnsi="Times New Roman" w:eastAsia="仿宋" w:cs="仿宋"/>
          <w:b/>
          <w:bCs/>
          <w:color w:val="auto"/>
          <w:kern w:val="2"/>
          <w:sz w:val="32"/>
          <w:szCs w:val="32"/>
          <w:highlight w:val="none"/>
          <w:lang w:val="en-US" w:eastAsia="zh-CN" w:bidi="ar-SA"/>
        </w:rPr>
      </w:pPr>
    </w:p>
    <w:p w14:paraId="60B8BAE7">
      <w:pPr>
        <w:pStyle w:val="2"/>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1.因公出国（境）经费支出0万元。</w:t>
      </w:r>
      <w:r>
        <w:rPr>
          <w:rFonts w:hint="eastAsia" w:ascii="Times New Roman" w:hAnsi="Times New Roman" w:eastAsia="方正仿宋_GBK" w:cs="方正仿宋_GBK"/>
          <w:color w:val="auto"/>
          <w:kern w:val="2"/>
          <w:sz w:val="32"/>
          <w:szCs w:val="32"/>
          <w:highlight w:val="none"/>
          <w:lang w:val="en-US" w:eastAsia="zh-CN" w:bidi="ar-SA"/>
        </w:rPr>
        <w:t>全年安排因公出国（境）团组0次，出国（境）0人。</w:t>
      </w:r>
    </w:p>
    <w:p w14:paraId="0E939009">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2.公务用车购置及运行维护费支出0万元。</w:t>
      </w:r>
      <w:r>
        <w:rPr>
          <w:rFonts w:hint="eastAsia" w:ascii="Times New Roman" w:hAnsi="Times New Roman" w:eastAsia="方正仿宋_GBK" w:cs="方正仿宋_GBK"/>
          <w:color w:val="auto"/>
          <w:kern w:val="2"/>
          <w:sz w:val="32"/>
          <w:szCs w:val="32"/>
          <w:highlight w:val="none"/>
          <w:lang w:val="en-US" w:eastAsia="zh-CN" w:bidi="ar-SA"/>
        </w:rPr>
        <w:t>其中：公务用车购置支出0万元。全年按规定更新购置公务用0车辆，其中：轿车0辆、金额0万元，越野车0辆、金额0万元，载客汽车0辆、金额0万元。2025年12月31日，单位共有公务用车0辆，中：轿车0辆、越野车0辆、载客汽车0辆。</w:t>
      </w:r>
    </w:p>
    <w:p w14:paraId="5EBF47D8">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公务用车运行维护费支出0万元。</w:t>
      </w:r>
    </w:p>
    <w:p w14:paraId="345E2E91">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3.公务接待费支出0万元。</w:t>
      </w:r>
      <w:r>
        <w:rPr>
          <w:rFonts w:hint="eastAsia" w:ascii="Times New Roman" w:hAnsi="Times New Roman" w:eastAsia="方正仿宋_GBK" w:cs="方正仿宋_GBK"/>
          <w:color w:val="auto"/>
          <w:kern w:val="2"/>
          <w:sz w:val="32"/>
          <w:szCs w:val="32"/>
          <w:highlight w:val="none"/>
          <w:lang w:val="en-US" w:eastAsia="zh-CN" w:bidi="ar-SA"/>
        </w:rPr>
        <w:t>其中：国内公务接待支出0万元。国内公务接待0批次，0人次（不包括陪同人员），共计支出0万元。</w:t>
      </w:r>
    </w:p>
    <w:p w14:paraId="3621B2D0">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外事接待支出0万元。外事接待0批次，0人次（不包括陪同人员），共计支出0万元。</w:t>
      </w:r>
      <w:bookmarkStart w:id="34" w:name="_Toc15377218"/>
      <w:bookmarkStart w:id="35" w:name="_Toc15396610"/>
    </w:p>
    <w:p w14:paraId="705EEC55">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黑体简体" w:cs="方正黑体简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lang w:val="en-US" w:eastAsia="zh-CN"/>
        </w:rPr>
        <w:t>八、政府性基金预算支出决算情况说明</w:t>
      </w:r>
      <w:bookmarkEnd w:id="34"/>
      <w:bookmarkEnd w:id="35"/>
    </w:p>
    <w:p w14:paraId="750FE185">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2025年度政府性基金预算财政拨款支出0万元，占本年支出合计的0%。与上年度相比持平。</w:t>
      </w:r>
    </w:p>
    <w:p w14:paraId="021BE64B">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黑体简体" w:cs="方正黑体简体"/>
          <w:color w:val="auto"/>
          <w:sz w:val="32"/>
          <w:szCs w:val="32"/>
          <w:highlight w:val="none"/>
          <w:lang w:val="en-US" w:eastAsia="zh-CN"/>
        </w:rPr>
      </w:pPr>
      <w:bookmarkStart w:id="36" w:name="_Toc15396611"/>
      <w:bookmarkStart w:id="37" w:name="_Toc15377219"/>
      <w:r>
        <w:rPr>
          <w:rFonts w:hint="eastAsia" w:ascii="Times New Roman" w:hAnsi="Times New Roman" w:eastAsia="方正黑体简体" w:cs="方正黑体简体"/>
          <w:color w:val="auto"/>
          <w:sz w:val="32"/>
          <w:szCs w:val="32"/>
          <w:highlight w:val="none"/>
          <w:lang w:val="en-US" w:eastAsia="zh-CN"/>
        </w:rPr>
        <w:t>九、国有资本经营预算支出决算情况说明</w:t>
      </w:r>
      <w:bookmarkEnd w:id="36"/>
      <w:bookmarkEnd w:id="37"/>
    </w:p>
    <w:p w14:paraId="0CBE8F0B">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2025年度国有资本经营预算财政拨款支出0万元，占本年支出合计的0%。与上年度相比持平。</w:t>
      </w:r>
    </w:p>
    <w:p w14:paraId="68C7916A">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方正黑体简体" w:cs="方正黑体简体"/>
          <w:color w:val="auto"/>
          <w:sz w:val="32"/>
          <w:szCs w:val="32"/>
          <w:highlight w:val="none"/>
          <w:lang w:val="en-US" w:eastAsia="zh-CN"/>
        </w:rPr>
      </w:pPr>
      <w:bookmarkStart w:id="38" w:name="_Toc15377221"/>
      <w:bookmarkStart w:id="39" w:name="_Toc15396612"/>
      <w:r>
        <w:rPr>
          <w:rFonts w:hint="eastAsia" w:ascii="Times New Roman" w:hAnsi="Times New Roman" w:eastAsia="方正黑体简体" w:cs="方正黑体简体"/>
          <w:color w:val="auto"/>
          <w:sz w:val="32"/>
          <w:szCs w:val="32"/>
          <w:highlight w:val="none"/>
          <w:lang w:val="en-US" w:eastAsia="zh-CN"/>
        </w:rPr>
        <w:t>十、其他重要事项的情况说明</w:t>
      </w:r>
      <w:bookmarkEnd w:id="38"/>
      <w:bookmarkEnd w:id="39"/>
    </w:p>
    <w:p w14:paraId="4832EF26">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方正楷体_GBK" w:cs="方正楷体_GBK"/>
          <w:b w:val="0"/>
          <w:bCs/>
          <w:color w:val="auto"/>
          <w:sz w:val="32"/>
          <w:szCs w:val="32"/>
          <w:highlight w:val="none"/>
        </w:rPr>
      </w:pPr>
      <w:bookmarkStart w:id="40" w:name="_Toc15377222"/>
      <w:r>
        <w:rPr>
          <w:rFonts w:hint="eastAsia" w:ascii="Times New Roman" w:hAnsi="Times New Roman" w:eastAsia="方正楷体_GBK" w:cs="方正楷体_GBK"/>
          <w:b w:val="0"/>
          <w:bCs/>
          <w:color w:val="auto"/>
          <w:sz w:val="32"/>
          <w:szCs w:val="32"/>
          <w:highlight w:val="none"/>
        </w:rPr>
        <w:t>（一）机关运行经费支出情况</w:t>
      </w:r>
      <w:bookmarkEnd w:id="40"/>
    </w:p>
    <w:p w14:paraId="056B2119">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2025年度，阿坝州巡察工作事务中心机关运行经费支出0万元。</w:t>
      </w:r>
    </w:p>
    <w:p w14:paraId="54BCD9EA">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方正楷体_GBK" w:cs="方正楷体_GBK"/>
          <w:b w:val="0"/>
          <w:bCs/>
          <w:color w:val="auto"/>
          <w:sz w:val="32"/>
          <w:szCs w:val="32"/>
          <w:highlight w:val="none"/>
        </w:rPr>
      </w:pPr>
      <w:bookmarkStart w:id="41" w:name="_Toc15377223"/>
      <w:r>
        <w:rPr>
          <w:rFonts w:hint="eastAsia" w:ascii="Times New Roman" w:hAnsi="Times New Roman" w:eastAsia="方正楷体_GBK" w:cs="方正楷体_GBK"/>
          <w:b w:val="0"/>
          <w:bCs/>
          <w:color w:val="auto"/>
          <w:sz w:val="32"/>
          <w:szCs w:val="32"/>
          <w:highlight w:val="none"/>
        </w:rPr>
        <w:t>（二）政府采购支出情况</w:t>
      </w:r>
      <w:bookmarkEnd w:id="41"/>
    </w:p>
    <w:p w14:paraId="5DF7087F">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2025年度，阿坝州巡察工作事务中心政府采购支出总额0万元，其中：政府采购货物支出0万元、政府采购工程支出0万元、政府采购服务支出0万元。</w:t>
      </w:r>
    </w:p>
    <w:p w14:paraId="2C4F86D6">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方正楷体_GBK" w:cs="方正楷体_GBK"/>
          <w:b w:val="0"/>
          <w:bCs/>
          <w:color w:val="auto"/>
          <w:sz w:val="32"/>
          <w:szCs w:val="32"/>
          <w:highlight w:val="none"/>
        </w:rPr>
      </w:pPr>
      <w:bookmarkStart w:id="42" w:name="_Toc15377224"/>
      <w:r>
        <w:rPr>
          <w:rFonts w:hint="eastAsia" w:ascii="Times New Roman" w:hAnsi="Times New Roman" w:eastAsia="方正楷体_GBK" w:cs="方正楷体_GBK"/>
          <w:b w:val="0"/>
          <w:bCs/>
          <w:color w:val="auto"/>
          <w:sz w:val="32"/>
          <w:szCs w:val="32"/>
          <w:highlight w:val="none"/>
        </w:rPr>
        <w:t>（三）国有资产占有使用情况</w:t>
      </w:r>
      <w:bookmarkEnd w:id="42"/>
    </w:p>
    <w:p w14:paraId="1AC090AC">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截至2025年12月31日，阿坝州巡察工作事务中心共有车辆0辆，其中：副部（省）级及以上领导用车0辆、主要负责人用车0辆、机要通信用车0辆、应急保障用车0辆、执法执勤用车0辆、特种专业技术用车0辆、离退休干部服务用车0辆、其他用车0辆。</w:t>
      </w:r>
    </w:p>
    <w:p w14:paraId="6F8F0E70">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2"/>
        <w:rPr>
          <w:rFonts w:hint="eastAsia" w:ascii="Times New Roman" w:hAnsi="Times New Roman" w:eastAsia="方正楷体_GBK" w:cs="方正楷体_GBK"/>
          <w:b w:val="0"/>
          <w:bCs/>
          <w:color w:val="auto"/>
          <w:sz w:val="32"/>
          <w:szCs w:val="32"/>
          <w:highlight w:val="none"/>
        </w:rPr>
      </w:pPr>
      <w:r>
        <w:rPr>
          <w:rFonts w:hint="eastAsia" w:ascii="Times New Roman" w:hAnsi="Times New Roman" w:eastAsia="方正楷体_GBK" w:cs="方正楷体_GBK"/>
          <w:b w:val="0"/>
          <w:bCs/>
          <w:color w:val="auto"/>
          <w:sz w:val="32"/>
          <w:szCs w:val="32"/>
          <w:highlight w:val="none"/>
        </w:rPr>
        <w:t>（四）预算绩效管理情况</w:t>
      </w:r>
    </w:p>
    <w:p w14:paraId="63B48D27">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阿坝州巡察工作事务中心在2024年批准成立的新机构，2025年下半年调入、招录工作人员后逐步开展运行工作。本年度部门预算仅安排基本支出，无项目支出预算，未开展项目预算绩效管理相关工作。</w:t>
      </w:r>
    </w:p>
    <w:p w14:paraId="20D47264">
      <w:pPr>
        <w:pStyle w:val="2"/>
        <w:rPr>
          <w:rFonts w:hint="eastAsia" w:ascii="Times New Roman" w:hAnsi="Times New Roman" w:eastAsia="仿宋_GB2312" w:cs="仿宋_GB2312"/>
          <w:color w:val="auto"/>
          <w:kern w:val="2"/>
          <w:sz w:val="32"/>
          <w:szCs w:val="32"/>
          <w:highlight w:val="none"/>
          <w:lang w:val="en-US" w:eastAsia="zh-CN" w:bidi="ar-SA"/>
        </w:rPr>
      </w:pPr>
    </w:p>
    <w:p w14:paraId="473F447F">
      <w:pPr>
        <w:pStyle w:val="3"/>
        <w:rPr>
          <w:rFonts w:hint="eastAsia" w:ascii="Times New Roman" w:hAnsi="Times New Roman"/>
          <w:lang w:val="en-US" w:eastAsia="zh-CN"/>
        </w:rPr>
      </w:pPr>
    </w:p>
    <w:p w14:paraId="7B2041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F029E8A">
      <w:pPr>
        <w:pStyle w:val="2"/>
        <w:rPr>
          <w:rFonts w:hint="eastAsia" w:ascii="Times New Roman" w:hAnsi="Times New Roman" w:eastAsia="仿宋_GB2312" w:cs="仿宋_GB2312"/>
          <w:color w:val="auto"/>
          <w:kern w:val="2"/>
          <w:sz w:val="32"/>
          <w:szCs w:val="32"/>
          <w:highlight w:val="none"/>
          <w:lang w:val="en-US" w:eastAsia="zh-CN" w:bidi="ar-SA"/>
        </w:rPr>
      </w:pPr>
    </w:p>
    <w:p w14:paraId="5645193D">
      <w:pPr>
        <w:pStyle w:val="3"/>
        <w:rPr>
          <w:rFonts w:hint="eastAsia" w:ascii="Times New Roman" w:hAnsi="Times New Roman" w:eastAsia="仿宋_GB2312" w:cs="仿宋_GB2312"/>
          <w:color w:val="auto"/>
          <w:kern w:val="2"/>
          <w:sz w:val="32"/>
          <w:szCs w:val="32"/>
          <w:highlight w:val="none"/>
          <w:lang w:val="en-US" w:eastAsia="zh-CN" w:bidi="ar-SA"/>
        </w:rPr>
      </w:pPr>
    </w:p>
    <w:p w14:paraId="091E52FC">
      <w:pPr>
        <w:rPr>
          <w:rFonts w:hint="eastAsia" w:ascii="Times New Roman" w:hAnsi="Times New Roman" w:eastAsia="仿宋_GB2312" w:cs="仿宋_GB2312"/>
          <w:color w:val="auto"/>
          <w:kern w:val="2"/>
          <w:sz w:val="32"/>
          <w:szCs w:val="32"/>
          <w:highlight w:val="none"/>
          <w:lang w:val="en-US" w:eastAsia="zh-CN" w:bidi="ar-SA"/>
        </w:rPr>
      </w:pPr>
    </w:p>
    <w:p w14:paraId="0F831C61">
      <w:pPr>
        <w:pStyle w:val="2"/>
        <w:rPr>
          <w:rFonts w:hint="eastAsia" w:ascii="Times New Roman" w:hAnsi="Times New Roman" w:eastAsia="仿宋_GB2312" w:cs="仿宋_GB2312"/>
          <w:color w:val="auto"/>
          <w:kern w:val="2"/>
          <w:sz w:val="32"/>
          <w:szCs w:val="32"/>
          <w:highlight w:val="none"/>
          <w:lang w:val="en-US" w:eastAsia="zh-CN" w:bidi="ar-SA"/>
        </w:rPr>
      </w:pPr>
    </w:p>
    <w:p w14:paraId="712A49B6">
      <w:pPr>
        <w:pStyle w:val="3"/>
        <w:rPr>
          <w:rFonts w:hint="eastAsia" w:ascii="Times New Roman" w:hAnsi="Times New Roman" w:eastAsia="仿宋_GB2312" w:cs="仿宋_GB2312"/>
          <w:color w:val="auto"/>
          <w:kern w:val="2"/>
          <w:sz w:val="32"/>
          <w:szCs w:val="32"/>
          <w:highlight w:val="none"/>
          <w:lang w:val="en-US" w:eastAsia="zh-CN" w:bidi="ar-SA"/>
        </w:rPr>
      </w:pPr>
    </w:p>
    <w:p w14:paraId="060B5041">
      <w:pPr>
        <w:rPr>
          <w:rFonts w:hint="eastAsia" w:ascii="Times New Roman" w:hAnsi="Times New Roman" w:eastAsia="仿宋_GB2312" w:cs="仿宋_GB2312"/>
          <w:color w:val="auto"/>
          <w:kern w:val="2"/>
          <w:sz w:val="32"/>
          <w:szCs w:val="32"/>
          <w:highlight w:val="none"/>
          <w:lang w:val="en-US" w:eastAsia="zh-CN" w:bidi="ar-SA"/>
        </w:rPr>
      </w:pPr>
    </w:p>
    <w:p w14:paraId="36397C54">
      <w:pPr>
        <w:pStyle w:val="2"/>
        <w:rPr>
          <w:rFonts w:hint="eastAsia" w:ascii="Times New Roman" w:hAnsi="Times New Roman" w:eastAsia="仿宋_GB2312" w:cs="仿宋_GB2312"/>
          <w:color w:val="auto"/>
          <w:kern w:val="2"/>
          <w:sz w:val="32"/>
          <w:szCs w:val="32"/>
          <w:highlight w:val="none"/>
          <w:lang w:val="en-US" w:eastAsia="zh-CN" w:bidi="ar-SA"/>
        </w:rPr>
      </w:pPr>
    </w:p>
    <w:p w14:paraId="262C8080">
      <w:pPr>
        <w:pStyle w:val="3"/>
        <w:rPr>
          <w:rFonts w:hint="eastAsia" w:ascii="Times New Roman" w:hAnsi="Times New Roman" w:eastAsia="仿宋_GB2312" w:cs="仿宋_GB2312"/>
          <w:color w:val="auto"/>
          <w:kern w:val="2"/>
          <w:sz w:val="32"/>
          <w:szCs w:val="32"/>
          <w:highlight w:val="none"/>
          <w:lang w:val="en-US" w:eastAsia="zh-CN" w:bidi="ar-SA"/>
        </w:rPr>
      </w:pPr>
    </w:p>
    <w:p w14:paraId="6FB3CFE0">
      <w:pPr>
        <w:rPr>
          <w:rFonts w:hint="eastAsia" w:ascii="Times New Roman" w:hAnsi="Times New Roman" w:eastAsia="仿宋_GB2312" w:cs="仿宋_GB2312"/>
          <w:color w:val="auto"/>
          <w:kern w:val="2"/>
          <w:sz w:val="32"/>
          <w:szCs w:val="32"/>
          <w:highlight w:val="none"/>
          <w:lang w:val="en-US" w:eastAsia="zh-CN" w:bidi="ar-SA"/>
        </w:rPr>
      </w:pPr>
    </w:p>
    <w:p w14:paraId="5FC819EB">
      <w:pPr>
        <w:pStyle w:val="2"/>
        <w:rPr>
          <w:rFonts w:hint="eastAsia" w:ascii="Times New Roman" w:hAnsi="Times New Roman" w:eastAsia="仿宋_GB2312" w:cs="仿宋_GB2312"/>
          <w:color w:val="auto"/>
          <w:kern w:val="2"/>
          <w:sz w:val="32"/>
          <w:szCs w:val="32"/>
          <w:highlight w:val="none"/>
          <w:lang w:val="en-US" w:eastAsia="zh-CN" w:bidi="ar-SA"/>
        </w:rPr>
      </w:pPr>
    </w:p>
    <w:p w14:paraId="5737876D">
      <w:pPr>
        <w:pStyle w:val="3"/>
        <w:rPr>
          <w:rFonts w:hint="eastAsia" w:ascii="Times New Roman" w:hAnsi="Times New Roman" w:eastAsia="仿宋_GB2312" w:cs="仿宋_GB2312"/>
          <w:color w:val="auto"/>
          <w:kern w:val="2"/>
          <w:sz w:val="32"/>
          <w:szCs w:val="32"/>
          <w:highlight w:val="none"/>
          <w:lang w:val="en-US" w:eastAsia="zh-CN" w:bidi="ar-SA"/>
        </w:rPr>
      </w:pPr>
    </w:p>
    <w:p w14:paraId="4B97D01D">
      <w:pPr>
        <w:pStyle w:val="2"/>
        <w:rPr>
          <w:rFonts w:hint="eastAsia" w:ascii="Times New Roman" w:hAnsi="Times New Roman"/>
          <w:lang w:val="en-US" w:eastAsia="zh-CN"/>
        </w:rPr>
      </w:pPr>
    </w:p>
    <w:p w14:paraId="48092841">
      <w:pPr>
        <w:pStyle w:val="3"/>
        <w:rPr>
          <w:rFonts w:hint="eastAsia" w:ascii="Times New Roman" w:hAnsi="Times New Roman"/>
          <w:lang w:val="en-US" w:eastAsia="zh-CN"/>
        </w:rPr>
      </w:pPr>
    </w:p>
    <w:p w14:paraId="1EB01D22">
      <w:pPr>
        <w:pStyle w:val="5"/>
        <w:keepNext/>
        <w:keepLines/>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43" w:name="_Toc15396613"/>
      <w:bookmarkStart w:id="44" w:name="_Toc15377225"/>
      <w:r>
        <w:rPr>
          <w:rFonts w:hint="eastAsia" w:ascii="Times New Roman" w:hAnsi="Times New Roman" w:eastAsia="方正黑体简体" w:cs="方正黑体简体"/>
          <w:b w:val="0"/>
          <w:bCs w:val="0"/>
          <w:color w:val="auto"/>
          <w:kern w:val="2"/>
          <w:sz w:val="44"/>
          <w:szCs w:val="44"/>
          <w:highlight w:val="none"/>
          <w:lang w:val="zh-CN" w:eastAsia="zh-CN" w:bidi="ar-SA"/>
        </w:rPr>
        <w:t>第三部分</w:t>
      </w:r>
      <w:r>
        <w:rPr>
          <w:rFonts w:hint="eastAsia" w:ascii="Times New Roman" w:hAnsi="Times New Roman" w:eastAsia="方正黑体简体" w:cs="方正黑体简体"/>
          <w:b w:val="0"/>
          <w:bCs w:val="0"/>
          <w:color w:val="auto"/>
          <w:kern w:val="2"/>
          <w:sz w:val="44"/>
          <w:szCs w:val="44"/>
          <w:highlight w:val="none"/>
          <w:lang w:val="en-US" w:eastAsia="zh-CN" w:bidi="ar-SA"/>
        </w:rPr>
        <w:t xml:space="preserve"> </w:t>
      </w:r>
      <w:r>
        <w:rPr>
          <w:rFonts w:hint="eastAsia" w:ascii="Times New Roman" w:hAnsi="Times New Roman" w:eastAsia="方正黑体简体" w:cs="方正黑体简体"/>
          <w:b w:val="0"/>
          <w:bCs w:val="0"/>
          <w:color w:val="auto"/>
          <w:kern w:val="2"/>
          <w:sz w:val="44"/>
          <w:szCs w:val="44"/>
          <w:highlight w:val="none"/>
          <w:lang w:val="zh-CN" w:eastAsia="zh-CN" w:bidi="ar-SA"/>
        </w:rPr>
        <w:t>名词解释</w:t>
      </w:r>
      <w:bookmarkEnd w:id="43"/>
      <w:bookmarkEnd w:id="44"/>
    </w:p>
    <w:p w14:paraId="424AD71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1.财政拨款收入：</w:t>
      </w:r>
      <w:r>
        <w:rPr>
          <w:rFonts w:hint="eastAsia" w:ascii="Times New Roman" w:hAnsi="Times New Roman" w:eastAsia="方正仿宋_GBK" w:cs="方正仿宋_GBK"/>
          <w:color w:val="auto"/>
          <w:kern w:val="2"/>
          <w:sz w:val="32"/>
          <w:szCs w:val="32"/>
          <w:highlight w:val="none"/>
          <w:lang w:val="en-US" w:eastAsia="zh-CN" w:bidi="ar-SA"/>
        </w:rPr>
        <w:t>指单位从同级财政部门取得的财政预算资金。</w:t>
      </w:r>
    </w:p>
    <w:p w14:paraId="6389B17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2.事业收入：</w:t>
      </w:r>
      <w:r>
        <w:rPr>
          <w:rFonts w:hint="eastAsia" w:ascii="Times New Roman" w:hAnsi="Times New Roman" w:eastAsia="方正仿宋_GBK" w:cs="方正仿宋_GBK"/>
          <w:color w:val="auto"/>
          <w:kern w:val="2"/>
          <w:sz w:val="32"/>
          <w:szCs w:val="32"/>
          <w:highlight w:val="none"/>
          <w:lang w:val="en-US" w:eastAsia="zh-CN" w:bidi="ar-SA"/>
        </w:rPr>
        <w:t>指事业单位开展专业业务活动及辅助活动取得的收入。</w:t>
      </w:r>
    </w:p>
    <w:p w14:paraId="5C1B6E7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3.经营收入：</w:t>
      </w:r>
      <w:r>
        <w:rPr>
          <w:rFonts w:hint="eastAsia" w:ascii="Times New Roman" w:hAnsi="Times New Roman" w:eastAsia="方正仿宋_GBK" w:cs="方正仿宋_GBK"/>
          <w:color w:val="auto"/>
          <w:kern w:val="2"/>
          <w:sz w:val="32"/>
          <w:szCs w:val="32"/>
          <w:highlight w:val="none"/>
          <w:lang w:val="en-US" w:eastAsia="zh-CN" w:bidi="ar-SA"/>
        </w:rPr>
        <w:t>指事业单位在专业业务活动及其辅助活动之外开展非独立核算经营活动取得的收入。</w:t>
      </w:r>
    </w:p>
    <w:p w14:paraId="416293A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4.其他收入：</w:t>
      </w:r>
      <w:r>
        <w:rPr>
          <w:rFonts w:hint="eastAsia" w:ascii="Times New Roman" w:hAnsi="Times New Roman" w:eastAsia="方正仿宋_GBK" w:cs="方正仿宋_GBK"/>
          <w:color w:val="auto"/>
          <w:kern w:val="2"/>
          <w:sz w:val="32"/>
          <w:szCs w:val="32"/>
          <w:highlight w:val="none"/>
          <w:lang w:val="en-US" w:eastAsia="zh-CN" w:bidi="ar-SA"/>
        </w:rPr>
        <w:t xml:space="preserve">指单位取得的除上述收入以外的各项收入。 </w:t>
      </w:r>
    </w:p>
    <w:p w14:paraId="3F8CF1E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5.使用非财政拨款结余（含专用结余）：</w:t>
      </w:r>
      <w:r>
        <w:rPr>
          <w:rFonts w:hint="eastAsia" w:ascii="Times New Roman" w:hAnsi="Times New Roman" w:eastAsia="方正仿宋_GBK" w:cs="方正仿宋_GBK"/>
          <w:color w:val="auto"/>
          <w:kern w:val="2"/>
          <w:sz w:val="32"/>
          <w:szCs w:val="32"/>
          <w:highlight w:val="none"/>
          <w:lang w:val="en-US" w:eastAsia="zh-CN" w:bidi="ar-SA"/>
        </w:rPr>
        <w:t xml:space="preserve">指事业单位使用以前年度积累的非财政拨款结余弥补当年收支差额的金额。 </w:t>
      </w:r>
    </w:p>
    <w:p w14:paraId="1D84D37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6.年初结转和结余：</w:t>
      </w:r>
      <w:r>
        <w:rPr>
          <w:rFonts w:hint="eastAsia" w:ascii="Times New Roman" w:hAnsi="Times New Roman" w:eastAsia="方正仿宋_GBK" w:cs="方正仿宋_GBK"/>
          <w:color w:val="auto"/>
          <w:kern w:val="2"/>
          <w:sz w:val="32"/>
          <w:szCs w:val="32"/>
          <w:highlight w:val="none"/>
          <w:lang w:val="en-US" w:eastAsia="zh-CN" w:bidi="ar-SA"/>
        </w:rPr>
        <w:t xml:space="preserve">指以前年度尚未完成、结转到本年按有关规定继续使用的资金。 </w:t>
      </w:r>
    </w:p>
    <w:p w14:paraId="13B5057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7.结余分配：</w:t>
      </w:r>
      <w:r>
        <w:rPr>
          <w:rFonts w:hint="eastAsia" w:ascii="Times New Roman" w:hAnsi="Times New Roman" w:eastAsia="方正仿宋_GBK" w:cs="方正仿宋_GBK"/>
          <w:color w:val="auto"/>
          <w:kern w:val="2"/>
          <w:sz w:val="32"/>
          <w:szCs w:val="32"/>
          <w:highlight w:val="none"/>
          <w:lang w:val="en-US" w:eastAsia="zh-CN" w:bidi="ar-SA"/>
        </w:rPr>
        <w:t>指事业单位按照会计制度规定缴纳的所得税、提取的专用结余以及转入非财政拨款结余的金额等。</w:t>
      </w:r>
    </w:p>
    <w:p w14:paraId="1F5E304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8.年末结转和结余：</w:t>
      </w:r>
      <w:r>
        <w:rPr>
          <w:rFonts w:hint="eastAsia" w:ascii="Times New Roman" w:hAnsi="Times New Roman" w:eastAsia="方正仿宋_GBK" w:cs="方正仿宋_GBK"/>
          <w:color w:val="auto"/>
          <w:kern w:val="2"/>
          <w:sz w:val="32"/>
          <w:szCs w:val="32"/>
          <w:highlight w:val="none"/>
          <w:lang w:val="en-US" w:eastAsia="zh-CN" w:bidi="ar-SA"/>
        </w:rPr>
        <w:t>指单位按有关规定结转到下年或以后年度继续使用的资金。</w:t>
      </w:r>
    </w:p>
    <w:p w14:paraId="6F98E62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9.一般公共服务（201）纪检监察事务（11）事业运行（50）：</w:t>
      </w:r>
      <w:r>
        <w:rPr>
          <w:rFonts w:hint="eastAsia" w:ascii="Times New Roman" w:hAnsi="Times New Roman" w:eastAsia="方正仿宋_GBK" w:cs="方正仿宋_GBK"/>
          <w:color w:val="auto"/>
          <w:kern w:val="2"/>
          <w:sz w:val="32"/>
          <w:szCs w:val="32"/>
          <w:highlight w:val="none"/>
          <w:lang w:val="en-US" w:eastAsia="zh-CN" w:bidi="ar-SA"/>
        </w:rPr>
        <w:t>反映行政单位（包括实行公务员管理的事业单位）的基本支出</w:t>
      </w:r>
    </w:p>
    <w:p w14:paraId="56FB63C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10.社会保障和就业（208）行政事业单位养老支出（05）机关事业单位基本养老保险缴费支出（05）：</w:t>
      </w:r>
      <w:r>
        <w:rPr>
          <w:rFonts w:hint="eastAsia" w:ascii="Times New Roman" w:hAnsi="Times New Roman" w:eastAsia="方正仿宋_GBK" w:cs="方正仿宋_GBK"/>
          <w:color w:val="auto"/>
          <w:kern w:val="2"/>
          <w:sz w:val="32"/>
          <w:szCs w:val="32"/>
          <w:highlight w:val="none"/>
          <w:lang w:val="en-US" w:eastAsia="zh-CN" w:bidi="ar-SA"/>
        </w:rPr>
        <w:t>反映机关事业单位实施养老保险制度由单位缴纳的基本养老保险费支出。</w:t>
      </w:r>
    </w:p>
    <w:p w14:paraId="4C002D3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11.卫生健康（210）行政事业单位医疗（11）事业单位医疗（02）：</w:t>
      </w:r>
      <w:r>
        <w:rPr>
          <w:rFonts w:hint="eastAsia" w:ascii="Times New Roman" w:hAnsi="Times New Roman" w:eastAsia="方正仿宋_GBK" w:cs="方正仿宋_GBK"/>
          <w:color w:val="auto"/>
          <w:kern w:val="2"/>
          <w:sz w:val="32"/>
          <w:szCs w:val="32"/>
          <w:highlight w:val="none"/>
          <w:lang w:val="en-US" w:eastAsia="zh-CN" w:bidi="ar-SA"/>
        </w:rPr>
        <w:t>反映财政部门安排的行政单位基本医疗保险缴费经费。</w:t>
      </w:r>
    </w:p>
    <w:p w14:paraId="3FC9BC8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12.住房保障（221）住房改革（02）住房公积金（01）：</w:t>
      </w:r>
      <w:r>
        <w:rPr>
          <w:rFonts w:hint="eastAsia" w:ascii="Times New Roman" w:hAnsi="Times New Roman" w:eastAsia="方正仿宋_GBK" w:cs="方正仿宋_GBK"/>
          <w:color w:val="auto"/>
          <w:kern w:val="2"/>
          <w:sz w:val="32"/>
          <w:szCs w:val="32"/>
          <w:highlight w:val="none"/>
          <w:lang w:val="en-US" w:eastAsia="zh-CN" w:bidi="ar-SA"/>
        </w:rPr>
        <w:t>反映行政事业单位按人力资源和社会保障部、财政部规定的基本工资和津贴补贴以及规定比例为职工缴纳的住房公积金。</w:t>
      </w:r>
    </w:p>
    <w:p w14:paraId="2D1E165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13.基本支出：</w:t>
      </w:r>
      <w:r>
        <w:rPr>
          <w:rFonts w:hint="eastAsia" w:ascii="Times New Roman" w:hAnsi="Times New Roman" w:eastAsia="方正仿宋_GBK" w:cs="方正仿宋_GBK"/>
          <w:color w:val="auto"/>
          <w:kern w:val="2"/>
          <w:sz w:val="32"/>
          <w:szCs w:val="32"/>
          <w:highlight w:val="none"/>
          <w:lang w:val="en-US" w:eastAsia="zh-CN" w:bidi="ar-SA"/>
        </w:rPr>
        <w:t>指为保障机构正常运转、完成日常工作任务而发生的人员支出和公用支出。</w:t>
      </w:r>
    </w:p>
    <w:p w14:paraId="7AFD0E1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14.“三公”经费：</w:t>
      </w:r>
      <w:r>
        <w:rPr>
          <w:rFonts w:hint="eastAsia" w:ascii="Times New Roman" w:hAnsi="Times New Roman" w:eastAsia="方正仿宋_GBK" w:cs="方正仿宋_GBK"/>
          <w:color w:val="auto"/>
          <w:kern w:val="2"/>
          <w:sz w:val="32"/>
          <w:szCs w:val="32"/>
          <w:highlight w:val="none"/>
          <w:lang w:val="en-US" w:eastAsia="zh-CN" w:bidi="ar-SA"/>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F5E267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15.机关运行经费：</w:t>
      </w:r>
      <w:r>
        <w:rPr>
          <w:rFonts w:hint="eastAsia" w:ascii="Times New Roman" w:hAnsi="Times New Roman" w:eastAsia="方正仿宋_GBK" w:cs="方正仿宋_GBK"/>
          <w:color w:val="auto"/>
          <w:kern w:val="2"/>
          <w:sz w:val="32"/>
          <w:szCs w:val="32"/>
          <w:highlight w:val="none"/>
          <w:lang w:val="en-US" w:eastAsia="zh-CN" w:bidi="ar-SA"/>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45" w:name="_Toc15377226"/>
      <w:bookmarkStart w:id="46" w:name="_Toc15396618"/>
    </w:p>
    <w:p w14:paraId="599C90C8">
      <w:pPr>
        <w:pStyle w:val="2"/>
        <w:rPr>
          <w:rFonts w:hint="eastAsia" w:ascii="Times New Roman" w:hAnsi="Times New Roman" w:eastAsia="仿宋" w:cs="仿宋"/>
          <w:color w:val="auto"/>
          <w:kern w:val="2"/>
          <w:sz w:val="32"/>
          <w:szCs w:val="32"/>
          <w:highlight w:val="none"/>
          <w:lang w:val="en-US" w:eastAsia="zh-CN" w:bidi="ar-SA"/>
        </w:rPr>
      </w:pPr>
    </w:p>
    <w:p w14:paraId="26458829">
      <w:pPr>
        <w:pStyle w:val="2"/>
        <w:rPr>
          <w:rFonts w:hint="eastAsia" w:ascii="Times New Roman" w:hAnsi="Times New Roman"/>
        </w:rPr>
      </w:pPr>
    </w:p>
    <w:p w14:paraId="49CA0473">
      <w:pPr>
        <w:pStyle w:val="3"/>
        <w:rPr>
          <w:rFonts w:hint="eastAsia" w:ascii="Times New Roman" w:hAnsi="Times New Roman"/>
        </w:rPr>
      </w:pPr>
    </w:p>
    <w:p w14:paraId="75DD8CF3">
      <w:pPr>
        <w:pStyle w:val="5"/>
        <w:keepNext/>
        <w:keepLines/>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方正黑体简体" w:cs="方正黑体简体"/>
          <w:b w:val="0"/>
          <w:bCs w:val="0"/>
          <w:color w:val="auto"/>
          <w:kern w:val="2"/>
          <w:sz w:val="44"/>
          <w:szCs w:val="44"/>
          <w:highlight w:val="none"/>
          <w:lang w:val="zh-CN" w:eastAsia="zh-CN" w:bidi="ar-SA"/>
        </w:rPr>
        <w:t>第四部分 附表</w:t>
      </w:r>
      <w:bookmarkEnd w:id="45"/>
      <w:bookmarkEnd w:id="46"/>
      <w:bookmarkStart w:id="47" w:name="_Toc15396619"/>
    </w:p>
    <w:p w14:paraId="643DC99C">
      <w:pPr>
        <w:keepNext w:val="0"/>
        <w:keepLines w:val="0"/>
        <w:pageBreakBefore w:val="0"/>
        <w:widowControl w:val="0"/>
        <w:kinsoku/>
        <w:wordWrap/>
        <w:overflowPunct/>
        <w:topLinePunct w:val="0"/>
        <w:autoSpaceDE/>
        <w:autoSpaceDN/>
        <w:bidi w:val="0"/>
        <w:adjustRightInd/>
        <w:snapToGrid/>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一、收入支出决算总表</w:t>
      </w:r>
      <w:bookmarkEnd w:id="47"/>
    </w:p>
    <w:p w14:paraId="323EF28C">
      <w:pPr>
        <w:keepNext w:val="0"/>
        <w:keepLines w:val="0"/>
        <w:pageBreakBefore w:val="0"/>
        <w:widowControl w:val="0"/>
        <w:kinsoku/>
        <w:wordWrap/>
        <w:overflowPunct/>
        <w:topLinePunct w:val="0"/>
        <w:autoSpaceDE/>
        <w:autoSpaceDN/>
        <w:bidi w:val="0"/>
        <w:adjustRightInd/>
        <w:snapToGrid/>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48" w:name="_Toc15396620"/>
      <w:r>
        <w:rPr>
          <w:rFonts w:hint="eastAsia" w:ascii="Times New Roman" w:hAnsi="Times New Roman" w:eastAsia="方正仿宋_GBK" w:cs="方正仿宋_GBK"/>
          <w:color w:val="auto"/>
          <w:kern w:val="2"/>
          <w:sz w:val="32"/>
          <w:szCs w:val="32"/>
          <w:highlight w:val="none"/>
          <w:lang w:val="en-US" w:eastAsia="zh-CN" w:bidi="ar-SA"/>
        </w:rPr>
        <w:t>二、收入决算表</w:t>
      </w:r>
      <w:bookmarkEnd w:id="48"/>
    </w:p>
    <w:p w14:paraId="54880E6B">
      <w:pPr>
        <w:keepNext w:val="0"/>
        <w:keepLines w:val="0"/>
        <w:pageBreakBefore w:val="0"/>
        <w:widowControl w:val="0"/>
        <w:kinsoku/>
        <w:wordWrap/>
        <w:overflowPunct/>
        <w:topLinePunct w:val="0"/>
        <w:autoSpaceDE/>
        <w:autoSpaceDN/>
        <w:bidi w:val="0"/>
        <w:adjustRightInd/>
        <w:snapToGrid/>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49" w:name="_Toc15396621"/>
      <w:r>
        <w:rPr>
          <w:rFonts w:hint="eastAsia" w:ascii="Times New Roman" w:hAnsi="Times New Roman" w:eastAsia="方正仿宋_GBK" w:cs="方正仿宋_GBK"/>
          <w:color w:val="auto"/>
          <w:kern w:val="2"/>
          <w:sz w:val="32"/>
          <w:szCs w:val="32"/>
          <w:highlight w:val="none"/>
          <w:lang w:val="en-US" w:eastAsia="zh-CN" w:bidi="ar-SA"/>
        </w:rPr>
        <w:t>三、支出决算表</w:t>
      </w:r>
      <w:bookmarkEnd w:id="49"/>
    </w:p>
    <w:p w14:paraId="11BD69EB">
      <w:pPr>
        <w:keepNext w:val="0"/>
        <w:keepLines w:val="0"/>
        <w:pageBreakBefore w:val="0"/>
        <w:widowControl w:val="0"/>
        <w:kinsoku/>
        <w:wordWrap/>
        <w:overflowPunct/>
        <w:topLinePunct w:val="0"/>
        <w:autoSpaceDE/>
        <w:autoSpaceDN/>
        <w:bidi w:val="0"/>
        <w:adjustRightInd/>
        <w:snapToGrid/>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0" w:name="_Toc15396622"/>
      <w:r>
        <w:rPr>
          <w:rFonts w:hint="eastAsia" w:ascii="Times New Roman" w:hAnsi="Times New Roman" w:eastAsia="方正仿宋_GBK" w:cs="方正仿宋_GBK"/>
          <w:color w:val="auto"/>
          <w:kern w:val="2"/>
          <w:sz w:val="32"/>
          <w:szCs w:val="32"/>
          <w:highlight w:val="none"/>
          <w:lang w:val="en-US" w:eastAsia="zh-CN" w:bidi="ar-SA"/>
        </w:rPr>
        <w:t>四、财政拨款收入支出决算总表</w:t>
      </w:r>
      <w:bookmarkEnd w:id="50"/>
    </w:p>
    <w:p w14:paraId="0B313FBA">
      <w:pPr>
        <w:keepNext w:val="0"/>
        <w:keepLines w:val="0"/>
        <w:pageBreakBefore w:val="0"/>
        <w:widowControl w:val="0"/>
        <w:kinsoku/>
        <w:wordWrap/>
        <w:overflowPunct/>
        <w:topLinePunct w:val="0"/>
        <w:autoSpaceDE/>
        <w:autoSpaceDN/>
        <w:bidi w:val="0"/>
        <w:adjustRightInd/>
        <w:snapToGrid/>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1" w:name="_Toc15396623"/>
      <w:r>
        <w:rPr>
          <w:rFonts w:hint="eastAsia" w:ascii="Times New Roman" w:hAnsi="Times New Roman" w:eastAsia="方正仿宋_GBK" w:cs="方正仿宋_GBK"/>
          <w:color w:val="auto"/>
          <w:kern w:val="2"/>
          <w:sz w:val="32"/>
          <w:szCs w:val="32"/>
          <w:highlight w:val="none"/>
          <w:lang w:val="en-US" w:eastAsia="zh-CN" w:bidi="ar-SA"/>
        </w:rPr>
        <w:t>五、财政拨款支出决算明细表</w:t>
      </w:r>
      <w:bookmarkEnd w:id="51"/>
      <w:bookmarkStart w:id="52" w:name="_Toc15396624"/>
    </w:p>
    <w:p w14:paraId="654867BF">
      <w:pPr>
        <w:keepNext w:val="0"/>
        <w:keepLines w:val="0"/>
        <w:pageBreakBefore w:val="0"/>
        <w:widowControl w:val="0"/>
        <w:kinsoku/>
        <w:wordWrap/>
        <w:overflowPunct/>
        <w:topLinePunct w:val="0"/>
        <w:autoSpaceDE/>
        <w:autoSpaceDN/>
        <w:bidi w:val="0"/>
        <w:adjustRightInd/>
        <w:snapToGrid/>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六、一般公共预算财政拨款支出决算表</w:t>
      </w:r>
      <w:bookmarkEnd w:id="52"/>
    </w:p>
    <w:p w14:paraId="388DDA6F">
      <w:pPr>
        <w:keepNext w:val="0"/>
        <w:keepLines w:val="0"/>
        <w:pageBreakBefore w:val="0"/>
        <w:widowControl w:val="0"/>
        <w:kinsoku/>
        <w:wordWrap/>
        <w:overflowPunct/>
        <w:topLinePunct w:val="0"/>
        <w:autoSpaceDE/>
        <w:autoSpaceDN/>
        <w:bidi w:val="0"/>
        <w:adjustRightInd/>
        <w:snapToGrid/>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3" w:name="_Toc15396625"/>
      <w:r>
        <w:rPr>
          <w:rFonts w:hint="eastAsia" w:ascii="Times New Roman" w:hAnsi="Times New Roman" w:eastAsia="方正仿宋_GBK" w:cs="方正仿宋_GBK"/>
          <w:color w:val="auto"/>
          <w:kern w:val="2"/>
          <w:sz w:val="32"/>
          <w:szCs w:val="32"/>
          <w:highlight w:val="none"/>
          <w:lang w:val="en-US" w:eastAsia="zh-CN" w:bidi="ar-SA"/>
        </w:rPr>
        <w:t>七、一般公共预算财政拨款支出决算明细表</w:t>
      </w:r>
      <w:bookmarkEnd w:id="53"/>
    </w:p>
    <w:p w14:paraId="3495D926">
      <w:pPr>
        <w:keepNext w:val="0"/>
        <w:keepLines w:val="0"/>
        <w:pageBreakBefore w:val="0"/>
        <w:widowControl w:val="0"/>
        <w:kinsoku/>
        <w:wordWrap/>
        <w:overflowPunct/>
        <w:topLinePunct w:val="0"/>
        <w:autoSpaceDE/>
        <w:autoSpaceDN/>
        <w:bidi w:val="0"/>
        <w:adjustRightInd/>
        <w:snapToGrid/>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4" w:name="_Toc15396626"/>
      <w:r>
        <w:rPr>
          <w:rFonts w:hint="eastAsia" w:ascii="Times New Roman" w:hAnsi="Times New Roman" w:eastAsia="方正仿宋_GBK" w:cs="方正仿宋_GBK"/>
          <w:color w:val="auto"/>
          <w:kern w:val="2"/>
          <w:sz w:val="32"/>
          <w:szCs w:val="32"/>
          <w:highlight w:val="none"/>
          <w:lang w:val="en-US" w:eastAsia="zh-CN" w:bidi="ar-SA"/>
        </w:rPr>
        <w:t>八、一般公共预算财政拨款基本支出决算表</w:t>
      </w:r>
      <w:bookmarkEnd w:id="54"/>
    </w:p>
    <w:p w14:paraId="5CBB831B">
      <w:pPr>
        <w:keepNext w:val="0"/>
        <w:keepLines w:val="0"/>
        <w:pageBreakBefore w:val="0"/>
        <w:widowControl w:val="0"/>
        <w:kinsoku/>
        <w:wordWrap/>
        <w:overflowPunct/>
        <w:topLinePunct w:val="0"/>
        <w:autoSpaceDE/>
        <w:autoSpaceDN/>
        <w:bidi w:val="0"/>
        <w:adjustRightInd/>
        <w:snapToGrid/>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5" w:name="_Toc15396627"/>
      <w:r>
        <w:rPr>
          <w:rFonts w:hint="eastAsia" w:ascii="Times New Roman" w:hAnsi="Times New Roman" w:eastAsia="方正仿宋_GBK" w:cs="方正仿宋_GBK"/>
          <w:color w:val="auto"/>
          <w:kern w:val="2"/>
          <w:sz w:val="32"/>
          <w:szCs w:val="32"/>
          <w:highlight w:val="none"/>
          <w:lang w:val="en-US" w:eastAsia="zh-CN" w:bidi="ar-SA"/>
        </w:rPr>
        <w:t>九、一般公共预算财政拨款项目支出决算表</w:t>
      </w:r>
      <w:bookmarkEnd w:id="55"/>
    </w:p>
    <w:p w14:paraId="018E6C35">
      <w:pPr>
        <w:keepNext w:val="0"/>
        <w:keepLines w:val="0"/>
        <w:pageBreakBefore w:val="0"/>
        <w:widowControl w:val="0"/>
        <w:kinsoku/>
        <w:wordWrap/>
        <w:overflowPunct/>
        <w:topLinePunct w:val="0"/>
        <w:autoSpaceDE/>
        <w:autoSpaceDN/>
        <w:bidi w:val="0"/>
        <w:adjustRightInd/>
        <w:snapToGrid/>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6" w:name="_Toc15396628"/>
      <w:r>
        <w:rPr>
          <w:rFonts w:hint="eastAsia" w:ascii="Times New Roman" w:hAnsi="Times New Roman" w:eastAsia="方正仿宋_GBK" w:cs="方正仿宋_GBK"/>
          <w:color w:val="auto"/>
          <w:kern w:val="2"/>
          <w:sz w:val="32"/>
          <w:szCs w:val="32"/>
          <w:highlight w:val="none"/>
          <w:lang w:val="en-US" w:eastAsia="zh-CN" w:bidi="ar-SA"/>
        </w:rPr>
        <w:t>十、</w:t>
      </w:r>
      <w:bookmarkEnd w:id="56"/>
      <w:r>
        <w:rPr>
          <w:rFonts w:hint="eastAsia" w:ascii="Times New Roman" w:hAnsi="Times New Roman" w:eastAsia="方正仿宋_GBK" w:cs="方正仿宋_GBK"/>
          <w:color w:val="auto"/>
          <w:kern w:val="2"/>
          <w:sz w:val="32"/>
          <w:szCs w:val="32"/>
          <w:highlight w:val="none"/>
          <w:lang w:val="en-US" w:eastAsia="zh-CN" w:bidi="ar-SA"/>
        </w:rPr>
        <w:t>政府性基金预算财政拨款收入支出决算表</w:t>
      </w:r>
    </w:p>
    <w:p w14:paraId="110B53E2">
      <w:pPr>
        <w:keepNext w:val="0"/>
        <w:keepLines w:val="0"/>
        <w:pageBreakBefore w:val="0"/>
        <w:widowControl w:val="0"/>
        <w:kinsoku/>
        <w:wordWrap/>
        <w:overflowPunct/>
        <w:topLinePunct w:val="0"/>
        <w:autoSpaceDE/>
        <w:autoSpaceDN/>
        <w:bidi w:val="0"/>
        <w:adjustRightInd/>
        <w:snapToGrid/>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7" w:name="_Toc15396629"/>
      <w:r>
        <w:rPr>
          <w:rFonts w:hint="eastAsia" w:ascii="Times New Roman" w:hAnsi="Times New Roman" w:eastAsia="方正仿宋_GBK" w:cs="方正仿宋_GBK"/>
          <w:color w:val="auto"/>
          <w:kern w:val="2"/>
          <w:sz w:val="32"/>
          <w:szCs w:val="32"/>
          <w:highlight w:val="none"/>
          <w:lang w:val="en-US" w:eastAsia="zh-CN" w:bidi="ar-SA"/>
        </w:rPr>
        <w:t>十一、</w:t>
      </w:r>
      <w:bookmarkEnd w:id="57"/>
      <w:r>
        <w:rPr>
          <w:rFonts w:hint="eastAsia" w:ascii="Times New Roman" w:hAnsi="Times New Roman" w:eastAsia="方正仿宋_GBK" w:cs="方正仿宋_GBK"/>
          <w:color w:val="auto"/>
          <w:kern w:val="2"/>
          <w:sz w:val="32"/>
          <w:szCs w:val="32"/>
          <w:highlight w:val="none"/>
          <w:lang w:val="en-US" w:eastAsia="zh-CN" w:bidi="ar-SA"/>
        </w:rPr>
        <w:t>国有资本经营预算财政拨款收入支出决算表</w:t>
      </w:r>
    </w:p>
    <w:p w14:paraId="2E1EADAB">
      <w:pPr>
        <w:keepNext w:val="0"/>
        <w:keepLines w:val="0"/>
        <w:pageBreakBefore w:val="0"/>
        <w:widowControl w:val="0"/>
        <w:kinsoku/>
        <w:wordWrap/>
        <w:overflowPunct/>
        <w:topLinePunct w:val="0"/>
        <w:autoSpaceDE/>
        <w:autoSpaceDN/>
        <w:bidi w:val="0"/>
        <w:adjustRightInd/>
        <w:snapToGrid/>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8" w:name="_Toc15396630"/>
      <w:r>
        <w:rPr>
          <w:rFonts w:hint="eastAsia" w:ascii="Times New Roman" w:hAnsi="Times New Roman" w:eastAsia="方正仿宋_GBK" w:cs="方正仿宋_GBK"/>
          <w:color w:val="auto"/>
          <w:kern w:val="2"/>
          <w:sz w:val="32"/>
          <w:szCs w:val="32"/>
          <w:highlight w:val="none"/>
          <w:lang w:val="en-US" w:eastAsia="zh-CN" w:bidi="ar-SA"/>
        </w:rPr>
        <w:t>十二、</w:t>
      </w:r>
      <w:bookmarkEnd w:id="58"/>
      <w:r>
        <w:rPr>
          <w:rFonts w:hint="eastAsia" w:ascii="Times New Roman" w:hAnsi="Times New Roman" w:eastAsia="方正仿宋_GBK" w:cs="方正仿宋_GBK"/>
          <w:color w:val="auto"/>
          <w:kern w:val="2"/>
          <w:sz w:val="32"/>
          <w:szCs w:val="32"/>
          <w:highlight w:val="none"/>
          <w:lang w:val="en-US" w:eastAsia="zh-CN" w:bidi="ar-SA"/>
        </w:rPr>
        <w:t>国有资本经营预算财政拨款支出决算表</w:t>
      </w:r>
    </w:p>
    <w:p w14:paraId="41D0D8A6">
      <w:pPr>
        <w:keepNext w:val="0"/>
        <w:keepLines w:val="0"/>
        <w:pageBreakBefore w:val="0"/>
        <w:widowControl w:val="0"/>
        <w:kinsoku/>
        <w:wordWrap/>
        <w:overflowPunct/>
        <w:topLinePunct w:val="0"/>
        <w:autoSpaceDE/>
        <w:autoSpaceDN/>
        <w:bidi w:val="0"/>
        <w:adjustRightInd/>
        <w:snapToGrid/>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9" w:name="_Toc15396631"/>
      <w:r>
        <w:rPr>
          <w:rFonts w:hint="eastAsia" w:ascii="Times New Roman" w:hAnsi="Times New Roman" w:eastAsia="方正仿宋_GBK" w:cs="方正仿宋_GBK"/>
          <w:color w:val="auto"/>
          <w:kern w:val="2"/>
          <w:sz w:val="32"/>
          <w:szCs w:val="32"/>
          <w:highlight w:val="none"/>
          <w:lang w:val="en-US" w:eastAsia="zh-CN" w:bidi="ar-SA"/>
        </w:rPr>
        <w:t>十三、</w:t>
      </w:r>
      <w:bookmarkEnd w:id="59"/>
      <w:r>
        <w:rPr>
          <w:rFonts w:hint="eastAsia" w:ascii="Times New Roman" w:hAnsi="Times New Roman" w:eastAsia="方正仿宋_GBK" w:cs="方正仿宋_GBK"/>
          <w:color w:val="auto"/>
          <w:kern w:val="2"/>
          <w:sz w:val="32"/>
          <w:szCs w:val="32"/>
          <w:highlight w:val="none"/>
          <w:lang w:val="en-US" w:eastAsia="zh-CN" w:bidi="ar-SA"/>
        </w:rPr>
        <w:t>财政拨款“三公”经费支出决算表</w:t>
      </w:r>
    </w:p>
    <w:p w14:paraId="2568D278">
      <w:pPr>
        <w:keepNext w:val="0"/>
        <w:keepLines w:val="0"/>
        <w:pageBreakBefore w:val="0"/>
        <w:widowControl w:val="0"/>
        <w:kinsoku/>
        <w:wordWrap/>
        <w:overflowPunct/>
        <w:topLinePunct w:val="0"/>
        <w:autoSpaceDE/>
        <w:autoSpaceDN/>
        <w:bidi w:val="0"/>
        <w:adjustRightInd/>
        <w:snapToGrid/>
        <w:spacing w:line="576" w:lineRule="exact"/>
        <w:ind w:firstLine="0" w:firstLineChars="0"/>
        <w:textAlignment w:val="auto"/>
        <w:outlineLvl w:val="2"/>
        <w:rPr>
          <w:rFonts w:hint="eastAsia" w:ascii="Times New Roman" w:hAnsi="Times New Roman" w:eastAsia="方正仿宋_GBK" w:cs="方正仿宋_GBK"/>
          <w:color w:val="auto"/>
          <w:kern w:val="2"/>
          <w:sz w:val="32"/>
          <w:szCs w:val="32"/>
          <w:highlight w:val="none"/>
          <w:lang w:val="en-US" w:eastAsia="zh-CN" w:bidi="ar-SA"/>
        </w:rPr>
      </w:pPr>
    </w:p>
    <w:sectPr>
      <w:footerReference r:id="rId9" w:type="default"/>
      <w:pgSz w:w="11906" w:h="16838"/>
      <w:pgMar w:top="2098" w:right="1474" w:bottom="1984" w:left="1587" w:header="851" w:footer="992" w:gutter="0"/>
      <w:pgNumType w:fmt="decimal" w:start="1"/>
      <w:cols w:space="0" w:num="1"/>
      <w:rtlGutter w:val="0"/>
      <w:docGrid w:type="linesAndChars" w:linePitch="318" w:charSpace="12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8C2C3">
    <w:pPr>
      <w:pStyle w:val="11"/>
      <w:jc w:val="center"/>
    </w:pPr>
  </w:p>
  <w:p w14:paraId="1D632D6E">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368DA">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72BFA">
    <w:pPr>
      <w:pStyle w:val="11"/>
      <w:jc w:val="center"/>
    </w:pPr>
  </w:p>
  <w:p w14:paraId="45A85DD8">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6D91B">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AB2B76">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6AB2B76">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87DDD">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D767B2">
                          <w:pPr>
                            <w:pStyle w:val="11"/>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D767B2">
                    <w:pPr>
                      <w:pStyle w:val="11"/>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v:textbox>
            </v:shape>
          </w:pict>
        </mc:Fallback>
      </mc:AlternateContent>
    </w:r>
  </w:p>
  <w:p w14:paraId="6005B595">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C785D">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1B664">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2"/>
  <w:drawingGridHorizontalSpacing w:val="105"/>
  <w:drawingGridVerticalSpacing w:val="159"/>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2OTQxMmZlZGRkMTJlOTY0NDA4YjNiNGE2ZjBiNm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0C87"/>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D2227"/>
    <w:rsid w:val="015975B8"/>
    <w:rsid w:val="01E008B7"/>
    <w:rsid w:val="02317B1B"/>
    <w:rsid w:val="02FEBE30"/>
    <w:rsid w:val="037B54CB"/>
    <w:rsid w:val="039B3DC0"/>
    <w:rsid w:val="05BD626F"/>
    <w:rsid w:val="061E35DE"/>
    <w:rsid w:val="065F7326"/>
    <w:rsid w:val="066E0107"/>
    <w:rsid w:val="06AE5BB8"/>
    <w:rsid w:val="06F3181D"/>
    <w:rsid w:val="07996F6E"/>
    <w:rsid w:val="07DFD8BA"/>
    <w:rsid w:val="08DB07E4"/>
    <w:rsid w:val="08FC0E5C"/>
    <w:rsid w:val="09014181"/>
    <w:rsid w:val="09867E8F"/>
    <w:rsid w:val="0A2032A3"/>
    <w:rsid w:val="0C000C64"/>
    <w:rsid w:val="0C6C4794"/>
    <w:rsid w:val="0C917B0E"/>
    <w:rsid w:val="0CA8290A"/>
    <w:rsid w:val="0D35B1ED"/>
    <w:rsid w:val="0DE07E2B"/>
    <w:rsid w:val="0E8C34CC"/>
    <w:rsid w:val="0F4F33ED"/>
    <w:rsid w:val="0F98263C"/>
    <w:rsid w:val="0FCB3337"/>
    <w:rsid w:val="101860EC"/>
    <w:rsid w:val="10B4026F"/>
    <w:rsid w:val="10C055FF"/>
    <w:rsid w:val="11772AA4"/>
    <w:rsid w:val="118107EC"/>
    <w:rsid w:val="11D02040"/>
    <w:rsid w:val="12805166"/>
    <w:rsid w:val="13A46379"/>
    <w:rsid w:val="13D50BC4"/>
    <w:rsid w:val="14022904"/>
    <w:rsid w:val="144E09DA"/>
    <w:rsid w:val="152F2A07"/>
    <w:rsid w:val="154D0C92"/>
    <w:rsid w:val="15A5287C"/>
    <w:rsid w:val="165756FD"/>
    <w:rsid w:val="165878EE"/>
    <w:rsid w:val="165E0673"/>
    <w:rsid w:val="1686445B"/>
    <w:rsid w:val="16BB723D"/>
    <w:rsid w:val="17005FBC"/>
    <w:rsid w:val="17793CEF"/>
    <w:rsid w:val="183F01B3"/>
    <w:rsid w:val="186504BB"/>
    <w:rsid w:val="18773E72"/>
    <w:rsid w:val="18787ADF"/>
    <w:rsid w:val="19202945"/>
    <w:rsid w:val="1938089F"/>
    <w:rsid w:val="19540841"/>
    <w:rsid w:val="19A445FC"/>
    <w:rsid w:val="19B72B7E"/>
    <w:rsid w:val="19CC9D5C"/>
    <w:rsid w:val="1B55264E"/>
    <w:rsid w:val="1B7D550C"/>
    <w:rsid w:val="1B7F8269"/>
    <w:rsid w:val="1B8A679C"/>
    <w:rsid w:val="1BE8440E"/>
    <w:rsid w:val="1C8256C5"/>
    <w:rsid w:val="1D155CEE"/>
    <w:rsid w:val="1DE80EDE"/>
    <w:rsid w:val="1E1B7B7F"/>
    <w:rsid w:val="1E4C7D38"/>
    <w:rsid w:val="1E740ACF"/>
    <w:rsid w:val="1EB4768C"/>
    <w:rsid w:val="1EED6B14"/>
    <w:rsid w:val="1F20049C"/>
    <w:rsid w:val="1F422B11"/>
    <w:rsid w:val="1F58270D"/>
    <w:rsid w:val="1F62156A"/>
    <w:rsid w:val="1FF35744"/>
    <w:rsid w:val="1FF6BC77"/>
    <w:rsid w:val="1FFF1F23"/>
    <w:rsid w:val="1FFF7925"/>
    <w:rsid w:val="215C64E4"/>
    <w:rsid w:val="21962A9E"/>
    <w:rsid w:val="21AE7C77"/>
    <w:rsid w:val="21CD1190"/>
    <w:rsid w:val="21F91F85"/>
    <w:rsid w:val="22A7378F"/>
    <w:rsid w:val="22BC3C41"/>
    <w:rsid w:val="23860B96"/>
    <w:rsid w:val="240371BF"/>
    <w:rsid w:val="24F86524"/>
    <w:rsid w:val="260F557C"/>
    <w:rsid w:val="26747E2C"/>
    <w:rsid w:val="26F7E105"/>
    <w:rsid w:val="272E475D"/>
    <w:rsid w:val="277A5916"/>
    <w:rsid w:val="27AABB22"/>
    <w:rsid w:val="281408E2"/>
    <w:rsid w:val="287F0356"/>
    <w:rsid w:val="294B3348"/>
    <w:rsid w:val="29DF6996"/>
    <w:rsid w:val="29FD04D3"/>
    <w:rsid w:val="2BD80E5D"/>
    <w:rsid w:val="2BFF7BC6"/>
    <w:rsid w:val="2C8A61B5"/>
    <w:rsid w:val="2D2B1461"/>
    <w:rsid w:val="2D2E01CF"/>
    <w:rsid w:val="2DF04E50"/>
    <w:rsid w:val="2E7503D3"/>
    <w:rsid w:val="2E9545B0"/>
    <w:rsid w:val="2F040D46"/>
    <w:rsid w:val="2FAE5751"/>
    <w:rsid w:val="2FB1A395"/>
    <w:rsid w:val="2FD9A7D8"/>
    <w:rsid w:val="31833AED"/>
    <w:rsid w:val="319F7F4E"/>
    <w:rsid w:val="321B2544"/>
    <w:rsid w:val="3304709D"/>
    <w:rsid w:val="33132D2E"/>
    <w:rsid w:val="337F42B4"/>
    <w:rsid w:val="340D18C0"/>
    <w:rsid w:val="34281836"/>
    <w:rsid w:val="349D6851"/>
    <w:rsid w:val="34CC616B"/>
    <w:rsid w:val="35245113"/>
    <w:rsid w:val="35BA6CAF"/>
    <w:rsid w:val="35FE7713"/>
    <w:rsid w:val="364D14C1"/>
    <w:rsid w:val="36AA5135"/>
    <w:rsid w:val="36BE0DA7"/>
    <w:rsid w:val="36FC8616"/>
    <w:rsid w:val="375A6BCB"/>
    <w:rsid w:val="376B6AA6"/>
    <w:rsid w:val="376D39B2"/>
    <w:rsid w:val="37E16F03"/>
    <w:rsid w:val="37F53A3B"/>
    <w:rsid w:val="38485EC8"/>
    <w:rsid w:val="389B6C89"/>
    <w:rsid w:val="38CE5AC2"/>
    <w:rsid w:val="38D469F0"/>
    <w:rsid w:val="392576AC"/>
    <w:rsid w:val="394A2C6F"/>
    <w:rsid w:val="394BCFC9"/>
    <w:rsid w:val="39627CCD"/>
    <w:rsid w:val="397BAF1F"/>
    <w:rsid w:val="3A267238"/>
    <w:rsid w:val="3AB79AF3"/>
    <w:rsid w:val="3B7EF35A"/>
    <w:rsid w:val="3B9FDB6C"/>
    <w:rsid w:val="3BA82A38"/>
    <w:rsid w:val="3BED5BAF"/>
    <w:rsid w:val="3BF5BC2F"/>
    <w:rsid w:val="3CBFBCF5"/>
    <w:rsid w:val="3CEBA265"/>
    <w:rsid w:val="3CFB10F1"/>
    <w:rsid w:val="3D8E886D"/>
    <w:rsid w:val="3D98207C"/>
    <w:rsid w:val="3D9B0D99"/>
    <w:rsid w:val="3DB911A4"/>
    <w:rsid w:val="3DEE7CF3"/>
    <w:rsid w:val="3DEF2C5D"/>
    <w:rsid w:val="3DF02244"/>
    <w:rsid w:val="3DFC370A"/>
    <w:rsid w:val="3E027FBC"/>
    <w:rsid w:val="3E4203B8"/>
    <w:rsid w:val="3E78745D"/>
    <w:rsid w:val="3EBE7482"/>
    <w:rsid w:val="3EDFDC86"/>
    <w:rsid w:val="3EE7D4D2"/>
    <w:rsid w:val="3F710F55"/>
    <w:rsid w:val="3FF4CAE0"/>
    <w:rsid w:val="3FF7B227"/>
    <w:rsid w:val="3FFD10F1"/>
    <w:rsid w:val="3FFE0FA9"/>
    <w:rsid w:val="3FFE7037"/>
    <w:rsid w:val="40153FD6"/>
    <w:rsid w:val="40E54C45"/>
    <w:rsid w:val="41130AE7"/>
    <w:rsid w:val="41CA5B22"/>
    <w:rsid w:val="421309EA"/>
    <w:rsid w:val="42E67EAC"/>
    <w:rsid w:val="433A54D5"/>
    <w:rsid w:val="43A407DF"/>
    <w:rsid w:val="44024872"/>
    <w:rsid w:val="44515BEA"/>
    <w:rsid w:val="44CB735A"/>
    <w:rsid w:val="44E268DA"/>
    <w:rsid w:val="453F7E5B"/>
    <w:rsid w:val="455410FD"/>
    <w:rsid w:val="462036D5"/>
    <w:rsid w:val="46601D24"/>
    <w:rsid w:val="469861EE"/>
    <w:rsid w:val="46A460B4"/>
    <w:rsid w:val="47CDDAE7"/>
    <w:rsid w:val="486A6C7A"/>
    <w:rsid w:val="487F2935"/>
    <w:rsid w:val="489108BA"/>
    <w:rsid w:val="48932586"/>
    <w:rsid w:val="48FF5824"/>
    <w:rsid w:val="49176D9B"/>
    <w:rsid w:val="49697141"/>
    <w:rsid w:val="49997A26"/>
    <w:rsid w:val="4A555686"/>
    <w:rsid w:val="4A627F82"/>
    <w:rsid w:val="4B0E749A"/>
    <w:rsid w:val="4B4F25DA"/>
    <w:rsid w:val="4BDA0CFB"/>
    <w:rsid w:val="4BE068DB"/>
    <w:rsid w:val="4C4023DB"/>
    <w:rsid w:val="4C8147A2"/>
    <w:rsid w:val="4C983FC5"/>
    <w:rsid w:val="4CFD207A"/>
    <w:rsid w:val="4D3C0CCC"/>
    <w:rsid w:val="4D577224"/>
    <w:rsid w:val="4DBF1CEB"/>
    <w:rsid w:val="4EAB630A"/>
    <w:rsid w:val="4ECE2238"/>
    <w:rsid w:val="4EFF32CF"/>
    <w:rsid w:val="4F7F7B22"/>
    <w:rsid w:val="4F833267"/>
    <w:rsid w:val="4FE9BD67"/>
    <w:rsid w:val="4FFB052F"/>
    <w:rsid w:val="51FED7AB"/>
    <w:rsid w:val="52903E4E"/>
    <w:rsid w:val="52AA6800"/>
    <w:rsid w:val="53083A92"/>
    <w:rsid w:val="537E6D0A"/>
    <w:rsid w:val="53AF27A2"/>
    <w:rsid w:val="53F74C96"/>
    <w:rsid w:val="544113E6"/>
    <w:rsid w:val="558570B1"/>
    <w:rsid w:val="55C24E3B"/>
    <w:rsid w:val="56E47B74"/>
    <w:rsid w:val="57BD3DD4"/>
    <w:rsid w:val="57BEDD01"/>
    <w:rsid w:val="58315BF8"/>
    <w:rsid w:val="58496ABB"/>
    <w:rsid w:val="586122C2"/>
    <w:rsid w:val="5AF92295"/>
    <w:rsid w:val="5B7E6A7C"/>
    <w:rsid w:val="5BD462C2"/>
    <w:rsid w:val="5BD4669C"/>
    <w:rsid w:val="5BDD79E6"/>
    <w:rsid w:val="5BF561CA"/>
    <w:rsid w:val="5BFF5DFC"/>
    <w:rsid w:val="5CBC050B"/>
    <w:rsid w:val="5CD71FC4"/>
    <w:rsid w:val="5CE96177"/>
    <w:rsid w:val="5D1F11B5"/>
    <w:rsid w:val="5D7C0B5A"/>
    <w:rsid w:val="5D8B5480"/>
    <w:rsid w:val="5DAE1B18"/>
    <w:rsid w:val="5DE7D9E5"/>
    <w:rsid w:val="5DFF24A0"/>
    <w:rsid w:val="5E1B4A56"/>
    <w:rsid w:val="5E1FA1E0"/>
    <w:rsid w:val="5E220444"/>
    <w:rsid w:val="5E8F2D4E"/>
    <w:rsid w:val="5EC614C5"/>
    <w:rsid w:val="5ECEC941"/>
    <w:rsid w:val="5ED7BE0D"/>
    <w:rsid w:val="5EFA466C"/>
    <w:rsid w:val="5EFA7CCD"/>
    <w:rsid w:val="5F493CB7"/>
    <w:rsid w:val="5F5D2703"/>
    <w:rsid w:val="5FBF9FF3"/>
    <w:rsid w:val="5FCD4E2C"/>
    <w:rsid w:val="5FD15F49"/>
    <w:rsid w:val="5FDA2CFB"/>
    <w:rsid w:val="5FDE64EA"/>
    <w:rsid w:val="5FEF394A"/>
    <w:rsid w:val="5FF67715"/>
    <w:rsid w:val="5FF67C2C"/>
    <w:rsid w:val="604A6FAF"/>
    <w:rsid w:val="609603C4"/>
    <w:rsid w:val="624B40A8"/>
    <w:rsid w:val="62BF3928"/>
    <w:rsid w:val="63224191"/>
    <w:rsid w:val="63B67963"/>
    <w:rsid w:val="63BFD95A"/>
    <w:rsid w:val="644D348F"/>
    <w:rsid w:val="647F5392"/>
    <w:rsid w:val="64AD4A35"/>
    <w:rsid w:val="652E1513"/>
    <w:rsid w:val="66397FC8"/>
    <w:rsid w:val="664B1D71"/>
    <w:rsid w:val="67466AB3"/>
    <w:rsid w:val="678BD3F5"/>
    <w:rsid w:val="67AA3209"/>
    <w:rsid w:val="67E87658"/>
    <w:rsid w:val="681C4F0D"/>
    <w:rsid w:val="6874548F"/>
    <w:rsid w:val="69046D0F"/>
    <w:rsid w:val="698D0931"/>
    <w:rsid w:val="6A114F5F"/>
    <w:rsid w:val="6A993CED"/>
    <w:rsid w:val="6ADF4853"/>
    <w:rsid w:val="6B053271"/>
    <w:rsid w:val="6BCE6674"/>
    <w:rsid w:val="6BFDB225"/>
    <w:rsid w:val="6C4A05C8"/>
    <w:rsid w:val="6C7812C6"/>
    <w:rsid w:val="6C8742B8"/>
    <w:rsid w:val="6C8A170F"/>
    <w:rsid w:val="6CB54609"/>
    <w:rsid w:val="6CBE13CE"/>
    <w:rsid w:val="6CE8644B"/>
    <w:rsid w:val="6DBF5E93"/>
    <w:rsid w:val="6DDF3A61"/>
    <w:rsid w:val="6DEEAE6E"/>
    <w:rsid w:val="6DF20188"/>
    <w:rsid w:val="6DFF077E"/>
    <w:rsid w:val="6DFF391A"/>
    <w:rsid w:val="6DFFC7F6"/>
    <w:rsid w:val="6E483287"/>
    <w:rsid w:val="6E7E3605"/>
    <w:rsid w:val="6E7FDCC7"/>
    <w:rsid w:val="6EB20D4D"/>
    <w:rsid w:val="6ED6A62E"/>
    <w:rsid w:val="6EE00B15"/>
    <w:rsid w:val="6F286464"/>
    <w:rsid w:val="6F544B20"/>
    <w:rsid w:val="6F6FB3EB"/>
    <w:rsid w:val="6F784160"/>
    <w:rsid w:val="6F8731EA"/>
    <w:rsid w:val="6FBB27F8"/>
    <w:rsid w:val="6FCE6052"/>
    <w:rsid w:val="6FD57C00"/>
    <w:rsid w:val="6FED77C9"/>
    <w:rsid w:val="6FEFFFD8"/>
    <w:rsid w:val="6FF5CC65"/>
    <w:rsid w:val="6FF92CBE"/>
    <w:rsid w:val="6FFB47EC"/>
    <w:rsid w:val="6FFE1636"/>
    <w:rsid w:val="6FFF034A"/>
    <w:rsid w:val="6FFF438D"/>
    <w:rsid w:val="700371CB"/>
    <w:rsid w:val="70496804"/>
    <w:rsid w:val="70741DA4"/>
    <w:rsid w:val="711379D3"/>
    <w:rsid w:val="712A28F1"/>
    <w:rsid w:val="715C0E4B"/>
    <w:rsid w:val="71FC140E"/>
    <w:rsid w:val="72233669"/>
    <w:rsid w:val="72734D90"/>
    <w:rsid w:val="7332FE48"/>
    <w:rsid w:val="73AB61DA"/>
    <w:rsid w:val="73AD73D5"/>
    <w:rsid w:val="73B6EB34"/>
    <w:rsid w:val="73FA497D"/>
    <w:rsid w:val="74116287"/>
    <w:rsid w:val="744731E5"/>
    <w:rsid w:val="74527205"/>
    <w:rsid w:val="748D1686"/>
    <w:rsid w:val="74BBD01D"/>
    <w:rsid w:val="74E514C2"/>
    <w:rsid w:val="74ED5379"/>
    <w:rsid w:val="74F49EB4"/>
    <w:rsid w:val="74FC2395"/>
    <w:rsid w:val="75241FEA"/>
    <w:rsid w:val="753B11C8"/>
    <w:rsid w:val="755B0EDF"/>
    <w:rsid w:val="757DE146"/>
    <w:rsid w:val="757EE938"/>
    <w:rsid w:val="75DEEEC2"/>
    <w:rsid w:val="75ED5D32"/>
    <w:rsid w:val="75ED6880"/>
    <w:rsid w:val="763EF177"/>
    <w:rsid w:val="766F57A1"/>
    <w:rsid w:val="76E3355F"/>
    <w:rsid w:val="76FF5125"/>
    <w:rsid w:val="776F6FFA"/>
    <w:rsid w:val="777A11A5"/>
    <w:rsid w:val="777E5B62"/>
    <w:rsid w:val="778769C8"/>
    <w:rsid w:val="77BE8A15"/>
    <w:rsid w:val="77C620FD"/>
    <w:rsid w:val="77DC22F5"/>
    <w:rsid w:val="77FBB4E5"/>
    <w:rsid w:val="79086DAD"/>
    <w:rsid w:val="79537342"/>
    <w:rsid w:val="7993773F"/>
    <w:rsid w:val="79974F09"/>
    <w:rsid w:val="79D55FA9"/>
    <w:rsid w:val="79D7FD79"/>
    <w:rsid w:val="79EE5BA4"/>
    <w:rsid w:val="7A894339"/>
    <w:rsid w:val="7AAD4830"/>
    <w:rsid w:val="7AFF7572"/>
    <w:rsid w:val="7B6C7DFB"/>
    <w:rsid w:val="7BBFBED0"/>
    <w:rsid w:val="7BC3E394"/>
    <w:rsid w:val="7BFF5CE4"/>
    <w:rsid w:val="7C075EC7"/>
    <w:rsid w:val="7C1F3737"/>
    <w:rsid w:val="7CA3E458"/>
    <w:rsid w:val="7CBFC87B"/>
    <w:rsid w:val="7CFE0F48"/>
    <w:rsid w:val="7D7EC23E"/>
    <w:rsid w:val="7D916348"/>
    <w:rsid w:val="7DBEE497"/>
    <w:rsid w:val="7DD32A97"/>
    <w:rsid w:val="7DF88C5B"/>
    <w:rsid w:val="7E5F64F9"/>
    <w:rsid w:val="7E777627"/>
    <w:rsid w:val="7E8ADEBF"/>
    <w:rsid w:val="7EEF11D3"/>
    <w:rsid w:val="7EFAF087"/>
    <w:rsid w:val="7F0971A6"/>
    <w:rsid w:val="7F2D5E05"/>
    <w:rsid w:val="7F3BC0D2"/>
    <w:rsid w:val="7F3F679B"/>
    <w:rsid w:val="7F4FC4EF"/>
    <w:rsid w:val="7F5E4D54"/>
    <w:rsid w:val="7F6E0135"/>
    <w:rsid w:val="7F77F6CA"/>
    <w:rsid w:val="7F77FD42"/>
    <w:rsid w:val="7F7D58EC"/>
    <w:rsid w:val="7F954DBA"/>
    <w:rsid w:val="7F9BE0C6"/>
    <w:rsid w:val="7FA30C79"/>
    <w:rsid w:val="7FAF8ABF"/>
    <w:rsid w:val="7FB543F3"/>
    <w:rsid w:val="7FB7269E"/>
    <w:rsid w:val="7FC96657"/>
    <w:rsid w:val="7FCF6B85"/>
    <w:rsid w:val="7FD73041"/>
    <w:rsid w:val="7FD9F67F"/>
    <w:rsid w:val="7FDA9588"/>
    <w:rsid w:val="7FDEE06C"/>
    <w:rsid w:val="7FDF220F"/>
    <w:rsid w:val="7FEDC5F7"/>
    <w:rsid w:val="7FEDD9DE"/>
    <w:rsid w:val="7FEF7944"/>
    <w:rsid w:val="7FEF82FF"/>
    <w:rsid w:val="7FF5890D"/>
    <w:rsid w:val="7FF93490"/>
    <w:rsid w:val="7FFB398B"/>
    <w:rsid w:val="7FFDA612"/>
    <w:rsid w:val="99FF2014"/>
    <w:rsid w:val="9D4B5CFF"/>
    <w:rsid w:val="9D6F3B06"/>
    <w:rsid w:val="9E2780DA"/>
    <w:rsid w:val="9FDF1C61"/>
    <w:rsid w:val="A6DD0D7F"/>
    <w:rsid w:val="A9BF52BA"/>
    <w:rsid w:val="AD5F5AE9"/>
    <w:rsid w:val="ADC6F725"/>
    <w:rsid w:val="AEBFFCF0"/>
    <w:rsid w:val="B7B372FE"/>
    <w:rsid w:val="B7CF06AB"/>
    <w:rsid w:val="B7CFA926"/>
    <w:rsid w:val="B7F8786B"/>
    <w:rsid w:val="B7FFA161"/>
    <w:rsid w:val="B9FF9874"/>
    <w:rsid w:val="BA7B23C6"/>
    <w:rsid w:val="BA7FE8BB"/>
    <w:rsid w:val="BABB6AA1"/>
    <w:rsid w:val="BB2F4199"/>
    <w:rsid w:val="BD079C78"/>
    <w:rsid w:val="BD733540"/>
    <w:rsid w:val="BDDFDA0E"/>
    <w:rsid w:val="BEDB4430"/>
    <w:rsid w:val="BF3735D5"/>
    <w:rsid w:val="BF6B55F7"/>
    <w:rsid w:val="BF7F09AC"/>
    <w:rsid w:val="BFD475C3"/>
    <w:rsid w:val="BFDE5EA6"/>
    <w:rsid w:val="BFFF66FD"/>
    <w:rsid w:val="C7D9339E"/>
    <w:rsid w:val="CD3EDDE9"/>
    <w:rsid w:val="CDDD61E0"/>
    <w:rsid w:val="CF6FC6F3"/>
    <w:rsid w:val="CFD3D3D7"/>
    <w:rsid w:val="CFDF1009"/>
    <w:rsid w:val="CFEC6B3E"/>
    <w:rsid w:val="CFFF7263"/>
    <w:rsid w:val="D2FF602D"/>
    <w:rsid w:val="D37CA48F"/>
    <w:rsid w:val="D7D7B16A"/>
    <w:rsid w:val="D7DFC7B3"/>
    <w:rsid w:val="D8D6DB89"/>
    <w:rsid w:val="D9FF3B17"/>
    <w:rsid w:val="DB3F822A"/>
    <w:rsid w:val="DB6F4CAB"/>
    <w:rsid w:val="DB777682"/>
    <w:rsid w:val="DB9E1068"/>
    <w:rsid w:val="DBDFA1AE"/>
    <w:rsid w:val="DBFF86DF"/>
    <w:rsid w:val="DD1FB521"/>
    <w:rsid w:val="DDFB3A0B"/>
    <w:rsid w:val="DEFBFEAE"/>
    <w:rsid w:val="DF1F3B80"/>
    <w:rsid w:val="DF1FE47D"/>
    <w:rsid w:val="DF6F9789"/>
    <w:rsid w:val="DF8D5120"/>
    <w:rsid w:val="DFAD54D9"/>
    <w:rsid w:val="DFD7532A"/>
    <w:rsid w:val="DFEFD79F"/>
    <w:rsid w:val="DFF7E9E8"/>
    <w:rsid w:val="DFFFA9E8"/>
    <w:rsid w:val="E5F4E9DC"/>
    <w:rsid w:val="E6AF241C"/>
    <w:rsid w:val="E70FE695"/>
    <w:rsid w:val="E7F62499"/>
    <w:rsid w:val="E9F71EFB"/>
    <w:rsid w:val="EBAF6987"/>
    <w:rsid w:val="ECAE8611"/>
    <w:rsid w:val="ECFED1BC"/>
    <w:rsid w:val="ED1D69BB"/>
    <w:rsid w:val="ED7FD312"/>
    <w:rsid w:val="EE7D8872"/>
    <w:rsid w:val="EE96D9F9"/>
    <w:rsid w:val="EF53993F"/>
    <w:rsid w:val="EF6F45E1"/>
    <w:rsid w:val="EF6FD633"/>
    <w:rsid w:val="EFB77358"/>
    <w:rsid w:val="EFBFB2F4"/>
    <w:rsid w:val="EFBFFA21"/>
    <w:rsid w:val="EFDF4E69"/>
    <w:rsid w:val="EFDF8554"/>
    <w:rsid w:val="EFFF1C12"/>
    <w:rsid w:val="EFFFF3AD"/>
    <w:rsid w:val="F2BEBCB8"/>
    <w:rsid w:val="F2FF8B91"/>
    <w:rsid w:val="F35B1114"/>
    <w:rsid w:val="F36FB518"/>
    <w:rsid w:val="F38D895D"/>
    <w:rsid w:val="F3DE1A04"/>
    <w:rsid w:val="F3F722E5"/>
    <w:rsid w:val="F53F2CFF"/>
    <w:rsid w:val="F67F96BC"/>
    <w:rsid w:val="F6AFEE47"/>
    <w:rsid w:val="F6FF02B9"/>
    <w:rsid w:val="F9CF8CB2"/>
    <w:rsid w:val="FA5DA317"/>
    <w:rsid w:val="FA5F1E70"/>
    <w:rsid w:val="FA5FDB97"/>
    <w:rsid w:val="FAF41D82"/>
    <w:rsid w:val="FAFB1A3F"/>
    <w:rsid w:val="FB3BD7B7"/>
    <w:rsid w:val="FB5D91BB"/>
    <w:rsid w:val="FB5F3EB9"/>
    <w:rsid w:val="FB6E079A"/>
    <w:rsid w:val="FB7E255A"/>
    <w:rsid w:val="FB7F205B"/>
    <w:rsid w:val="FB7F486A"/>
    <w:rsid w:val="FBBB00F6"/>
    <w:rsid w:val="FBBD4782"/>
    <w:rsid w:val="FBBF07FD"/>
    <w:rsid w:val="FBFA7E4D"/>
    <w:rsid w:val="FBFF5B2E"/>
    <w:rsid w:val="FD338641"/>
    <w:rsid w:val="FD3F017D"/>
    <w:rsid w:val="FD7F6AED"/>
    <w:rsid w:val="FD7FFE2B"/>
    <w:rsid w:val="FDABA8D4"/>
    <w:rsid w:val="FDBF8B49"/>
    <w:rsid w:val="FDC948D5"/>
    <w:rsid w:val="FDCF0FFA"/>
    <w:rsid w:val="FDEE196B"/>
    <w:rsid w:val="FDFDBD3D"/>
    <w:rsid w:val="FDFE6575"/>
    <w:rsid w:val="FE734873"/>
    <w:rsid w:val="FEDFDDC2"/>
    <w:rsid w:val="FEED32F6"/>
    <w:rsid w:val="FEF781DD"/>
    <w:rsid w:val="FF2FDC67"/>
    <w:rsid w:val="FF3F7E3F"/>
    <w:rsid w:val="FF5D2D94"/>
    <w:rsid w:val="FF7B54F1"/>
    <w:rsid w:val="FF9E8230"/>
    <w:rsid w:val="FFB94560"/>
    <w:rsid w:val="FFBA12D7"/>
    <w:rsid w:val="FFBF6F74"/>
    <w:rsid w:val="FFBFAA6D"/>
    <w:rsid w:val="FFD710EA"/>
    <w:rsid w:val="FFD7E6EB"/>
    <w:rsid w:val="FFDF0038"/>
    <w:rsid w:val="FFDFFAEE"/>
    <w:rsid w:val="FFEBFFCB"/>
    <w:rsid w:val="FFF7E858"/>
    <w:rsid w:val="FFF9B57B"/>
    <w:rsid w:val="FFFC1E5A"/>
    <w:rsid w:val="FFFD18E7"/>
    <w:rsid w:val="FFFD61D9"/>
    <w:rsid w:val="FFFD8F59"/>
    <w:rsid w:val="FFFF0D33"/>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able of figures"/>
    <w:basedOn w:val="1"/>
    <w:next w:val="1"/>
    <w:qFormat/>
    <w:uiPriority w:val="0"/>
    <w:pPr>
      <w:ind w:left="400" w:leftChars="200" w:hanging="200" w:hangingChars="200"/>
    </w:p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2000000000000000000" charset="-122"/>
                <a:ea typeface="方正仿宋_GBK" panose="02000000000000000000" charset="-122"/>
              </a:rPr>
              <a:t>收入、支出决算总计变动情况图</a:t>
            </a:r>
            <a:endParaRPr sz="1600">
              <a:latin typeface="方正仿宋_GBK" panose="02000000000000000000" charset="-122"/>
              <a:ea typeface="方正仿宋_GBK" panose="02000000000000000000" charset="-122"/>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0</c:v>
                </c:pt>
                <c:pt idx="1">
                  <c:v>0</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23.97</c:v>
                </c:pt>
                <c:pt idx="1">
                  <c:v>23.97</c:v>
                </c:pt>
              </c:numCache>
            </c:numRef>
          </c:val>
        </c:ser>
        <c:dLbls>
          <c:showLegendKey val="0"/>
          <c:showVal val="1"/>
          <c:showCatName val="0"/>
          <c:showSerName val="0"/>
          <c:showPercent val="0"/>
          <c:showBubbleSize val="0"/>
        </c:dLbls>
        <c:gapWidth val="219"/>
        <c:overlap val="-27"/>
        <c:axId val="436402695"/>
        <c:axId val="552632148"/>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收入</c:v>
                      </c:pt>
                      <c:pt idx="1">
                        <c:v>支出</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436402695"/>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632148"/>
        <c:crosses val="autoZero"/>
        <c:auto val="1"/>
        <c:lblAlgn val="ctr"/>
        <c:lblOffset val="100"/>
        <c:noMultiLvlLbl val="0"/>
      </c:catAx>
      <c:valAx>
        <c:axId val="5526321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640269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22fae3f8-2b36-42b4-bdcd-3cdc851f32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2000000000000000000" charset="-122"/>
                <a:ea typeface="方正仿宋_GBK" panose="02000000000000000000" charset="-122"/>
              </a:rPr>
              <a:t>收入决算结构图</a:t>
            </a:r>
            <a:endParaRPr sz="1600">
              <a:latin typeface="方正仿宋_GBK" panose="02000000000000000000" charset="-122"/>
              <a:ea typeface="方正仿宋_GBK" panose="02000000000000000000" charset="-122"/>
            </a:endParaRPr>
          </a:p>
        </c:rich>
      </c:tx>
      <c:layout>
        <c:manualLayout>
          <c:xMode val="edge"/>
          <c:yMode val="edge"/>
          <c:x val="0.372375"/>
          <c:y val="0.0225"/>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c15:sqref>
                  </c15:fullRef>
                </c:ext>
              </c:extLst>
              <c:f>Sheet1!$A$2</c:f>
              <c:strCache>
                <c:ptCount val="1"/>
                <c:pt idx="0">
                  <c:v>一般公共预算财政拨款收入</c:v>
                </c:pt>
              </c:strCache>
            </c:strRef>
          </c:cat>
          <c:val>
            <c:numRef>
              <c:extLst>
                <c:ext xmlns:c15="http://schemas.microsoft.com/office/drawing/2012/chart" uri="{02D57815-91ED-43cb-92C2-25804820EDAC}">
                  <c15:fullRef>
                    <c15:sqref>Sheet1!$B$2</c15:sqref>
                  </c15:fullRef>
                </c:ext>
              </c:extLst>
              <c:f>Sheet1!$B$2</c:f>
              <c:numCache>
                <c:formatCode>General</c:formatCode>
                <c:ptCount val="1"/>
                <c:pt idx="0">
                  <c:v>8.2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2fd4f7a-3d19-4fca-80b6-c676172b07b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0" i="0" u="none" strike="noStrike" kern="1200" spc="0" baseline="0">
                <a:solidFill>
                  <a:schemeClr val="tx1">
                    <a:lumMod val="65000"/>
                    <a:lumOff val="35000"/>
                  </a:schemeClr>
                </a:solidFill>
                <a:latin typeface="方正仿宋_GBK" panose="02000000000000000000" charset="-122"/>
                <a:ea typeface="方正仿宋_GBK" panose="02000000000000000000" charset="-122"/>
                <a:cs typeface="方正仿宋_GBK" panose="02000000000000000000" charset="-122"/>
                <a:sym typeface="方正仿宋_GBK" panose="02000000000000000000" charset="-122"/>
              </a:defRPr>
            </a:pPr>
            <a:r>
              <a:rPr sz="1600">
                <a:latin typeface="方正仿宋_GBK" panose="02000000000000000000" charset="-122"/>
                <a:ea typeface="方正仿宋_GBK" panose="02000000000000000000" charset="-122"/>
                <a:cs typeface="方正仿宋_GBK" panose="02000000000000000000" charset="-122"/>
                <a:sym typeface="方正仿宋_GBK" panose="02000000000000000000" charset="-122"/>
              </a:rPr>
              <a:t>支出决算结构图</a:t>
            </a:r>
            <a:endParaRPr sz="1600">
              <a:latin typeface="方正仿宋_GBK" panose="02000000000000000000" charset="-122"/>
              <a:ea typeface="方正仿宋_GBK" panose="02000000000000000000" charset="-122"/>
              <a:cs typeface="方正仿宋_GBK" panose="02000000000000000000" charset="-122"/>
              <a:sym typeface="方正仿宋_GBK" panose="02000000000000000000" charset="-122"/>
            </a:endParaRPr>
          </a:p>
        </c:rich>
      </c:tx>
      <c:layout/>
      <c:overlay val="0"/>
      <c:spPr>
        <a:noFill/>
        <a:ln>
          <a:noFill/>
        </a:ln>
        <a:effectLst/>
      </c:spPr>
    </c:title>
    <c:autoTitleDeleted val="0"/>
    <c:plotArea>
      <c:layout/>
      <c:pieChart>
        <c:varyColors val="1"/>
        <c:ser>
          <c:idx val="0"/>
          <c:order val="0"/>
          <c:tx>
            <c:strRef>
              <c:f>Sheet1!$B$1</c:f>
              <c:strCache>
                <c:ptCount val="1"/>
                <c:pt idx="0">
                  <c:v>2025年度</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基本支出</c:v>
                </c:pt>
              </c:strCache>
            </c:strRef>
          </c:cat>
          <c:val>
            <c:numRef>
              <c:f>Sheet1!$B$2</c:f>
              <c:numCache>
                <c:formatCode>General</c:formatCode>
                <c:ptCount val="1"/>
                <c:pt idx="0">
                  <c:v>23.97</c:v>
                </c:pt>
              </c:numCache>
            </c:numRef>
          </c:val>
        </c:ser>
        <c:dLbls>
          <c:showLegendKey val="0"/>
          <c:showVal val="0"/>
          <c:showCatName val="1"/>
          <c:showSerName val="0"/>
          <c:showPercent val="1"/>
          <c:showBubbleSize val="0"/>
          <c:showLeaderLines val="1"/>
        </c:dLbls>
        <c:firstSliceAng val="0"/>
        <c:extLst>
          <c:ext xmlns:c15="http://schemas.microsoft.com/office/drawing/2012/chart" uri="{02D57815-91ED-43cb-92C2-25804820EDAC}">
            <c15:filteredPieSeries>
              <c15:ser>
                <c:idx val="1"/>
                <c:order val="1"/>
                <c:tx>
                  <c:strRef>
                    <c:extLst>
                      <c:ext uri="{02D57815-91ED-43cb-92C2-25804820EDAC}">
                        <c15:formulaRef>
                          <c15:sqref>Sheet1!#REF!</c15:sqref>
                        </c15:formulaRef>
                      </c:ext>
                    </c:extLst>
                    <c:strCache>
                      <c:ptCount val="1"/>
                      <c:pt idx="0">
                        <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c15:sqref>
                        </c15:formulaRef>
                      </c:ext>
                    </c:extLst>
                    <c:strCache>
                      <c:ptCount val="1"/>
                      <c:pt idx="0">
                        <c:v>基本支出</c:v>
                      </c:pt>
                    </c:strCache>
                  </c:strRef>
                </c:cat>
                <c:val>
                  <c:numRef>
                    <c:extLst>
                      <c:ext uri="{02D57815-91ED-43cb-92C2-25804820EDAC}">
                        <c15:formulaRef>
                          <c15:sqref>Sheet1!#REF!</c15:sqref>
                        </c15:formulaRef>
                      </c:ext>
                    </c:extLst>
                    <c:numCache>
                      <c:formatCode>General</c:formatCode>
                      <c:ptCount val="1"/>
                      <c:pt idx="0">
                        <c:v>1</c:v>
                      </c:pt>
                    </c:numCache>
                  </c:numRef>
                </c:val>
              </c15:ser>
            </c15:filteredPieSeries>
            <c15:filteredPieSeries>
              <c15:ser>
                <c:idx val="2"/>
                <c:order val="2"/>
                <c:tx>
                  <c:strRef>
                    <c:extLst>
                      <c:ext uri="{02D57815-91ED-43cb-92C2-25804820EDAC}">
                        <c15:formulaRef>
                          <c15:sqref>Sheet1!#REF!</c15:sqref>
                        </c15:formulaRef>
                      </c:ext>
                    </c:extLst>
                    <c:strCache>
                      <c:ptCount val="1"/>
                      <c:pt idx="0">
                        <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c15:sqref>
                        </c15:formulaRef>
                      </c:ext>
                    </c:extLst>
                    <c:strCache>
                      <c:ptCount val="1"/>
                      <c:pt idx="0">
                        <c:v>基本支出</c:v>
                      </c:pt>
                    </c:strCache>
                  </c:strRef>
                </c:cat>
                <c:val>
                  <c:numRef>
                    <c:extLst>
                      <c:ext uri="{02D57815-91ED-43cb-92C2-25804820EDAC}">
                        <c15:formulaRef>
                          <c15:sqref>Sheet1!#REF!</c15:sqref>
                        </c15:formulaRef>
                      </c:ext>
                    </c:extLst>
                    <c:numCache>
                      <c:formatCode>General</c:formatCode>
                      <c:ptCount val="1"/>
                      <c:pt idx="0">
                        <c:v>1</c:v>
                      </c:pt>
                    </c:numCache>
                  </c:numRef>
                </c:val>
              </c15:ser>
            </c15:filteredPieSeries>
          </c:ext>
        </c:extLst>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c7e2025-4da8-4f2b-85d3-b4343391436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2000000000000000000" charset="-122"/>
                <a:ea typeface="方正仿宋_GBK" panose="02000000000000000000" charset="-122"/>
              </a:rPr>
              <a:t>财政拨款收、支决算总计变动情况</a:t>
            </a:r>
            <a:endParaRPr sz="1600">
              <a:latin typeface="方正仿宋_GBK" panose="02000000000000000000" charset="-122"/>
              <a:ea typeface="方正仿宋_GBK" panose="02000000000000000000" charset="-122"/>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财政拨款收入</c:v>
                </c:pt>
                <c:pt idx="1">
                  <c:v>财政拨款支出</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0</c:v>
                </c:pt>
                <c:pt idx="1">
                  <c:v>0</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财政拨款收入</c:v>
                </c:pt>
                <c:pt idx="1">
                  <c:v>财政拨款支出</c:v>
                </c:pt>
              </c:strCache>
            </c:strRef>
          </c:cat>
          <c:val>
            <c:numRef>
              <c:extLst>
                <c:ext xmlns:c15="http://schemas.microsoft.com/office/drawing/2012/chart" uri="{02D57815-91ED-43cb-92C2-25804820EDAC}">
                  <c15:fullRef>
                    <c15:sqref>Sheet1!$C$2:$C$3</c15:sqref>
                  </c15:fullRef>
                </c:ext>
              </c:extLst>
              <c:f>Sheet1!$C$2:$C$3</c:f>
              <c:numCache>
                <c:formatCode>General</c:formatCode>
                <c:ptCount val="2"/>
                <c:pt idx="0">
                  <c:v>23.97</c:v>
                </c:pt>
                <c:pt idx="1">
                  <c:v>23.97</c:v>
                </c:pt>
              </c:numCache>
            </c:numRef>
          </c:val>
        </c:ser>
        <c:dLbls>
          <c:showLegendKey val="0"/>
          <c:showVal val="1"/>
          <c:showCatName val="0"/>
          <c:showSerName val="0"/>
          <c:showPercent val="0"/>
          <c:showBubbleSize val="0"/>
        </c:dLbls>
        <c:gapWidth val="219"/>
        <c:overlap val="-27"/>
        <c:axId val="404613036"/>
        <c:axId val="308531273"/>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Sheet1!$A$2:$A$3</c15:sqref>
                        </c15:fullRef>
                        <c15:formulaRef>
                          <c15:sqref>Sheet1!$A$2:$A$3</c15:sqref>
                        </c15:formulaRef>
                      </c:ext>
                    </c:extLst>
                    <c:strCache>
                      <c:ptCount val="2"/>
                      <c:pt idx="0">
                        <c:v>财政拨款收入</c:v>
                      </c:pt>
                      <c:pt idx="1">
                        <c:v>财政拨款支出</c:v>
                      </c:pt>
                    </c:strCache>
                  </c:strRef>
                </c:cat>
              </c15:ser>
            </c15:filteredBarSeries>
          </c:ext>
        </c:extLst>
      </c:barChart>
      <c:catAx>
        <c:axId val="4046130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8531273"/>
        <c:crosses val="autoZero"/>
        <c:auto val="1"/>
        <c:lblAlgn val="ctr"/>
        <c:lblOffset val="100"/>
        <c:noMultiLvlLbl val="0"/>
      </c:catAx>
      <c:valAx>
        <c:axId val="30853127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46130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4ed7257-1234-4b80-a790-31aea0627be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2000000000000000000" charset="-122"/>
                <a:ea typeface="方正仿宋_GBK" panose="02000000000000000000" charset="-122"/>
              </a:rPr>
              <a:t>一般公共预算财政拨款支出决算变动情况</a:t>
            </a:r>
            <a:endParaRPr sz="1600">
              <a:latin typeface="方正仿宋_GBK" panose="02000000000000000000" charset="-122"/>
              <a:ea typeface="方正仿宋_GBK" panose="02000000000000000000" charset="-122"/>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2">
                <a:shade val="65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0</c:v>
                </c:pt>
                <c:pt idx="1">
                  <c:v>23.97</c:v>
                </c:pt>
              </c:numCache>
            </c:numRef>
          </c:val>
        </c:ser>
        <c:dLbls>
          <c:showLegendKey val="0"/>
          <c:showVal val="1"/>
          <c:showCatName val="0"/>
          <c:showSerName val="0"/>
          <c:showPercent val="0"/>
          <c:showBubbleSize val="0"/>
        </c:dLbls>
        <c:gapWidth val="219"/>
        <c:overlap val="-27"/>
        <c:axId val="400229051"/>
        <c:axId val="118929211"/>
        <c:extLst>
          <c:ext xmlns:c15="http://schemas.microsoft.com/office/drawing/2012/chart" uri="{02D57815-91ED-43cb-92C2-25804820EDAC}">
            <c15:filteredBarSeries>
              <c15:ser>
                <c:idx val="1"/>
                <c:order val="1"/>
                <c:tx>
                  <c:strRef>
                    <c:extLst>
                      <c:ext uri="{02D57815-91ED-43cb-92C2-25804820EDAC}">
                        <c15:formulaRef>
                          <c15:sqref>Sheet1!#REF!</c15:sqref>
                        </c15:formulaRef>
                      </c:ext>
                    </c:extLst>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2024年度</c:v>
                      </c:pt>
                      <c:pt idx="1">
                        <c:v>2025年度</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15:filteredBarSeries>
              <c15:ser>
                <c:idx val="2"/>
                <c:order val="2"/>
                <c:tx>
                  <c:strRef>
                    <c:extLst>
                      <c:ext uri="{02D57815-91ED-43cb-92C2-25804820EDAC}">
                        <c15:formulaRef>
                          <c15:sqref>Sheet1!#REF!</c15:sqref>
                        </c15:formulaRef>
                      </c:ext>
                    </c:extLst>
                    <c:strCache>
                      <c:ptCount val="1"/>
                      <c:pt idx="0">
                        <c:v/>
                      </c:pt>
                    </c:strCache>
                  </c:strRef>
                </c:tx>
                <c:spPr>
                  <a:solidFill>
                    <a:schemeClr val="accent2">
                      <a:tint val="65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2024年度</c:v>
                      </c:pt>
                      <c:pt idx="1">
                        <c:v>2025年度</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40022905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8929211"/>
        <c:crosses val="autoZero"/>
        <c:auto val="1"/>
        <c:lblAlgn val="ctr"/>
        <c:lblOffset val="100"/>
        <c:noMultiLvlLbl val="0"/>
      </c:catAx>
      <c:valAx>
        <c:axId val="1189292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022905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6151170-374a-46dd-9ce2-254bda52453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2000000000000000000" charset="-122"/>
                <a:ea typeface="方正仿宋_GBK" panose="02000000000000000000" charset="-122"/>
              </a:rPr>
              <a:t>一般公共预算财政拨款支出决算结构</a:t>
            </a:r>
            <a:endParaRPr sz="1600">
              <a:latin typeface="方正仿宋_GBK" panose="02000000000000000000" charset="-122"/>
              <a:ea typeface="方正仿宋_GBK" panose="02000000000000000000" charset="-122"/>
            </a:endParaRP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一般公共服务支出73.63%</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社会保障和就业支出13.64%</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manualLayout>
                  <c:x val="0.103333750304875"/>
                  <c:y val="0.13583167293855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卫生健康支出5.51%</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住房保障支出7.22%</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17.65</c:v>
                </c:pt>
                <c:pt idx="1">
                  <c:v>3.27</c:v>
                </c:pt>
                <c:pt idx="2">
                  <c:v>1.32</c:v>
                </c:pt>
                <c:pt idx="3">
                  <c:v>1.73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1312199-bb8a-4bd7-8a0d-aba6baf999d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2000000000000000000" charset="-122"/>
                <a:ea typeface="方正仿宋_GBK" panose="02000000000000000000" charset="-122"/>
                <a:cs typeface="方正仿宋_GBK" panose="02000000000000000000" charset="-122"/>
              </a:rPr>
              <a:t>财政拨款“三公”经费支出结构</a:t>
            </a:r>
            <a:endParaRPr sz="1600">
              <a:latin typeface="方正仿宋_GBK" panose="02000000000000000000" charset="-122"/>
              <a:ea typeface="方正仿宋_GBK" panose="02000000000000000000" charset="-122"/>
              <a:cs typeface="方正仿宋_GBK" panose="02000000000000000000" charset="-122"/>
            </a:endParaRP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273750716601178"/>
                  <c:y val="0.116084999999217"/>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88125426789269"/>
                  <c:y val="0.694479166653612"/>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公务用车购置及运行维护费支出决算0%</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14374573210731"/>
                  <c:y val="0.4441849999994"/>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公务接待费支出决算0%</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因公出国（境）费支出决算</c:v>
                </c:pt>
                <c:pt idx="1">
                  <c:v>公务用车购置及运行维护费支出决算</c:v>
                </c:pt>
                <c:pt idx="2">
                  <c:v>公务接待费支出决算</c:v>
                </c:pt>
                <c:pt idx="3">
                  <c:v>第四季度</c:v>
                </c:pt>
              </c:strCache>
            </c:strRef>
          </c:cat>
          <c:val>
            <c:numRef>
              <c:f>Sheet1!$B$2:$B$5</c:f>
              <c:numCache>
                <c:formatCode>General</c:formatCode>
                <c:ptCount val="4"/>
                <c:pt idx="0">
                  <c:v>0</c:v>
                </c:pt>
                <c:pt idx="1">
                  <c:v>0</c:v>
                </c:pt>
                <c:pt idx="2">
                  <c:v>0</c:v>
                </c:pt>
                <c:pt idx="3">
                  <c:v>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e5a9ffa-ac3b-4671-b304-065aead4d57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5">
  <a:schemeClr val="accent2"/>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4037</Words>
  <Characters>4360</Characters>
  <Lines>61</Lines>
  <Paragraphs>17</Paragraphs>
  <TotalTime>187</TotalTime>
  <ScaleCrop>false</ScaleCrop>
  <LinksUpToDate>false</LinksUpToDate>
  <CharactersWithSpaces>4410</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2020-08-11T17:49:00Z</dcterms:created>
  <dc:creator>曹颖</dc:creator>
  <cp:lastModifiedBy>kylin</cp:lastModifiedBy>
  <cp:lastPrinted>2026-08-06T09:27:00Z</cp:lastPrinted>
  <dcterms:modified xsi:type="dcterms:W3CDTF">2026-09-18T14:22:18Z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3BF536824C220DA3E40E8B68BA118B1C_42</vt:lpwstr>
  </property>
  <property fmtid="{D5CDD505-2E9C-101B-9397-08002B2CF9AE}" pid="4" name="KSOTemplateDocerSaveRecord">
    <vt:lpwstr>eyJoZGlkIjoiZDU5NTRmMjIxNGRkY2I2NGQwOTM4OTY5NmM5MjI1MWYiLCJ1c2VySWQiOiIzNTE1MDY0MTUifQ==</vt:lpwstr>
  </property>
</Properties>
</file>