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黑体" w:cs="黑体"/>
          <w:color w:val="auto"/>
          <w:kern w:val="2"/>
          <w:sz w:val="32"/>
          <w:szCs w:val="32"/>
          <w:highlight w:val="none"/>
          <w:lang w:val="en-US" w:eastAsia="zh-CN" w:bidi="ar-SA"/>
        </w:rPr>
      </w:pPr>
      <w:bookmarkStart w:id="0" w:name="_Toc15378441"/>
      <w:bookmarkStart w:id="1" w:name="_Toc15306267"/>
      <w:bookmarkStart w:id="2" w:name="_Toc15396597"/>
      <w:bookmarkStart w:id="3" w:name="_Toc15377193"/>
      <w:bookmarkStart w:id="4" w:name="_Toc15377425"/>
      <w:bookmarkStart w:id="5" w:name="_Toc15396475"/>
      <w:r>
        <w:rPr>
          <w:rFonts w:hint="eastAsia" w:ascii="Times New Roman" w:hAnsi="Times New Roman" w:eastAsia="黑体" w:cs="黑体"/>
          <w:color w:val="auto"/>
          <w:kern w:val="2"/>
          <w:sz w:val="32"/>
          <w:szCs w:val="32"/>
          <w:highlight w:val="none"/>
          <w:lang w:val="en-US" w:eastAsia="zh-CN" w:bidi="ar-SA"/>
        </w:rPr>
        <w:t>附件4</w:t>
      </w:r>
      <w:bookmarkStart w:id="60" w:name="_GoBack"/>
      <w:bookmarkEnd w:id="60"/>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2025年度中共阿坝州委巡察工作领导小组</w:t>
      </w:r>
    </w:p>
    <w:p>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办公室部门决算公开</w:t>
      </w:r>
    </w:p>
    <w:bookmarkEnd w:id="0"/>
    <w:bookmarkEnd w:id="1"/>
    <w:bookmarkEnd w:id="2"/>
    <w:bookmarkEnd w:id="3"/>
    <w:bookmarkEnd w:id="4"/>
    <w:bookmarkEnd w:id="5"/>
    <w:p>
      <w:pPr>
        <w:pStyle w:val="6"/>
        <w:jc w:val="both"/>
        <w:rPr>
          <w:rFonts w:hint="eastAsia" w:ascii="Times New Roman" w:hAnsi="Times New Roman" w:eastAsia="黑体"/>
          <w:color w:val="auto"/>
          <w:sz w:val="48"/>
          <w:szCs w:val="48"/>
          <w:highlight w:val="none"/>
        </w:rPr>
      </w:pPr>
    </w:p>
    <w:p>
      <w:pPr>
        <w:pStyle w:val="6"/>
        <w:jc w:val="both"/>
        <w:rPr>
          <w:rFonts w:hint="eastAsia" w:ascii="Times New Roman" w:hAnsi="Times New Roman" w:eastAsia="黑体"/>
          <w:color w:val="auto"/>
          <w:sz w:val="48"/>
          <w:szCs w:val="48"/>
          <w:highlight w:val="none"/>
        </w:rPr>
      </w:pPr>
    </w:p>
    <w:p>
      <w:pPr>
        <w:pStyle w:val="6"/>
        <w:jc w:val="both"/>
        <w:rPr>
          <w:rFonts w:hint="eastAsia" w:ascii="Times New Roman" w:hAnsi="Times New Roman" w:eastAsia="黑体"/>
          <w:color w:val="auto"/>
          <w:sz w:val="48"/>
          <w:szCs w:val="48"/>
          <w:highlight w:val="none"/>
        </w:rPr>
      </w:pPr>
    </w:p>
    <w:p>
      <w:pPr>
        <w:pStyle w:val="6"/>
        <w:jc w:val="both"/>
        <w:rPr>
          <w:rFonts w:hint="eastAsia" w:ascii="Times New Roman" w:hAnsi="Times New Roman" w:eastAsia="黑体"/>
          <w:color w:val="auto"/>
          <w:sz w:val="48"/>
          <w:szCs w:val="48"/>
          <w:highlight w:val="none"/>
        </w:rPr>
      </w:pPr>
    </w:p>
    <w:p>
      <w:pPr>
        <w:pStyle w:val="6"/>
        <w:jc w:val="both"/>
        <w:rPr>
          <w:rFonts w:hint="eastAsia" w:ascii="Times New Roman" w:hAnsi="Times New Roman" w:eastAsia="黑体"/>
          <w:color w:val="auto"/>
          <w:sz w:val="48"/>
          <w:szCs w:val="48"/>
          <w:highlight w:val="none"/>
        </w:rPr>
      </w:pPr>
    </w:p>
    <w:p>
      <w:pPr>
        <w:pStyle w:val="6"/>
        <w:jc w:val="both"/>
        <w:rPr>
          <w:rFonts w:hint="eastAsia" w:ascii="Times New Roman" w:hAnsi="Times New Roman" w:eastAsia="黑体"/>
          <w:color w:val="auto"/>
          <w:sz w:val="48"/>
          <w:szCs w:val="48"/>
          <w:highlight w:val="none"/>
        </w:rPr>
      </w:pPr>
    </w:p>
    <w:p>
      <w:pPr>
        <w:pStyle w:val="6"/>
        <w:jc w:val="both"/>
        <w:rPr>
          <w:rFonts w:hint="eastAsia" w:ascii="Times New Roman" w:hAnsi="Times New Roman" w:eastAsia="黑体"/>
          <w:color w:val="auto"/>
          <w:sz w:val="48"/>
          <w:szCs w:val="48"/>
          <w:highlight w:val="none"/>
        </w:rPr>
      </w:pPr>
    </w:p>
    <w:p>
      <w:pPr>
        <w:pStyle w:val="6"/>
        <w:jc w:val="both"/>
        <w:rPr>
          <w:rFonts w:hint="eastAsia" w:ascii="Times New Roman" w:hAnsi="Times New Roman" w:eastAsia="黑体"/>
          <w:color w:val="auto"/>
          <w:sz w:val="48"/>
          <w:szCs w:val="48"/>
          <w:highlight w:val="none"/>
        </w:rPr>
      </w:pPr>
    </w:p>
    <w:p>
      <w:pPr>
        <w:pStyle w:val="13"/>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公开时间：</w:t>
      </w:r>
      <w:r>
        <w:rPr>
          <w:rFonts w:hint="eastAsia" w:ascii="Times New Roman" w:hAnsi="Times New Roman" w:eastAsia="仿宋" w:cs="仿宋"/>
          <w:color w:val="auto"/>
          <w:kern w:val="2"/>
          <w:sz w:val="32"/>
          <w:szCs w:val="32"/>
          <w:highlight w:val="none"/>
          <w:lang w:val="en-US" w:eastAsia="zh-CN" w:bidi="ar-SA"/>
        </w:rPr>
        <w:t>2026</w:t>
      </w:r>
      <w:r>
        <w:rPr>
          <w:rFonts w:hint="eastAsia" w:ascii="Times New Roman" w:hAnsi="Times New Roman" w:eastAsia="方正仿宋_GBK" w:cs="方正仿宋_GBK"/>
          <w:color w:val="auto"/>
          <w:kern w:val="2"/>
          <w:sz w:val="32"/>
          <w:szCs w:val="32"/>
          <w:highlight w:val="none"/>
          <w:lang w:val="en-US" w:eastAsia="zh-CN" w:bidi="ar-SA"/>
        </w:rPr>
        <w:t>年</w:t>
      </w:r>
      <w:r>
        <w:rPr>
          <w:rFonts w:hint="eastAsia" w:ascii="Times New Roman" w:hAnsi="Times New Roman" w:eastAsia="仿宋" w:cs="仿宋"/>
          <w:color w:val="auto"/>
          <w:kern w:val="2"/>
          <w:sz w:val="32"/>
          <w:szCs w:val="32"/>
          <w:highlight w:val="none"/>
          <w:lang w:val="en-US" w:eastAsia="zh-CN" w:bidi="ar-SA"/>
        </w:rPr>
        <w:t xml:space="preserve">9 </w:t>
      </w:r>
      <w:r>
        <w:rPr>
          <w:rFonts w:hint="eastAsia" w:ascii="Times New Roman" w:hAnsi="Times New Roman" w:eastAsia="方正仿宋_GBK" w:cs="方正仿宋_GBK"/>
          <w:color w:val="auto"/>
          <w:kern w:val="2"/>
          <w:sz w:val="32"/>
          <w:szCs w:val="32"/>
          <w:highlight w:val="none"/>
          <w:lang w:val="en-US" w:eastAsia="zh-CN" w:bidi="ar-SA"/>
        </w:rPr>
        <w:t>月</w:t>
      </w:r>
      <w:r>
        <w:rPr>
          <w:rFonts w:hint="eastAsia" w:ascii="Times New Roman" w:hAnsi="Times New Roman" w:eastAsia="仿宋" w:cs="仿宋"/>
          <w:color w:val="auto"/>
          <w:kern w:val="2"/>
          <w:sz w:val="32"/>
          <w:szCs w:val="32"/>
          <w:highlight w:val="none"/>
          <w:lang w:val="en-US" w:eastAsia="zh-CN" w:bidi="ar-SA"/>
        </w:rPr>
        <w:t xml:space="preserve"> 1</w:t>
      </w:r>
      <w:r>
        <w:rPr>
          <w:rFonts w:hint="eastAsia" w:ascii="Times New Roman" w:hAnsi="Times New Roman" w:cs="仿宋"/>
          <w:color w:val="auto"/>
          <w:kern w:val="2"/>
          <w:sz w:val="32"/>
          <w:szCs w:val="32"/>
          <w:highlight w:val="none"/>
          <w:lang w:val="en-US" w:eastAsia="zh-CN" w:bidi="ar-SA"/>
        </w:rPr>
        <w:t>8</w:t>
      </w:r>
      <w:r>
        <w:rPr>
          <w:rFonts w:hint="eastAsia" w:ascii="Times New Roman" w:hAnsi="Times New Roman" w:eastAsia="仿宋" w:cs="仿宋"/>
          <w:color w:val="auto"/>
          <w:kern w:val="2"/>
          <w:sz w:val="32"/>
          <w:szCs w:val="32"/>
          <w:highlight w:val="none"/>
          <w:lang w:val="en-US" w:eastAsia="zh-CN" w:bidi="ar-SA"/>
        </w:rPr>
        <w:t xml:space="preserve"> </w:t>
      </w:r>
      <w:r>
        <w:rPr>
          <w:rFonts w:hint="eastAsia" w:ascii="Times New Roman" w:hAnsi="Times New Roman" w:eastAsia="方正仿宋_GBK" w:cs="方正仿宋_GBK"/>
          <w:color w:val="auto"/>
          <w:kern w:val="2"/>
          <w:sz w:val="32"/>
          <w:szCs w:val="32"/>
          <w:highlight w:val="none"/>
          <w:lang w:val="en-US" w:eastAsia="zh-CN" w:bidi="ar-SA"/>
        </w:rPr>
        <w:t>日</w:t>
      </w:r>
    </w:p>
    <w:p>
      <w:pPr>
        <w:pStyle w:val="6"/>
        <w:jc w:val="both"/>
        <w:rPr>
          <w:rFonts w:hint="eastAsia" w:ascii="Times New Roman" w:hAnsi="Times New Roman" w:eastAsia="黑体"/>
          <w:color w:val="auto"/>
          <w:sz w:val="48"/>
          <w:szCs w:val="48"/>
          <w:highlight w:val="none"/>
        </w:rPr>
        <w:sectPr>
          <w:headerReference r:id="rId3" w:type="default"/>
          <w:footerReference r:id="rId4" w:type="default"/>
          <w:pgSz w:w="11906" w:h="16838"/>
          <w:pgMar w:top="2098" w:right="1474" w:bottom="1984" w:left="1587" w:header="851" w:footer="1587" w:gutter="0"/>
          <w:pgNumType w:fmt="decimal"/>
          <w:cols w:space="425" w:num="1"/>
          <w:titlePg/>
          <w:rtlGutter w:val="0"/>
          <w:docGrid w:type="linesAndChars" w:linePitch="289" w:charSpace="-882"/>
        </w:sectPr>
      </w:pPr>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ascii="Times New Roman" w:hAnsi="Times New Roman"/>
          <w:color w:val="auto"/>
          <w:highlight w:val="none"/>
        </w:rPr>
      </w:pPr>
      <w:r>
        <w:rPr>
          <w:rFonts w:hint="eastAsia" w:ascii="Times New Roman" w:hAnsi="Times New Roman" w:eastAsia="方正黑体简体" w:cs="方正黑体简体"/>
          <w:b w:val="0"/>
          <w:bCs w:val="0"/>
          <w:color w:val="auto"/>
          <w:kern w:val="2"/>
          <w:sz w:val="44"/>
          <w:szCs w:val="44"/>
          <w:highlight w:val="none"/>
          <w:lang w:val="zh-CN" w:eastAsia="zh-CN" w:bidi="ar-SA"/>
        </w:rPr>
        <w:t>目录</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
          <w:color w:val="auto"/>
          <w:sz w:val="32"/>
          <w:szCs w:val="32"/>
          <w:highlight w:val="none"/>
          <w:lang w:val="en-US"/>
        </w:rPr>
      </w:pPr>
      <w:r>
        <w:rPr>
          <w:rFonts w:hint="eastAsia" w:ascii="Times New Roman" w:hAnsi="Times New Roman" w:eastAsia="方正仿宋_GBK" w:cs="方正仿宋_GBK"/>
          <w:color w:val="auto"/>
          <w:kern w:val="2"/>
          <w:sz w:val="32"/>
          <w:szCs w:val="32"/>
          <w:highlight w:val="none"/>
          <w:lang w:val="en-US" w:eastAsia="zh-CN" w:bidi="ar-SA"/>
        </w:rPr>
        <w:t>一、部门职责</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
          <w:color w:val="auto"/>
          <w:sz w:val="32"/>
          <w:szCs w:val="32"/>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二、机构设置</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第二部分</w:t>
      </w:r>
      <w:r>
        <w:rPr>
          <w:rFonts w:hint="eastAsia" w:ascii="Times New Roman" w:hAnsi="Times New Roman" w:eastAsia="方正黑体简体" w:cs="方正黑体简体"/>
          <w:color w:val="auto"/>
          <w:sz w:val="32"/>
          <w:szCs w:val="32"/>
          <w:highlight w:val="none"/>
          <w:lang w:val="en-US" w:eastAsia="zh-CN"/>
        </w:rPr>
        <w:t xml:space="preserve"> 2025年度</w:t>
      </w:r>
      <w:r>
        <w:rPr>
          <w:rFonts w:hint="eastAsia" w:ascii="Times New Roman" w:hAnsi="Times New Roman" w:eastAsia="方正黑体简体" w:cs="方正黑体简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一、收入支出决算总体情况说明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二、收入决算情况说明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3</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三、支出决算情况说明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3</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四、财政拨款收入支出决算总体情况说明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4</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五、一般公共预算财政拨款支出决算情况说明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5</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六、一般公共预算财政拨款基本支出决算情况说明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8</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七、财政拨款“三公”经费支出决算情况说明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9</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八、政府性基金预算支出决算情况说明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11</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九、国有资本经营预算支出决算情况说明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11</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十、其他重要事项的情况说明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11</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13</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16</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_GB2312"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一、部门整体支出绩效评价报告</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16</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一、收入支出决算总表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二、收入决算表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三、支出决算表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四、财政拨款收入支出决算总表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五、财政拨款支出决算明细表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六、一般公共预算财政拨款支出决算表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七、一般公共预算财政拨款支出决算明细表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八、一般公共预算财政拨款基本支出决算明细表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九、一般公共预算财政拨款项目支出决算表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十、政府性基金预算财政拨款收入支出决算表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十一、国有资本经营预算财政拨款收入支出决算表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_GB2312" w:cs="仿宋_GB2312"/>
          <w:color w:val="auto"/>
          <w:sz w:val="30"/>
          <w:szCs w:val="30"/>
          <w:highlight w:val="none"/>
          <w:lang w:val="en-US"/>
        </w:rPr>
      </w:pPr>
      <w:r>
        <w:rPr>
          <w:rFonts w:hint="eastAsia" w:ascii="Times New Roman" w:hAnsi="Times New Roman" w:eastAsia="方正仿宋_GBK" w:cs="方正仿宋_GBK"/>
          <w:color w:val="auto"/>
          <w:kern w:val="2"/>
          <w:sz w:val="32"/>
          <w:szCs w:val="32"/>
          <w:highlight w:val="none"/>
          <w:lang w:val="en-US" w:eastAsia="zh-CN" w:bidi="ar-SA"/>
        </w:rPr>
        <w:t>十二、国有资本经营预算财政拨款支出决算表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32"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十三、财政拨款“三公”经费支出决算表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22</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632" w:firstLineChars="200"/>
        <w:jc w:val="left"/>
        <w:textAlignment w:val="auto"/>
        <w:rPr>
          <w:rFonts w:hint="eastAsia" w:ascii="Times New Roman" w:hAnsi="Times New Roman" w:eastAsia="仿宋_GB2312" w:cs="仿宋_GB2312"/>
          <w:b/>
          <w:bCs/>
          <w:color w:val="auto"/>
          <w:sz w:val="32"/>
          <w:szCs w:val="32"/>
          <w:highlight w:val="none"/>
          <w:lang w:eastAsia="zh-CN"/>
        </w:rPr>
      </w:pPr>
    </w:p>
    <w:p>
      <w:pPr>
        <w:pStyle w:val="3"/>
        <w:pageBreakBefore w:val="0"/>
        <w:kinsoku/>
        <w:wordWrap/>
        <w:overflowPunct/>
        <w:topLinePunct w:val="0"/>
        <w:autoSpaceDE/>
        <w:autoSpaceDN/>
        <w:bidi w:val="0"/>
        <w:spacing w:line="576" w:lineRule="exact"/>
        <w:ind w:firstLine="872" w:firstLineChars="200"/>
        <w:jc w:val="center"/>
        <w:textAlignment w:val="auto"/>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2098" w:right="1474" w:bottom="1984" w:left="1587" w:header="851" w:footer="1587" w:gutter="0"/>
          <w:pgNumType w:fmt="decimal"/>
          <w:cols w:space="425" w:num="1"/>
          <w:rtlGutter w:val="0"/>
          <w:docGrid w:type="linesAndChars" w:linePitch="289" w:charSpace="-882"/>
        </w:sectPr>
      </w:pPr>
      <w:bookmarkStart w:id="6" w:name="_Toc15396599"/>
      <w:bookmarkStart w:id="7" w:name="_Toc15377196"/>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黑体简体" w:cs="方正黑体简体"/>
          <w:b w:val="0"/>
          <w:bCs w:val="0"/>
          <w:color w:val="auto"/>
          <w:kern w:val="2"/>
          <w:sz w:val="44"/>
          <w:szCs w:val="44"/>
          <w:highlight w:val="none"/>
          <w:lang w:val="zh-CN" w:eastAsia="zh-CN" w:bidi="ar-SA"/>
        </w:rPr>
      </w:pPr>
      <w:r>
        <w:rPr>
          <w:rFonts w:hint="eastAsia" w:ascii="Times New Roman" w:hAnsi="Times New Roman" w:eastAsia="方正黑体简体" w:cs="方正黑体简体"/>
          <w:b w:val="0"/>
          <w:bCs w:val="0"/>
          <w:color w:val="auto"/>
          <w:kern w:val="2"/>
          <w:sz w:val="44"/>
          <w:szCs w:val="44"/>
          <w:highlight w:val="none"/>
          <w:lang w:val="zh-CN" w:eastAsia="zh-CN" w:bidi="ar-SA"/>
        </w:rPr>
        <w:t>第一部分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zh-CN" w:eastAsia="zh-CN" w:bidi="ar-SA"/>
        </w:rPr>
        <w:t xml:space="preserve"> 部门概况</w:t>
      </w:r>
      <w:bookmarkEnd w:id="6"/>
      <w:bookmarkEnd w:id="7"/>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一、部门职责</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向省委巡视办和州委巡察工作领导小组办公室报告巡察工作情况，传达贯彻省委巡视办、州委巡察工作领导小组的决策和部署；统筹、协调、指导巡察组开展工作；承担政策研究、制度建设等工作、组织起草州委巡察工作规划、年度计划、年度巡察工作总结等重要材料；对州委和州委巡察工作领导小组决定的事项进行督办；配合州纪委、州委组织部等部门对巡察工作人员进行培训、考核、监督和管理负责与纪委监委机关、组织、政法、审计和信访等部门的沟通衔接工作；指导县（市）党委巡察工作；承担州委巡察工作领导小组职责；办理州委巡察工作领导小组和上级巡视工作领导小组办公室交办的其他事项。</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rPr>
          <w:rFonts w:hint="default"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二、机构设置</w:t>
      </w:r>
    </w:p>
    <w:p>
      <w:pPr>
        <w:keepNext w:val="0"/>
        <w:keepLines w:val="0"/>
        <w:pageBreakBefore w:val="0"/>
        <w:widowControl w:val="0"/>
        <w:kinsoku/>
        <w:wordWrap/>
        <w:overflowPunct/>
        <w:topLinePunct w:val="0"/>
        <w:autoSpaceDE/>
        <w:autoSpaceDN/>
        <w:bidi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中共阿坝州委巡察工作领导小组办公室下属二级预算单位2个，其中行政单位1个，参照公务员法管理的事业单位0个，其他事业单位1个。</w:t>
      </w:r>
    </w:p>
    <w:p>
      <w:pPr>
        <w:pStyle w:val="6"/>
        <w:keepNext w:val="0"/>
        <w:keepLines w:val="0"/>
        <w:pageBreakBefore w:val="0"/>
        <w:widowControl w:val="0"/>
        <w:kinsoku/>
        <w:wordWrap/>
        <w:overflowPunct/>
        <w:topLinePunct w:val="0"/>
        <w:autoSpaceDE/>
        <w:autoSpaceDN/>
        <w:bidi w:val="0"/>
        <w:adjustRightInd w:val="0"/>
        <w:snapToGrid w:val="0"/>
        <w:spacing w:before="93"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纳入中共阿坝州委巡察工作领导小组办公室2025年度部门决算编制范围的二级预算单位包括：</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32" w:firstLineChars="200"/>
        <w:textAlignment w:val="auto"/>
        <w:outlineLvl w:val="2"/>
        <w:rPr>
          <w:rFonts w:hint="eastAsia" w:ascii="方正仿宋_GBK" w:hAnsi="方正仿宋_GBK" w:eastAsia="方正仿宋_GBK" w:cs="方正仿宋_GBK"/>
          <w:b/>
          <w:bCs/>
          <w:color w:val="auto"/>
          <w:kern w:val="2"/>
          <w:sz w:val="32"/>
          <w:szCs w:val="32"/>
          <w:highlight w:val="none"/>
          <w:lang w:val="en-US" w:eastAsia="zh-CN" w:bidi="ar-SA"/>
        </w:rPr>
      </w:pPr>
      <w:r>
        <w:rPr>
          <w:rFonts w:hint="eastAsia" w:ascii="方正仿宋_GBK" w:hAnsi="方正仿宋_GBK" w:eastAsia="方正仿宋_GBK" w:cs="方正仿宋_GBK"/>
          <w:b/>
          <w:bCs/>
          <w:color w:val="auto"/>
          <w:kern w:val="2"/>
          <w:sz w:val="32"/>
          <w:szCs w:val="32"/>
          <w:highlight w:val="none"/>
          <w:lang w:val="en-US" w:eastAsia="zh-CN" w:bidi="ar-SA"/>
        </w:rPr>
        <w:t>1.中共阿坝州委巡察工作领导小组办公室</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32" w:firstLineChars="200"/>
        <w:textAlignment w:val="auto"/>
        <w:outlineLvl w:val="2"/>
        <w:rPr>
          <w:rFonts w:hint="eastAsia" w:ascii="方正仿宋_GBK" w:hAnsi="方正仿宋_GBK" w:eastAsia="方正仿宋_GBK" w:cs="方正仿宋_GBK"/>
          <w:b/>
          <w:bCs/>
          <w:color w:val="auto"/>
          <w:kern w:val="2"/>
          <w:sz w:val="32"/>
          <w:szCs w:val="32"/>
          <w:highlight w:val="none"/>
          <w:lang w:val="en-US" w:eastAsia="zh-CN" w:bidi="ar-SA"/>
        </w:rPr>
      </w:pPr>
      <w:r>
        <w:rPr>
          <w:rFonts w:hint="eastAsia" w:ascii="方正仿宋_GBK" w:hAnsi="方正仿宋_GBK" w:eastAsia="方正仿宋_GBK" w:cs="方正仿宋_GBK"/>
          <w:b/>
          <w:bCs/>
          <w:color w:val="auto"/>
          <w:kern w:val="2"/>
          <w:sz w:val="32"/>
          <w:szCs w:val="32"/>
          <w:highlight w:val="none"/>
          <w:lang w:val="en-US" w:eastAsia="zh-CN" w:bidi="ar-SA"/>
        </w:rPr>
        <w:t>2.阿坝州巡察工作事务中心</w:t>
      </w:r>
    </w:p>
    <w:p>
      <w:pPr>
        <w:widowControl/>
        <w:jc w:val="left"/>
        <w:rPr>
          <w:rFonts w:ascii="Times New Roman" w:hAnsi="Times New Roman" w:eastAsia="仿宋"/>
          <w:color w:val="auto"/>
          <w:kern w:val="0"/>
          <w:sz w:val="32"/>
          <w:szCs w:val="32"/>
          <w:highlight w:val="none"/>
        </w:rPr>
      </w:pPr>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黑体简体" w:cs="方正黑体简体"/>
          <w:b w:val="0"/>
          <w:bCs w:val="0"/>
          <w:color w:val="auto"/>
          <w:kern w:val="2"/>
          <w:sz w:val="44"/>
          <w:szCs w:val="44"/>
          <w:highlight w:val="none"/>
          <w:lang w:val="zh-CN" w:eastAsia="zh-CN" w:bidi="ar-SA"/>
        </w:rPr>
      </w:pPr>
      <w:bookmarkStart w:id="8" w:name="_Toc15377204"/>
      <w:bookmarkStart w:id="9" w:name="_Toc15396602"/>
      <w:r>
        <w:rPr>
          <w:rFonts w:hint="eastAsia" w:ascii="Times New Roman" w:hAnsi="Times New Roman" w:eastAsia="方正黑体简体" w:cs="方正黑体简体"/>
          <w:b w:val="0"/>
          <w:bCs w:val="0"/>
          <w:color w:val="auto"/>
          <w:kern w:val="2"/>
          <w:sz w:val="44"/>
          <w:szCs w:val="44"/>
          <w:highlight w:val="none"/>
          <w:lang w:val="zh-CN" w:eastAsia="zh-CN" w:bidi="ar-SA"/>
        </w:rPr>
        <w:t>第二部分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zh-CN"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en-US" w:eastAsia="zh-CN" w:bidi="ar-SA"/>
        </w:rPr>
        <w:t>2025年度</w:t>
      </w:r>
      <w:r>
        <w:rPr>
          <w:rFonts w:hint="eastAsia" w:ascii="Times New Roman" w:hAnsi="Times New Roman" w:eastAsia="方正黑体简体" w:cs="方正黑体简体"/>
          <w:b w:val="0"/>
          <w:bCs w:val="0"/>
          <w:color w:val="auto"/>
          <w:kern w:val="2"/>
          <w:sz w:val="44"/>
          <w:szCs w:val="44"/>
          <w:highlight w:val="none"/>
          <w:lang w:val="zh-CN" w:eastAsia="zh-CN" w:bidi="ar-SA"/>
        </w:rPr>
        <w:t>部门决算情况说明</w:t>
      </w:r>
      <w:bookmarkEnd w:id="8"/>
      <w:bookmarkEnd w:id="9"/>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10" w:name="_Toc15396603"/>
      <w:bookmarkStart w:id="11" w:name="_Toc15377205"/>
      <w:r>
        <w:rPr>
          <w:rFonts w:hint="eastAsia" w:ascii="Times New Roman" w:hAnsi="Times New Roman" w:eastAsia="方正黑体简体" w:cs="方正黑体简体"/>
          <w:color w:val="auto"/>
          <w:kern w:val="2"/>
          <w:sz w:val="32"/>
          <w:szCs w:val="32"/>
          <w:highlight w:val="none"/>
          <w:lang w:val="en-US" w:eastAsia="zh-CN" w:bidi="ar-SA"/>
        </w:rPr>
        <w:t>一、收入支出决算总体情况说明</w:t>
      </w:r>
      <w:bookmarkEnd w:id="10"/>
      <w:bookmarkEnd w:id="11"/>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收入、支出总计均为946.43万元。与上年度相比，收入、支出总计各增加305.79万元，增长47.73%。主要变动原因一是2025年配合巡视工作，巡察工作量增加，二是因人员变动，三是阿坝州巡察工作事务中心2024年批准设立，2024年无人员配置、无决算数据，2025年下半年新增工作人员4名，相应安排经费形成新增收入、支出，拉动本部门整体收入、支出较上年增加。</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（图1：收入、支出决算总计变动情况图）（柱状图）</w:t>
      </w:r>
    </w:p>
    <w:p>
      <w:pPr>
        <w:keepNext w:val="0"/>
        <w:keepLines w:val="0"/>
        <w:pageBreakBefore w:val="0"/>
        <w:widowControl w:val="0"/>
        <w:kinsoku/>
        <w:wordWrap/>
        <w:overflowPunct/>
        <w:topLinePunct w:val="0"/>
        <w:autoSpaceDE/>
        <w:autoSpaceDN/>
        <w:bidi w:val="0"/>
        <w:adjustRightInd/>
        <w:snapToGrid/>
        <w:spacing w:line="576" w:lineRule="exact"/>
        <w:ind w:firstLine="412" w:firstLineChars="200"/>
        <w:textAlignment w:val="auto"/>
        <w:rPr>
          <w:rFonts w:hint="eastAsia" w:ascii="Times New Roman" w:hAnsi="Times New Roman" w:eastAsia="黑体"/>
          <w:color w:val="auto"/>
          <w:sz w:val="32"/>
          <w:szCs w:val="32"/>
          <w:highlight w:val="none"/>
          <w:lang w:eastAsia="zh-CN"/>
        </w:rPr>
      </w:pPr>
      <w:r>
        <w:rPr>
          <w:rFonts w:hint="eastAsia" w:ascii="Times New Roman" w:hAnsi="Times New Roman" w:eastAsia="仿宋_GB2312"/>
          <w:lang w:eastAsia="zh-CN"/>
        </w:rPr>
        <w:drawing>
          <wp:anchor distT="0" distB="0" distL="114300" distR="114300" simplePos="0" relativeHeight="251659264" behindDoc="0" locked="1" layoutInCell="1" allowOverlap="0">
            <wp:simplePos x="0" y="0"/>
            <wp:positionH relativeFrom="column">
              <wp:posOffset>241935</wp:posOffset>
            </wp:positionH>
            <wp:positionV relativeFrom="page">
              <wp:posOffset>5306060</wp:posOffset>
            </wp:positionV>
            <wp:extent cx="5080000" cy="3810000"/>
            <wp:effectExtent l="4445" t="4445" r="20955" b="1460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12" w:name="_Toc15396604"/>
      <w:bookmarkStart w:id="13" w:name="_Toc15377206"/>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二、收入决算情况说明</w:t>
      </w:r>
      <w:bookmarkEnd w:id="12"/>
      <w:bookmarkEnd w:id="13"/>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2025年度本年收入合计946.43万元，其中：一般公共预算财政拨款收入946.43万元，占100%。</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（图2：收入决算结构图）（饼状图）</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1" layoutInCell="1" allowOverlap="0">
            <wp:simplePos x="0" y="0"/>
            <wp:positionH relativeFrom="column">
              <wp:posOffset>220345</wp:posOffset>
            </wp:positionH>
            <wp:positionV relativeFrom="page">
              <wp:posOffset>2887345</wp:posOffset>
            </wp:positionV>
            <wp:extent cx="5080000" cy="3810000"/>
            <wp:effectExtent l="4445" t="4445" r="20955" b="1460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bookmarkStart w:id="14" w:name="_Toc15396605"/>
      <w:bookmarkStart w:id="15" w:name="_Toc15377207"/>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三、支出决算情况说明</w:t>
      </w:r>
      <w:bookmarkEnd w:id="14"/>
      <w:bookmarkEnd w:id="15"/>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2025年度本年支出合计946.43万元，其中：基本支出641.18万元，占67.75%；项目支出305.25万元，占32.25%。</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（图3：支出决算结构图）（饼状图）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仿宋_GBK" w:cs="方正仿宋_GBK"/>
          <w:color w:val="auto"/>
          <w:kern w:val="2"/>
          <w:sz w:val="32"/>
          <w:szCs w:val="32"/>
          <w:highlight w:val="none"/>
          <w:lang w:val="en-US" w:eastAsia="zh-CN" w:bidi="ar-SA"/>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drawing>
          <wp:anchor distT="0" distB="0" distL="114300" distR="114300" simplePos="0" relativeHeight="251661312" behindDoc="0" locked="1" layoutInCell="1" allowOverlap="0">
            <wp:simplePos x="0" y="0"/>
            <wp:positionH relativeFrom="column">
              <wp:posOffset>199390</wp:posOffset>
            </wp:positionH>
            <wp:positionV relativeFrom="page">
              <wp:posOffset>1416685</wp:posOffset>
            </wp:positionV>
            <wp:extent cx="5080000" cy="3810000"/>
            <wp:effectExtent l="4445" t="4445" r="20955" b="14605"/>
            <wp:wrapNone/>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16" w:name="_Toc15377208"/>
      <w:bookmarkStart w:id="17" w:name="_Toc15396606"/>
      <w:r>
        <w:rPr>
          <w:rFonts w:hint="eastAsia" w:ascii="Times New Roman" w:hAnsi="Times New Roman" w:eastAsia="方正黑体简体" w:cs="方正黑体简体"/>
          <w:color w:val="auto"/>
          <w:kern w:val="2"/>
          <w:sz w:val="32"/>
          <w:szCs w:val="32"/>
          <w:highlight w:val="none"/>
          <w:lang w:val="en-US" w:eastAsia="zh-CN" w:bidi="ar-SA"/>
        </w:rPr>
        <w:t>四、财政拨款收入支出决算总体情况说明</w:t>
      </w:r>
      <w:bookmarkEnd w:id="16"/>
      <w:bookmarkEnd w:id="17"/>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收入、支出总计均为946.43万元。与上年度相比，财政拨款收入、支出总计各增加305.79万元，增长47.73%。主要变动原因一是2025年配合巡视工作，巡察工作量增加，二是因人员变动，三是阿坝州巡察工作事务中心2024年批准设立，上年度无人员配置、无决算数据，2025年下半年新增工作人员4名，相应安排经费形成新增收入、支出，拉动本部门整体收入、支出较上年增加。</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（图4：财政拨款收、支决算总计变动情况）（柱状图）</w:t>
      </w:r>
    </w:p>
    <w:p>
      <w:pPr>
        <w:pStyle w:val="14"/>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8"/>
        <w:pageBreakBefore w:val="0"/>
        <w:widowControl w:val="0"/>
        <w:kinsoku/>
        <w:wordWrap/>
        <w:overflowPunct/>
        <w:topLinePunct w:val="0"/>
        <w:autoSpaceDE/>
        <w:autoSpaceDN/>
        <w:bidi w:val="0"/>
        <w:adjustRightInd/>
        <w:spacing w:line="576" w:lineRule="exact"/>
        <w:ind w:left="0" w:leftChars="0" w:firstLine="632"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黑体"/>
          <w:color w:val="auto"/>
          <w:sz w:val="32"/>
          <w:szCs w:val="32"/>
          <w:highlight w:val="none"/>
        </w:rPr>
      </w:pPr>
      <w:bookmarkStart w:id="18" w:name="_Toc15396607"/>
      <w:bookmarkStart w:id="19" w:name="_Toc15377209"/>
    </w:p>
    <w:p>
      <w:pPr>
        <w:keepNext w:val="0"/>
        <w:keepLines w:val="0"/>
        <w:pageBreakBefore w:val="0"/>
        <w:widowControl w:val="0"/>
        <w:kinsoku/>
        <w:wordWrap/>
        <w:overflowPunct/>
        <w:topLinePunct w:val="0"/>
        <w:autoSpaceDE/>
        <w:autoSpaceDN/>
        <w:bidi w:val="0"/>
        <w:adjustRightInd/>
        <w:snapToGrid/>
        <w:spacing w:line="576" w:lineRule="exact"/>
        <w:ind w:firstLine="412" w:firstLineChars="200"/>
        <w:textAlignment w:val="auto"/>
        <w:outlineLvl w:val="1"/>
        <w:rPr>
          <w:rFonts w:hint="eastAsia" w:ascii="Times New Roman" w:hAnsi="Times New Roman" w:eastAsia="黑体"/>
          <w:color w:val="auto"/>
          <w:sz w:val="32"/>
          <w:szCs w:val="32"/>
          <w:highlight w:val="none"/>
        </w:rPr>
      </w:pPr>
      <w:r>
        <w:rPr>
          <w:rFonts w:hint="eastAsia" w:ascii="Times New Roman" w:hAnsi="Times New Roman"/>
          <w:lang w:val="en-US" w:eastAsia="zh-CN"/>
        </w:rPr>
        <w:drawing>
          <wp:anchor distT="0" distB="0" distL="114300" distR="114300" simplePos="0" relativeHeight="251664384" behindDoc="0" locked="1" layoutInCell="1" allowOverlap="0">
            <wp:simplePos x="0" y="0"/>
            <wp:positionH relativeFrom="column">
              <wp:posOffset>228600</wp:posOffset>
            </wp:positionH>
            <wp:positionV relativeFrom="page">
              <wp:posOffset>1438910</wp:posOffset>
            </wp:positionV>
            <wp:extent cx="5080000" cy="3810000"/>
            <wp:effectExtent l="4445" t="4445" r="5715" b="10795"/>
            <wp:wrapNone/>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五、一般公共预算财政拨款支出决算情况说明</w:t>
      </w:r>
      <w:bookmarkEnd w:id="18"/>
      <w:bookmarkEnd w:id="19"/>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bookmarkStart w:id="20" w:name="_Toc15377210"/>
      <w:r>
        <w:rPr>
          <w:rFonts w:hint="eastAsia" w:ascii="Times New Roman" w:hAnsi="Times New Roman" w:eastAsia="方正楷体_GBK" w:cs="方正楷体_GBK"/>
          <w:b w:val="0"/>
          <w:bCs/>
          <w:color w:val="auto"/>
          <w:sz w:val="32"/>
          <w:szCs w:val="32"/>
          <w:highlight w:val="none"/>
          <w:lang w:val="zh-CN" w:eastAsia="zh-CN"/>
        </w:rPr>
        <w:t>（一）一般公共预算财政拨款支出决算总体情况</w:t>
      </w:r>
      <w:bookmarkEnd w:id="20"/>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支出946.43万元，占本年支出合计的100%。与上年度相比，一般公共预算财政拨款支出增加305.79万元，增长47.73%。主要变动原因一是2025年配合巡视工作，巡察工作量增加，二是因人员变动，三是阿坝州巡察工作事务中心2024年批准设立，上年度无人员配置、无决算数据，2025年下半年新增工作人员4名，相应安排经费形成新增收入、支出，拉动本部门整体收入、支出较上年增加。</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（图5：一般公共预算财政拨款支出决算变动情况）（柱状图）</w:t>
      </w:r>
    </w:p>
    <w:p>
      <w:pPr>
        <w:pStyle w:val="8"/>
        <w:pageBreakBefore w:val="0"/>
        <w:widowControl w:val="0"/>
        <w:kinsoku/>
        <w:wordWrap/>
        <w:overflowPunct/>
        <w:topLinePunct w:val="0"/>
        <w:autoSpaceDE/>
        <w:autoSpaceDN/>
        <w:bidi w:val="0"/>
        <w:adjustRightInd/>
        <w:spacing w:line="576" w:lineRule="exact"/>
        <w:ind w:left="0" w:leftChars="0" w:firstLine="632"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firstLine="412" w:firstLineChars="200"/>
        <w:textAlignment w:val="auto"/>
        <w:rPr>
          <w:rFonts w:hint="eastAsia" w:ascii="Times New Roman" w:hAnsi="Times New Roman"/>
          <w:lang w:val="en-US" w:eastAsia="zh-CN"/>
        </w:rPr>
      </w:pPr>
      <w:r>
        <w:rPr>
          <w:rFonts w:hint="eastAsia" w:ascii="Times New Roman" w:hAnsi="Times New Roman"/>
          <w:lang w:val="en-US" w:eastAsia="zh-CN"/>
        </w:rPr>
        <w:drawing>
          <wp:anchor distT="0" distB="0" distL="114300" distR="114300" simplePos="0" relativeHeight="251662336" behindDoc="0" locked="1" layoutInCell="1" allowOverlap="0">
            <wp:simplePos x="0" y="0"/>
            <wp:positionH relativeFrom="column">
              <wp:posOffset>233045</wp:posOffset>
            </wp:positionH>
            <wp:positionV relativeFrom="page">
              <wp:posOffset>1350010</wp:posOffset>
            </wp:positionV>
            <wp:extent cx="5080000" cy="3810000"/>
            <wp:effectExtent l="4445" t="4445" r="20955" b="14605"/>
            <wp:wrapNone/>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bookmarkStart w:id="21" w:name="_Toc15377211"/>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p>
    <w:p>
      <w:pPr>
        <w:pStyle w:val="2"/>
        <w:rPr>
          <w:rFonts w:hint="eastAsia"/>
          <w:lang w:val="zh-CN"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（二）一般公共预算财政拨款支出决算结构情况</w:t>
      </w:r>
      <w:bookmarkEnd w:id="21"/>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2025年度一般公共预算财政拨款支出946.43万元，主要用于以下方面：一般公共服务支出785.71万元，占83.02%；社会保障和就业支出83.99万元，占8.87%；卫生健康支出30.58万元，占3.23%；住房保障支出46.15万元，占4.88%。</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（图6：一般公共预算财政拨款支出决算结构）（饼状图）</w:t>
      </w:r>
      <w:bookmarkStart w:id="22" w:name="_Toc15377212"/>
    </w:p>
    <w:p>
      <w:pPr>
        <w:pStyle w:val="8"/>
        <w:keepNext w:val="0"/>
        <w:keepLines w:val="0"/>
        <w:pageBreakBefore w:val="0"/>
        <w:widowControl w:val="0"/>
        <w:kinsoku/>
        <w:wordWrap/>
        <w:overflowPunct/>
        <w:topLinePunct w:val="0"/>
        <w:autoSpaceDE/>
        <w:autoSpaceDN/>
        <w:bidi w:val="0"/>
        <w:adjustRightInd/>
        <w:snapToGrid/>
        <w:spacing w:line="576" w:lineRule="exact"/>
        <w:ind w:left="0" w:leftChars="0" w:firstLine="412" w:firstLineChars="200"/>
        <w:textAlignment w:val="auto"/>
        <w:rPr>
          <w:rFonts w:hint="eastAsia" w:ascii="Times New Roman" w:hAnsi="Times New Roman"/>
          <w:lang w:eastAsia="zh-CN"/>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Style w:val="2"/>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楷体_GB2312" w:cs="楷体_GB2312"/>
          <w:b/>
          <w:color w:val="auto"/>
          <w:sz w:val="32"/>
          <w:szCs w:val="32"/>
          <w:highlight w:val="none"/>
        </w:rPr>
      </w:pPr>
    </w:p>
    <w:p>
      <w:pPr>
        <w:pStyle w:val="2"/>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412" w:firstLineChars="200"/>
        <w:textAlignment w:val="auto"/>
        <w:rPr>
          <w:rFonts w:hint="eastAsia" w:ascii="Times New Roman" w:hAnsi="Times New Roman"/>
        </w:rPr>
      </w:pPr>
    </w:p>
    <w:p>
      <w:pPr>
        <w:pStyle w:val="2"/>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楷体_GB2312" w:cs="楷体_GB2312"/>
          <w:b/>
          <w:color w:val="auto"/>
          <w:sz w:val="32"/>
          <w:szCs w:val="32"/>
          <w:highlight w:val="none"/>
        </w:rPr>
      </w:pPr>
    </w:p>
    <w:p>
      <w:pPr>
        <w:pStyle w:val="2"/>
        <w:pageBreakBefore w:val="0"/>
        <w:widowControl w:val="0"/>
        <w:kinsoku/>
        <w:wordWrap/>
        <w:overflowPunct/>
        <w:topLinePunct w:val="0"/>
        <w:autoSpaceDE/>
        <w:autoSpaceDN/>
        <w:bidi w:val="0"/>
        <w:adjustRightInd/>
        <w:spacing w:line="576" w:lineRule="exact"/>
        <w:ind w:firstLine="412" w:firstLineChars="200"/>
        <w:textAlignment w:val="auto"/>
        <w:rPr>
          <w:rFonts w:hint="eastAsia" w:ascii="Times New Roman" w:hAnsi="Times New Roman"/>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楷体_GB2312" w:cs="楷体_GB2312"/>
          <w:b/>
          <w:color w:val="auto"/>
          <w:sz w:val="32"/>
          <w:szCs w:val="32"/>
          <w:highlight w:val="none"/>
        </w:rPr>
      </w:pPr>
    </w:p>
    <w:p>
      <w:pPr>
        <w:pStyle w:val="2"/>
        <w:keepNext w:val="0"/>
        <w:keepLines w:val="0"/>
        <w:pageBreakBefore w:val="0"/>
        <w:widowControl w:val="0"/>
        <w:kinsoku/>
        <w:wordWrap/>
        <w:overflowPunct/>
        <w:topLinePunct w:val="0"/>
        <w:autoSpaceDE/>
        <w:autoSpaceDN/>
        <w:bidi w:val="0"/>
        <w:adjustRightInd/>
        <w:snapToGrid/>
        <w:spacing w:line="576" w:lineRule="exact"/>
        <w:ind w:firstLine="412" w:firstLineChars="200"/>
        <w:textAlignment w:val="auto"/>
        <w:rPr>
          <w:rFonts w:hint="eastAsia" w:ascii="Times New Roman" w:hAnsi="Times New Roman"/>
        </w:rPr>
      </w:pPr>
      <w:r>
        <w:rPr>
          <w:rFonts w:hint="eastAsia" w:ascii="Times New Roman" w:hAnsi="Times New Roman"/>
          <w:lang w:eastAsia="zh-CN"/>
        </w:rPr>
        <w:drawing>
          <wp:anchor distT="0" distB="0" distL="114300" distR="114300" simplePos="0" relativeHeight="251663360" behindDoc="0" locked="1" layoutInCell="1" allowOverlap="0">
            <wp:simplePos x="0" y="0"/>
            <wp:positionH relativeFrom="column">
              <wp:posOffset>152400</wp:posOffset>
            </wp:positionH>
            <wp:positionV relativeFrom="page">
              <wp:posOffset>1422400</wp:posOffset>
            </wp:positionV>
            <wp:extent cx="5080000" cy="3810000"/>
            <wp:effectExtent l="4445" t="4445" r="5715" b="1079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pacing w:line="576" w:lineRule="exact"/>
        <w:ind w:firstLine="632"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kinsoku/>
        <w:wordWrap/>
        <w:overflowPunct/>
        <w:topLinePunct w:val="0"/>
        <w:autoSpaceDE/>
        <w:autoSpaceDN/>
        <w:bidi w:val="0"/>
        <w:spacing w:line="576" w:lineRule="exact"/>
        <w:textAlignment w:val="auto"/>
        <w:rPr>
          <w:rFonts w:hint="eastAsia" w:ascii="Times New Roman" w:hAnsi="Times New Roman"/>
        </w:rPr>
      </w:pPr>
    </w:p>
    <w:p>
      <w:pPr>
        <w:pStyle w:val="2"/>
        <w:rPr>
          <w:rFonts w:hint="eastAsia" w:ascii="Times New Roman" w:hAnsi="Times New Roman"/>
        </w:rPr>
      </w:pPr>
    </w:p>
    <w:p>
      <w:pPr>
        <w:rPr>
          <w:rFonts w:hint="eastAsia"/>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（三）一般公共预算财政拨款支出决算具体情况</w:t>
      </w:r>
      <w:bookmarkEnd w:id="22"/>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23" w:name="_Toc15377213"/>
      <w:bookmarkStart w:id="24" w:name="_Toc15377444"/>
      <w:bookmarkStart w:id="25" w:name="_Toc15378460"/>
      <w:r>
        <w:rPr>
          <w:rFonts w:hint="eastAsia" w:ascii="Times New Roman" w:hAnsi="Times New Roman" w:eastAsia="方正仿宋_GBK" w:cs="方正仿宋_GBK"/>
          <w:color w:val="auto"/>
          <w:kern w:val="2"/>
          <w:sz w:val="32"/>
          <w:szCs w:val="32"/>
          <w:highlight w:val="none"/>
          <w:lang w:val="en-US" w:eastAsia="zh-CN" w:bidi="ar-SA"/>
        </w:rPr>
        <w:t>2025年度一般公共预算支出决算数为946.43万元，完成预算100%。其中：</w:t>
      </w:r>
      <w:bookmarkEnd w:id="23"/>
      <w:bookmarkEnd w:id="24"/>
      <w:bookmarkEnd w:id="25"/>
    </w:p>
    <w:p>
      <w:pPr>
        <w:pageBreakBefore w:val="0"/>
        <w:widowControl w:val="0"/>
        <w:kinsoku/>
        <w:wordWrap/>
        <w:overflowPunct/>
        <w:topLinePunct w:val="0"/>
        <w:autoSpaceDE/>
        <w:autoSpaceDN/>
        <w:bidi w:val="0"/>
        <w:adjustRightInd/>
        <w:spacing w:line="576" w:lineRule="exact"/>
        <w:ind w:firstLine="632"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1.一般公共服务（201）纪检监察事务（11）行政运行（01）：</w:t>
      </w:r>
      <w:r>
        <w:rPr>
          <w:rFonts w:hint="eastAsia" w:ascii="Times New Roman" w:hAnsi="Times New Roman" w:eastAsia="方正仿宋_GBK" w:cs="方正仿宋_GBK"/>
          <w:color w:val="auto"/>
          <w:kern w:val="2"/>
          <w:sz w:val="32"/>
          <w:szCs w:val="32"/>
          <w:highlight w:val="none"/>
          <w:lang w:val="en-US" w:eastAsia="zh-CN" w:bidi="ar-SA"/>
        </w:rPr>
        <w:t>支出决算为462.81万元，完成预算100%，决算数等于预算数持平；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一般行政管理事务（02）：</w:t>
      </w:r>
      <w:r>
        <w:rPr>
          <w:rFonts w:hint="eastAsia" w:ascii="Times New Roman" w:hAnsi="Times New Roman" w:eastAsia="方正仿宋_GBK" w:cs="方正仿宋_GBK"/>
          <w:color w:val="auto"/>
          <w:kern w:val="2"/>
          <w:sz w:val="32"/>
          <w:szCs w:val="32"/>
          <w:highlight w:val="none"/>
          <w:lang w:val="en-US" w:eastAsia="zh-CN" w:bidi="ar-SA"/>
        </w:rPr>
        <w:t>支出决算为117.46万元，完成预算100%，决算数等于预算数持平；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巡视工作（06）：</w:t>
      </w:r>
      <w:r>
        <w:rPr>
          <w:rFonts w:hint="eastAsia" w:ascii="Times New Roman" w:hAnsi="Times New Roman" w:eastAsia="方正仿宋_GBK" w:cs="方正仿宋_GBK"/>
          <w:color w:val="auto"/>
          <w:kern w:val="2"/>
          <w:sz w:val="32"/>
          <w:szCs w:val="32"/>
          <w:highlight w:val="none"/>
          <w:lang w:val="en-US" w:eastAsia="zh-CN" w:bidi="ar-SA"/>
        </w:rPr>
        <w:t>支出决算为187.79万元，完成预算100%，决算数等于预算数持平；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事业运行（50）：</w:t>
      </w:r>
      <w:r>
        <w:rPr>
          <w:rFonts w:hint="eastAsia" w:ascii="Times New Roman" w:hAnsi="Times New Roman" w:eastAsia="方正仿宋_GBK" w:cs="方正仿宋_GBK"/>
          <w:color w:val="auto"/>
          <w:kern w:val="2"/>
          <w:sz w:val="32"/>
          <w:szCs w:val="32"/>
          <w:highlight w:val="none"/>
          <w:lang w:val="en-US" w:eastAsia="zh-CN" w:bidi="ar-SA"/>
        </w:rPr>
        <w:t>支出决算为17.65万元，完成预算100%，决算数等于预算数持平。</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 xml:space="preserve">2.社会保障和就业（208）行政事业单位养老（05）机关事业单位基本养老保险缴费（05）: </w:t>
      </w:r>
      <w:r>
        <w:rPr>
          <w:rFonts w:hint="eastAsia" w:ascii="Times New Roman" w:hAnsi="Times New Roman" w:eastAsia="方正仿宋_GBK" w:cs="方正仿宋_GBK"/>
          <w:color w:val="auto"/>
          <w:kern w:val="2"/>
          <w:sz w:val="32"/>
          <w:szCs w:val="32"/>
          <w:highlight w:val="none"/>
          <w:lang w:val="en-US" w:eastAsia="zh-CN" w:bidi="ar-SA"/>
        </w:rPr>
        <w:t>支出决算为55.95万元，完成预算100%，决算数等于预算数持平；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机关事业单位职业年金缴费（06）：</w:t>
      </w:r>
      <w:r>
        <w:rPr>
          <w:rFonts w:hint="eastAsia" w:ascii="Times New Roman" w:hAnsi="Times New Roman" w:eastAsia="方正仿宋_GBK" w:cs="方正仿宋_GBK"/>
          <w:color w:val="auto"/>
          <w:kern w:val="2"/>
          <w:sz w:val="32"/>
          <w:szCs w:val="32"/>
          <w:highlight w:val="none"/>
          <w:lang w:val="en-US" w:eastAsia="zh-CN" w:bidi="ar-SA"/>
        </w:rPr>
        <w:t>支出决算为28.04万元，完成预算100%，决算数等于预算数持平。</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3.卫生健康（210）行政事业单位医疗（11）行政单位医疗（01）：</w:t>
      </w:r>
      <w:r>
        <w:rPr>
          <w:rFonts w:hint="eastAsia" w:ascii="Times New Roman" w:hAnsi="Times New Roman" w:eastAsia="方正仿宋_GBK" w:cs="方正仿宋_GBK"/>
          <w:color w:val="auto"/>
          <w:kern w:val="2"/>
          <w:sz w:val="32"/>
          <w:szCs w:val="32"/>
          <w:highlight w:val="none"/>
          <w:lang w:val="en-US" w:eastAsia="zh-CN" w:bidi="ar-SA"/>
        </w:rPr>
        <w:t>支出决算为25.28万元，完成预算100%，决算数等于预算数持平；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事业单位医疗（02）：</w:t>
      </w:r>
      <w:r>
        <w:rPr>
          <w:rFonts w:hint="eastAsia" w:ascii="Times New Roman" w:hAnsi="Times New Roman" w:eastAsia="方正仿宋_GBK" w:cs="方正仿宋_GBK"/>
          <w:color w:val="auto"/>
          <w:kern w:val="2"/>
          <w:sz w:val="32"/>
          <w:szCs w:val="32"/>
          <w:highlight w:val="none"/>
          <w:lang w:val="en-US" w:eastAsia="zh-CN" w:bidi="ar-SA"/>
        </w:rPr>
        <w:t>支出决算为0.95万元，完成预算100%，决算数等于预算数持平；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公务员医疗补助（03）：</w:t>
      </w:r>
      <w:r>
        <w:rPr>
          <w:rFonts w:hint="eastAsia" w:ascii="Times New Roman" w:hAnsi="Times New Roman" w:eastAsia="方正仿宋_GBK" w:cs="方正仿宋_GBK"/>
          <w:color w:val="auto"/>
          <w:kern w:val="2"/>
          <w:sz w:val="32"/>
          <w:szCs w:val="32"/>
          <w:highlight w:val="none"/>
          <w:lang w:val="en-US" w:eastAsia="zh-CN" w:bidi="ar-SA"/>
        </w:rPr>
        <w:t>支出决算为3.98万元，完成预算100%，决算数等于预算数持平；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其他行政事业单位医疗（99）：</w:t>
      </w:r>
      <w:r>
        <w:rPr>
          <w:rFonts w:hint="eastAsia" w:ascii="Times New Roman" w:hAnsi="Times New Roman" w:eastAsia="方正仿宋_GBK" w:cs="方正仿宋_GBK"/>
          <w:color w:val="auto"/>
          <w:kern w:val="2"/>
          <w:sz w:val="32"/>
          <w:szCs w:val="32"/>
          <w:highlight w:val="none"/>
          <w:lang w:val="en-US" w:eastAsia="zh-CN" w:bidi="ar-SA"/>
        </w:rPr>
        <w:t>支出决算为0.37万元，完成预算100%，决算数等于预算数持平。</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4.住房保障（221）住房改革（02）住房公积金（01）：</w:t>
      </w:r>
      <w:r>
        <w:rPr>
          <w:rFonts w:hint="eastAsia" w:ascii="Times New Roman" w:hAnsi="Times New Roman" w:eastAsia="方正仿宋_GBK" w:cs="方正仿宋_GBK"/>
          <w:color w:val="auto"/>
          <w:kern w:val="2"/>
          <w:sz w:val="32"/>
          <w:szCs w:val="32"/>
          <w:highlight w:val="none"/>
          <w:lang w:val="en-US" w:eastAsia="zh-CN" w:bidi="ar-SA"/>
        </w:rPr>
        <w:t>支出决算为44.95万元，完成预算100%，决算数等于预算数持平；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购房补贴（03）：</w:t>
      </w:r>
      <w:r>
        <w:rPr>
          <w:rFonts w:hint="eastAsia" w:ascii="Times New Roman" w:hAnsi="Times New Roman" w:eastAsia="方正仿宋_GBK" w:cs="方正仿宋_GBK"/>
          <w:color w:val="auto"/>
          <w:kern w:val="2"/>
          <w:sz w:val="32"/>
          <w:szCs w:val="32"/>
          <w:highlight w:val="none"/>
          <w:lang w:val="en-US" w:eastAsia="zh-CN" w:bidi="ar-SA"/>
        </w:rPr>
        <w:t>支出决算为1.20万元，完成预算100%，决算数等于预算数持平。</w:t>
      </w:r>
    </w:p>
    <w:p>
      <w:pPr>
        <w:pageBreakBefore w:val="0"/>
        <w:widowControl w:val="0"/>
        <w:tabs>
          <w:tab w:val="right" w:pos="8306"/>
        </w:tabs>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26" w:name="_Toc15377214"/>
      <w:bookmarkStart w:id="27" w:name="_Toc15396608"/>
      <w:r>
        <w:rPr>
          <w:rFonts w:hint="eastAsia" w:ascii="Times New Roman" w:hAnsi="Times New Roman" w:eastAsia="方正黑体简体" w:cs="方正黑体简体"/>
          <w:color w:val="auto"/>
          <w:kern w:val="2"/>
          <w:sz w:val="32"/>
          <w:szCs w:val="32"/>
          <w:highlight w:val="none"/>
          <w:lang w:val="en-US" w:eastAsia="zh-CN" w:bidi="ar-SA"/>
        </w:rPr>
        <w:t>六、一般公共预算财政拨款基本支出决算情况说明</w:t>
      </w:r>
      <w:bookmarkEnd w:id="26"/>
      <w:bookmarkEnd w:id="27"/>
      <w:r>
        <w:rPr>
          <w:rFonts w:hint="eastAsia" w:ascii="Times New Roman" w:hAnsi="Times New Roman" w:eastAsia="方正黑体简体" w:cs="方正黑体简体"/>
          <w:color w:val="auto"/>
          <w:kern w:val="2"/>
          <w:sz w:val="32"/>
          <w:szCs w:val="32"/>
          <w:highlight w:val="none"/>
          <w:lang w:val="en-US" w:eastAsia="zh-CN" w:bidi="ar-SA"/>
        </w:rPr>
        <w:tab/>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2025年度一般公共预算财政拨款基本支出641.18万元，其中：</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人员经费575.00万元，主要包括：基本工资、津贴补贴、奖金、绩效工资、机关事业单位基本养老保险缴费、职业年金缴费、其他社会保障缴费、生活补助、奖励金、住房公积金等。</w:t>
      </w:r>
      <w:r>
        <w:rPr>
          <w:rFonts w:hint="eastAsia" w:ascii="Times New Roman" w:hAnsi="Times New Roman" w:eastAsia="方正仿宋_GBK" w:cs="方正仿宋_GBK"/>
          <w:color w:val="auto"/>
          <w:kern w:val="2"/>
          <w:sz w:val="32"/>
          <w:szCs w:val="32"/>
          <w:highlight w:val="none"/>
          <w:lang w:val="en-US" w:eastAsia="zh-CN" w:bidi="ar-SA"/>
        </w:rPr>
        <w:br w:type="textWrapping"/>
      </w:r>
      <w:r>
        <w:rPr>
          <w:rFonts w:hint="eastAsia" w:ascii="Times New Roman" w:hAnsi="Times New Roman" w:eastAsia="方正仿宋_GBK" w:cs="方正仿宋_GBK"/>
          <w:color w:val="auto"/>
          <w:kern w:val="2"/>
          <w:sz w:val="32"/>
          <w:szCs w:val="32"/>
          <w:highlight w:val="none"/>
          <w:lang w:val="en-US" w:eastAsia="zh-CN" w:bidi="ar-SA"/>
        </w:rPr>
        <w:t>　　公用经费66.18万元，主要包括：办公费、印刷费、咨询费、水费、电费、邮电费、差旅费、维修（护）费、租赁费、福利费、公务用车运行维护费、其他商品和服务支出等。</w:t>
      </w:r>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28" w:name="_Toc15396609"/>
      <w:bookmarkStart w:id="29" w:name="_Toc15377215"/>
      <w:r>
        <w:rPr>
          <w:rFonts w:hint="eastAsia" w:ascii="Times New Roman" w:hAnsi="Times New Roman" w:eastAsia="方正黑体简体" w:cs="方正黑体简体"/>
          <w:color w:val="auto"/>
          <w:kern w:val="2"/>
          <w:sz w:val="32"/>
          <w:szCs w:val="32"/>
          <w:highlight w:val="none"/>
          <w:lang w:val="en-US" w:eastAsia="zh-CN" w:bidi="ar-SA"/>
        </w:rPr>
        <w:t>七、财政拨款“三公”经费支出决算情况说明</w:t>
      </w:r>
      <w:bookmarkEnd w:id="28"/>
      <w:bookmarkEnd w:id="29"/>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bookmarkStart w:id="30" w:name="_Toc15377216"/>
      <w:r>
        <w:rPr>
          <w:rFonts w:hint="eastAsia" w:ascii="Times New Roman" w:hAnsi="Times New Roman" w:eastAsia="方正楷体_GBK" w:cs="方正楷体_GBK"/>
          <w:b w:val="0"/>
          <w:bCs/>
          <w:color w:val="auto"/>
          <w:sz w:val="32"/>
          <w:szCs w:val="32"/>
          <w:highlight w:val="none"/>
          <w:lang w:val="zh-CN" w:eastAsia="zh-CN"/>
        </w:rPr>
        <w:t>（一）财政拨款“三公”经费支出决算总体情况说明</w:t>
      </w:r>
      <w:bookmarkEnd w:id="30"/>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2025年度财政拨款“三公”经费支出决算为13.73万元，完成预算100%，较上年度减少1.36万元，下降9.01%。决算数等于预算数持平。</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bookmarkStart w:id="31" w:name="_Toc15377217"/>
      <w:r>
        <w:rPr>
          <w:rFonts w:hint="eastAsia" w:ascii="Times New Roman" w:hAnsi="Times New Roman" w:eastAsia="方正楷体_GBK" w:cs="方正楷体_GBK"/>
          <w:b w:val="0"/>
          <w:bCs/>
          <w:color w:val="auto"/>
          <w:sz w:val="32"/>
          <w:szCs w:val="32"/>
          <w:highlight w:val="none"/>
          <w:lang w:val="zh-CN" w:eastAsia="zh-CN"/>
        </w:rPr>
        <w:t>（二）财政拨款“三公”经费支出决算具体情况说明</w:t>
      </w:r>
      <w:bookmarkEnd w:id="31"/>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2025年度财政拨款“三公”经费支出决算中，因公出国（境）费支出决算0万元，占0%；公务用车购置及运行维护费支出决算13.73万元，占100%；公务接待费支出决算0万元，占100%。具体情况如下：</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（图7：财政拨款“三公”经费支出结构）（饼状图）</w:t>
      </w:r>
    </w:p>
    <w:p>
      <w:pPr>
        <w:pStyle w:val="14"/>
        <w:pageBreakBefore w:val="0"/>
        <w:widowControl w:val="0"/>
        <w:kinsoku/>
        <w:wordWrap/>
        <w:overflowPunct/>
        <w:topLinePunct w:val="0"/>
        <w:autoSpaceDE/>
        <w:autoSpaceDN/>
        <w:bidi w:val="0"/>
        <w:adjustRightInd/>
        <w:spacing w:line="576" w:lineRule="exact"/>
        <w:ind w:firstLine="352" w:firstLineChars="200"/>
        <w:textAlignment w:val="auto"/>
        <w:rPr>
          <w:rFonts w:hint="eastAsia" w:ascii="Times New Roman" w:hAnsi="Times New Roman"/>
          <w:lang w:val="en-US" w:eastAsia="zh-CN"/>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lang w:val="en-US" w:eastAsia="zh-CN"/>
        </w:rPr>
        <w:drawing>
          <wp:anchor distT="0" distB="0" distL="114300" distR="114300" simplePos="0" relativeHeight="251665408" behindDoc="0" locked="1" layoutInCell="1" allowOverlap="0">
            <wp:simplePos x="0" y="0"/>
            <wp:positionH relativeFrom="column">
              <wp:posOffset>163830</wp:posOffset>
            </wp:positionH>
            <wp:positionV relativeFrom="page">
              <wp:posOffset>1400175</wp:posOffset>
            </wp:positionV>
            <wp:extent cx="5080000" cy="3810000"/>
            <wp:effectExtent l="4445" t="4445" r="20955" b="14605"/>
            <wp:wrapNone/>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rPr>
          <w:rFonts w:hint="eastAsia" w:ascii="Times New Roman" w:hAnsi="Times New Roman" w:eastAsia="仿宋_GB2312" w:cs="仿宋_GB2312"/>
          <w:b/>
          <w:bCs/>
          <w:color w:val="auto"/>
          <w:kern w:val="2"/>
          <w:sz w:val="32"/>
          <w:szCs w:val="32"/>
          <w:highlight w:val="none"/>
          <w:lang w:val="en-US" w:eastAsia="zh-CN" w:bidi="ar-SA"/>
        </w:rPr>
      </w:pPr>
    </w:p>
    <w:p>
      <w:pPr>
        <w:pStyle w:val="2"/>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textAlignment w:val="auto"/>
        <w:rPr>
          <w:rFonts w:hint="eastAsia" w:ascii="Times New Roman" w:hAnsi="Times New Roman" w:eastAsia="方正仿宋_GBK" w:cs="方正仿宋_GBK"/>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textAlignment w:val="auto"/>
        <w:rPr>
          <w:rFonts w:hint="eastAsia" w:ascii="Times New Roman" w:hAnsi="Times New Roman" w:eastAsia="方正仿宋_GBK" w:cs="方正仿宋_GBK"/>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1.因公出国（境）经费支出0万元，完成预算0%。</w:t>
      </w:r>
      <w:r>
        <w:rPr>
          <w:rFonts w:hint="eastAsia" w:ascii="Times New Roman" w:hAnsi="Times New Roman" w:eastAsia="方正仿宋_GBK" w:cs="方正仿宋_GBK"/>
          <w:color w:val="auto"/>
          <w:kern w:val="2"/>
          <w:sz w:val="32"/>
          <w:szCs w:val="32"/>
          <w:highlight w:val="none"/>
          <w:lang w:val="en-US" w:eastAsia="zh-CN" w:bidi="ar-SA"/>
        </w:rPr>
        <w:t>全年安排因公出国（境）团组0次，出国（境）0人。</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2.公务用车购置及运行维护费支出13.73万元，完成预算100%。</w:t>
      </w:r>
      <w:r>
        <w:rPr>
          <w:rFonts w:hint="eastAsia" w:ascii="Times New Roman" w:hAnsi="Times New Roman" w:eastAsia="方正仿宋_GBK" w:cs="方正仿宋_GBK"/>
          <w:color w:val="auto"/>
          <w:kern w:val="2"/>
          <w:sz w:val="32"/>
          <w:szCs w:val="32"/>
          <w:highlight w:val="none"/>
          <w:lang w:val="en-US" w:eastAsia="zh-CN" w:bidi="ar-SA"/>
        </w:rPr>
        <w:t>公务用车购置及运行维护费支出决算比上年度减少1.36万元，下降9.01%。主要原因是厉行节约，三公经费压缩。</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其中：公务用车购置支出0万元。全年按规定更新购置公务用车0辆，其中：轿车0辆、金额0万元，越野车0辆、金额0万元，载客汽车0辆、金额0万元。截至2025年12月31日，单位共有公务用车3辆，其中：越野车3辆。</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公务用车运行维护费支出13.73万元。主要用于巡察工作所需的公务用车燃料费、维修费、过路过桥费、保险费等支出。</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3.公务接待费支出0万元，完成预算100%。</w:t>
      </w:r>
      <w:r>
        <w:rPr>
          <w:rFonts w:hint="eastAsia" w:ascii="Times New Roman" w:hAnsi="Times New Roman" w:eastAsia="方正仿宋_GBK" w:cs="方正仿宋_GBK"/>
          <w:color w:val="auto"/>
          <w:kern w:val="2"/>
          <w:sz w:val="32"/>
          <w:szCs w:val="32"/>
          <w:highlight w:val="none"/>
          <w:lang w:val="en-US" w:eastAsia="zh-CN" w:bidi="ar-SA"/>
        </w:rPr>
        <w:t>公务接待费支出决算与上年度持平。其中：</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国内公务接待支出0万元。国内公务接待0批次，0人次（不包括陪同人员），共计支出0万元。</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外事接待支出0万元。外事接待0批次，0人次（不包括陪同人员），共计支出0万元。</w:t>
      </w:r>
      <w:bookmarkStart w:id="32" w:name="_Toc15396610"/>
      <w:bookmarkStart w:id="33" w:name="_Toc15377218"/>
    </w:p>
    <w:p>
      <w:pPr>
        <w:pageBreakBefore w:val="0"/>
        <w:widowControl w:val="0"/>
        <w:kinsoku/>
        <w:wordWrap/>
        <w:overflowPunct/>
        <w:topLinePunct w:val="0"/>
        <w:autoSpaceDE/>
        <w:autoSpaceDN/>
        <w:bidi w:val="0"/>
        <w:adjustRightIn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八、政府性基金预算支出决算情况说明</w:t>
      </w:r>
      <w:bookmarkEnd w:id="32"/>
      <w:bookmarkEnd w:id="33"/>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2025年度政府性基金预算财政拨款支出0万元，占本年支出合计的0%。与上年度相比持平。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34" w:name="_Toc15396611"/>
      <w:bookmarkStart w:id="35" w:name="_Toc15377219"/>
      <w:r>
        <w:rPr>
          <w:rFonts w:hint="eastAsia" w:ascii="Times New Roman" w:hAnsi="Times New Roman" w:eastAsia="方正黑体简体" w:cs="方正黑体简体"/>
          <w:color w:val="auto"/>
          <w:kern w:val="2"/>
          <w:sz w:val="32"/>
          <w:szCs w:val="32"/>
          <w:highlight w:val="none"/>
          <w:lang w:val="en-US" w:eastAsia="zh-CN" w:bidi="ar-SA"/>
        </w:rPr>
        <w:t>九、国有资本经营预算支出决算情况说明</w:t>
      </w:r>
      <w:bookmarkEnd w:id="34"/>
      <w:bookmarkEnd w:id="35"/>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2025年度国有资本经营预算财政拨款支出0万元，占本年支出合计的0%。与上年度相比持平。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36" w:name="_Toc15396612"/>
      <w:bookmarkStart w:id="37" w:name="_Toc15377221"/>
      <w:r>
        <w:rPr>
          <w:rFonts w:hint="eastAsia" w:ascii="Times New Roman" w:hAnsi="Times New Roman" w:eastAsia="方正黑体简体" w:cs="方正黑体简体"/>
          <w:color w:val="auto"/>
          <w:kern w:val="2"/>
          <w:sz w:val="32"/>
          <w:szCs w:val="32"/>
          <w:highlight w:val="none"/>
          <w:lang w:val="en-US" w:eastAsia="zh-CN" w:bidi="ar-SA"/>
        </w:rPr>
        <w:t>十、其他重要事项的情况说明</w:t>
      </w:r>
      <w:bookmarkEnd w:id="36"/>
      <w:bookmarkEnd w:id="37"/>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bookmarkStart w:id="38" w:name="_Toc15377222"/>
      <w:r>
        <w:rPr>
          <w:rFonts w:hint="eastAsia" w:ascii="Times New Roman" w:hAnsi="Times New Roman" w:eastAsia="方正楷体_GBK" w:cs="方正楷体_GBK"/>
          <w:b w:val="0"/>
          <w:bCs/>
          <w:color w:val="auto"/>
          <w:sz w:val="32"/>
          <w:szCs w:val="32"/>
          <w:highlight w:val="none"/>
          <w:lang w:val="zh-CN" w:eastAsia="zh-CN"/>
        </w:rPr>
        <w:t>（一）机关运行经费支出情况</w:t>
      </w:r>
      <w:bookmarkEnd w:id="38"/>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2025年度，中共阿坝州委巡察工作领导小组办公室机关运行经费支出66.18万元，比上年度增加8.75万元，增长15.24%。主要原因是人员增加。</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bookmarkStart w:id="39" w:name="_Toc15377223"/>
      <w:r>
        <w:rPr>
          <w:rFonts w:hint="eastAsia" w:ascii="Times New Roman" w:hAnsi="Times New Roman" w:eastAsia="方正楷体_GBK" w:cs="方正楷体_GBK"/>
          <w:b w:val="0"/>
          <w:bCs/>
          <w:color w:val="auto"/>
          <w:sz w:val="32"/>
          <w:szCs w:val="32"/>
          <w:highlight w:val="none"/>
          <w:lang w:val="zh-CN" w:eastAsia="zh-CN"/>
        </w:rPr>
        <w:t>（二）政府采购支出情况</w:t>
      </w:r>
      <w:bookmarkEnd w:id="39"/>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40" w:name="_Toc15377224"/>
      <w:r>
        <w:rPr>
          <w:rFonts w:hint="eastAsia" w:ascii="Times New Roman" w:hAnsi="Times New Roman" w:eastAsia="方正仿宋_GBK" w:cs="方正仿宋_GBK"/>
          <w:color w:val="auto"/>
          <w:kern w:val="2"/>
          <w:sz w:val="32"/>
          <w:szCs w:val="32"/>
          <w:highlight w:val="none"/>
          <w:lang w:val="en-US" w:eastAsia="zh-CN" w:bidi="ar-SA"/>
        </w:rPr>
        <w:t>2025年度，中共阿坝州委巡察工作领导小组办公室政府采购支出总额1.05万元，其中：政府采购货物支出1.05万元、政府采购工程支出0万元、政府采购服务支出0万元。主要办公设备。授予中小企业合同金额0万元，占政府采购支出总额的0%，其中：授予小微企业合同金额0万元，占政府采购支出总额的0%。</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（三）国有资产占有使用情况</w:t>
      </w:r>
      <w:bookmarkEnd w:id="40"/>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截至2025年12月31日，中共阿坝州委巡察工作领导小组办公室共有车辆3辆，其中：副部（省）级及以上领导用车0辆、主要负责人用车0辆、机要通信用车0辆、应急保障用车0辆、执法执勤用车0辆、特种专业技术用车0辆、离退休干部服务用车0辆、其他用车3辆，其他用车主要是用于单位日常公务出行、基层调研督导等工作。单价100万元（含）以上设备（不含车辆）0台（套）。</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（四）预算绩效管理情况</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根据预算绩效管理要求，中共阿坝州委巡察工作领导小组办公室在2025年度组织对巡察专项经费1个项目涉及金额305.25万元开展了事前绩效评估，对1个项目编制了绩效目标，预算执行过程中，选取1个项目开展绩效监控。</w:t>
      </w:r>
    </w:p>
    <w:p>
      <w:pPr>
        <w:pageBreakBefore w:val="0"/>
        <w:widowControl w:val="0"/>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我办对2025年度一般公共预算全面开展绩效自评，形成巡察办部门整体支出绩效评价报告，其中，巡察办部门整体绩效自评得分为94分，绩效自评报告详见附件。</w:t>
      </w:r>
    </w:p>
    <w:p>
      <w:pPr>
        <w:rPr>
          <w:rFonts w:hint="eastAsia" w:ascii="Times New Roman" w:hAnsi="Times New Roman" w:eastAsia="仿宋" w:cs="仿宋"/>
          <w:color w:val="auto"/>
          <w:kern w:val="2"/>
          <w:sz w:val="32"/>
          <w:szCs w:val="32"/>
          <w:highlight w:val="none"/>
          <w:lang w:val="en-US" w:eastAsia="zh-CN" w:bidi="ar-SA"/>
        </w:rPr>
      </w:pPr>
    </w:p>
    <w:p>
      <w:pPr>
        <w:pStyle w:val="2"/>
        <w:ind w:left="0" w:leftChars="0" w:firstLine="0" w:firstLineChars="0"/>
        <w:rPr>
          <w:rFonts w:hint="eastAsia" w:ascii="Times New Roman" w:hAnsi="Times New Roman" w:eastAsia="仿宋" w:cs="仿宋"/>
          <w:color w:val="auto"/>
          <w:kern w:val="2"/>
          <w:sz w:val="32"/>
          <w:szCs w:val="32"/>
          <w:highlight w:val="none"/>
          <w:lang w:val="en-US" w:eastAsia="zh-CN" w:bidi="ar-SA"/>
        </w:rPr>
      </w:pPr>
    </w:p>
    <w:p>
      <w:pPr>
        <w:rPr>
          <w:rFonts w:hint="eastAsia" w:ascii="Times New Roman" w:hAnsi="Times New Roman"/>
          <w:lang w:val="en-US" w:eastAsia="zh-CN"/>
        </w:rPr>
      </w:pPr>
    </w:p>
    <w:p>
      <w:pPr>
        <w:rPr>
          <w:rFonts w:hint="eastAsia" w:ascii="Times New Roman" w:hAnsi="Times New Roman" w:eastAsia="仿宋" w:cs="仿宋"/>
          <w:lang w:val="en-US" w:eastAsia="zh-CN"/>
        </w:rPr>
      </w:pPr>
    </w:p>
    <w:p>
      <w:pPr>
        <w:rPr>
          <w:rFonts w:hint="eastAsia" w:ascii="Times New Roman" w:hAnsi="Times New Roman" w:eastAsia="仿宋" w:cs="仿宋"/>
          <w:lang w:val="en-US" w:eastAsia="zh-CN"/>
        </w:rPr>
      </w:pPr>
    </w:p>
    <w:p>
      <w:pPr>
        <w:pStyle w:val="2"/>
        <w:rPr>
          <w:rFonts w:hint="eastAsia" w:ascii="Times New Roman" w:hAnsi="Times New Roman" w:eastAsia="仿宋" w:cs="仿宋"/>
          <w:lang w:val="en-US" w:eastAsia="zh-CN"/>
        </w:rPr>
      </w:pPr>
    </w:p>
    <w:p>
      <w:pPr>
        <w:pStyle w:val="2"/>
        <w:rPr>
          <w:rFonts w:hint="eastAsia" w:ascii="Times New Roman" w:hAnsi="Times New Roman" w:eastAsia="仿宋" w:cs="仿宋"/>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黑体简体" w:cs="方正黑体简体"/>
          <w:color w:val="auto"/>
          <w:kern w:val="2"/>
          <w:sz w:val="44"/>
          <w:szCs w:val="44"/>
          <w:highlight w:val="none"/>
          <w:lang w:val="en-US" w:eastAsia="zh-CN" w:bidi="ar-SA"/>
        </w:rPr>
      </w:pPr>
      <w:bookmarkStart w:id="41" w:name="_Toc15377225"/>
      <w:bookmarkStart w:id="42" w:name="_Toc15396613"/>
      <w:r>
        <w:rPr>
          <w:rFonts w:hint="eastAsia" w:ascii="Times New Roman" w:hAnsi="Times New Roman" w:eastAsia="方正黑体简体" w:cs="方正黑体简体"/>
          <w:color w:val="auto"/>
          <w:kern w:val="2"/>
          <w:sz w:val="44"/>
          <w:szCs w:val="44"/>
          <w:highlight w:val="none"/>
          <w:lang w:val="zh-CN" w:eastAsia="zh-CN" w:bidi="ar-SA"/>
        </w:rPr>
        <w:t>第三部分</w:t>
      </w:r>
      <w:r>
        <w:rPr>
          <w:rFonts w:hint="eastAsia" w:ascii="Times New Roman" w:hAnsi="Times New Roman" w:eastAsia="方正黑体简体" w:cs="方正黑体简体"/>
          <w:color w:val="auto"/>
          <w:kern w:val="2"/>
          <w:sz w:val="44"/>
          <w:szCs w:val="44"/>
          <w:highlight w:val="none"/>
          <w:lang w:val="en-US" w:eastAsia="zh-CN" w:bidi="ar-SA"/>
        </w:rPr>
        <w:t xml:space="preserve">  </w:t>
      </w:r>
      <w:r>
        <w:rPr>
          <w:rFonts w:hint="eastAsia" w:ascii="Times New Roman" w:hAnsi="Times New Roman" w:eastAsia="方正黑体简体" w:cs="方正黑体简体"/>
          <w:color w:val="auto"/>
          <w:kern w:val="2"/>
          <w:sz w:val="44"/>
          <w:szCs w:val="44"/>
          <w:highlight w:val="none"/>
          <w:lang w:val="zh-CN" w:eastAsia="zh-CN" w:bidi="ar-SA"/>
        </w:rPr>
        <w:t>名词解释</w:t>
      </w:r>
      <w:bookmarkEnd w:id="41"/>
      <w:bookmarkEnd w:id="42"/>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b/>
          <w:bCs/>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1.财政拨款收入：</w:t>
      </w:r>
      <w:r>
        <w:rPr>
          <w:rFonts w:hint="eastAsia" w:ascii="Times New Roman" w:hAnsi="Times New Roman" w:eastAsia="方正仿宋_GBK" w:cs="方正仿宋_GBK"/>
          <w:color w:val="auto"/>
          <w:kern w:val="2"/>
          <w:sz w:val="32"/>
          <w:szCs w:val="32"/>
          <w:highlight w:val="none"/>
          <w:lang w:val="en-US" w:eastAsia="zh-CN" w:bidi="ar-SA"/>
        </w:rPr>
        <w:t>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2.事业收入：</w:t>
      </w:r>
      <w:r>
        <w:rPr>
          <w:rFonts w:hint="eastAsia" w:ascii="Times New Roman" w:hAnsi="Times New Roman" w:eastAsia="方正仿宋_GBK" w:cs="方正仿宋_GBK"/>
          <w:color w:val="auto"/>
          <w:kern w:val="2"/>
          <w:sz w:val="32"/>
          <w:szCs w:val="32"/>
          <w:highlight w:val="none"/>
          <w:lang w:val="en-US" w:eastAsia="zh-CN" w:bidi="ar-SA"/>
        </w:rPr>
        <w:t>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3.经营收入：</w:t>
      </w:r>
      <w:r>
        <w:rPr>
          <w:rFonts w:hint="eastAsia" w:ascii="Times New Roman" w:hAnsi="Times New Roman" w:eastAsia="方正仿宋_GBK" w:cs="方正仿宋_GBK"/>
          <w:color w:val="auto"/>
          <w:kern w:val="2"/>
          <w:sz w:val="32"/>
          <w:szCs w:val="32"/>
          <w:highlight w:val="none"/>
          <w:lang w:val="en-US" w:eastAsia="zh-CN" w:bidi="ar-SA"/>
        </w:rPr>
        <w:t>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4.其他收入：</w:t>
      </w:r>
      <w:r>
        <w:rPr>
          <w:rFonts w:hint="eastAsia" w:ascii="Times New Roman" w:hAnsi="Times New Roman" w:eastAsia="方正仿宋_GBK" w:cs="方正仿宋_GBK"/>
          <w:color w:val="auto"/>
          <w:kern w:val="2"/>
          <w:sz w:val="32"/>
          <w:szCs w:val="32"/>
          <w:highlight w:val="none"/>
          <w:lang w:val="en-US" w:eastAsia="zh-CN" w:bidi="ar-SA"/>
        </w:rPr>
        <w:t>指单位取得的除上述收入以外的各项收入。</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5.使用非财政拨款结余（含专用结余）：</w:t>
      </w:r>
      <w:r>
        <w:rPr>
          <w:rFonts w:hint="eastAsia" w:ascii="Times New Roman" w:hAnsi="Times New Roman" w:eastAsia="方正仿宋_GBK" w:cs="方正仿宋_GBK"/>
          <w:color w:val="auto"/>
          <w:kern w:val="2"/>
          <w:sz w:val="32"/>
          <w:szCs w:val="32"/>
          <w:highlight w:val="none"/>
          <w:lang w:val="en-US" w:eastAsia="zh-CN" w:bidi="ar-SA"/>
        </w:rPr>
        <w:t xml:space="preserve">指事业单位使用以前年度积累的非财政拨款结余弥补当年收支差额的金额。 </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6.年初结转和结余：</w:t>
      </w:r>
      <w:r>
        <w:rPr>
          <w:rFonts w:hint="eastAsia" w:ascii="Times New Roman" w:hAnsi="Times New Roman" w:eastAsia="方正仿宋_GBK" w:cs="方正仿宋_GBK"/>
          <w:color w:val="auto"/>
          <w:kern w:val="2"/>
          <w:sz w:val="32"/>
          <w:szCs w:val="32"/>
          <w:highlight w:val="none"/>
          <w:lang w:val="en-US" w:eastAsia="zh-CN" w:bidi="ar-SA"/>
        </w:rPr>
        <w:t xml:space="preserve">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7.结余分配：</w:t>
      </w:r>
      <w:r>
        <w:rPr>
          <w:rFonts w:hint="eastAsia" w:ascii="Times New Roman" w:hAnsi="Times New Roman" w:eastAsia="方正仿宋_GBK" w:cs="方正仿宋_GBK"/>
          <w:color w:val="auto"/>
          <w:kern w:val="2"/>
          <w:sz w:val="32"/>
          <w:szCs w:val="32"/>
          <w:highlight w:val="none"/>
          <w:lang w:val="en-US" w:eastAsia="zh-CN" w:bidi="ar-SA"/>
        </w:rPr>
        <w:t>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8.年末结转和结余：</w:t>
      </w:r>
      <w:r>
        <w:rPr>
          <w:rFonts w:hint="eastAsia" w:ascii="Times New Roman" w:hAnsi="Times New Roman" w:eastAsia="方正仿宋_GBK" w:cs="方正仿宋_GBK"/>
          <w:color w:val="auto"/>
          <w:kern w:val="2"/>
          <w:sz w:val="32"/>
          <w:szCs w:val="32"/>
          <w:highlight w:val="none"/>
          <w:lang w:val="en-US" w:eastAsia="zh-CN" w:bidi="ar-SA"/>
        </w:rPr>
        <w:t>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9.一般公共服务（201）纪检监察事务（11）行政运行（01）：</w:t>
      </w:r>
      <w:r>
        <w:rPr>
          <w:rFonts w:hint="eastAsia" w:ascii="Times New Roman" w:hAnsi="Times New Roman" w:eastAsia="方正仿宋_GBK" w:cs="方正仿宋_GBK"/>
          <w:color w:val="auto"/>
          <w:kern w:val="2"/>
          <w:sz w:val="32"/>
          <w:szCs w:val="32"/>
          <w:highlight w:val="none"/>
          <w:lang w:val="en-US" w:eastAsia="zh-CN" w:bidi="ar-SA"/>
        </w:rPr>
        <w:t>反映行政单位（包括实行公务员管理的事业单位）的基本支出。</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10.社会保障和就业（208）行政事业单位养老支出（05）机关事业单位基本养老保险缴费支出（05）：</w:t>
      </w:r>
      <w:r>
        <w:rPr>
          <w:rFonts w:hint="eastAsia" w:ascii="Times New Roman" w:hAnsi="Times New Roman" w:eastAsia="方正仿宋_GBK" w:cs="方正仿宋_GBK"/>
          <w:color w:val="auto"/>
          <w:kern w:val="2"/>
          <w:sz w:val="32"/>
          <w:szCs w:val="32"/>
          <w:highlight w:val="none"/>
          <w:lang w:val="en-US" w:eastAsia="zh-CN" w:bidi="ar-SA"/>
        </w:rPr>
        <w:t>反映机关事业单位实施养老保险制度由单位缴纳的基本养老保险费支出。</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11.卫生健康（210）行政事业单位医疗（11）行政单位医疗（01）：</w:t>
      </w:r>
      <w:r>
        <w:rPr>
          <w:rFonts w:hint="eastAsia" w:ascii="Times New Roman" w:hAnsi="Times New Roman" w:eastAsia="方正仿宋_GBK" w:cs="方正仿宋_GBK"/>
          <w:color w:val="auto"/>
          <w:kern w:val="2"/>
          <w:sz w:val="32"/>
          <w:szCs w:val="32"/>
          <w:highlight w:val="none"/>
          <w:lang w:val="en-US" w:eastAsia="zh-CN" w:bidi="ar-SA"/>
        </w:rPr>
        <w:t>反映财政部门安排的行政单位基本医疗保险缴费经费，未参加医疗保险的行政单位的公费医疗经费，按国家规定享受离休人员、红军老战士待遇人员的医疗经费。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12.住房保障（221）住房改革（02）住房公积金（01）：</w:t>
      </w:r>
      <w:r>
        <w:rPr>
          <w:rFonts w:hint="eastAsia" w:ascii="Times New Roman" w:hAnsi="Times New Roman" w:eastAsia="方正仿宋_GBK" w:cs="方正仿宋_GBK"/>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13.基本支出：</w:t>
      </w:r>
      <w:r>
        <w:rPr>
          <w:rFonts w:hint="eastAsia" w:ascii="Times New Roman" w:hAnsi="Times New Roman" w:eastAsia="方正仿宋_GBK" w:cs="方正仿宋_GBK"/>
          <w:color w:val="auto"/>
          <w:kern w:val="2"/>
          <w:sz w:val="32"/>
          <w:szCs w:val="32"/>
          <w:highlight w:val="none"/>
          <w:lang w:val="en-US" w:eastAsia="zh-CN" w:bidi="ar-SA"/>
        </w:rPr>
        <w:t>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14.项目支出：指</w:t>
      </w:r>
      <w:r>
        <w:rPr>
          <w:rFonts w:hint="eastAsia" w:ascii="Times New Roman" w:hAnsi="Times New Roman" w:eastAsia="方正仿宋_GBK" w:cs="方正仿宋_GBK"/>
          <w:color w:val="auto"/>
          <w:kern w:val="2"/>
          <w:sz w:val="32"/>
          <w:szCs w:val="32"/>
          <w:highlight w:val="none"/>
          <w:lang w:val="en-US" w:eastAsia="zh-CN" w:bidi="ar-SA"/>
        </w:rPr>
        <w:t xml:space="preserve">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15.“三公”经费：</w:t>
      </w:r>
      <w:r>
        <w:rPr>
          <w:rFonts w:hint="eastAsia" w:ascii="Times New Roman" w:hAnsi="Times New Roman" w:eastAsia="方正仿宋_GBK" w:cs="方正仿宋_GBK"/>
          <w:color w:val="auto"/>
          <w:kern w:val="2"/>
          <w:sz w:val="32"/>
          <w:szCs w:val="32"/>
          <w:highlight w:val="none"/>
          <w:lang w:val="en-US" w:eastAsia="zh-CN"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spacing w:line="576" w:lineRule="exact"/>
        <w:ind w:firstLine="632" w:firstLineChars="200"/>
        <w:textAlignment w:val="auto"/>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16.机关运行经费：</w:t>
      </w:r>
      <w:r>
        <w:rPr>
          <w:rFonts w:hint="eastAsia" w:ascii="Times New Roman" w:hAnsi="Times New Roman" w:eastAsia="方正仿宋_GBK" w:cs="方正仿宋_GBK"/>
          <w:b w:val="0"/>
          <w:bCs w:val="0"/>
          <w:color w:val="auto"/>
          <w:kern w:val="2"/>
          <w:sz w:val="32"/>
          <w:szCs w:val="32"/>
          <w:highlight w:val="none"/>
          <w:lang w:val="en-US" w:eastAsia="zh-CN" w:bidi="ar-SA"/>
        </w:rPr>
        <w:t>为</w:t>
      </w:r>
      <w:r>
        <w:rPr>
          <w:rFonts w:hint="eastAsia" w:ascii="Times New Roman" w:hAnsi="Times New Roman" w:eastAsia="方正仿宋_GBK" w:cs="方正仿宋_GBK"/>
          <w:color w:val="auto"/>
          <w:kern w:val="2"/>
          <w:sz w:val="32"/>
          <w:szCs w:val="32"/>
          <w:highlight w:val="none"/>
          <w:lang w:val="en-US" w:eastAsia="zh-CN" w:bidi="ar-SA"/>
        </w:rPr>
        <w:t>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黑体" w:cs="方正小标宋简体"/>
          <w:color w:val="auto"/>
          <w:sz w:val="44"/>
          <w:szCs w:val="44"/>
          <w:highlight w:val="none"/>
          <w:lang w:val="en-US" w:eastAsia="zh-CN"/>
        </w:rPr>
      </w:pPr>
      <w:bookmarkStart w:id="4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4" w:name="_Toc15396614"/>
      <w:r>
        <w:rPr>
          <w:rFonts w:hint="eastAsia" w:ascii="Times New Roman" w:hAnsi="Times New Roman" w:eastAsia="方正黑体简体" w:cs="方正黑体简体"/>
          <w:color w:val="auto"/>
          <w:kern w:val="2"/>
          <w:sz w:val="44"/>
          <w:szCs w:val="44"/>
          <w:highlight w:val="none"/>
          <w:lang w:val="zh-CN" w:eastAsia="zh-CN" w:bidi="ar-SA"/>
        </w:rPr>
        <w:t>第四部分</w:t>
      </w:r>
      <w:r>
        <w:rPr>
          <w:rFonts w:hint="eastAsia" w:ascii="Times New Roman" w:hAnsi="Times New Roman" w:eastAsia="方正黑体简体" w:cs="方正黑体简体"/>
          <w:color w:val="auto"/>
          <w:kern w:val="2"/>
          <w:sz w:val="44"/>
          <w:szCs w:val="44"/>
          <w:highlight w:val="none"/>
          <w:lang w:val="en-US" w:eastAsia="zh-CN" w:bidi="ar-SA"/>
        </w:rPr>
        <w:t xml:space="preserve"> </w:t>
      </w:r>
      <w:r>
        <w:rPr>
          <w:rFonts w:hint="eastAsia" w:ascii="Times New Roman" w:hAnsi="Times New Roman" w:eastAsia="方正黑体简体" w:cs="方正黑体简体"/>
          <w:color w:val="auto"/>
          <w:kern w:val="2"/>
          <w:sz w:val="44"/>
          <w:szCs w:val="44"/>
          <w:highlight w:val="none"/>
          <w:lang w:val="zh-CN" w:eastAsia="zh-CN" w:bidi="ar-SA"/>
        </w:rPr>
        <w:t xml:space="preserve"> 附件</w:t>
      </w:r>
      <w:bookmarkEnd w:id="44"/>
    </w:p>
    <w:p>
      <w:pPr>
        <w:keepNext w:val="0"/>
        <w:keepLines w:val="0"/>
        <w:pageBreakBefore w:val="0"/>
        <w:widowControl/>
        <w:kinsoku/>
        <w:wordWrap/>
        <w:overflowPunct/>
        <w:topLinePunct w:val="0"/>
        <w:autoSpaceDE/>
        <w:autoSpaceDN/>
        <w:bidi w:val="0"/>
        <w:spacing w:line="576" w:lineRule="exact"/>
        <w:ind w:firstLine="872" w:firstLineChars="20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adjustRightInd/>
        <w:snapToGrid/>
        <w:spacing w:line="576" w:lineRule="exact"/>
        <w:ind w:firstLine="0" w:firstLineChars="0"/>
        <w:contextualSpacing/>
        <w:jc w:val="center"/>
        <w:textAlignment w:val="auto"/>
        <w:rPr>
          <w:rFonts w:hint="eastAsia" w:ascii="Times New Roman" w:hAnsi="Times New Roman" w:eastAsia="方正小标宋简体" w:cs="方正小标宋简体"/>
          <w:b w:val="0"/>
          <w:bCs/>
          <w:color w:val="auto"/>
          <w:sz w:val="44"/>
          <w:szCs w:val="44"/>
          <w:shd w:val="clear" w:color="auto" w:fill="FFFFFF"/>
          <w:lang w:eastAsia="zh-CN"/>
        </w:rPr>
      </w:pPr>
      <w:r>
        <w:rPr>
          <w:rFonts w:hint="eastAsia" w:ascii="Times New Roman" w:hAnsi="Times New Roman" w:eastAsia="方正小标宋简体" w:cs="方正小标宋简体"/>
          <w:b w:val="0"/>
          <w:bCs/>
          <w:color w:val="auto"/>
          <w:sz w:val="44"/>
          <w:szCs w:val="44"/>
          <w:shd w:val="clear" w:color="auto" w:fill="FFFFFF"/>
          <w:lang w:eastAsia="zh-CN"/>
        </w:rPr>
        <w:t>中共阿坝州委巡察工作领导小组办公室</w:t>
      </w:r>
    </w:p>
    <w:p>
      <w:pPr>
        <w:keepNext w:val="0"/>
        <w:keepLines w:val="0"/>
        <w:pageBreakBefore w:val="0"/>
        <w:widowControl/>
        <w:kinsoku/>
        <w:wordWrap/>
        <w:overflowPunct/>
        <w:topLinePunct w:val="0"/>
        <w:autoSpaceDE/>
        <w:autoSpaceDN/>
        <w:bidi w:val="0"/>
        <w:adjustRightInd/>
        <w:snapToGrid/>
        <w:spacing w:line="576" w:lineRule="exact"/>
        <w:ind w:firstLine="0" w:firstLineChars="0"/>
        <w:contextualSpacing/>
        <w:jc w:val="center"/>
        <w:textAlignment w:val="auto"/>
        <w:outlineLvl w:val="9"/>
        <w:rPr>
          <w:rFonts w:hint="eastAsia" w:ascii="Times New Roman" w:hAnsi="Times New Roman" w:eastAsia="方正小标宋简体" w:cs="方正小标宋简体"/>
          <w:b w:val="0"/>
          <w:bCs/>
          <w:color w:val="auto"/>
          <w:sz w:val="44"/>
          <w:szCs w:val="44"/>
          <w:shd w:val="clear" w:color="auto" w:fill="FFFFFF"/>
        </w:rPr>
      </w:pPr>
      <w:r>
        <w:rPr>
          <w:rFonts w:hint="eastAsia" w:ascii="Times New Roman" w:hAnsi="Times New Roman" w:eastAsia="方正小标宋简体" w:cs="方正小标宋简体"/>
          <w:b w:val="0"/>
          <w:bCs/>
          <w:color w:val="auto"/>
          <w:sz w:val="44"/>
          <w:szCs w:val="44"/>
          <w:shd w:val="clear" w:color="auto" w:fill="FFFFFF"/>
          <w:lang w:eastAsia="zh-CN"/>
        </w:rPr>
        <w:t>关于</w:t>
      </w:r>
      <w:r>
        <w:rPr>
          <w:rFonts w:hint="eastAsia" w:ascii="Times New Roman" w:hAnsi="Times New Roman" w:eastAsia="方正小标宋简体" w:cs="方正小标宋简体"/>
          <w:b w:val="0"/>
          <w:bCs/>
          <w:color w:val="auto"/>
          <w:sz w:val="44"/>
          <w:szCs w:val="44"/>
          <w:shd w:val="clear" w:color="auto" w:fill="FFFFFF"/>
          <w:lang w:val="en-US" w:eastAsia="zh-CN"/>
        </w:rPr>
        <w:t>2025</w:t>
      </w:r>
      <w:r>
        <w:rPr>
          <w:rFonts w:hint="eastAsia" w:ascii="Times New Roman" w:hAnsi="Times New Roman" w:eastAsia="方正小标宋简体" w:cs="方正小标宋简体"/>
          <w:b w:val="0"/>
          <w:bCs/>
          <w:color w:val="auto"/>
          <w:sz w:val="44"/>
          <w:szCs w:val="44"/>
          <w:shd w:val="clear" w:color="auto" w:fill="FFFFFF"/>
        </w:rPr>
        <w:t>年州级部门整体支出绩效</w:t>
      </w:r>
    </w:p>
    <w:p>
      <w:pPr>
        <w:keepNext w:val="0"/>
        <w:keepLines w:val="0"/>
        <w:pageBreakBefore w:val="0"/>
        <w:widowControl/>
        <w:kinsoku/>
        <w:wordWrap/>
        <w:overflowPunct/>
        <w:topLinePunct w:val="0"/>
        <w:autoSpaceDE/>
        <w:autoSpaceDN/>
        <w:bidi w:val="0"/>
        <w:adjustRightInd/>
        <w:snapToGrid/>
        <w:spacing w:line="576" w:lineRule="exact"/>
        <w:ind w:firstLine="0" w:firstLineChars="0"/>
        <w:contextualSpacing/>
        <w:jc w:val="center"/>
        <w:textAlignment w:val="auto"/>
        <w:outlineLvl w:val="9"/>
        <w:rPr>
          <w:rFonts w:hint="eastAsia" w:ascii="Times New Roman" w:hAnsi="Times New Roman" w:eastAsia="黑体" w:cs="黑体"/>
          <w:color w:val="FF0000"/>
          <w:sz w:val="36"/>
          <w:szCs w:val="36"/>
          <w:highlight w:val="none"/>
          <w:shd w:val="clear" w:color="auto" w:fill="FFFFFF"/>
        </w:rPr>
      </w:pPr>
      <w:r>
        <w:rPr>
          <w:rFonts w:hint="eastAsia" w:ascii="Times New Roman" w:hAnsi="Times New Roman" w:eastAsia="方正小标宋简体" w:cs="方正小标宋简体"/>
          <w:b w:val="0"/>
          <w:bCs/>
          <w:color w:val="auto"/>
          <w:sz w:val="44"/>
          <w:szCs w:val="44"/>
          <w:shd w:val="clear" w:color="auto" w:fill="FFFFFF"/>
        </w:rPr>
        <w:t>评价报告</w:t>
      </w:r>
    </w:p>
    <w:p>
      <w:pPr>
        <w:keepNext w:val="0"/>
        <w:keepLines w:val="0"/>
        <w:pageBreakBefore w:val="0"/>
        <w:widowControl/>
        <w:kinsoku/>
        <w:wordWrap/>
        <w:overflowPunct/>
        <w:topLinePunct w:val="0"/>
        <w:autoSpaceDE/>
        <w:autoSpaceDN/>
        <w:bidi w:val="0"/>
        <w:adjustRightInd w:val="0"/>
        <w:snapToGrid w:val="0"/>
        <w:spacing w:line="576" w:lineRule="exact"/>
        <w:ind w:firstLine="472"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黑体简体" w:cs="方正黑体简体"/>
          <w:color w:val="auto"/>
          <w:kern w:val="2"/>
          <w:sz w:val="32"/>
          <w:szCs w:val="32"/>
          <w:highlight w:val="none"/>
          <w:lang w:val="zh-CN" w:eastAsia="zh-CN" w:bidi="ar-SA"/>
        </w:rPr>
      </w:pPr>
      <w:r>
        <w:rPr>
          <w:rFonts w:hint="eastAsia" w:ascii="Times New Roman" w:hAnsi="Times New Roman" w:eastAsia="方正黑体简体" w:cs="方正黑体简体"/>
          <w:color w:val="auto"/>
          <w:kern w:val="2"/>
          <w:sz w:val="32"/>
          <w:szCs w:val="32"/>
          <w:highlight w:val="none"/>
          <w:lang w:val="zh-CN" w:eastAsia="zh-CN" w:bidi="ar-SA"/>
        </w:rPr>
        <w:t>一、</w:t>
      </w:r>
      <w:r>
        <w:rPr>
          <w:rFonts w:hint="default" w:ascii="Times New Roman" w:hAnsi="Times New Roman" w:eastAsia="方正黑体简体" w:cs="方正黑体简体"/>
          <w:color w:val="auto"/>
          <w:kern w:val="2"/>
          <w:sz w:val="32"/>
          <w:szCs w:val="32"/>
          <w:highlight w:val="none"/>
          <w:lang w:val="zh-CN" w:eastAsia="zh-CN" w:bidi="ar-SA"/>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州委巡察办属一级预算单位，无下属二级预算单位，其中：行政单位1个，无参照公务员法管理的事业单位，1个其他事业单位。</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w:t>
      </w:r>
      <w:r>
        <w:rPr>
          <w:rFonts w:hint="eastAsia" w:ascii="Times New Roman" w:hAnsi="Times New Roman" w:eastAsia="方正楷体_GBK" w:cs="方正楷体_GBK"/>
          <w:b w:val="0"/>
          <w:bCs/>
          <w:color w:val="auto"/>
          <w:sz w:val="32"/>
          <w:szCs w:val="32"/>
          <w:highlight w:val="none"/>
          <w:lang w:val="en-US" w:eastAsia="zh-CN"/>
        </w:rPr>
        <w:t>二</w:t>
      </w:r>
      <w:r>
        <w:rPr>
          <w:rFonts w:hint="eastAsia" w:ascii="Times New Roman" w:hAnsi="Times New Roman" w:eastAsia="方正楷体_GBK" w:cs="方正楷体_GBK"/>
          <w:b w:val="0"/>
          <w:bCs/>
          <w:color w:val="auto"/>
          <w:sz w:val="32"/>
          <w:szCs w:val="32"/>
          <w:highlight w:val="none"/>
          <w:lang w:val="zh-CN" w:eastAsia="zh-CN"/>
        </w:rPr>
        <w:t>）</w:t>
      </w:r>
      <w:r>
        <w:rPr>
          <w:rFonts w:hint="default" w:ascii="Times New Roman" w:hAnsi="Times New Roman" w:eastAsia="方正楷体_GBK" w:cs="方正楷体_GBK"/>
          <w:b w:val="0"/>
          <w:bCs/>
          <w:color w:val="auto"/>
          <w:sz w:val="32"/>
          <w:szCs w:val="32"/>
          <w:highlight w:val="none"/>
          <w:lang w:val="zh-CN" w:eastAsia="zh-CN"/>
        </w:rPr>
        <w:t>机构职能</w:t>
      </w:r>
      <w:r>
        <w:rPr>
          <w:rFonts w:hint="eastAsia" w:ascii="Times New Roman" w:hAnsi="Times New Roman" w:eastAsia="方正楷体_GBK" w:cs="方正楷体_GBK"/>
          <w:b w:val="0"/>
          <w:bCs/>
          <w:color w:val="auto"/>
          <w:sz w:val="32"/>
          <w:szCs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向省委巡视工作领导小组办公室报送巡察工作规划、年度计划、年度巡察工作总结、重要情况和信息；向州委巡察工作领导小组报告工作情况，传达贯彻州委巡察工作领导小组的决策和部署；统筹、协调、指导巡察组开展工作；承担政策研究、制度建设等工作；对州委和州委巡察工作领导小组决定的事项进行督办；配合州纪委、州委组织部等部门对巡察工作人员进行培训、考核、监督和管理；健全与纪检、政法、组织、审计、信访等机关和部门的联系机制，负责与其进行沟通衔接；办理州委巡察工作领导小组和上级巡视工作领导小组办公室交办的其他事项。</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（三）</w:t>
      </w:r>
      <w:r>
        <w:rPr>
          <w:rFonts w:hint="default" w:ascii="Times New Roman" w:hAnsi="Times New Roman" w:eastAsia="方正楷体_GBK" w:cs="方正楷体_GBK"/>
          <w:b w:val="0"/>
          <w:bCs/>
          <w:color w:val="auto"/>
          <w:sz w:val="32"/>
          <w:szCs w:val="32"/>
          <w:highlight w:val="none"/>
          <w:lang w:val="zh-CN" w:eastAsia="zh-CN"/>
        </w:rPr>
        <w:t>人员概况</w:t>
      </w:r>
      <w:r>
        <w:rPr>
          <w:rFonts w:hint="eastAsia" w:ascii="Times New Roman" w:hAnsi="Times New Roman" w:eastAsia="方正楷体_GBK" w:cs="方正楷体_GBK"/>
          <w:b w:val="0"/>
          <w:bCs/>
          <w:color w:val="auto"/>
          <w:sz w:val="32"/>
          <w:szCs w:val="32"/>
          <w:highlight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32"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州委巡察办行政编制16名，其中，巡察办主任1名、副主任1名，正县级普通工作人员4名，巡察组组长4名(正县级)，副组长4名(副县级)，巡察专员4名(由副组长兼任)，普通工作人员2名。机关工勤人员事业编制2名。巡察事务中心事业编5名，普通工作人员4名。年末，实际有巡察办主任、副主任各1名，巡察组组长4名，副组长4名，正县级普通工作人员4名，普通工作人员2名，工勤人员1名，察事务中心普通工作人员4名，共21人。</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黑体简体" w:cs="方正黑体简体"/>
          <w:color w:val="auto"/>
          <w:kern w:val="2"/>
          <w:sz w:val="32"/>
          <w:szCs w:val="32"/>
          <w:highlight w:val="none"/>
          <w:lang w:val="zh-CN" w:eastAsia="zh-CN" w:bidi="ar-SA"/>
        </w:rPr>
      </w:pPr>
      <w:r>
        <w:rPr>
          <w:rFonts w:hint="default" w:ascii="Times New Roman" w:hAnsi="Times New Roman" w:eastAsia="方正黑体简体" w:cs="方正黑体简体"/>
          <w:color w:val="auto"/>
          <w:kern w:val="2"/>
          <w:sz w:val="32"/>
          <w:szCs w:val="32"/>
          <w:highlight w:val="none"/>
          <w:lang w:val="zh-CN" w:eastAsia="zh-CN" w:bidi="ar-SA"/>
        </w:rPr>
        <w:t>二、部门资金收支情况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楷体_GBK" w:cs="方正楷体_GBK"/>
          <w:b w:val="0"/>
          <w:bCs/>
          <w:color w:val="auto"/>
          <w:sz w:val="32"/>
          <w:szCs w:val="32"/>
          <w:highlight w:val="none"/>
          <w:lang w:val="zh-CN" w:eastAsia="zh-CN"/>
        </w:rPr>
      </w:pPr>
      <w:r>
        <w:rPr>
          <w:rFonts w:hint="default" w:ascii="Times New Roman" w:hAnsi="Times New Roman" w:eastAsia="方正楷体_GBK" w:cs="方正楷体_GBK"/>
          <w:b w:val="0"/>
          <w:bCs/>
          <w:color w:val="auto"/>
          <w:sz w:val="32"/>
          <w:szCs w:val="32"/>
          <w:highlight w:val="none"/>
          <w:lang w:val="zh-CN" w:eastAsia="zh-CN"/>
        </w:rPr>
        <w:t>（一）</w:t>
      </w:r>
      <w:r>
        <w:rPr>
          <w:rFonts w:hint="eastAsia" w:ascii="Times New Roman" w:hAnsi="Times New Roman" w:eastAsia="方正楷体_GBK" w:cs="方正楷体_GBK"/>
          <w:b w:val="0"/>
          <w:bCs/>
          <w:color w:val="auto"/>
          <w:sz w:val="32"/>
          <w:szCs w:val="32"/>
          <w:highlight w:val="none"/>
          <w:lang w:val="zh-CN" w:eastAsia="zh-CN"/>
        </w:rPr>
        <w:t>收入情况</w:t>
      </w:r>
      <w:r>
        <w:rPr>
          <w:rFonts w:hint="default" w:ascii="Times New Roman" w:hAnsi="Times New Roman" w:eastAsia="方正楷体_GBK" w:cs="方正楷体_GBK"/>
          <w:b w:val="0"/>
          <w:bCs/>
          <w:color w:val="auto"/>
          <w:sz w:val="32"/>
          <w:szCs w:val="32"/>
          <w:highlight w:val="none"/>
          <w:lang w:val="zh-CN" w:eastAsia="zh-CN"/>
        </w:rPr>
        <w:t>。</w:t>
      </w:r>
    </w:p>
    <w:p>
      <w:pPr>
        <w:pStyle w:val="2"/>
        <w:keepNext w:val="0"/>
        <w:keepLines w:val="0"/>
        <w:pageBreakBefore w:val="0"/>
        <w:kinsoku/>
        <w:wordWrap/>
        <w:overflowPunct/>
        <w:topLinePunct w:val="0"/>
        <w:autoSpaceDE/>
        <w:autoSpaceDN/>
        <w:bidi w:val="0"/>
        <w:spacing w:line="576" w:lineRule="exact"/>
        <w:ind w:left="0" w:leftChars="0" w:firstLine="632" w:firstLineChars="200"/>
        <w:textAlignment w:val="auto"/>
        <w:rPr>
          <w:rFonts w:hint="default"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州委巡察办本年度的部门财政资金总收入为</w:t>
      </w:r>
      <w:r>
        <w:rPr>
          <w:rFonts w:hint="eastAsia" w:ascii="Times New Roman" w:hAnsi="Times New Roman" w:eastAsia="方正仿宋_GBK" w:cs="方正仿宋_GBK"/>
          <w:color w:val="auto"/>
          <w:kern w:val="2"/>
          <w:sz w:val="32"/>
          <w:szCs w:val="32"/>
          <w:highlight w:val="none"/>
          <w:lang w:val="en-US" w:eastAsia="zh-CN" w:bidi="ar-SA"/>
        </w:rPr>
        <w:t>946.43万元，其中公用经费为66.18万元，占总收入的6.99%，人员经费为575.00万元，占总收入60.75%，项目经费305.25万元，占总收入的32.25%。</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w:t>
      </w:r>
      <w:r>
        <w:rPr>
          <w:rFonts w:hint="eastAsia" w:ascii="Times New Roman" w:hAnsi="Times New Roman" w:eastAsia="方正楷体_GBK" w:cs="方正楷体_GBK"/>
          <w:b w:val="0"/>
          <w:bCs/>
          <w:color w:val="auto"/>
          <w:sz w:val="32"/>
          <w:szCs w:val="32"/>
          <w:highlight w:val="none"/>
          <w:lang w:val="en-US" w:eastAsia="zh-CN"/>
        </w:rPr>
        <w:t>二</w:t>
      </w:r>
      <w:r>
        <w:rPr>
          <w:rFonts w:hint="eastAsia" w:ascii="Times New Roman" w:hAnsi="Times New Roman" w:eastAsia="方正楷体_GBK" w:cs="方正楷体_GBK"/>
          <w:b w:val="0"/>
          <w:bCs/>
          <w:color w:val="auto"/>
          <w:sz w:val="32"/>
          <w:szCs w:val="32"/>
          <w:highlight w:val="none"/>
          <w:lang w:val="zh-CN" w:eastAsia="zh-CN"/>
        </w:rPr>
        <w:t>）支出情况</w:t>
      </w:r>
      <w:r>
        <w:rPr>
          <w:rFonts w:hint="default" w:ascii="Times New Roman" w:hAnsi="Times New Roman" w:eastAsia="方正楷体_GBK" w:cs="方正楷体_GBK"/>
          <w:b w:val="0"/>
          <w:bCs/>
          <w:color w:val="auto"/>
          <w:sz w:val="32"/>
          <w:szCs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zh-CN" w:eastAsia="zh-CN" w:bidi="ar-SA"/>
        </w:rPr>
        <w:t>州委巡察办本年度</w:t>
      </w:r>
      <w:r>
        <w:rPr>
          <w:rFonts w:hint="eastAsia" w:ascii="Times New Roman" w:hAnsi="Times New Roman" w:eastAsia="方正仿宋_GBK" w:cs="方正仿宋_GBK"/>
          <w:color w:val="auto"/>
          <w:kern w:val="2"/>
          <w:sz w:val="32"/>
          <w:szCs w:val="32"/>
          <w:highlight w:val="none"/>
          <w:lang w:val="en-US" w:eastAsia="zh-CN" w:bidi="ar-SA"/>
        </w:rPr>
        <w:t>1月至12月</w:t>
      </w:r>
      <w:r>
        <w:rPr>
          <w:rFonts w:hint="eastAsia" w:ascii="Times New Roman" w:hAnsi="Times New Roman" w:eastAsia="方正仿宋_GBK" w:cs="方正仿宋_GBK"/>
          <w:color w:val="auto"/>
          <w:kern w:val="2"/>
          <w:sz w:val="32"/>
          <w:szCs w:val="32"/>
          <w:highlight w:val="none"/>
          <w:lang w:val="zh-CN" w:eastAsia="zh-CN" w:bidi="ar-SA"/>
        </w:rPr>
        <w:t>的部门财政资金总支出为</w:t>
      </w:r>
      <w:r>
        <w:rPr>
          <w:rFonts w:hint="eastAsia" w:ascii="Times New Roman" w:hAnsi="Times New Roman" w:eastAsia="方正仿宋_GBK" w:cs="方正仿宋_GBK"/>
          <w:color w:val="auto"/>
          <w:kern w:val="2"/>
          <w:sz w:val="32"/>
          <w:szCs w:val="32"/>
          <w:highlight w:val="none"/>
          <w:lang w:val="en-US" w:eastAsia="zh-CN" w:bidi="ar-SA"/>
        </w:rPr>
        <w:t>946.43万元，其中公用经费为66.18万元，占总支出的6.99%，人员经费为575.00万元，占总支出的60.75%，项目支出305.25万元，占总支出的32.25%。</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w:t>
      </w:r>
      <w:r>
        <w:rPr>
          <w:rFonts w:hint="eastAsia" w:ascii="Times New Roman" w:hAnsi="Times New Roman" w:eastAsia="方正楷体_GBK" w:cs="方正楷体_GBK"/>
          <w:b w:val="0"/>
          <w:bCs/>
          <w:color w:val="auto"/>
          <w:sz w:val="32"/>
          <w:szCs w:val="32"/>
          <w:highlight w:val="none"/>
          <w:lang w:val="en-US" w:eastAsia="zh-CN"/>
        </w:rPr>
        <w:t>三</w:t>
      </w:r>
      <w:r>
        <w:rPr>
          <w:rFonts w:hint="eastAsia" w:ascii="Times New Roman" w:hAnsi="Times New Roman" w:eastAsia="方正楷体_GBK" w:cs="方正楷体_GBK"/>
          <w:b w:val="0"/>
          <w:bCs/>
          <w:color w:val="auto"/>
          <w:sz w:val="32"/>
          <w:szCs w:val="32"/>
          <w:highlight w:val="none"/>
          <w:lang w:val="zh-CN" w:eastAsia="zh-CN"/>
        </w:rPr>
        <w:t>）</w:t>
      </w:r>
      <w:r>
        <w:rPr>
          <w:rFonts w:hint="default" w:ascii="Times New Roman" w:hAnsi="Times New Roman" w:eastAsia="方正楷体_GBK" w:cs="方正楷体_GBK"/>
          <w:b w:val="0"/>
          <w:bCs/>
          <w:color w:val="auto"/>
          <w:sz w:val="32"/>
          <w:szCs w:val="32"/>
          <w:highlight w:val="none"/>
          <w:lang w:val="zh-CN" w:eastAsia="zh-CN"/>
        </w:rPr>
        <w:t>结余分配和结转结余情况</w:t>
      </w:r>
      <w:r>
        <w:rPr>
          <w:rFonts w:hint="eastAsia" w:ascii="Times New Roman" w:hAnsi="Times New Roman" w:eastAsia="方正楷体_GBK" w:cs="方正楷体_GBK"/>
          <w:b w:val="0"/>
          <w:bCs/>
          <w:color w:val="auto"/>
          <w:sz w:val="32"/>
          <w:szCs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rPr>
          <w:rFonts w:hint="default"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我办无结转结余情况。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黑体简体" w:cs="方正黑体简体"/>
          <w:color w:val="auto"/>
          <w:kern w:val="2"/>
          <w:sz w:val="32"/>
          <w:szCs w:val="32"/>
          <w:highlight w:val="none"/>
          <w:lang w:val="zh-CN" w:eastAsia="zh-CN" w:bidi="ar-SA"/>
        </w:rPr>
      </w:pPr>
      <w:r>
        <w:rPr>
          <w:rFonts w:hint="default" w:ascii="Times New Roman" w:hAnsi="Times New Roman" w:eastAsia="方正黑体简体" w:cs="方正黑体简体"/>
          <w:color w:val="auto"/>
          <w:kern w:val="2"/>
          <w:sz w:val="32"/>
          <w:szCs w:val="32"/>
          <w:highlight w:val="none"/>
          <w:lang w:val="zh-CN" w:eastAsia="zh-CN" w:bidi="ar-SA"/>
        </w:rPr>
        <w:t>三、部门预算绩效分析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楷体_GBK" w:cs="方正楷体_GBK"/>
          <w:b w:val="0"/>
          <w:bCs/>
          <w:color w:val="auto"/>
          <w:sz w:val="32"/>
          <w:szCs w:val="32"/>
          <w:highlight w:val="none"/>
          <w:lang w:val="zh-CN" w:eastAsia="zh-CN"/>
        </w:rPr>
      </w:pPr>
      <w:r>
        <w:rPr>
          <w:rFonts w:hint="default" w:ascii="Times New Roman" w:hAnsi="Times New Roman" w:eastAsia="方正楷体_GBK" w:cs="方正楷体_GBK"/>
          <w:b w:val="0"/>
          <w:bCs/>
          <w:color w:val="auto"/>
          <w:sz w:val="32"/>
          <w:szCs w:val="32"/>
          <w:highlight w:val="none"/>
          <w:lang w:val="zh-CN" w:eastAsia="zh-CN"/>
        </w:rPr>
        <w:t>（一）</w:t>
      </w:r>
      <w:r>
        <w:rPr>
          <w:rFonts w:hint="eastAsia" w:ascii="Times New Roman" w:hAnsi="Times New Roman" w:eastAsia="方正楷体_GBK" w:cs="方正楷体_GBK"/>
          <w:b w:val="0"/>
          <w:bCs/>
          <w:color w:val="auto"/>
          <w:sz w:val="32"/>
          <w:szCs w:val="32"/>
          <w:highlight w:val="none"/>
          <w:lang w:val="zh-CN" w:eastAsia="zh-CN"/>
        </w:rPr>
        <w:t>部门预算</w:t>
      </w:r>
      <w:r>
        <w:rPr>
          <w:rFonts w:hint="default" w:ascii="Times New Roman" w:hAnsi="Times New Roman" w:eastAsia="方正楷体_GBK" w:cs="方正楷体_GBK"/>
          <w:b w:val="0"/>
          <w:bCs/>
          <w:color w:val="auto"/>
          <w:sz w:val="32"/>
          <w:szCs w:val="32"/>
          <w:highlight w:val="none"/>
          <w:lang w:val="zh-CN" w:eastAsia="zh-CN"/>
        </w:rPr>
        <w:t>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w:t>
      </w:r>
      <w:r>
        <w:rPr>
          <w:rFonts w:hint="eastAsia" w:ascii="Times New Roman" w:hAnsi="Times New Roman" w:eastAsia="方正仿宋_GBK" w:cs="方正仿宋_GBK"/>
          <w:b/>
          <w:bCs/>
          <w:color w:val="auto"/>
          <w:kern w:val="2"/>
          <w:sz w:val="32"/>
          <w:szCs w:val="32"/>
          <w:highlight w:val="none"/>
          <w:lang w:val="zh-CN" w:eastAsia="zh-CN" w:bidi="ar-SA"/>
        </w:rPr>
        <w:t>履职效能。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2025年，州委巡察</w:t>
      </w:r>
      <w:r>
        <w:rPr>
          <w:rFonts w:hint="eastAsia" w:ascii="Times New Roman" w:hAnsi="Times New Roman" w:eastAsia="方正仿宋_GBK" w:cs="方正仿宋_GBK"/>
          <w:color w:val="auto"/>
          <w:kern w:val="2"/>
          <w:sz w:val="32"/>
          <w:szCs w:val="32"/>
          <w:highlight w:val="none"/>
          <w:lang w:val="en-US" w:eastAsia="zh-CN" w:bidi="ar-SA"/>
        </w:rPr>
        <w:t>办</w:t>
      </w:r>
      <w:r>
        <w:rPr>
          <w:rFonts w:hint="eastAsia" w:ascii="Times New Roman" w:hAnsi="Times New Roman" w:eastAsia="方正仿宋_GBK" w:cs="方正仿宋_GBK"/>
          <w:color w:val="auto"/>
          <w:kern w:val="2"/>
          <w:sz w:val="32"/>
          <w:szCs w:val="32"/>
          <w:highlight w:val="none"/>
          <w:lang w:val="zh-CN" w:eastAsia="zh-CN" w:bidi="ar-SA"/>
        </w:rPr>
        <w:t>合理配置使用巡察工作专项经费，保障巡视工作顺利开展；切实做好省纪委、省巡察办的培训和组织相关业务培训的工作；严格规范“三公经费”的使用，根据实际需求购置办公设备，维护办公区域设施,确保巡视机构正常开展，切实提高巡视工作经费使用效率，守正创新推进新时代巡视宣传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w:t>
      </w:r>
      <w:r>
        <w:rPr>
          <w:rFonts w:hint="default" w:ascii="Times New Roman" w:hAnsi="Times New Roman" w:eastAsia="方正仿宋_GBK" w:cs="方正仿宋_GBK"/>
          <w:b/>
          <w:bCs/>
          <w:color w:val="auto"/>
          <w:kern w:val="2"/>
          <w:sz w:val="32"/>
          <w:szCs w:val="32"/>
          <w:highlight w:val="none"/>
          <w:lang w:val="zh-CN" w:eastAsia="zh-CN" w:bidi="ar-SA"/>
        </w:rPr>
        <w:t>预算管理</w:t>
      </w:r>
      <w:r>
        <w:rPr>
          <w:rFonts w:hint="eastAsia" w:ascii="Times New Roman" w:hAnsi="Times New Roman" w:eastAsia="方正仿宋_GBK" w:cs="方正仿宋_GBK"/>
          <w:b/>
          <w:bCs/>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一是严格按要求编制年初部门预算，年初预算编制的科学性和准确性，根据年度经济社会发展目标、国家宏观调控总体要求和跨年度预算平衡的需要，参考上一年预算执行情况、有关支出绩效评价结果和本年度收支预测，按照规定程序征求各方面意见后，进行编制。</w:t>
      </w:r>
      <w:r>
        <w:rPr>
          <w:rFonts w:hint="eastAsia" w:ascii="Times New Roman" w:hAnsi="Times New Roman" w:eastAsia="方正仿宋_GBK" w:cs="方正仿宋_GBK"/>
          <w:color w:val="auto"/>
          <w:kern w:val="2"/>
          <w:sz w:val="32"/>
          <w:szCs w:val="32"/>
          <w:highlight w:val="none"/>
          <w:lang w:val="zh-TW" w:eastAsia="zh-CN" w:bidi="ar-SA"/>
        </w:rPr>
        <w:t>预算编制做到依据充分、程序规范、方法科学、编制及时、内容完整、项目细化、数据准确、测算合规。二是无自有收入；三</w:t>
      </w:r>
      <w:r>
        <w:rPr>
          <w:rFonts w:hint="eastAsia" w:ascii="Times New Roman" w:hAnsi="Times New Roman" w:eastAsia="方正仿宋_GBK" w:cs="方正仿宋_GBK"/>
          <w:color w:val="auto"/>
          <w:kern w:val="2"/>
          <w:sz w:val="32"/>
          <w:szCs w:val="32"/>
          <w:highlight w:val="none"/>
          <w:lang w:val="en-US" w:eastAsia="zh-CN" w:bidi="ar-SA"/>
        </w:rPr>
        <w:t>是</w:t>
      </w:r>
      <w:r>
        <w:rPr>
          <w:rFonts w:hint="eastAsia" w:ascii="Times New Roman" w:hAnsi="Times New Roman" w:eastAsia="方正仿宋_GBK" w:cs="方正仿宋_GBK"/>
          <w:color w:val="auto"/>
          <w:kern w:val="2"/>
          <w:sz w:val="32"/>
          <w:szCs w:val="32"/>
          <w:highlight w:val="none"/>
          <w:lang w:val="zh-CN" w:eastAsia="zh-CN" w:bidi="ar-SA"/>
        </w:rPr>
        <w:t>我办无年终结余；四是根据财政要求严控“三公”经费支出。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w:t>
      </w:r>
      <w:r>
        <w:rPr>
          <w:rFonts w:hint="default" w:ascii="Times New Roman" w:hAnsi="Times New Roman" w:eastAsia="方正仿宋_GBK" w:cs="方正仿宋_GBK"/>
          <w:b/>
          <w:bCs/>
          <w:color w:val="auto"/>
          <w:kern w:val="2"/>
          <w:sz w:val="32"/>
          <w:szCs w:val="32"/>
          <w:highlight w:val="none"/>
          <w:lang w:val="zh-CN" w:eastAsia="zh-CN" w:bidi="ar-SA"/>
        </w:rPr>
        <w:t>财务管理</w:t>
      </w:r>
      <w:r>
        <w:rPr>
          <w:rFonts w:hint="eastAsia" w:ascii="Times New Roman" w:hAnsi="Times New Roman" w:eastAsia="方正仿宋_GBK" w:cs="方正仿宋_GBK"/>
          <w:b/>
          <w:bCs/>
          <w:color w:val="auto"/>
          <w:kern w:val="2"/>
          <w:sz w:val="32"/>
          <w:szCs w:val="32"/>
          <w:highlight w:val="none"/>
          <w:lang w:val="zh-CN" w:eastAsia="zh-CN" w:bidi="ar-SA"/>
        </w:rPr>
        <w:t>。</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我办已制定内部财务管理制度，</w:t>
      </w:r>
      <w:r>
        <w:rPr>
          <w:rFonts w:hint="eastAsia" w:ascii="Times New Roman" w:hAnsi="Times New Roman" w:eastAsia="方正仿宋_GBK" w:cs="方正仿宋_GBK"/>
          <w:color w:val="auto"/>
          <w:kern w:val="2"/>
          <w:sz w:val="32"/>
          <w:szCs w:val="32"/>
          <w:highlight w:val="none"/>
          <w:lang w:val="en-US" w:eastAsia="zh-CN" w:bidi="ar-SA"/>
        </w:rPr>
        <w:t>财务管理</w:t>
      </w:r>
      <w:r>
        <w:rPr>
          <w:rFonts w:hint="eastAsia" w:ascii="Times New Roman" w:hAnsi="Times New Roman" w:eastAsia="方正仿宋_GBK" w:cs="方正仿宋_GBK"/>
          <w:color w:val="auto"/>
          <w:kern w:val="2"/>
          <w:sz w:val="32"/>
          <w:szCs w:val="32"/>
          <w:highlight w:val="none"/>
          <w:lang w:val="zh-CN" w:eastAsia="zh-CN" w:bidi="ar-SA"/>
        </w:rPr>
        <w:t>制度得到落实，设置财务工作岗位，明确职责权限，并严格实行不相容岗位分离，资金使用严格按照相关财务管理制度规定执行。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4.</w:t>
      </w:r>
      <w:r>
        <w:rPr>
          <w:rFonts w:hint="default" w:ascii="Times New Roman" w:hAnsi="Times New Roman" w:eastAsia="方正仿宋_GBK" w:cs="方正仿宋_GBK"/>
          <w:b/>
          <w:bCs/>
          <w:color w:val="auto"/>
          <w:kern w:val="2"/>
          <w:sz w:val="32"/>
          <w:szCs w:val="32"/>
          <w:highlight w:val="none"/>
          <w:lang w:val="zh-CN" w:eastAsia="zh-CN" w:bidi="ar-SA"/>
        </w:rPr>
        <w:t>资产管理</w:t>
      </w:r>
      <w:r>
        <w:rPr>
          <w:rFonts w:hint="eastAsia" w:ascii="Times New Roman" w:hAnsi="Times New Roman" w:eastAsia="方正仿宋_GBK" w:cs="方正仿宋_GBK"/>
          <w:b/>
          <w:bCs/>
          <w:color w:val="auto"/>
          <w:kern w:val="2"/>
          <w:sz w:val="32"/>
          <w:szCs w:val="32"/>
          <w:highlight w:val="none"/>
          <w:lang w:val="zh-CN" w:eastAsia="zh-CN" w:bidi="ar-SA"/>
        </w:rPr>
        <w:t>。</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我办不存在闲置资产，因此并无资资产盘活率。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5.</w:t>
      </w:r>
      <w:r>
        <w:rPr>
          <w:rFonts w:hint="default" w:ascii="Times New Roman" w:hAnsi="Times New Roman" w:eastAsia="方正仿宋_GBK" w:cs="方正仿宋_GBK"/>
          <w:b/>
          <w:bCs/>
          <w:color w:val="auto"/>
          <w:kern w:val="2"/>
          <w:sz w:val="32"/>
          <w:szCs w:val="32"/>
          <w:highlight w:val="none"/>
          <w:lang w:val="zh-CN" w:eastAsia="zh-CN" w:bidi="ar-SA"/>
        </w:rPr>
        <w:t>采购管理</w:t>
      </w:r>
      <w:r>
        <w:rPr>
          <w:rFonts w:hint="eastAsia" w:ascii="Times New Roman" w:hAnsi="Times New Roman" w:eastAsia="方正仿宋_GBK" w:cs="方正仿宋_GBK"/>
          <w:b/>
          <w:bCs/>
          <w:color w:val="auto"/>
          <w:kern w:val="2"/>
          <w:sz w:val="32"/>
          <w:szCs w:val="32"/>
          <w:highlight w:val="none"/>
          <w:lang w:val="zh-CN" w:eastAsia="zh-CN" w:bidi="ar-SA"/>
        </w:rPr>
        <w:t>。</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对适宜由中小企业提供的采购项目，预留采购份额专门面向中小企业采购，并在采购预算中单独列示。</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w:t>
      </w:r>
      <w:r>
        <w:rPr>
          <w:rFonts w:hint="eastAsia" w:ascii="Times New Roman" w:hAnsi="Times New Roman" w:eastAsia="方正楷体_GBK" w:cs="方正楷体_GBK"/>
          <w:b w:val="0"/>
          <w:bCs/>
          <w:color w:val="auto"/>
          <w:sz w:val="32"/>
          <w:szCs w:val="32"/>
          <w:highlight w:val="none"/>
          <w:lang w:val="en-US" w:eastAsia="zh-CN"/>
        </w:rPr>
        <w:t>二</w:t>
      </w:r>
      <w:r>
        <w:rPr>
          <w:rFonts w:hint="eastAsia" w:ascii="Times New Roman" w:hAnsi="Times New Roman" w:eastAsia="方正楷体_GBK" w:cs="方正楷体_GBK"/>
          <w:b w:val="0"/>
          <w:bCs/>
          <w:color w:val="auto"/>
          <w:sz w:val="32"/>
          <w:szCs w:val="32"/>
          <w:highlight w:val="none"/>
          <w:lang w:val="zh-CN" w:eastAsia="zh-CN"/>
        </w:rPr>
        <w:t>）</w:t>
      </w:r>
      <w:r>
        <w:rPr>
          <w:rFonts w:hint="default" w:ascii="Times New Roman" w:hAnsi="Times New Roman" w:eastAsia="方正楷体_GBK" w:cs="方正楷体_GBK"/>
          <w:b w:val="0"/>
          <w:bCs/>
          <w:color w:val="auto"/>
          <w:sz w:val="32"/>
          <w:szCs w:val="32"/>
          <w:highlight w:val="none"/>
          <w:lang w:val="zh-CN" w:eastAsia="zh-CN"/>
        </w:rPr>
        <w:t>部门预算项目绩效分析。</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default" w:ascii="Times New Roman" w:hAnsi="Times New Roman" w:eastAsia="方正仿宋_GBK" w:cs="方正仿宋_GBK"/>
          <w:color w:val="auto"/>
          <w:kern w:val="2"/>
          <w:sz w:val="32"/>
          <w:szCs w:val="32"/>
          <w:highlight w:val="none"/>
          <w:lang w:val="zh-CN" w:eastAsia="zh-CN" w:bidi="ar-SA"/>
        </w:rPr>
      </w:pPr>
      <w:r>
        <w:rPr>
          <w:rFonts w:hint="default" w:ascii="Times New Roman" w:hAnsi="Times New Roman" w:eastAsia="方正仿宋_GBK" w:cs="方正仿宋_GBK"/>
          <w:color w:val="auto"/>
          <w:kern w:val="2"/>
          <w:sz w:val="32"/>
          <w:szCs w:val="32"/>
          <w:highlight w:val="none"/>
          <w:lang w:val="en-US" w:eastAsia="zh-CN" w:bidi="ar-SA"/>
        </w:rPr>
        <w:t>常年项目绩效分析。</w:t>
      </w:r>
      <w:r>
        <w:rPr>
          <w:rFonts w:hint="default" w:ascii="Times New Roman" w:hAnsi="Times New Roman" w:eastAsia="方正仿宋_GBK" w:cs="方正仿宋_GBK"/>
          <w:color w:val="auto"/>
          <w:kern w:val="2"/>
          <w:sz w:val="32"/>
          <w:szCs w:val="32"/>
          <w:highlight w:val="none"/>
          <w:lang w:val="zh-CN" w:eastAsia="zh-CN" w:bidi="ar-SA"/>
        </w:rPr>
        <w:t>该类项目总数</w:t>
      </w:r>
      <w:r>
        <w:rPr>
          <w:rFonts w:hint="eastAsia" w:ascii="Times New Roman" w:hAnsi="Times New Roman" w:eastAsia="方正仿宋_GBK" w:cs="方正仿宋_GBK"/>
          <w:color w:val="auto"/>
          <w:kern w:val="2"/>
          <w:sz w:val="32"/>
          <w:szCs w:val="32"/>
          <w:highlight w:val="none"/>
          <w:lang w:val="en-US" w:eastAsia="zh-CN" w:bidi="ar-SA"/>
        </w:rPr>
        <w:t>1</w:t>
      </w:r>
      <w:r>
        <w:rPr>
          <w:rFonts w:hint="default" w:ascii="Times New Roman" w:hAnsi="Times New Roman" w:eastAsia="方正仿宋_GBK" w:cs="方正仿宋_GBK"/>
          <w:color w:val="auto"/>
          <w:kern w:val="2"/>
          <w:sz w:val="32"/>
          <w:szCs w:val="32"/>
          <w:highlight w:val="none"/>
          <w:lang w:val="zh-CN" w:eastAsia="zh-CN" w:bidi="ar-SA"/>
        </w:rPr>
        <w:t>个，涉及预算总金额</w:t>
      </w:r>
      <w:r>
        <w:rPr>
          <w:rFonts w:hint="eastAsia" w:ascii="Times New Roman" w:hAnsi="Times New Roman" w:eastAsia="方正仿宋_GBK" w:cs="方正仿宋_GBK"/>
          <w:color w:val="auto"/>
          <w:kern w:val="2"/>
          <w:sz w:val="32"/>
          <w:szCs w:val="32"/>
          <w:highlight w:val="none"/>
          <w:lang w:val="en-US" w:eastAsia="zh-CN" w:bidi="ar-SA"/>
        </w:rPr>
        <w:t>304.2</w:t>
      </w:r>
      <w:r>
        <w:rPr>
          <w:rFonts w:hint="default" w:ascii="Times New Roman" w:hAnsi="Times New Roman" w:eastAsia="方正仿宋_GBK" w:cs="方正仿宋_GBK"/>
          <w:color w:val="auto"/>
          <w:kern w:val="2"/>
          <w:sz w:val="32"/>
          <w:szCs w:val="32"/>
          <w:highlight w:val="none"/>
          <w:lang w:val="zh-CN" w:eastAsia="zh-CN" w:bidi="ar-SA"/>
        </w:rPr>
        <w:t>万元，1</w:t>
      </w:r>
      <w:r>
        <w:rPr>
          <w:rFonts w:hint="eastAsia" w:ascii="Times New Roman" w:hAnsi="Times New Roman" w:eastAsia="方正仿宋_GBK" w:cs="方正仿宋_GBK"/>
          <w:color w:val="auto"/>
          <w:kern w:val="2"/>
          <w:sz w:val="32"/>
          <w:szCs w:val="32"/>
          <w:highlight w:val="none"/>
          <w:lang w:val="zh-CN" w:eastAsia="zh-CN" w:bidi="ar-SA"/>
        </w:rPr>
        <w:t>—</w:t>
      </w:r>
      <w:r>
        <w:rPr>
          <w:rFonts w:hint="default" w:ascii="Times New Roman" w:hAnsi="Times New Roman" w:eastAsia="方正仿宋_GBK" w:cs="方正仿宋_GBK"/>
          <w:color w:val="auto"/>
          <w:kern w:val="2"/>
          <w:sz w:val="32"/>
          <w:szCs w:val="32"/>
          <w:highlight w:val="none"/>
          <w:lang w:val="zh-CN" w:eastAsia="zh-CN" w:bidi="ar-SA"/>
        </w:rPr>
        <w:t>1</w:t>
      </w:r>
      <w:r>
        <w:rPr>
          <w:rFonts w:hint="default" w:ascii="Times New Roman" w:hAnsi="Times New Roman" w:eastAsia="方正仿宋_GBK" w:cs="方正仿宋_GBK"/>
          <w:color w:val="auto"/>
          <w:kern w:val="2"/>
          <w:sz w:val="32"/>
          <w:szCs w:val="32"/>
          <w:highlight w:val="none"/>
          <w:lang w:val="en-US" w:eastAsia="zh-CN" w:bidi="ar-SA"/>
        </w:rPr>
        <w:t>2</w:t>
      </w:r>
      <w:r>
        <w:rPr>
          <w:rFonts w:hint="default" w:ascii="Times New Roman" w:hAnsi="Times New Roman" w:eastAsia="方正仿宋_GBK" w:cs="方正仿宋_GBK"/>
          <w:color w:val="auto"/>
          <w:kern w:val="2"/>
          <w:sz w:val="32"/>
          <w:szCs w:val="32"/>
          <w:highlight w:val="none"/>
          <w:lang w:val="zh-CN" w:eastAsia="zh-CN" w:bidi="ar-SA"/>
        </w:rPr>
        <w:t>月预算执行总体进度为</w:t>
      </w:r>
      <w:r>
        <w:rPr>
          <w:rFonts w:hint="eastAsia" w:ascii="Times New Roman" w:hAnsi="Times New Roman" w:eastAsia="方正仿宋_GBK" w:cs="方正仿宋_GBK"/>
          <w:color w:val="auto"/>
          <w:kern w:val="2"/>
          <w:sz w:val="32"/>
          <w:szCs w:val="32"/>
          <w:highlight w:val="none"/>
          <w:lang w:val="en-US" w:eastAsia="zh-CN" w:bidi="ar-SA"/>
        </w:rPr>
        <w:t>100</w:t>
      </w:r>
      <w:r>
        <w:rPr>
          <w:rFonts w:hint="default" w:ascii="Times New Roman" w:hAnsi="Times New Roman" w:eastAsia="方正仿宋_GBK" w:cs="方正仿宋_GBK"/>
          <w:color w:val="auto"/>
          <w:kern w:val="2"/>
          <w:sz w:val="32"/>
          <w:szCs w:val="32"/>
          <w:highlight w:val="none"/>
          <w:lang w:val="zh-CN" w:eastAsia="zh-CN" w:bidi="ar-SA"/>
        </w:rPr>
        <w:t>%，其中：预算结余率大于</w:t>
      </w:r>
      <w:r>
        <w:rPr>
          <w:rFonts w:hint="default" w:ascii="Times New Roman" w:hAnsi="Times New Roman" w:eastAsia="方正仿宋_GBK" w:cs="方正仿宋_GBK"/>
          <w:color w:val="auto"/>
          <w:kern w:val="2"/>
          <w:sz w:val="32"/>
          <w:szCs w:val="32"/>
          <w:highlight w:val="none"/>
          <w:lang w:val="en-US" w:eastAsia="zh-CN" w:bidi="ar-SA"/>
        </w:rPr>
        <w:t>10%</w:t>
      </w:r>
      <w:r>
        <w:rPr>
          <w:rFonts w:hint="default" w:ascii="Times New Roman" w:hAnsi="Times New Roman" w:eastAsia="方正仿宋_GBK" w:cs="方正仿宋_GBK"/>
          <w:color w:val="auto"/>
          <w:kern w:val="2"/>
          <w:sz w:val="32"/>
          <w:szCs w:val="32"/>
          <w:highlight w:val="none"/>
          <w:lang w:val="zh-CN" w:eastAsia="zh-CN" w:bidi="ar-SA"/>
        </w:rPr>
        <w:t>的项目共计</w:t>
      </w:r>
      <w:r>
        <w:rPr>
          <w:rFonts w:hint="default" w:ascii="Times New Roman" w:hAnsi="Times New Roman" w:eastAsia="方正仿宋_GBK" w:cs="方正仿宋_GBK"/>
          <w:color w:val="auto"/>
          <w:kern w:val="2"/>
          <w:sz w:val="32"/>
          <w:szCs w:val="32"/>
          <w:highlight w:val="none"/>
          <w:lang w:val="en-US" w:eastAsia="zh-CN" w:bidi="ar-SA"/>
        </w:rPr>
        <w:t xml:space="preserve"> </w:t>
      </w:r>
      <w:r>
        <w:rPr>
          <w:rFonts w:hint="eastAsia" w:ascii="Times New Roman" w:hAnsi="Times New Roman" w:eastAsia="方正仿宋_GBK" w:cs="方正仿宋_GBK"/>
          <w:color w:val="auto"/>
          <w:kern w:val="2"/>
          <w:sz w:val="32"/>
          <w:szCs w:val="32"/>
          <w:highlight w:val="none"/>
          <w:lang w:val="en-US" w:eastAsia="zh-CN" w:bidi="ar-SA"/>
        </w:rPr>
        <w:t>0</w:t>
      </w:r>
      <w:r>
        <w:rPr>
          <w:rFonts w:hint="default" w:ascii="Times New Roman" w:hAnsi="Times New Roman" w:eastAsia="方正仿宋_GBK" w:cs="方正仿宋_GBK"/>
          <w:color w:val="auto"/>
          <w:kern w:val="2"/>
          <w:sz w:val="32"/>
          <w:szCs w:val="32"/>
          <w:highlight w:val="none"/>
          <w:lang w:val="zh-CN" w:eastAsia="zh-CN" w:bidi="ar-SA"/>
        </w:rPr>
        <w:t>个。</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default" w:ascii="Times New Roman" w:hAnsi="Times New Roman" w:eastAsia="方正仿宋_GBK" w:cs="方正仿宋_GBK"/>
          <w:color w:val="auto"/>
          <w:kern w:val="2"/>
          <w:sz w:val="32"/>
          <w:szCs w:val="32"/>
          <w:highlight w:val="none"/>
          <w:lang w:val="zh-CN" w:eastAsia="zh-CN" w:bidi="ar-SA"/>
        </w:rPr>
      </w:pPr>
      <w:r>
        <w:rPr>
          <w:rFonts w:hint="default" w:ascii="Times New Roman" w:hAnsi="Times New Roman" w:eastAsia="方正仿宋_GBK" w:cs="方正仿宋_GBK"/>
          <w:color w:val="auto"/>
          <w:kern w:val="2"/>
          <w:sz w:val="32"/>
          <w:szCs w:val="32"/>
          <w:highlight w:val="none"/>
          <w:lang w:val="en-US" w:eastAsia="zh-CN" w:bidi="ar-SA"/>
        </w:rPr>
        <w:t>阶段</w:t>
      </w:r>
      <w:r>
        <w:rPr>
          <w:rFonts w:hint="eastAsia" w:ascii="Times New Roman" w:hAnsi="Times New Roman" w:eastAsia="方正仿宋_GBK" w:cs="方正仿宋_GBK"/>
          <w:color w:val="auto"/>
          <w:kern w:val="2"/>
          <w:sz w:val="32"/>
          <w:szCs w:val="32"/>
          <w:highlight w:val="none"/>
          <w:lang w:val="en-US" w:eastAsia="zh-CN" w:bidi="ar-SA"/>
        </w:rPr>
        <w:t>（</w:t>
      </w:r>
      <w:r>
        <w:rPr>
          <w:rFonts w:hint="default" w:ascii="Times New Roman" w:hAnsi="Times New Roman" w:eastAsia="方正仿宋_GBK" w:cs="方正仿宋_GBK"/>
          <w:color w:val="auto"/>
          <w:kern w:val="2"/>
          <w:sz w:val="32"/>
          <w:szCs w:val="32"/>
          <w:highlight w:val="none"/>
          <w:lang w:val="en-US" w:eastAsia="zh-CN" w:bidi="ar-SA"/>
        </w:rPr>
        <w:t>一次性</w:t>
      </w:r>
      <w:r>
        <w:rPr>
          <w:rFonts w:hint="eastAsia" w:ascii="Times New Roman" w:hAnsi="Times New Roman" w:eastAsia="方正仿宋_GBK" w:cs="方正仿宋_GBK"/>
          <w:color w:val="auto"/>
          <w:kern w:val="2"/>
          <w:sz w:val="32"/>
          <w:szCs w:val="32"/>
          <w:highlight w:val="none"/>
          <w:lang w:val="en-US" w:eastAsia="zh-CN" w:bidi="ar-SA"/>
        </w:rPr>
        <w:t>）</w:t>
      </w:r>
      <w:r>
        <w:rPr>
          <w:rFonts w:hint="default" w:ascii="Times New Roman" w:hAnsi="Times New Roman" w:eastAsia="方正仿宋_GBK" w:cs="方正仿宋_GBK"/>
          <w:color w:val="auto"/>
          <w:kern w:val="2"/>
          <w:sz w:val="32"/>
          <w:szCs w:val="32"/>
          <w:highlight w:val="none"/>
          <w:lang w:val="en-US" w:eastAsia="zh-CN" w:bidi="ar-SA"/>
        </w:rPr>
        <w:t>项目绩效分析。</w:t>
      </w:r>
      <w:r>
        <w:rPr>
          <w:rFonts w:hint="default" w:ascii="Times New Roman" w:hAnsi="Times New Roman" w:eastAsia="方正仿宋_GBK" w:cs="方正仿宋_GBK"/>
          <w:color w:val="auto"/>
          <w:kern w:val="2"/>
          <w:sz w:val="32"/>
          <w:szCs w:val="32"/>
          <w:highlight w:val="none"/>
          <w:lang w:val="zh-CN" w:eastAsia="zh-CN" w:bidi="ar-SA"/>
        </w:rPr>
        <w:t>该类项目总数</w:t>
      </w:r>
      <w:r>
        <w:rPr>
          <w:rFonts w:hint="default" w:ascii="Times New Roman" w:hAnsi="Times New Roman" w:eastAsia="方正仿宋_GBK" w:cs="方正仿宋_GBK"/>
          <w:color w:val="auto"/>
          <w:kern w:val="2"/>
          <w:sz w:val="32"/>
          <w:szCs w:val="32"/>
          <w:highlight w:val="none"/>
          <w:lang w:val="en-US" w:eastAsia="zh-CN" w:bidi="ar-SA"/>
        </w:rPr>
        <w:t xml:space="preserve"> </w:t>
      </w:r>
      <w:r>
        <w:rPr>
          <w:rFonts w:hint="eastAsia" w:ascii="Times New Roman" w:hAnsi="Times New Roman" w:eastAsia="方正仿宋_GBK" w:cs="方正仿宋_GBK"/>
          <w:color w:val="auto"/>
          <w:kern w:val="2"/>
          <w:sz w:val="32"/>
          <w:szCs w:val="32"/>
          <w:highlight w:val="none"/>
          <w:lang w:val="en-US" w:eastAsia="zh-CN" w:bidi="ar-SA"/>
        </w:rPr>
        <w:t>1</w:t>
      </w:r>
      <w:r>
        <w:rPr>
          <w:rFonts w:hint="default" w:ascii="Times New Roman" w:hAnsi="Times New Roman" w:eastAsia="方正仿宋_GBK" w:cs="方正仿宋_GBK"/>
          <w:color w:val="auto"/>
          <w:kern w:val="2"/>
          <w:sz w:val="32"/>
          <w:szCs w:val="32"/>
          <w:highlight w:val="none"/>
          <w:lang w:val="en-US" w:eastAsia="zh-CN" w:bidi="ar-SA"/>
        </w:rPr>
        <w:t xml:space="preserve"> </w:t>
      </w:r>
      <w:r>
        <w:rPr>
          <w:rFonts w:hint="default" w:ascii="Times New Roman" w:hAnsi="Times New Roman" w:eastAsia="方正仿宋_GBK" w:cs="方正仿宋_GBK"/>
          <w:color w:val="auto"/>
          <w:kern w:val="2"/>
          <w:sz w:val="32"/>
          <w:szCs w:val="32"/>
          <w:highlight w:val="none"/>
          <w:lang w:val="zh-CN" w:eastAsia="zh-CN" w:bidi="ar-SA"/>
        </w:rPr>
        <w:t>个，涉及预算总金额</w:t>
      </w:r>
      <w:r>
        <w:rPr>
          <w:rFonts w:hint="eastAsia" w:ascii="Times New Roman" w:hAnsi="Times New Roman" w:eastAsia="方正仿宋_GBK" w:cs="方正仿宋_GBK"/>
          <w:color w:val="auto"/>
          <w:kern w:val="2"/>
          <w:sz w:val="32"/>
          <w:szCs w:val="32"/>
          <w:highlight w:val="none"/>
          <w:lang w:val="en-US" w:eastAsia="zh-CN" w:bidi="ar-SA"/>
        </w:rPr>
        <w:t>1.18</w:t>
      </w:r>
      <w:r>
        <w:rPr>
          <w:rFonts w:hint="default" w:ascii="Times New Roman" w:hAnsi="Times New Roman" w:eastAsia="方正仿宋_GBK" w:cs="方正仿宋_GBK"/>
          <w:color w:val="auto"/>
          <w:kern w:val="2"/>
          <w:sz w:val="32"/>
          <w:szCs w:val="32"/>
          <w:highlight w:val="none"/>
          <w:lang w:val="zh-CN" w:eastAsia="zh-CN" w:bidi="ar-SA"/>
        </w:rPr>
        <w:t>万元，1</w:t>
      </w:r>
      <w:r>
        <w:rPr>
          <w:rFonts w:hint="eastAsia" w:ascii="Times New Roman" w:hAnsi="Times New Roman" w:eastAsia="方正仿宋_GBK" w:cs="方正仿宋_GBK"/>
          <w:color w:val="auto"/>
          <w:kern w:val="2"/>
          <w:sz w:val="32"/>
          <w:szCs w:val="32"/>
          <w:highlight w:val="none"/>
          <w:lang w:val="zh-CN" w:eastAsia="zh-CN" w:bidi="ar-SA"/>
        </w:rPr>
        <w:t>—</w:t>
      </w:r>
      <w:r>
        <w:rPr>
          <w:rFonts w:hint="default" w:ascii="Times New Roman" w:hAnsi="Times New Roman" w:eastAsia="方正仿宋_GBK" w:cs="方正仿宋_GBK"/>
          <w:color w:val="auto"/>
          <w:kern w:val="2"/>
          <w:sz w:val="32"/>
          <w:szCs w:val="32"/>
          <w:highlight w:val="none"/>
          <w:lang w:val="zh-CN" w:eastAsia="zh-CN" w:bidi="ar-SA"/>
        </w:rPr>
        <w:t>1</w:t>
      </w:r>
      <w:r>
        <w:rPr>
          <w:rFonts w:hint="default" w:ascii="Times New Roman" w:hAnsi="Times New Roman" w:eastAsia="方正仿宋_GBK" w:cs="方正仿宋_GBK"/>
          <w:color w:val="auto"/>
          <w:kern w:val="2"/>
          <w:sz w:val="32"/>
          <w:szCs w:val="32"/>
          <w:highlight w:val="none"/>
          <w:lang w:val="en-US" w:eastAsia="zh-CN" w:bidi="ar-SA"/>
        </w:rPr>
        <w:t>2</w:t>
      </w:r>
      <w:r>
        <w:rPr>
          <w:rFonts w:hint="default" w:ascii="Times New Roman" w:hAnsi="Times New Roman" w:eastAsia="方正仿宋_GBK" w:cs="方正仿宋_GBK"/>
          <w:color w:val="auto"/>
          <w:kern w:val="2"/>
          <w:sz w:val="32"/>
          <w:szCs w:val="32"/>
          <w:highlight w:val="none"/>
          <w:lang w:val="zh-CN" w:eastAsia="zh-CN" w:bidi="ar-SA"/>
        </w:rPr>
        <w:t>月预算执行总体进度为</w:t>
      </w:r>
      <w:r>
        <w:rPr>
          <w:rFonts w:hint="eastAsia" w:ascii="Times New Roman" w:hAnsi="Times New Roman" w:eastAsia="方正仿宋_GBK" w:cs="方正仿宋_GBK"/>
          <w:color w:val="auto"/>
          <w:kern w:val="2"/>
          <w:sz w:val="32"/>
          <w:szCs w:val="32"/>
          <w:highlight w:val="none"/>
          <w:lang w:val="en-US" w:eastAsia="zh-CN" w:bidi="ar-SA"/>
        </w:rPr>
        <w:t>100</w:t>
      </w:r>
      <w:r>
        <w:rPr>
          <w:rFonts w:hint="default" w:ascii="Times New Roman" w:hAnsi="Times New Roman" w:eastAsia="方正仿宋_GBK" w:cs="方正仿宋_GBK"/>
          <w:color w:val="auto"/>
          <w:kern w:val="2"/>
          <w:sz w:val="32"/>
          <w:szCs w:val="32"/>
          <w:highlight w:val="none"/>
          <w:lang w:val="zh-CN" w:eastAsia="zh-CN" w:bidi="ar-SA"/>
        </w:rPr>
        <w:t>%，其中：预算结余率大于</w:t>
      </w:r>
      <w:r>
        <w:rPr>
          <w:rFonts w:hint="default" w:ascii="Times New Roman" w:hAnsi="Times New Roman" w:eastAsia="方正仿宋_GBK" w:cs="方正仿宋_GBK"/>
          <w:color w:val="auto"/>
          <w:kern w:val="2"/>
          <w:sz w:val="32"/>
          <w:szCs w:val="32"/>
          <w:highlight w:val="none"/>
          <w:lang w:val="en-US" w:eastAsia="zh-CN" w:bidi="ar-SA"/>
        </w:rPr>
        <w:t>10%</w:t>
      </w:r>
      <w:r>
        <w:rPr>
          <w:rFonts w:hint="default" w:ascii="Times New Roman" w:hAnsi="Times New Roman" w:eastAsia="方正仿宋_GBK" w:cs="方正仿宋_GBK"/>
          <w:color w:val="auto"/>
          <w:kern w:val="2"/>
          <w:sz w:val="32"/>
          <w:szCs w:val="32"/>
          <w:highlight w:val="none"/>
          <w:lang w:val="zh-CN" w:eastAsia="zh-CN" w:bidi="ar-SA"/>
        </w:rPr>
        <w:t>的项目共计</w:t>
      </w:r>
      <w:r>
        <w:rPr>
          <w:rFonts w:hint="default" w:ascii="Times New Roman" w:hAnsi="Times New Roman" w:eastAsia="方正仿宋_GBK" w:cs="方正仿宋_GBK"/>
          <w:color w:val="auto"/>
          <w:kern w:val="2"/>
          <w:sz w:val="32"/>
          <w:szCs w:val="32"/>
          <w:highlight w:val="none"/>
          <w:lang w:val="en-US" w:eastAsia="zh-CN" w:bidi="ar-SA"/>
        </w:rPr>
        <w:t xml:space="preserve"> </w:t>
      </w:r>
      <w:r>
        <w:rPr>
          <w:rFonts w:hint="eastAsia" w:ascii="Times New Roman" w:hAnsi="Times New Roman" w:eastAsia="方正仿宋_GBK" w:cs="方正仿宋_GBK"/>
          <w:color w:val="auto"/>
          <w:kern w:val="2"/>
          <w:sz w:val="32"/>
          <w:szCs w:val="32"/>
          <w:highlight w:val="none"/>
          <w:lang w:val="en-US" w:eastAsia="zh-CN" w:bidi="ar-SA"/>
        </w:rPr>
        <w:t>0</w:t>
      </w:r>
      <w:r>
        <w:rPr>
          <w:rFonts w:hint="default" w:ascii="Times New Roman" w:hAnsi="Times New Roman" w:eastAsia="方正仿宋_GBK" w:cs="方正仿宋_GBK"/>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w:t>
      </w:r>
      <w:r>
        <w:rPr>
          <w:rFonts w:hint="eastAsia" w:ascii="Times New Roman" w:hAnsi="Times New Roman" w:eastAsia="方正仿宋_GBK" w:cs="方正仿宋_GBK"/>
          <w:b/>
          <w:bCs/>
          <w:color w:val="auto"/>
          <w:kern w:val="2"/>
          <w:sz w:val="32"/>
          <w:szCs w:val="32"/>
          <w:highlight w:val="none"/>
          <w:lang w:val="zh-CN" w:eastAsia="zh-CN" w:bidi="ar-SA"/>
        </w:rPr>
        <w:t>项目决策。</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我办</w:t>
      </w:r>
      <w:r>
        <w:rPr>
          <w:rFonts w:hint="eastAsia" w:ascii="Times New Roman" w:hAnsi="Times New Roman" w:eastAsia="方正仿宋_GBK" w:cs="方正仿宋_GBK"/>
          <w:color w:val="auto"/>
          <w:kern w:val="2"/>
          <w:sz w:val="32"/>
          <w:szCs w:val="32"/>
          <w:highlight w:val="none"/>
          <w:lang w:val="en-US" w:eastAsia="zh-CN" w:bidi="ar-SA"/>
        </w:rPr>
        <w:t>2025年年初对每项项目都已</w:t>
      </w:r>
      <w:r>
        <w:rPr>
          <w:rFonts w:hint="eastAsia" w:ascii="Times New Roman" w:hAnsi="Times New Roman" w:eastAsia="方正仿宋_GBK" w:cs="方正仿宋_GBK"/>
          <w:color w:val="auto"/>
          <w:kern w:val="2"/>
          <w:sz w:val="32"/>
          <w:szCs w:val="32"/>
          <w:highlight w:val="none"/>
          <w:lang w:val="zh-CN" w:eastAsia="zh-CN" w:bidi="ar-SA"/>
        </w:rPr>
        <w:t>履行事前评估程序，已按照项目绩效目标完成相关任务、预算安排的资金支付达到</w:t>
      </w:r>
      <w:r>
        <w:rPr>
          <w:rFonts w:hint="eastAsia" w:ascii="Times New Roman" w:hAnsi="Times New Roman" w:eastAsia="方正仿宋_GBK" w:cs="方正仿宋_GBK"/>
          <w:color w:val="auto"/>
          <w:kern w:val="2"/>
          <w:sz w:val="32"/>
          <w:szCs w:val="32"/>
          <w:highlight w:val="none"/>
          <w:lang w:val="en-US" w:eastAsia="zh-CN" w:bidi="ar-SA"/>
        </w:rPr>
        <w:t>100%</w:t>
      </w:r>
      <w:r>
        <w:rPr>
          <w:rFonts w:hint="eastAsia" w:ascii="Times New Roman" w:hAnsi="Times New Roman" w:eastAsia="方正仿宋_GBK" w:cs="方正仿宋_GBK"/>
          <w:color w:val="auto"/>
          <w:kern w:val="2"/>
          <w:sz w:val="32"/>
          <w:szCs w:val="32"/>
          <w:highlight w:val="none"/>
          <w:lang w:val="zh-CN" w:eastAsia="zh-CN" w:bidi="ar-SA"/>
        </w:rPr>
        <w:t>，绩效目标是根据科学合理、规范完整、量化细化预算</w:t>
      </w:r>
      <w:r>
        <w:rPr>
          <w:rFonts w:hint="eastAsia" w:ascii="Times New Roman" w:hAnsi="Times New Roman" w:eastAsia="方正仿宋_GBK" w:cs="方正仿宋_GBK"/>
          <w:color w:val="auto"/>
          <w:kern w:val="2"/>
          <w:sz w:val="32"/>
          <w:szCs w:val="32"/>
          <w:highlight w:val="none"/>
          <w:lang w:val="en-US" w:eastAsia="zh-CN" w:bidi="ar-SA"/>
        </w:rPr>
        <w:t>指标</w:t>
      </w:r>
      <w:r>
        <w:rPr>
          <w:rFonts w:hint="eastAsia" w:ascii="Times New Roman" w:hAnsi="Times New Roman" w:eastAsia="方正仿宋_GBK" w:cs="方正仿宋_GBK"/>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2.项目执行</w:t>
      </w:r>
      <w:r>
        <w:rPr>
          <w:rFonts w:hint="eastAsia" w:ascii="Times New Roman" w:hAnsi="Times New Roman" w:eastAsia="方正仿宋_GBK" w:cs="方正仿宋_GBK"/>
          <w:b/>
          <w:bCs/>
          <w:color w:val="auto"/>
          <w:kern w:val="2"/>
          <w:sz w:val="32"/>
          <w:szCs w:val="32"/>
          <w:highlight w:val="none"/>
          <w:lang w:val="zh-CN" w:eastAsia="zh-CN" w:bidi="ar-SA"/>
        </w:rPr>
        <w:t>。</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实际列支内容与绩效目标设置方向相符，不存在收回预算</w:t>
      </w:r>
      <w:r>
        <w:rPr>
          <w:rFonts w:hint="eastAsia" w:ascii="Times New Roman" w:hAnsi="Times New Roman" w:eastAsia="方正仿宋_GBK" w:cs="方正仿宋_GBK"/>
          <w:color w:val="auto"/>
          <w:kern w:val="2"/>
          <w:sz w:val="32"/>
          <w:szCs w:val="32"/>
          <w:highlight w:val="none"/>
          <w:lang w:val="en-US" w:eastAsia="zh-CN" w:bidi="ar-SA"/>
        </w:rPr>
        <w:t>和</w:t>
      </w:r>
      <w:r>
        <w:rPr>
          <w:rFonts w:hint="eastAsia" w:ascii="Times New Roman" w:hAnsi="Times New Roman" w:eastAsia="方正仿宋_GBK" w:cs="方正仿宋_GBK"/>
          <w:color w:val="auto"/>
          <w:kern w:val="2"/>
          <w:sz w:val="32"/>
          <w:szCs w:val="32"/>
          <w:highlight w:val="none"/>
          <w:lang w:val="zh-CN" w:eastAsia="zh-CN" w:bidi="ar-SA"/>
        </w:rPr>
        <w:t>调整目标。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w:t>
      </w:r>
      <w:r>
        <w:rPr>
          <w:rFonts w:hint="eastAsia" w:ascii="Times New Roman" w:hAnsi="Times New Roman" w:eastAsia="方正仿宋_GBK" w:cs="方正仿宋_GBK"/>
          <w:b/>
          <w:bCs/>
          <w:color w:val="auto"/>
          <w:kern w:val="2"/>
          <w:sz w:val="32"/>
          <w:szCs w:val="32"/>
          <w:highlight w:val="none"/>
          <w:lang w:val="zh-CN" w:eastAsia="zh-CN" w:bidi="ar-SA"/>
        </w:rPr>
        <w:t>目标实现。</w:t>
      </w:r>
    </w:p>
    <w:p>
      <w:pPr>
        <w:keepNext w:val="0"/>
        <w:keepLines w:val="0"/>
        <w:pageBreakBefore w:val="0"/>
        <w:numPr>
          <w:ilvl w:val="0"/>
          <w:numId w:val="0"/>
        </w:numPr>
        <w:tabs>
          <w:tab w:val="left" w:pos="0"/>
        </w:tabs>
        <w:kinsoku/>
        <w:wordWrap/>
        <w:overflowPunct/>
        <w:topLinePunct w:val="0"/>
        <w:autoSpaceDE/>
        <w:autoSpaceDN/>
        <w:bidi w:val="0"/>
        <w:adjustRightInd w:val="0"/>
        <w:snapToGrid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已按照预算项目绩效目标完成数量指标。</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w:t>
      </w:r>
      <w:r>
        <w:rPr>
          <w:rFonts w:hint="eastAsia" w:ascii="Times New Roman" w:hAnsi="Times New Roman" w:eastAsia="方正楷体_GBK" w:cs="方正楷体_GBK"/>
          <w:b w:val="0"/>
          <w:bCs/>
          <w:color w:val="auto"/>
          <w:sz w:val="32"/>
          <w:szCs w:val="32"/>
          <w:highlight w:val="none"/>
          <w:lang w:val="en-US" w:eastAsia="zh-CN"/>
        </w:rPr>
        <w:t>三</w:t>
      </w:r>
      <w:r>
        <w:rPr>
          <w:rFonts w:hint="eastAsia" w:ascii="Times New Roman" w:hAnsi="Times New Roman" w:eastAsia="方正楷体_GBK" w:cs="方正楷体_GBK"/>
          <w:b w:val="0"/>
          <w:bCs/>
          <w:color w:val="auto"/>
          <w:sz w:val="32"/>
          <w:szCs w:val="32"/>
          <w:highlight w:val="none"/>
          <w:lang w:val="zh-CN" w:eastAsia="zh-CN"/>
        </w:rPr>
        <w:t>）</w:t>
      </w:r>
      <w:r>
        <w:rPr>
          <w:rFonts w:hint="default" w:ascii="Times New Roman" w:hAnsi="Times New Roman" w:eastAsia="方正楷体_GBK" w:cs="方正楷体_GBK"/>
          <w:b w:val="0"/>
          <w:bCs/>
          <w:color w:val="auto"/>
          <w:sz w:val="32"/>
          <w:szCs w:val="32"/>
          <w:highlight w:val="none"/>
          <w:lang w:val="zh-CN" w:eastAsia="zh-CN"/>
        </w:rPr>
        <w:t>绩效结果应用情况</w:t>
      </w:r>
      <w:r>
        <w:rPr>
          <w:rFonts w:hint="eastAsia" w:ascii="Times New Roman" w:hAnsi="Times New Roman" w:eastAsia="方正楷体_GBK" w:cs="方正楷体_GBK"/>
          <w:b w:val="0"/>
          <w:bCs/>
          <w:color w:val="auto"/>
          <w:sz w:val="32"/>
          <w:szCs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州委巡察办按照相关要求及时对绩效自评公开、评价结果整改和应用结果进行了反馈</w:t>
      </w:r>
      <w:r>
        <w:rPr>
          <w:rFonts w:hint="eastAsia" w:ascii="Times New Roman" w:hAnsi="Times New Roman" w:eastAsia="方正仿宋_GBK" w:cs="方正仿宋_GBK"/>
          <w:color w:val="auto"/>
          <w:kern w:val="2"/>
          <w:sz w:val="32"/>
          <w:szCs w:val="32"/>
          <w:highlight w:val="none"/>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黑体简体" w:cs="方正黑体简体"/>
          <w:color w:val="auto"/>
          <w:kern w:val="2"/>
          <w:sz w:val="32"/>
          <w:szCs w:val="32"/>
          <w:highlight w:val="none"/>
          <w:lang w:val="zh-CN" w:eastAsia="zh-CN" w:bidi="ar-SA"/>
        </w:rPr>
      </w:pPr>
      <w:r>
        <w:rPr>
          <w:rFonts w:hint="default" w:ascii="Times New Roman" w:hAnsi="Times New Roman" w:eastAsia="方正黑体简体" w:cs="方正黑体简体"/>
          <w:color w:val="auto"/>
          <w:kern w:val="2"/>
          <w:sz w:val="32"/>
          <w:szCs w:val="32"/>
          <w:highlight w:val="none"/>
          <w:lang w:val="zh-CN" w:eastAsia="zh-CN" w:bidi="ar-SA"/>
        </w:rPr>
        <w:t>四、评价结论及建议</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楷体_GBK" w:cs="方正楷体_GBK"/>
          <w:b w:val="0"/>
          <w:bCs/>
          <w:color w:val="auto"/>
          <w:sz w:val="32"/>
          <w:szCs w:val="32"/>
          <w:highlight w:val="none"/>
          <w:lang w:val="zh-CN" w:eastAsia="zh-CN"/>
        </w:rPr>
      </w:pPr>
      <w:r>
        <w:rPr>
          <w:rFonts w:hint="default" w:ascii="Times New Roman" w:hAnsi="Times New Roman" w:eastAsia="方正楷体_GBK" w:cs="方正楷体_GBK"/>
          <w:b w:val="0"/>
          <w:bCs/>
          <w:color w:val="auto"/>
          <w:sz w:val="32"/>
          <w:szCs w:val="32"/>
          <w:highlight w:val="none"/>
          <w:lang w:val="zh-CN" w:eastAsia="zh-CN"/>
        </w:rPr>
        <w:t>（一）评价结论。</w:t>
      </w:r>
    </w:p>
    <w:p>
      <w:pPr>
        <w:pStyle w:val="16"/>
        <w:keepNext w:val="0"/>
        <w:keepLines w:val="0"/>
        <w:pageBreakBefore w:val="0"/>
        <w:kinsoku/>
        <w:wordWrap/>
        <w:overflowPunct/>
        <w:topLinePunct w:val="0"/>
        <w:autoSpaceDE/>
        <w:autoSpaceDN/>
        <w:bidi w:val="0"/>
        <w:spacing w:beforeAutospacing="0" w:afterAutospacing="0" w:line="576" w:lineRule="exact"/>
        <w:ind w:firstLine="632" w:firstLineChars="200"/>
        <w:textAlignment w:val="auto"/>
        <w:rPr>
          <w:rFonts w:hint="default" w:ascii="Times New Roman" w:hAnsi="Times New Roman" w:eastAsia="方正仿宋_GBK" w:cs="方正仿宋_GBK"/>
          <w:snapToGrid/>
          <w:color w:val="auto"/>
          <w:spacing w:val="0"/>
          <w:w w:val="100"/>
          <w:kern w:val="2"/>
          <w:position w:val="0"/>
          <w:sz w:val="32"/>
          <w:szCs w:val="32"/>
          <w:highlight w:val="none"/>
          <w:u w:val="none"/>
          <w:vertAlign w:val="baseline"/>
          <w:lang w:val="en-US" w:eastAsia="zh-CN" w:bidi="ar-SA"/>
        </w:rPr>
      </w:pPr>
      <w:r>
        <w:rPr>
          <w:rFonts w:hint="eastAsia" w:ascii="Times New Roman" w:hAnsi="Times New Roman" w:eastAsia="方正仿宋_GBK" w:cs="方正仿宋_GBK"/>
          <w:snapToGrid/>
          <w:color w:val="auto"/>
          <w:spacing w:val="0"/>
          <w:w w:val="100"/>
          <w:kern w:val="2"/>
          <w:position w:val="0"/>
          <w:sz w:val="32"/>
          <w:szCs w:val="32"/>
          <w:highlight w:val="none"/>
          <w:u w:val="none"/>
          <w:vertAlign w:val="baseline"/>
          <w:lang w:val="en-US" w:eastAsia="zh-CN" w:bidi="ar-SA"/>
        </w:rPr>
        <w:t>2025年，我办严格按照年初预算批复认真组织实施，严格执行财经纪律相关管理规定，确保了单位正常运行和重大项目的实施，按照预算要求较好地完成了2025年部门预算编制工作。经评价，本次巡察项目支出绩效自评等级较好。</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w:t>
      </w:r>
      <w:r>
        <w:rPr>
          <w:rFonts w:hint="eastAsia" w:ascii="Times New Roman" w:hAnsi="Times New Roman" w:eastAsia="方正楷体_GBK" w:cs="方正楷体_GBK"/>
          <w:b w:val="0"/>
          <w:bCs/>
          <w:color w:val="auto"/>
          <w:sz w:val="32"/>
          <w:szCs w:val="32"/>
          <w:highlight w:val="none"/>
          <w:lang w:val="en-US" w:eastAsia="zh-CN"/>
        </w:rPr>
        <w:t>二</w:t>
      </w:r>
      <w:r>
        <w:rPr>
          <w:rFonts w:hint="eastAsia" w:ascii="Times New Roman" w:hAnsi="Times New Roman" w:eastAsia="方正楷体_GBK" w:cs="方正楷体_GBK"/>
          <w:b w:val="0"/>
          <w:bCs/>
          <w:color w:val="auto"/>
          <w:sz w:val="32"/>
          <w:szCs w:val="32"/>
          <w:highlight w:val="none"/>
          <w:lang w:val="zh-CN" w:eastAsia="zh-CN"/>
        </w:rPr>
        <w:t>）</w:t>
      </w:r>
      <w:r>
        <w:rPr>
          <w:rFonts w:hint="default" w:ascii="Times New Roman" w:hAnsi="Times New Roman" w:eastAsia="方正楷体_GBK" w:cs="方正楷体_GBK"/>
          <w:b w:val="0"/>
          <w:bCs/>
          <w:color w:val="auto"/>
          <w:sz w:val="32"/>
          <w:szCs w:val="32"/>
          <w:highlight w:val="none"/>
          <w:lang w:val="zh-CN" w:eastAsia="zh-CN"/>
        </w:rPr>
        <w:t>存在问题。</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default" w:ascii="Times New Roman" w:hAnsi="Times New Roman" w:eastAsia="方正仿宋_GBK" w:cs="方正仿宋_GBK"/>
          <w:color w:val="auto"/>
          <w:kern w:val="2"/>
          <w:sz w:val="32"/>
          <w:szCs w:val="32"/>
          <w:highlight w:val="none"/>
          <w:lang w:val="en-US" w:eastAsia="zh-CN" w:bidi="ar-SA"/>
        </w:rPr>
      </w:pPr>
      <w:r>
        <w:rPr>
          <w:rFonts w:hint="default" w:ascii="Times New Roman" w:hAnsi="Times New Roman" w:eastAsia="方正仿宋_GBK" w:cs="方正仿宋_GBK"/>
          <w:color w:val="auto"/>
          <w:kern w:val="2"/>
          <w:sz w:val="32"/>
          <w:szCs w:val="32"/>
          <w:highlight w:val="none"/>
          <w:lang w:val="en-US" w:eastAsia="zh-CN" w:bidi="ar-SA"/>
        </w:rPr>
        <w:t>财务制度</w:t>
      </w:r>
      <w:r>
        <w:rPr>
          <w:rFonts w:hint="eastAsia" w:ascii="Times New Roman" w:hAnsi="Times New Roman" w:eastAsia="方正仿宋_GBK" w:cs="方正仿宋_GBK"/>
          <w:color w:val="auto"/>
          <w:kern w:val="2"/>
          <w:sz w:val="32"/>
          <w:szCs w:val="32"/>
          <w:highlight w:val="none"/>
          <w:lang w:val="en-US" w:eastAsia="zh-CN" w:bidi="ar-SA"/>
        </w:rPr>
        <w:t>相对</w:t>
      </w:r>
      <w:r>
        <w:rPr>
          <w:rFonts w:hint="default" w:ascii="Times New Roman" w:hAnsi="Times New Roman" w:eastAsia="方正仿宋_GBK" w:cs="方正仿宋_GBK"/>
          <w:color w:val="auto"/>
          <w:kern w:val="2"/>
          <w:sz w:val="32"/>
          <w:szCs w:val="32"/>
          <w:highlight w:val="none"/>
          <w:lang w:val="en-US" w:eastAsia="zh-CN" w:bidi="ar-SA"/>
        </w:rPr>
        <w:t>不够完善，个别项目</w:t>
      </w:r>
      <w:r>
        <w:rPr>
          <w:rFonts w:hint="eastAsia" w:ascii="Times New Roman" w:hAnsi="Times New Roman" w:eastAsia="方正仿宋_GBK" w:cs="方正仿宋_GBK"/>
          <w:color w:val="auto"/>
          <w:kern w:val="2"/>
          <w:sz w:val="32"/>
          <w:szCs w:val="32"/>
          <w:highlight w:val="none"/>
          <w:lang w:val="en-US" w:eastAsia="zh-CN" w:bidi="ar-SA"/>
        </w:rPr>
        <w:t>支付</w:t>
      </w:r>
      <w:r>
        <w:rPr>
          <w:rFonts w:hint="default" w:ascii="Times New Roman" w:hAnsi="Times New Roman" w:eastAsia="方正仿宋_GBK" w:cs="方正仿宋_GBK"/>
          <w:color w:val="auto"/>
          <w:kern w:val="2"/>
          <w:sz w:val="32"/>
          <w:szCs w:val="32"/>
          <w:highlight w:val="none"/>
          <w:lang w:val="en-US" w:eastAsia="zh-CN" w:bidi="ar-SA"/>
        </w:rPr>
        <w:t>进度缓慢、绩效管理工作有待加强等问题。</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32" w:firstLineChars="200"/>
        <w:contextualSpacing/>
        <w:jc w:val="left"/>
        <w:textAlignment w:val="auto"/>
        <w:outlineLvl w:val="9"/>
        <w:rPr>
          <w:rFonts w:hint="eastAsia" w:ascii="Times New Roman" w:hAnsi="Times New Roman" w:eastAsia="方正楷体_GBK" w:cs="方正楷体_GBK"/>
          <w:b w:val="0"/>
          <w:bCs/>
          <w:color w:val="auto"/>
          <w:sz w:val="32"/>
          <w:szCs w:val="32"/>
          <w:highlight w:val="none"/>
          <w:lang w:val="zh-CN" w:eastAsia="zh-CN"/>
        </w:rPr>
      </w:pPr>
      <w:r>
        <w:rPr>
          <w:rFonts w:hint="eastAsia" w:ascii="Times New Roman" w:hAnsi="Times New Roman" w:eastAsia="方正楷体_GBK" w:cs="方正楷体_GBK"/>
          <w:b w:val="0"/>
          <w:bCs/>
          <w:color w:val="auto"/>
          <w:sz w:val="32"/>
          <w:szCs w:val="32"/>
          <w:highlight w:val="none"/>
          <w:lang w:val="zh-CN" w:eastAsia="zh-CN"/>
        </w:rPr>
        <w:t>（</w:t>
      </w:r>
      <w:r>
        <w:rPr>
          <w:rFonts w:hint="eastAsia" w:ascii="Times New Roman" w:hAnsi="Times New Roman" w:eastAsia="方正楷体_GBK" w:cs="方正楷体_GBK"/>
          <w:b w:val="0"/>
          <w:bCs/>
          <w:color w:val="auto"/>
          <w:sz w:val="32"/>
          <w:szCs w:val="32"/>
          <w:highlight w:val="none"/>
          <w:lang w:val="en-US" w:eastAsia="zh-CN"/>
        </w:rPr>
        <w:t>三</w:t>
      </w:r>
      <w:r>
        <w:rPr>
          <w:rFonts w:hint="eastAsia" w:ascii="Times New Roman" w:hAnsi="Times New Roman" w:eastAsia="方正楷体_GBK" w:cs="方正楷体_GBK"/>
          <w:b w:val="0"/>
          <w:bCs/>
          <w:color w:val="auto"/>
          <w:sz w:val="32"/>
          <w:szCs w:val="32"/>
          <w:highlight w:val="none"/>
          <w:lang w:val="zh-CN" w:eastAsia="zh-CN"/>
        </w:rPr>
        <w:t>）改进建议。</w:t>
      </w:r>
      <w:bookmarkStart w:id="45" w:name="_Hlk110546638"/>
    </w:p>
    <w:p>
      <w:pPr>
        <w:keepNext w:val="0"/>
        <w:keepLines w:val="0"/>
        <w:pageBreakBefore w:val="0"/>
        <w:widowControl w:val="0"/>
        <w:numPr>
          <w:ilvl w:val="0"/>
          <w:numId w:val="0"/>
        </w:numPr>
        <w:kinsoku/>
        <w:wordWrap/>
        <w:overflowPunct/>
        <w:topLinePunct w:val="0"/>
        <w:autoSpaceDE/>
        <w:autoSpaceDN/>
        <w:bidi w:val="0"/>
        <w:adjustRightInd/>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default" w:ascii="Times New Roman" w:hAnsi="Times New Roman" w:eastAsia="方正仿宋_GBK" w:cs="方正仿宋_GBK"/>
          <w:color w:val="auto"/>
          <w:kern w:val="2"/>
          <w:sz w:val="32"/>
          <w:szCs w:val="32"/>
          <w:highlight w:val="none"/>
          <w:lang w:val="en-US" w:eastAsia="zh-CN" w:bidi="ar-SA"/>
        </w:rPr>
        <w:t>加强管理，做到监管机构环环相扣，不出现断层、行政单位预算是财政总预算的基础，规范财务管理信息质量严格按照《会计法》、《行政单位会计制度》、《行政单位财务规定》等规定，结合实际情况，严格执行单位经费支出制度，规范财务核算，完整披露相关信息。</w:t>
      </w:r>
      <w:r>
        <w:rPr>
          <w:rFonts w:hint="eastAsia" w:ascii="Times New Roman" w:hAnsi="Times New Roman" w:eastAsia="方正仿宋_GBK" w:cs="方正仿宋_GBK"/>
          <w:color w:val="auto"/>
          <w:kern w:val="2"/>
          <w:sz w:val="32"/>
          <w:szCs w:val="32"/>
          <w:highlight w:val="none"/>
          <w:lang w:val="en-US" w:eastAsia="zh-CN" w:bidi="ar-SA"/>
        </w:rPr>
        <w:t>在</w:t>
      </w:r>
      <w:r>
        <w:rPr>
          <w:rFonts w:hint="default" w:ascii="Times New Roman" w:hAnsi="Times New Roman" w:eastAsia="方正仿宋_GBK" w:cs="方正仿宋_GBK"/>
          <w:color w:val="auto"/>
          <w:kern w:val="2"/>
          <w:sz w:val="32"/>
          <w:szCs w:val="32"/>
          <w:highlight w:val="none"/>
          <w:lang w:val="en-US" w:eastAsia="zh-CN" w:bidi="ar-SA"/>
        </w:rPr>
        <w:t>今后的工作中</w:t>
      </w:r>
      <w:r>
        <w:rPr>
          <w:rFonts w:hint="eastAsia" w:ascii="Times New Roman" w:hAnsi="Times New Roman" w:eastAsia="方正仿宋_GBK" w:cs="方正仿宋_GBK"/>
          <w:color w:val="auto"/>
          <w:kern w:val="2"/>
          <w:sz w:val="32"/>
          <w:szCs w:val="32"/>
          <w:highlight w:val="none"/>
          <w:lang w:val="en-US" w:eastAsia="zh-CN" w:bidi="ar-SA"/>
        </w:rPr>
        <w:t>，</w:t>
      </w:r>
      <w:r>
        <w:rPr>
          <w:rFonts w:hint="default" w:ascii="Times New Roman" w:hAnsi="Times New Roman" w:eastAsia="方正仿宋_GBK" w:cs="方正仿宋_GBK"/>
          <w:color w:val="auto"/>
          <w:kern w:val="2"/>
          <w:sz w:val="32"/>
          <w:szCs w:val="32"/>
          <w:highlight w:val="none"/>
          <w:lang w:val="en-US" w:eastAsia="zh-CN" w:bidi="ar-SA"/>
        </w:rPr>
        <w:t>我</w:t>
      </w:r>
      <w:r>
        <w:rPr>
          <w:rFonts w:hint="eastAsia" w:ascii="Times New Roman" w:hAnsi="Times New Roman" w:eastAsia="方正仿宋_GBK" w:cs="方正仿宋_GBK"/>
          <w:color w:val="auto"/>
          <w:kern w:val="2"/>
          <w:sz w:val="32"/>
          <w:szCs w:val="32"/>
          <w:highlight w:val="none"/>
          <w:lang w:val="en-US" w:eastAsia="zh-CN" w:bidi="ar-SA"/>
        </w:rPr>
        <w:t>办</w:t>
      </w:r>
      <w:r>
        <w:rPr>
          <w:rFonts w:hint="default" w:ascii="Times New Roman" w:hAnsi="Times New Roman" w:eastAsia="方正仿宋_GBK" w:cs="方正仿宋_GBK"/>
          <w:color w:val="auto"/>
          <w:kern w:val="2"/>
          <w:sz w:val="32"/>
          <w:szCs w:val="32"/>
          <w:highlight w:val="none"/>
          <w:lang w:val="en-US" w:eastAsia="zh-CN" w:bidi="ar-SA"/>
        </w:rPr>
        <w:t>将严格按照《预算法》的要求，加强预算编制的科学性、合理性</w:t>
      </w:r>
      <w:r>
        <w:rPr>
          <w:rFonts w:hint="eastAsia" w:ascii="Times New Roman" w:hAnsi="Times New Roman" w:eastAsia="方正仿宋_GBK" w:cs="方正仿宋_GBK"/>
          <w:color w:val="auto"/>
          <w:kern w:val="2"/>
          <w:sz w:val="32"/>
          <w:szCs w:val="32"/>
          <w:highlight w:val="none"/>
          <w:lang w:val="en-US" w:eastAsia="zh-CN" w:bidi="ar-SA"/>
        </w:rPr>
        <w:t>，</w:t>
      </w:r>
      <w:r>
        <w:rPr>
          <w:rFonts w:hint="default" w:ascii="Times New Roman" w:hAnsi="Times New Roman" w:eastAsia="方正仿宋_GBK" w:cs="方正仿宋_GBK"/>
          <w:color w:val="auto"/>
          <w:kern w:val="2"/>
          <w:sz w:val="32"/>
          <w:szCs w:val="32"/>
          <w:highlight w:val="none"/>
          <w:lang w:val="en-US" w:eastAsia="zh-CN" w:bidi="ar-SA"/>
        </w:rPr>
        <w:t>让预算编制更贴合实际，使项目预算与工作结合更加紧密。加强预算绩效管理，增强预算约束力</w:t>
      </w:r>
      <w:r>
        <w:rPr>
          <w:rFonts w:hint="eastAsia" w:ascii="Times New Roman" w:hAnsi="Times New Roman" w:eastAsia="方正仿宋_GBK" w:cs="方正仿宋_GBK"/>
          <w:color w:val="auto"/>
          <w:kern w:val="2"/>
          <w:sz w:val="32"/>
          <w:szCs w:val="32"/>
          <w:highlight w:val="none"/>
          <w:lang w:val="en-US" w:eastAsia="zh-CN" w:bidi="ar-SA"/>
        </w:rPr>
        <w:t>，</w:t>
      </w:r>
      <w:r>
        <w:rPr>
          <w:rFonts w:hint="default" w:ascii="Times New Roman" w:hAnsi="Times New Roman" w:eastAsia="方正仿宋_GBK" w:cs="方正仿宋_GBK"/>
          <w:color w:val="auto"/>
          <w:kern w:val="2"/>
          <w:sz w:val="32"/>
          <w:szCs w:val="32"/>
          <w:highlight w:val="none"/>
          <w:lang w:val="en-US" w:eastAsia="zh-CN" w:bidi="ar-SA"/>
        </w:rPr>
        <w:t>做好预算项目支出绩效目标及各项绩效指标的细化、量化工作</w:t>
      </w:r>
      <w:r>
        <w:rPr>
          <w:rFonts w:hint="eastAsia" w:ascii="Times New Roman" w:hAnsi="Times New Roman" w:eastAsia="方正仿宋_GBK" w:cs="方正仿宋_GBK"/>
          <w:color w:val="auto"/>
          <w:kern w:val="2"/>
          <w:sz w:val="32"/>
          <w:szCs w:val="32"/>
          <w:highlight w:val="none"/>
          <w:lang w:val="en-US" w:eastAsia="zh-CN" w:bidi="ar-SA"/>
        </w:rPr>
        <w:t>，</w:t>
      </w:r>
      <w:r>
        <w:rPr>
          <w:rFonts w:hint="default" w:ascii="Times New Roman" w:hAnsi="Times New Roman" w:eastAsia="方正仿宋_GBK" w:cs="方正仿宋_GBK"/>
          <w:color w:val="auto"/>
          <w:kern w:val="2"/>
          <w:sz w:val="32"/>
          <w:szCs w:val="32"/>
          <w:highlight w:val="none"/>
          <w:lang w:val="en-US" w:eastAsia="zh-CN" w:bidi="ar-SA"/>
        </w:rPr>
        <w:t>用好用活各类财政资金，提高财政资金的使用效益。</w:t>
      </w:r>
      <w:bookmarkEnd w:id="45"/>
    </w:p>
    <w:p>
      <w:pPr>
        <w:pStyle w:val="8"/>
        <w:keepNext w:val="0"/>
        <w:keepLines w:val="0"/>
        <w:pageBreakBefore w:val="0"/>
        <w:numPr>
          <w:ilvl w:val="0"/>
          <w:numId w:val="0"/>
        </w:numPr>
        <w:kinsoku/>
        <w:wordWrap/>
        <w:overflowPunct/>
        <w:topLinePunct w:val="0"/>
        <w:autoSpaceDE/>
        <w:autoSpaceDN/>
        <w:bidi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附表：</w:t>
      </w:r>
      <w:r>
        <w:rPr>
          <w:rFonts w:hint="eastAsia" w:ascii="Times New Roman" w:hAnsi="Times New Roman" w:eastAsia="方正仿宋_GBK" w:cs="方正仿宋_GBK"/>
          <w:color w:val="auto"/>
          <w:kern w:val="2"/>
          <w:sz w:val="32"/>
          <w:szCs w:val="32"/>
          <w:highlight w:val="none"/>
          <w:lang w:val="en-US" w:eastAsia="zh-CN" w:bidi="ar-SA"/>
        </w:rPr>
        <w:t>部门预算项目支出绩效自评表（2025年度）</w:t>
      </w:r>
    </w:p>
    <w:p>
      <w:pPr>
        <w:pStyle w:val="8"/>
        <w:keepNext w:val="0"/>
        <w:keepLines w:val="0"/>
        <w:pageBreakBefore w:val="0"/>
        <w:numPr>
          <w:ilvl w:val="0"/>
          <w:numId w:val="0"/>
        </w:numPr>
        <w:kinsoku/>
        <w:wordWrap/>
        <w:overflowPunct/>
        <w:topLinePunct w:val="0"/>
        <w:autoSpaceDE/>
        <w:autoSpaceDN/>
        <w:bidi w:val="0"/>
        <w:spacing w:line="576" w:lineRule="exact"/>
        <w:ind w:firstLine="632" w:firstLineChars="200"/>
        <w:textAlignment w:val="auto"/>
        <w:rPr>
          <w:rFonts w:hint="eastAsia" w:ascii="Times New Roman" w:hAnsi="Times New Roman" w:eastAsia="方正仿宋_GBK" w:cs="方正仿宋_GBK"/>
          <w:color w:val="auto"/>
          <w:kern w:val="2"/>
          <w:sz w:val="32"/>
          <w:szCs w:val="32"/>
          <w:highlight w:val="none"/>
          <w:lang w:val="en-US" w:eastAsia="zh-CN" w:bidi="ar-SA"/>
        </w:rPr>
        <w:sectPr>
          <w:footerReference r:id="rId7" w:type="default"/>
          <w:pgSz w:w="11906" w:h="16838"/>
          <w:pgMar w:top="2098" w:right="1474" w:bottom="1984" w:left="1587" w:header="851" w:footer="992" w:gutter="0"/>
          <w:pgNumType w:fmt="decimal" w:start="1"/>
          <w:cols w:space="425" w:num="1"/>
          <w:rtlGutter w:val="0"/>
          <w:docGrid w:type="linesAndChars" w:linePitch="289" w:charSpace="-882"/>
        </w:sectPr>
      </w:pPr>
    </w:p>
    <w:tbl>
      <w:tblPr>
        <w:tblStyle w:val="17"/>
        <w:tblW w:w="15147" w:type="dxa"/>
        <w:tblInd w:w="-10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1"/>
        <w:gridCol w:w="2432"/>
        <w:gridCol w:w="1774"/>
        <w:gridCol w:w="2013"/>
        <w:gridCol w:w="771"/>
        <w:gridCol w:w="1424"/>
        <w:gridCol w:w="773"/>
        <w:gridCol w:w="1091"/>
        <w:gridCol w:w="505"/>
        <w:gridCol w:w="456"/>
        <w:gridCol w:w="22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5147" w:type="dxa"/>
            <w:gridSpan w:val="11"/>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 w:cs="仿宋"/>
                <w:b w:val="0"/>
                <w:bCs w:val="0"/>
                <w:i w:val="0"/>
                <w:iCs w:val="0"/>
                <w:color w:val="000000"/>
                <w:sz w:val="11"/>
                <w:szCs w:val="11"/>
                <w:u w:val="none"/>
              </w:rPr>
            </w:pPr>
            <w:r>
              <w:rPr>
                <w:rFonts w:hint="eastAsia" w:ascii="Times New Roman" w:hAnsi="Times New Roman" w:eastAsia="方正仿宋_GBK" w:cs="方正仿宋_GBK"/>
                <w:b w:val="0"/>
                <w:bCs w:val="0"/>
                <w:color w:val="auto"/>
                <w:kern w:val="2"/>
                <w:sz w:val="32"/>
                <w:szCs w:val="32"/>
                <w:highlight w:val="none"/>
                <w:lang w:val="en-US" w:eastAsia="zh-CN" w:bidi="ar-SA"/>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1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项目名称</w:t>
            </w:r>
          </w:p>
        </w:tc>
        <w:tc>
          <w:tcPr>
            <w:tcW w:w="110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51320024T000010454685-巡察组巡察专项经费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41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主管部门</w:t>
            </w:r>
          </w:p>
        </w:tc>
        <w:tc>
          <w:tcPr>
            <w:tcW w:w="67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州委巡察办部门</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 xml:space="preserve">实施单位 </w:t>
            </w:r>
          </w:p>
        </w:tc>
        <w:tc>
          <w:tcPr>
            <w:tcW w:w="31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州委巡察办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项目基本情况</w:t>
            </w:r>
          </w:p>
        </w:tc>
        <w:tc>
          <w:tcPr>
            <w:tcW w:w="2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1.项目年度目标完成情况</w:t>
            </w:r>
          </w:p>
        </w:tc>
        <w:tc>
          <w:tcPr>
            <w:tcW w:w="67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项目年度目标</w:t>
            </w:r>
          </w:p>
        </w:tc>
        <w:tc>
          <w:tcPr>
            <w:tcW w:w="42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val="0"/>
                <w:iCs w:val="0"/>
                <w:color w:val="000000"/>
                <w:sz w:val="15"/>
                <w:szCs w:val="15"/>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val="0"/>
                <w:iCs w:val="0"/>
                <w:color w:val="000000"/>
                <w:sz w:val="15"/>
                <w:szCs w:val="15"/>
                <w:u w:val="none"/>
              </w:rPr>
            </w:pPr>
          </w:p>
        </w:tc>
        <w:tc>
          <w:tcPr>
            <w:tcW w:w="67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2025年，组织开展2轮常规巡查，每轮巡察12个单位，全年共巡察24个单位，其他根据当年工作安排执行。通过巡察发现并推动整改问题，提升被巡察单位治理水平，促进党风廉政建设。</w:t>
            </w:r>
          </w:p>
        </w:tc>
        <w:tc>
          <w:tcPr>
            <w:tcW w:w="42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2025年，组织开展2轮常规巡查，每轮巡察12个单位，全年共巡察24个单位，其他根据当年工作安排执行。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2.项目实施内容及过程概述</w:t>
            </w:r>
          </w:p>
        </w:tc>
        <w:tc>
          <w:tcPr>
            <w:tcW w:w="110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color w:val="000000"/>
                <w:kern w:val="0"/>
                <w:sz w:val="15"/>
                <w:szCs w:val="15"/>
                <w:u w:val="none"/>
                <w:lang w:val="en-US" w:eastAsia="zh-CN" w:bidi="ar"/>
              </w:rPr>
              <w:t>2025年上半年开始实施第一轮常规巡察，下半年实施第二轮常规巡察及其他相关工作。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预算执行情况（10分）</w:t>
            </w: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年度预算数（万元）</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年初预算</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调整后预算数</w:t>
            </w:r>
          </w:p>
        </w:tc>
        <w:tc>
          <w:tcPr>
            <w:tcW w:w="2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得分</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总额</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190.00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304.20</w:t>
            </w:r>
          </w:p>
        </w:tc>
        <w:tc>
          <w:tcPr>
            <w:tcW w:w="2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304.20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10</w:t>
            </w:r>
          </w:p>
        </w:tc>
        <w:tc>
          <w:tcPr>
            <w:tcW w:w="2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iCs/>
                <w:color w:val="000000"/>
                <w:sz w:val="15"/>
                <w:szCs w:val="15"/>
                <w:u w:val="none"/>
                <w:lang w:val="en-US" w:eastAsia="zh-CN"/>
              </w:rPr>
            </w:pPr>
            <w:r>
              <w:rPr>
                <w:rFonts w:hint="eastAsia" w:ascii="Times New Roman" w:hAnsi="Times New Roman" w:eastAsia="方正仿宋_GBK" w:cs="方正仿宋_GBK"/>
                <w:b/>
                <w:bCs/>
                <w:i/>
                <w:iCs/>
                <w:color w:val="000000"/>
                <w:sz w:val="15"/>
                <w:szCs w:val="15"/>
                <w:u w:val="none"/>
                <w:lang w:val="en-US" w:eastAsia="zh-CN"/>
              </w:rPr>
              <w:t>2025年根据省委巡视办的要求增加巡察组组员，从原来的8人一组到现在的21人一组</w:t>
            </w:r>
            <w:r>
              <w:rPr>
                <w:rFonts w:hint="eastAsia" w:ascii="Times New Roman" w:hAnsi="Times New Roman" w:eastAsia="方正仿宋_GBK" w:cs="方正仿宋_GBK"/>
                <w:b/>
                <w:bCs/>
                <w:i w:val="0"/>
                <w:iCs w:val="0"/>
                <w:color w:val="000000"/>
                <w:kern w:val="0"/>
                <w:sz w:val="15"/>
                <w:szCs w:val="15"/>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其中：财政资金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190.00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304.20</w:t>
            </w:r>
          </w:p>
        </w:tc>
        <w:tc>
          <w:tcPr>
            <w:tcW w:w="2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304.20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财政专户管理资金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2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单位资金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2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其他资金</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29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2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6" w:hRule="atLeast"/>
        </w:trPr>
        <w:tc>
          <w:tcPr>
            <w:tcW w:w="1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绩效指标（90分）</w:t>
            </w: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一级指标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二级指标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三级指标</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指标性质</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指标值</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得分</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产出指标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质量指标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巡察报告质量合格率</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80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19</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时效指标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每轮巡察按时完成率</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95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19</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效益指标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经济效益指标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挽回经济损失</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185</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4</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1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社会效益指标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被巡察单位整改率</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90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9</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1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发现问题数量</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24</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5</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满意度指标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服务对象满意度指标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被巡察单位满意度</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90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9</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 w:hRule="atLeast"/>
        </w:trPr>
        <w:tc>
          <w:tcPr>
            <w:tcW w:w="1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rPr>
            </w:pPr>
          </w:p>
        </w:tc>
        <w:tc>
          <w:tcPr>
            <w:tcW w:w="24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成本指标</w:t>
            </w:r>
          </w:p>
        </w:tc>
        <w:tc>
          <w:tcPr>
            <w:tcW w:w="1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经济成本指标</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项目预算控制率</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80</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19</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 w:hRule="atLeast"/>
        </w:trPr>
        <w:tc>
          <w:tcPr>
            <w:tcW w:w="1196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方正仿宋_GBK" w:cs="方正仿宋_GBK"/>
                <w:b/>
                <w:bCs/>
                <w:i w:val="0"/>
                <w:iCs w:val="0"/>
                <w:color w:val="000000"/>
                <w:sz w:val="15"/>
                <w:szCs w:val="15"/>
                <w:u w:val="none"/>
                <w:lang w:val="en-US" w:eastAsia="zh-CN"/>
              </w:rPr>
            </w:pPr>
            <w:r>
              <w:rPr>
                <w:rFonts w:hint="eastAsia" w:ascii="Times New Roman" w:hAnsi="Times New Roman" w:eastAsia="方正仿宋_GBK" w:cs="方正仿宋_GBK"/>
                <w:b/>
                <w:bCs/>
                <w:i w:val="0"/>
                <w:iCs w:val="0"/>
                <w:color w:val="000000"/>
                <w:sz w:val="15"/>
                <w:szCs w:val="15"/>
                <w:u w:val="none"/>
                <w:lang w:val="en-US" w:eastAsia="zh-CN"/>
              </w:rPr>
              <w:t>94</w:t>
            </w:r>
          </w:p>
        </w:tc>
        <w:tc>
          <w:tcPr>
            <w:tcW w:w="221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方正仿宋_GBK" w:cs="方正仿宋_GBK"/>
                <w:b/>
                <w:bCs/>
                <w:i w:val="0"/>
                <w:iCs w:val="0"/>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评价结论</w:t>
            </w:r>
          </w:p>
        </w:tc>
        <w:tc>
          <w:tcPr>
            <w:tcW w:w="134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iCs/>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通过自评，中共阿坝州委巡察办需要进一步提高预算编制准确度和预算执行进度外，绩效目标制定要素完整、程序规范，支出控制有力，部门整体绩效良好。自评得分94分。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trPr>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存在问题</w:t>
            </w:r>
          </w:p>
        </w:tc>
        <w:tc>
          <w:tcPr>
            <w:tcW w:w="134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iCs/>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存在预算管理不够规范，整体绩效有待提高。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方正仿宋_GBK" w:cs="方正仿宋_GBK"/>
                <w:b/>
                <w:bCs/>
                <w:i w:val="0"/>
                <w:iCs w:val="0"/>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改进措施</w:t>
            </w:r>
          </w:p>
        </w:tc>
        <w:tc>
          <w:tcPr>
            <w:tcW w:w="1345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方正仿宋_GBK" w:cs="方正仿宋_GBK"/>
                <w:b/>
                <w:bCs/>
                <w:i/>
                <w:iCs/>
                <w:color w:val="000000"/>
                <w:sz w:val="15"/>
                <w:szCs w:val="15"/>
                <w:u w:val="none"/>
              </w:rPr>
            </w:pPr>
            <w:r>
              <w:rPr>
                <w:rFonts w:hint="eastAsia" w:ascii="Times New Roman" w:hAnsi="Times New Roman" w:eastAsia="方正仿宋_GBK" w:cs="方正仿宋_GBK"/>
                <w:b/>
                <w:bCs/>
                <w:i w:val="0"/>
                <w:iCs w:val="0"/>
                <w:color w:val="000000"/>
                <w:kern w:val="0"/>
                <w:sz w:val="15"/>
                <w:szCs w:val="15"/>
                <w:u w:val="none"/>
                <w:lang w:val="en-US" w:eastAsia="zh-CN" w:bidi="ar"/>
              </w:rPr>
              <w:t>为进一步提高整体绩效水平，加强预算支出执行监控，及时督促相关项目执行力度，切实提高资金使用绩效。</w:t>
            </w:r>
          </w:p>
        </w:tc>
      </w:tr>
    </w:tbl>
    <w:p>
      <w:pPr>
        <w:rPr>
          <w:rFonts w:hint="eastAsia" w:ascii="Times New Roman" w:hAnsi="Times New Roman" w:eastAsia="黑体" w:cs="黑体"/>
          <w:color w:val="auto"/>
          <w:kern w:val="0"/>
          <w:sz w:val="10"/>
          <w:szCs w:val="10"/>
          <w:highlight w:val="none"/>
          <w:shd w:val="clear" w:color="auto" w:fill="FFFFFF"/>
          <w:lang w:val="en-US" w:eastAsia="zh-CN"/>
        </w:rPr>
        <w:sectPr>
          <w:pgSz w:w="16838" w:h="11906" w:orient="landscape"/>
          <w:pgMar w:top="1134" w:right="1134" w:bottom="1134" w:left="1134" w:header="851" w:footer="1134" w:gutter="0"/>
          <w:pgNumType w:fmt="decimal"/>
          <w:cols w:space="0" w:num="1"/>
          <w:rtlGutter w:val="0"/>
          <w:docGrid w:type="linesAndChars" w:linePitch="293" w:charSpace="-882"/>
        </w:sectPr>
      </w:pPr>
    </w:p>
    <w:p>
      <w:pPr>
        <w:rPr>
          <w:rFonts w:hint="eastAsia" w:ascii="Times New Roman" w:hAnsi="Times New Roman"/>
          <w:lang w:val="zh-CN"/>
        </w:rPr>
      </w:pPr>
      <w:r>
        <w:rPr>
          <w:rFonts w:hint="eastAsia" w:ascii="Times New Roman" w:hAnsi="Times New Roman" w:eastAsia="黑体" w:cs="黑体"/>
          <w:color w:val="auto"/>
          <w:kern w:val="0"/>
          <w:sz w:val="32"/>
          <w:szCs w:val="32"/>
          <w:highlight w:val="none"/>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黑体简体" w:cs="方正黑体简体"/>
          <w:color w:val="auto"/>
          <w:kern w:val="2"/>
          <w:sz w:val="44"/>
          <w:szCs w:val="44"/>
          <w:highlight w:val="none"/>
          <w:lang w:val="zh-CN" w:eastAsia="zh-CN" w:bidi="ar-SA"/>
        </w:rPr>
      </w:pPr>
      <w:bookmarkStart w:id="46" w:name="_Toc15396618"/>
      <w:r>
        <w:rPr>
          <w:rFonts w:hint="eastAsia" w:ascii="Times New Roman" w:hAnsi="Times New Roman" w:eastAsia="方正黑体简体" w:cs="方正黑体简体"/>
          <w:color w:val="auto"/>
          <w:kern w:val="2"/>
          <w:sz w:val="44"/>
          <w:szCs w:val="44"/>
          <w:highlight w:val="none"/>
          <w:lang w:val="zh-CN" w:eastAsia="zh-CN" w:bidi="ar-SA"/>
        </w:rPr>
        <w:t>第五部分 附表</w:t>
      </w:r>
      <w:bookmarkEnd w:id="43"/>
      <w:bookmarkEnd w:id="46"/>
      <w:bookmarkStart w:id="47" w:name="_Toc15396619"/>
    </w:p>
    <w:p>
      <w:pPr>
        <w:pStyle w:val="15"/>
        <w:keepNext w:val="0"/>
        <w:keepLines w:val="0"/>
        <w:pageBreakBefore w:val="0"/>
        <w:kinsoku/>
        <w:wordWrap/>
        <w:overflowPunct/>
        <w:topLinePunct w:val="0"/>
        <w:autoSpaceDE/>
        <w:autoSpaceDN/>
        <w:bidi w:val="0"/>
        <w:adjustRightInd w:val="0"/>
        <w:snapToGrid w:val="0"/>
        <w:spacing w:line="576" w:lineRule="exact"/>
        <w:ind w:firstLine="0" w:firstLineChars="0"/>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一、收入支出决算总表</w:t>
      </w:r>
      <w:bookmarkEnd w:id="47"/>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48" w:name="_Toc15396620"/>
      <w:r>
        <w:rPr>
          <w:rFonts w:hint="eastAsia" w:ascii="Times New Roman" w:hAnsi="Times New Roman" w:eastAsia="方正仿宋_GBK" w:cs="方正仿宋_GBK"/>
          <w:color w:val="auto"/>
          <w:kern w:val="2"/>
          <w:sz w:val="32"/>
          <w:szCs w:val="32"/>
          <w:highlight w:val="none"/>
          <w:lang w:val="en-US" w:eastAsia="zh-CN" w:bidi="ar-SA"/>
        </w:rPr>
        <w:t>二、收入决算表</w:t>
      </w:r>
      <w:bookmarkEnd w:id="48"/>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49" w:name="_Toc15396621"/>
      <w:r>
        <w:rPr>
          <w:rFonts w:hint="eastAsia" w:ascii="Times New Roman" w:hAnsi="Times New Roman" w:eastAsia="方正仿宋_GBK" w:cs="方正仿宋_GBK"/>
          <w:color w:val="auto"/>
          <w:kern w:val="2"/>
          <w:sz w:val="32"/>
          <w:szCs w:val="32"/>
          <w:highlight w:val="none"/>
          <w:lang w:val="en-US" w:eastAsia="zh-CN" w:bidi="ar-SA"/>
        </w:rPr>
        <w:t>三、支出决算表</w:t>
      </w:r>
      <w:bookmarkEnd w:id="49"/>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0" w:name="_Toc15396622"/>
      <w:r>
        <w:rPr>
          <w:rFonts w:hint="eastAsia" w:ascii="Times New Roman" w:hAnsi="Times New Roman" w:eastAsia="方正仿宋_GBK" w:cs="方正仿宋_GBK"/>
          <w:color w:val="auto"/>
          <w:kern w:val="2"/>
          <w:sz w:val="32"/>
          <w:szCs w:val="32"/>
          <w:highlight w:val="none"/>
          <w:lang w:val="en-US" w:eastAsia="zh-CN" w:bidi="ar-SA"/>
        </w:rPr>
        <w:t>四、财政拨款收入支出决算总表</w:t>
      </w:r>
      <w:bookmarkEnd w:id="50"/>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1" w:name="_Toc15396623"/>
      <w:r>
        <w:rPr>
          <w:rFonts w:hint="eastAsia" w:ascii="Times New Roman" w:hAnsi="Times New Roman" w:eastAsia="方正仿宋_GBK" w:cs="方正仿宋_GBK"/>
          <w:color w:val="auto"/>
          <w:kern w:val="2"/>
          <w:sz w:val="32"/>
          <w:szCs w:val="32"/>
          <w:highlight w:val="none"/>
          <w:lang w:val="en-US" w:eastAsia="zh-CN" w:bidi="ar-SA"/>
        </w:rPr>
        <w:t>五、财政拨款支出决算明细表</w:t>
      </w:r>
      <w:bookmarkEnd w:id="51"/>
      <w:bookmarkStart w:id="52" w:name="_Toc15396624"/>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六、一般公共预算财政拨款支出决算表</w:t>
      </w:r>
      <w:bookmarkEnd w:id="52"/>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3" w:name="_Toc15396625"/>
      <w:r>
        <w:rPr>
          <w:rFonts w:hint="eastAsia" w:ascii="Times New Roman" w:hAnsi="Times New Roman" w:eastAsia="方正仿宋_GBK" w:cs="方正仿宋_GBK"/>
          <w:color w:val="auto"/>
          <w:kern w:val="2"/>
          <w:sz w:val="32"/>
          <w:szCs w:val="32"/>
          <w:highlight w:val="none"/>
          <w:lang w:val="en-US" w:eastAsia="zh-CN" w:bidi="ar-SA"/>
        </w:rPr>
        <w:t>七、一般公共预算财政拨款支出决算明细表</w:t>
      </w:r>
      <w:bookmarkEnd w:id="53"/>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4" w:name="_Toc15396626"/>
      <w:r>
        <w:rPr>
          <w:rFonts w:hint="eastAsia" w:ascii="Times New Roman" w:hAnsi="Times New Roman" w:eastAsia="方正仿宋_GBK" w:cs="方正仿宋_GBK"/>
          <w:color w:val="auto"/>
          <w:kern w:val="2"/>
          <w:sz w:val="32"/>
          <w:szCs w:val="32"/>
          <w:highlight w:val="none"/>
          <w:lang w:val="en-US" w:eastAsia="zh-CN" w:bidi="ar-SA"/>
        </w:rPr>
        <w:t>八、一般公共预算财政拨款基本支出决算表</w:t>
      </w:r>
      <w:bookmarkEnd w:id="54"/>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5" w:name="_Toc15396627"/>
      <w:r>
        <w:rPr>
          <w:rFonts w:hint="eastAsia" w:ascii="Times New Roman" w:hAnsi="Times New Roman" w:eastAsia="方正仿宋_GBK" w:cs="方正仿宋_GBK"/>
          <w:color w:val="auto"/>
          <w:kern w:val="2"/>
          <w:sz w:val="32"/>
          <w:szCs w:val="32"/>
          <w:highlight w:val="none"/>
          <w:lang w:val="en-US" w:eastAsia="zh-CN" w:bidi="ar-SA"/>
        </w:rPr>
        <w:t>九、一般公共预算财政拨款项目支出决算表</w:t>
      </w:r>
      <w:bookmarkEnd w:id="55"/>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6" w:name="_Toc15396628"/>
      <w:r>
        <w:rPr>
          <w:rFonts w:hint="eastAsia" w:ascii="Times New Roman" w:hAnsi="Times New Roman" w:eastAsia="方正仿宋_GBK" w:cs="方正仿宋_GBK"/>
          <w:color w:val="auto"/>
          <w:kern w:val="2"/>
          <w:sz w:val="32"/>
          <w:szCs w:val="32"/>
          <w:highlight w:val="none"/>
          <w:lang w:val="en-US" w:eastAsia="zh-CN" w:bidi="ar-SA"/>
        </w:rPr>
        <w:t>十、</w:t>
      </w:r>
      <w:bookmarkEnd w:id="56"/>
      <w:r>
        <w:rPr>
          <w:rFonts w:hint="eastAsia" w:ascii="Times New Roman" w:hAnsi="Times New Roman" w:eastAsia="方正仿宋_GBK" w:cs="方正仿宋_GBK"/>
          <w:color w:val="auto"/>
          <w:kern w:val="2"/>
          <w:sz w:val="32"/>
          <w:szCs w:val="32"/>
          <w:highlight w:val="none"/>
          <w:lang w:val="en-US" w:eastAsia="zh-CN" w:bidi="ar-SA"/>
        </w:rPr>
        <w:t>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7" w:name="_Toc15396629"/>
      <w:r>
        <w:rPr>
          <w:rFonts w:hint="eastAsia" w:ascii="Times New Roman" w:hAnsi="Times New Roman" w:eastAsia="方正仿宋_GBK" w:cs="方正仿宋_GBK"/>
          <w:color w:val="auto"/>
          <w:kern w:val="2"/>
          <w:sz w:val="32"/>
          <w:szCs w:val="32"/>
          <w:highlight w:val="none"/>
          <w:lang w:val="en-US" w:eastAsia="zh-CN" w:bidi="ar-SA"/>
        </w:rPr>
        <w:t>十一、</w:t>
      </w:r>
      <w:bookmarkEnd w:id="57"/>
      <w:r>
        <w:rPr>
          <w:rFonts w:hint="eastAsia" w:ascii="Times New Roman" w:hAnsi="Times New Roman" w:eastAsia="方正仿宋_GBK" w:cs="方正仿宋_GBK"/>
          <w:color w:val="auto"/>
          <w:kern w:val="2"/>
          <w:sz w:val="32"/>
          <w:szCs w:val="32"/>
          <w:highlight w:val="none"/>
          <w:lang w:val="en-US" w:eastAsia="zh-CN" w:bidi="ar-SA"/>
        </w:rPr>
        <w:t>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8" w:name="_Toc15396630"/>
      <w:r>
        <w:rPr>
          <w:rFonts w:hint="eastAsia" w:ascii="Times New Roman" w:hAnsi="Times New Roman" w:eastAsia="方正仿宋_GBK" w:cs="方正仿宋_GBK"/>
          <w:color w:val="auto"/>
          <w:kern w:val="2"/>
          <w:sz w:val="32"/>
          <w:szCs w:val="32"/>
          <w:highlight w:val="none"/>
          <w:lang w:val="en-US" w:eastAsia="zh-CN" w:bidi="ar-SA"/>
        </w:rPr>
        <w:t>十二、</w:t>
      </w:r>
      <w:bookmarkEnd w:id="58"/>
      <w:r>
        <w:rPr>
          <w:rFonts w:hint="eastAsia" w:ascii="Times New Roman" w:hAnsi="Times New Roman" w:eastAsia="方正仿宋_GBK" w:cs="方正仿宋_GBK"/>
          <w:color w:val="auto"/>
          <w:kern w:val="2"/>
          <w:sz w:val="32"/>
          <w:szCs w:val="32"/>
          <w:highlight w:val="none"/>
          <w:lang w:val="en-US" w:eastAsia="zh-CN" w:bidi="ar-SA"/>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9" w:name="_Toc15396631"/>
      <w:r>
        <w:rPr>
          <w:rFonts w:hint="eastAsia" w:ascii="Times New Roman" w:hAnsi="Times New Roman" w:eastAsia="方正仿宋_GBK" w:cs="方正仿宋_GBK"/>
          <w:color w:val="auto"/>
          <w:kern w:val="2"/>
          <w:sz w:val="32"/>
          <w:szCs w:val="32"/>
          <w:highlight w:val="none"/>
          <w:lang w:val="en-US" w:eastAsia="zh-CN" w:bidi="ar-SA"/>
        </w:rPr>
        <w:t>十三、</w:t>
      </w:r>
      <w:bookmarkEnd w:id="59"/>
      <w:r>
        <w:rPr>
          <w:rFonts w:hint="eastAsia" w:ascii="Times New Roman" w:hAnsi="Times New Roman" w:eastAsia="方正仿宋_GBK" w:cs="方正仿宋_GBK"/>
          <w:color w:val="auto"/>
          <w:kern w:val="2"/>
          <w:sz w:val="32"/>
          <w:szCs w:val="32"/>
          <w:highlight w:val="none"/>
          <w:lang w:val="en-US" w:eastAsia="zh-CN" w:bidi="ar-SA"/>
        </w:rPr>
        <w:t>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32" w:firstLineChars="200"/>
        <w:jc w:val="left"/>
        <w:textAlignment w:val="auto"/>
        <w:rPr>
          <w:rFonts w:hint="eastAsia" w:ascii="Times New Roman" w:hAnsi="Times New Roman" w:eastAsia="仿宋" w:cs="仿宋"/>
          <w:color w:val="auto"/>
          <w:sz w:val="32"/>
          <w:szCs w:val="32"/>
          <w:highlight w:val="none"/>
          <w:lang w:eastAsia="zh-CN"/>
        </w:rPr>
      </w:pPr>
    </w:p>
    <w:sectPr>
      <w:pgSz w:w="11906" w:h="16838"/>
      <w:pgMar w:top="2098" w:right="1474" w:bottom="1984" w:left="1587" w:header="851" w:footer="1587" w:gutter="0"/>
      <w:pgNumType w:fmt="decimal"/>
      <w:cols w:space="425" w:num="1"/>
      <w:rtlGutter w:val="0"/>
      <w:docGrid w:type="linesAndChars" w:linePitch="289" w:charSpace="-8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altName w:val="方正黑体_GBK"/>
    <w:panose1 w:val="02000000000000000000"/>
    <w:charset w:val="86"/>
    <w:family w:val="auto"/>
    <w:pitch w:val="default"/>
    <w:sig w:usb0="00000000" w:usb1="00000000" w:usb2="00000012" w:usb3="00000000" w:csb0="00040001"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drawingGridHorizontalSpacing w:val="103"/>
  <w:drawingGridVerticalSpacing w:val="14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2OTQxMmZlZGRkMTJlOTY0NDA4YjNiNGE2ZjBiNm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35CA"/>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11035"/>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CD5414"/>
    <w:rsid w:val="02317B1B"/>
    <w:rsid w:val="025832D3"/>
    <w:rsid w:val="02612551"/>
    <w:rsid w:val="02FEBE30"/>
    <w:rsid w:val="03574CB2"/>
    <w:rsid w:val="04846602"/>
    <w:rsid w:val="053E2C54"/>
    <w:rsid w:val="05832D5D"/>
    <w:rsid w:val="05B36D82"/>
    <w:rsid w:val="05F31C91"/>
    <w:rsid w:val="061E35DE"/>
    <w:rsid w:val="06450013"/>
    <w:rsid w:val="066E0107"/>
    <w:rsid w:val="071B7485"/>
    <w:rsid w:val="07342561"/>
    <w:rsid w:val="073C2039"/>
    <w:rsid w:val="07996F6E"/>
    <w:rsid w:val="07DFD8BA"/>
    <w:rsid w:val="083245C7"/>
    <w:rsid w:val="08DB07E4"/>
    <w:rsid w:val="09867E8F"/>
    <w:rsid w:val="0A2032A3"/>
    <w:rsid w:val="0B077F8D"/>
    <w:rsid w:val="0B1A7CC0"/>
    <w:rsid w:val="0C3923C8"/>
    <w:rsid w:val="0C6C4794"/>
    <w:rsid w:val="0CA8290A"/>
    <w:rsid w:val="0CE10755"/>
    <w:rsid w:val="0D35B1ED"/>
    <w:rsid w:val="0D4508F8"/>
    <w:rsid w:val="0DE07E2B"/>
    <w:rsid w:val="0E773F4A"/>
    <w:rsid w:val="0EE91E83"/>
    <w:rsid w:val="0F98263C"/>
    <w:rsid w:val="101860EC"/>
    <w:rsid w:val="10C055FF"/>
    <w:rsid w:val="11772AA4"/>
    <w:rsid w:val="118107EC"/>
    <w:rsid w:val="13727EBE"/>
    <w:rsid w:val="13D50BC4"/>
    <w:rsid w:val="14022904"/>
    <w:rsid w:val="15011746"/>
    <w:rsid w:val="152F2A07"/>
    <w:rsid w:val="1585667E"/>
    <w:rsid w:val="165E0673"/>
    <w:rsid w:val="16BB723D"/>
    <w:rsid w:val="16C67134"/>
    <w:rsid w:val="17E72CD8"/>
    <w:rsid w:val="184C5231"/>
    <w:rsid w:val="186504BB"/>
    <w:rsid w:val="18664544"/>
    <w:rsid w:val="18FD2925"/>
    <w:rsid w:val="1938089F"/>
    <w:rsid w:val="196071E6"/>
    <w:rsid w:val="19A445FC"/>
    <w:rsid w:val="19DE5CD3"/>
    <w:rsid w:val="1A1F0E4F"/>
    <w:rsid w:val="1A5D18B0"/>
    <w:rsid w:val="1A6E76E0"/>
    <w:rsid w:val="1B7D550C"/>
    <w:rsid w:val="1BD740A7"/>
    <w:rsid w:val="1BE8440E"/>
    <w:rsid w:val="1CBF09D7"/>
    <w:rsid w:val="1CC96E50"/>
    <w:rsid w:val="1CEC0D90"/>
    <w:rsid w:val="1D155CEE"/>
    <w:rsid w:val="1D635DF5"/>
    <w:rsid w:val="1E740ACF"/>
    <w:rsid w:val="1F3C7D3B"/>
    <w:rsid w:val="1F62156A"/>
    <w:rsid w:val="1FF35744"/>
    <w:rsid w:val="1FF6BC77"/>
    <w:rsid w:val="1FFF40CA"/>
    <w:rsid w:val="20757F3E"/>
    <w:rsid w:val="2151118D"/>
    <w:rsid w:val="21787096"/>
    <w:rsid w:val="21962A9E"/>
    <w:rsid w:val="21AE7C77"/>
    <w:rsid w:val="22BC3C41"/>
    <w:rsid w:val="235A2EF8"/>
    <w:rsid w:val="23860B96"/>
    <w:rsid w:val="240371BF"/>
    <w:rsid w:val="241729D3"/>
    <w:rsid w:val="25205A7B"/>
    <w:rsid w:val="253632AB"/>
    <w:rsid w:val="260F557C"/>
    <w:rsid w:val="281408E2"/>
    <w:rsid w:val="281C69CE"/>
    <w:rsid w:val="296F6939"/>
    <w:rsid w:val="29FD04D3"/>
    <w:rsid w:val="2A703920"/>
    <w:rsid w:val="2B033E75"/>
    <w:rsid w:val="2BAD481E"/>
    <w:rsid w:val="2BFF7BC6"/>
    <w:rsid w:val="2C8A61B5"/>
    <w:rsid w:val="2CC17B44"/>
    <w:rsid w:val="2D2E01CF"/>
    <w:rsid w:val="2D485B6F"/>
    <w:rsid w:val="2D713318"/>
    <w:rsid w:val="2DF04E50"/>
    <w:rsid w:val="2E262354"/>
    <w:rsid w:val="2E433EC1"/>
    <w:rsid w:val="2E9545B0"/>
    <w:rsid w:val="2EB711FE"/>
    <w:rsid w:val="2EEF6BEA"/>
    <w:rsid w:val="2F040D46"/>
    <w:rsid w:val="2F1A353B"/>
    <w:rsid w:val="2FAE5751"/>
    <w:rsid w:val="2FB1A395"/>
    <w:rsid w:val="2FD9A7D8"/>
    <w:rsid w:val="2FFBEBD0"/>
    <w:rsid w:val="31783BAE"/>
    <w:rsid w:val="319F7F4E"/>
    <w:rsid w:val="321B2544"/>
    <w:rsid w:val="322061A1"/>
    <w:rsid w:val="326203B9"/>
    <w:rsid w:val="32DD0992"/>
    <w:rsid w:val="3304709D"/>
    <w:rsid w:val="337B3F28"/>
    <w:rsid w:val="337F3BD9"/>
    <w:rsid w:val="34281836"/>
    <w:rsid w:val="34943D90"/>
    <w:rsid w:val="34945B3E"/>
    <w:rsid w:val="349D6851"/>
    <w:rsid w:val="35355831"/>
    <w:rsid w:val="35AC25E1"/>
    <w:rsid w:val="35BA6CAF"/>
    <w:rsid w:val="364D14C1"/>
    <w:rsid w:val="366003CD"/>
    <w:rsid w:val="36A75FFC"/>
    <w:rsid w:val="36AA5135"/>
    <w:rsid w:val="36AF4EB1"/>
    <w:rsid w:val="36BE0DA7"/>
    <w:rsid w:val="36C4095C"/>
    <w:rsid w:val="37033497"/>
    <w:rsid w:val="37444489"/>
    <w:rsid w:val="376B6AA6"/>
    <w:rsid w:val="376D39B2"/>
    <w:rsid w:val="37C8447C"/>
    <w:rsid w:val="37E16F03"/>
    <w:rsid w:val="37F53A3B"/>
    <w:rsid w:val="388365F5"/>
    <w:rsid w:val="389B6C89"/>
    <w:rsid w:val="38D469F0"/>
    <w:rsid w:val="39616936"/>
    <w:rsid w:val="39627CCD"/>
    <w:rsid w:val="397BAF1F"/>
    <w:rsid w:val="3A2B484E"/>
    <w:rsid w:val="3A8532BF"/>
    <w:rsid w:val="3AB79AF3"/>
    <w:rsid w:val="3B7EF35A"/>
    <w:rsid w:val="3B9FDB6C"/>
    <w:rsid w:val="3BF5BC2F"/>
    <w:rsid w:val="3C6504EB"/>
    <w:rsid w:val="3CEBA265"/>
    <w:rsid w:val="3D791D75"/>
    <w:rsid w:val="3D8F1598"/>
    <w:rsid w:val="3D98207C"/>
    <w:rsid w:val="3D9B0D99"/>
    <w:rsid w:val="3DEE7CF3"/>
    <w:rsid w:val="3DF02244"/>
    <w:rsid w:val="3E78745D"/>
    <w:rsid w:val="3E7FFA42"/>
    <w:rsid w:val="3EE7E8AA"/>
    <w:rsid w:val="3F823162"/>
    <w:rsid w:val="3F88629F"/>
    <w:rsid w:val="3FED9CBA"/>
    <w:rsid w:val="3FF4CAE0"/>
    <w:rsid w:val="3FF7B227"/>
    <w:rsid w:val="3FFAC1AF"/>
    <w:rsid w:val="3FFB06A8"/>
    <w:rsid w:val="40167D4F"/>
    <w:rsid w:val="40C1684F"/>
    <w:rsid w:val="40DB5220"/>
    <w:rsid w:val="40E54C45"/>
    <w:rsid w:val="4128135D"/>
    <w:rsid w:val="41A970CC"/>
    <w:rsid w:val="41ED03D2"/>
    <w:rsid w:val="42E141B0"/>
    <w:rsid w:val="42E934F8"/>
    <w:rsid w:val="435B18A4"/>
    <w:rsid w:val="43A407DF"/>
    <w:rsid w:val="44515BEA"/>
    <w:rsid w:val="445350CD"/>
    <w:rsid w:val="44E268DA"/>
    <w:rsid w:val="453F7E5B"/>
    <w:rsid w:val="45CC3389"/>
    <w:rsid w:val="45FFCA06"/>
    <w:rsid w:val="46155434"/>
    <w:rsid w:val="4707057C"/>
    <w:rsid w:val="48677399"/>
    <w:rsid w:val="486A6C7A"/>
    <w:rsid w:val="48EA246C"/>
    <w:rsid w:val="49176D9B"/>
    <w:rsid w:val="49FD4047"/>
    <w:rsid w:val="4A3F6039"/>
    <w:rsid w:val="4A627F82"/>
    <w:rsid w:val="4ABB5659"/>
    <w:rsid w:val="4B0E749A"/>
    <w:rsid w:val="4B3621F1"/>
    <w:rsid w:val="4B4734B2"/>
    <w:rsid w:val="4B4F25DA"/>
    <w:rsid w:val="4BB5041C"/>
    <w:rsid w:val="4BC73469"/>
    <w:rsid w:val="4BDA0CFB"/>
    <w:rsid w:val="4BE068DB"/>
    <w:rsid w:val="4D183358"/>
    <w:rsid w:val="4D1D096E"/>
    <w:rsid w:val="4D3C0CCC"/>
    <w:rsid w:val="4D577224"/>
    <w:rsid w:val="4DBF1CEB"/>
    <w:rsid w:val="4EA2737D"/>
    <w:rsid w:val="4EAB630A"/>
    <w:rsid w:val="4ECE2238"/>
    <w:rsid w:val="4EEA69FB"/>
    <w:rsid w:val="4F18763F"/>
    <w:rsid w:val="4F833267"/>
    <w:rsid w:val="4FE9BD67"/>
    <w:rsid w:val="4FFB052F"/>
    <w:rsid w:val="5030495D"/>
    <w:rsid w:val="50E35A2B"/>
    <w:rsid w:val="524F15CA"/>
    <w:rsid w:val="52F3E330"/>
    <w:rsid w:val="53083A92"/>
    <w:rsid w:val="537E6D0A"/>
    <w:rsid w:val="539F5EFE"/>
    <w:rsid w:val="53AF27A2"/>
    <w:rsid w:val="53D53D51"/>
    <w:rsid w:val="53F74C96"/>
    <w:rsid w:val="54A875C5"/>
    <w:rsid w:val="54DF6509"/>
    <w:rsid w:val="55A63DA8"/>
    <w:rsid w:val="56E47B74"/>
    <w:rsid w:val="56FFBFA0"/>
    <w:rsid w:val="57574A7D"/>
    <w:rsid w:val="576EE7D1"/>
    <w:rsid w:val="576F1DC6"/>
    <w:rsid w:val="57BD3DD4"/>
    <w:rsid w:val="58B838E3"/>
    <w:rsid w:val="59147184"/>
    <w:rsid w:val="591C5F7E"/>
    <w:rsid w:val="59E535D4"/>
    <w:rsid w:val="5A1A61B8"/>
    <w:rsid w:val="5A7B0A82"/>
    <w:rsid w:val="5AF92295"/>
    <w:rsid w:val="5BDD79E6"/>
    <w:rsid w:val="5BF561CA"/>
    <w:rsid w:val="5BFF5DFC"/>
    <w:rsid w:val="5C191AE4"/>
    <w:rsid w:val="5C360418"/>
    <w:rsid w:val="5CB7823B"/>
    <w:rsid w:val="5CB92549"/>
    <w:rsid w:val="5CD5091E"/>
    <w:rsid w:val="5CD71FC4"/>
    <w:rsid w:val="5CFA9520"/>
    <w:rsid w:val="5CFE1842"/>
    <w:rsid w:val="5D1A27D4"/>
    <w:rsid w:val="5D1F11B5"/>
    <w:rsid w:val="5D616655"/>
    <w:rsid w:val="5D7C4D92"/>
    <w:rsid w:val="5DAE1B18"/>
    <w:rsid w:val="5DD757B6"/>
    <w:rsid w:val="5DE7D9E5"/>
    <w:rsid w:val="5E7F5396"/>
    <w:rsid w:val="5EA03DAF"/>
    <w:rsid w:val="5ECEC941"/>
    <w:rsid w:val="5F3C4C84"/>
    <w:rsid w:val="5F493CB7"/>
    <w:rsid w:val="5F7C3766"/>
    <w:rsid w:val="5FA62A45"/>
    <w:rsid w:val="5FBF9FF3"/>
    <w:rsid w:val="5FCD4E2C"/>
    <w:rsid w:val="5FD15F49"/>
    <w:rsid w:val="5FDE0D69"/>
    <w:rsid w:val="5FDE7435"/>
    <w:rsid w:val="5FDF71E6"/>
    <w:rsid w:val="5FEAB571"/>
    <w:rsid w:val="5FEF394A"/>
    <w:rsid w:val="5FF67715"/>
    <w:rsid w:val="61A22D98"/>
    <w:rsid w:val="61A86601"/>
    <w:rsid w:val="61EF4230"/>
    <w:rsid w:val="61FFCA07"/>
    <w:rsid w:val="62BF3928"/>
    <w:rsid w:val="63400ABB"/>
    <w:rsid w:val="63FF764D"/>
    <w:rsid w:val="647F5392"/>
    <w:rsid w:val="64E35BA2"/>
    <w:rsid w:val="659A0956"/>
    <w:rsid w:val="65CD5BB9"/>
    <w:rsid w:val="65E87914"/>
    <w:rsid w:val="65FBC617"/>
    <w:rsid w:val="664B1D71"/>
    <w:rsid w:val="6672542F"/>
    <w:rsid w:val="671D35ED"/>
    <w:rsid w:val="673152EA"/>
    <w:rsid w:val="67742DC2"/>
    <w:rsid w:val="67AA3209"/>
    <w:rsid w:val="681C4F0D"/>
    <w:rsid w:val="68E30539"/>
    <w:rsid w:val="69046D0F"/>
    <w:rsid w:val="698D0931"/>
    <w:rsid w:val="69FF4498"/>
    <w:rsid w:val="6A933BC6"/>
    <w:rsid w:val="6A993CED"/>
    <w:rsid w:val="6B053271"/>
    <w:rsid w:val="6BCE6674"/>
    <w:rsid w:val="6BE97F42"/>
    <w:rsid w:val="6C4A05C8"/>
    <w:rsid w:val="6C8742B8"/>
    <w:rsid w:val="6C8A170F"/>
    <w:rsid w:val="6CB33F44"/>
    <w:rsid w:val="6CB54609"/>
    <w:rsid w:val="6DA32372"/>
    <w:rsid w:val="6DBF5E93"/>
    <w:rsid w:val="6DF6AD73"/>
    <w:rsid w:val="6DFF077E"/>
    <w:rsid w:val="6E0949F7"/>
    <w:rsid w:val="6E4D6A7E"/>
    <w:rsid w:val="6E7E3605"/>
    <w:rsid w:val="6E7FDCC7"/>
    <w:rsid w:val="6E9568DB"/>
    <w:rsid w:val="6ED6A62E"/>
    <w:rsid w:val="6EE00B15"/>
    <w:rsid w:val="6EFF5887"/>
    <w:rsid w:val="6F544B20"/>
    <w:rsid w:val="6F6FB3EB"/>
    <w:rsid w:val="6F784160"/>
    <w:rsid w:val="6F7F048A"/>
    <w:rsid w:val="6F8731EA"/>
    <w:rsid w:val="6FC5197B"/>
    <w:rsid w:val="6FCE6052"/>
    <w:rsid w:val="6FD57C00"/>
    <w:rsid w:val="6FEFFFD8"/>
    <w:rsid w:val="6FF5CC65"/>
    <w:rsid w:val="6FFB47EC"/>
    <w:rsid w:val="6FFEF981"/>
    <w:rsid w:val="6FFF034A"/>
    <w:rsid w:val="704936A5"/>
    <w:rsid w:val="70496804"/>
    <w:rsid w:val="70737470"/>
    <w:rsid w:val="712A28F1"/>
    <w:rsid w:val="715C0E4B"/>
    <w:rsid w:val="71B46619"/>
    <w:rsid w:val="72153BF0"/>
    <w:rsid w:val="72233669"/>
    <w:rsid w:val="726A345E"/>
    <w:rsid w:val="72734D90"/>
    <w:rsid w:val="729F6083"/>
    <w:rsid w:val="72C00519"/>
    <w:rsid w:val="7332FE48"/>
    <w:rsid w:val="73AB215C"/>
    <w:rsid w:val="73AB61DA"/>
    <w:rsid w:val="73AD73D5"/>
    <w:rsid w:val="73B6EB34"/>
    <w:rsid w:val="73FA497D"/>
    <w:rsid w:val="73FBF891"/>
    <w:rsid w:val="744731E5"/>
    <w:rsid w:val="74527205"/>
    <w:rsid w:val="74BBD01D"/>
    <w:rsid w:val="74ED5379"/>
    <w:rsid w:val="74FC2395"/>
    <w:rsid w:val="75DEEEC2"/>
    <w:rsid w:val="75EE6A07"/>
    <w:rsid w:val="75FF4F00"/>
    <w:rsid w:val="766F5609"/>
    <w:rsid w:val="76BE1D44"/>
    <w:rsid w:val="76DFFF16"/>
    <w:rsid w:val="76E3355F"/>
    <w:rsid w:val="76FF5125"/>
    <w:rsid w:val="776F6FFA"/>
    <w:rsid w:val="777E5945"/>
    <w:rsid w:val="778769C8"/>
    <w:rsid w:val="77DC22F5"/>
    <w:rsid w:val="77E3638A"/>
    <w:rsid w:val="77FE2AE6"/>
    <w:rsid w:val="781B7F56"/>
    <w:rsid w:val="782F3180"/>
    <w:rsid w:val="78AF42C1"/>
    <w:rsid w:val="78F33135"/>
    <w:rsid w:val="79086DAD"/>
    <w:rsid w:val="795F7A95"/>
    <w:rsid w:val="79974F09"/>
    <w:rsid w:val="79D7FD79"/>
    <w:rsid w:val="79EE5BA4"/>
    <w:rsid w:val="79FEC31A"/>
    <w:rsid w:val="7A3A5E0C"/>
    <w:rsid w:val="7A73F165"/>
    <w:rsid w:val="7A894339"/>
    <w:rsid w:val="7AB2003A"/>
    <w:rsid w:val="7AFF7572"/>
    <w:rsid w:val="7B05466C"/>
    <w:rsid w:val="7B6C7DFB"/>
    <w:rsid w:val="7B7B90B2"/>
    <w:rsid w:val="7B7C95AA"/>
    <w:rsid w:val="7BB0282A"/>
    <w:rsid w:val="7BBA31BC"/>
    <w:rsid w:val="7BBFBED0"/>
    <w:rsid w:val="7BC3E394"/>
    <w:rsid w:val="7BD3A6D5"/>
    <w:rsid w:val="7C1F3737"/>
    <w:rsid w:val="7C7A034E"/>
    <w:rsid w:val="7CBB483C"/>
    <w:rsid w:val="7CBFC87B"/>
    <w:rsid w:val="7CFE0F48"/>
    <w:rsid w:val="7D7EC23E"/>
    <w:rsid w:val="7D916348"/>
    <w:rsid w:val="7D9DF7AC"/>
    <w:rsid w:val="7DBF63EA"/>
    <w:rsid w:val="7E3E5A94"/>
    <w:rsid w:val="7E8ADEBF"/>
    <w:rsid w:val="7EEF11D3"/>
    <w:rsid w:val="7EEF6318"/>
    <w:rsid w:val="7EFB3DBC"/>
    <w:rsid w:val="7F0971A6"/>
    <w:rsid w:val="7F1716D0"/>
    <w:rsid w:val="7F3F679B"/>
    <w:rsid w:val="7F4FC4EF"/>
    <w:rsid w:val="7F5E4D54"/>
    <w:rsid w:val="7F6E0135"/>
    <w:rsid w:val="7F954DBA"/>
    <w:rsid w:val="7F97A4C0"/>
    <w:rsid w:val="7F97E043"/>
    <w:rsid w:val="7FA30C79"/>
    <w:rsid w:val="7FA9BF89"/>
    <w:rsid w:val="7FAF8ABF"/>
    <w:rsid w:val="7FB7269E"/>
    <w:rsid w:val="7FC96657"/>
    <w:rsid w:val="7FCFE19A"/>
    <w:rsid w:val="7FDA9588"/>
    <w:rsid w:val="7FDB9E82"/>
    <w:rsid w:val="7FDD1D7D"/>
    <w:rsid w:val="7FDF220F"/>
    <w:rsid w:val="7FEDC5F7"/>
    <w:rsid w:val="7FEDD9DE"/>
    <w:rsid w:val="7FEFA689"/>
    <w:rsid w:val="7FF5890D"/>
    <w:rsid w:val="7FF93490"/>
    <w:rsid w:val="7FFABF45"/>
    <w:rsid w:val="7FFCC074"/>
    <w:rsid w:val="7FFFBAD5"/>
    <w:rsid w:val="7FFFF034"/>
    <w:rsid w:val="8FB7722A"/>
    <w:rsid w:val="978FC6FF"/>
    <w:rsid w:val="99FF2014"/>
    <w:rsid w:val="A6DD0D7F"/>
    <w:rsid w:val="ABF713E1"/>
    <w:rsid w:val="ADC6F725"/>
    <w:rsid w:val="ADFFAE86"/>
    <w:rsid w:val="AFBFA7A2"/>
    <w:rsid w:val="AFF5C8AC"/>
    <w:rsid w:val="B2319E45"/>
    <w:rsid w:val="B45FD261"/>
    <w:rsid w:val="B7BB47A2"/>
    <w:rsid w:val="B7CF06AB"/>
    <w:rsid w:val="B7CFA926"/>
    <w:rsid w:val="B7F8786B"/>
    <w:rsid w:val="BABB6AA1"/>
    <w:rsid w:val="BB2F4199"/>
    <w:rsid w:val="BBDBE542"/>
    <w:rsid w:val="BCBECFB1"/>
    <w:rsid w:val="BCEBF44E"/>
    <w:rsid w:val="BD079C78"/>
    <w:rsid w:val="BD733540"/>
    <w:rsid w:val="BF3735D5"/>
    <w:rsid w:val="BF760B1C"/>
    <w:rsid w:val="BF7F09AC"/>
    <w:rsid w:val="BF7F8F37"/>
    <w:rsid w:val="BFB75DC0"/>
    <w:rsid w:val="BFBCC65A"/>
    <w:rsid w:val="BFD475C3"/>
    <w:rsid w:val="BFDE5EA6"/>
    <w:rsid w:val="C7DCA365"/>
    <w:rsid w:val="CE3D3E56"/>
    <w:rsid w:val="CF6FC6F3"/>
    <w:rsid w:val="CFD3D3D7"/>
    <w:rsid w:val="CFDF1009"/>
    <w:rsid w:val="D5AFFFDB"/>
    <w:rsid w:val="D79EE1CC"/>
    <w:rsid w:val="D7D7B16A"/>
    <w:rsid w:val="D7E5A969"/>
    <w:rsid w:val="D8D6DB89"/>
    <w:rsid w:val="D9BB1129"/>
    <w:rsid w:val="D9F324DD"/>
    <w:rsid w:val="DB6F4CAB"/>
    <w:rsid w:val="DB777682"/>
    <w:rsid w:val="DBBB9F49"/>
    <w:rsid w:val="DD1FB521"/>
    <w:rsid w:val="DEFBFEAE"/>
    <w:rsid w:val="DF1F3B80"/>
    <w:rsid w:val="DF69A8D0"/>
    <w:rsid w:val="DF6F9789"/>
    <w:rsid w:val="DFEB5903"/>
    <w:rsid w:val="DFFCB9C6"/>
    <w:rsid w:val="DFFFA9E8"/>
    <w:rsid w:val="E1E7C059"/>
    <w:rsid w:val="E5F4E9DC"/>
    <w:rsid w:val="E5FF8152"/>
    <w:rsid w:val="E70FE695"/>
    <w:rsid w:val="E9690B87"/>
    <w:rsid w:val="EAFF6187"/>
    <w:rsid w:val="EB7B9354"/>
    <w:rsid w:val="EBF7A1E8"/>
    <w:rsid w:val="EC77EE4E"/>
    <w:rsid w:val="ECFED1BC"/>
    <w:rsid w:val="ED1D69BB"/>
    <w:rsid w:val="ED7C441D"/>
    <w:rsid w:val="ED7FD312"/>
    <w:rsid w:val="EF53993F"/>
    <w:rsid w:val="EF6FD633"/>
    <w:rsid w:val="EFBFB2F4"/>
    <w:rsid w:val="EFBFFA21"/>
    <w:rsid w:val="EFEA6D18"/>
    <w:rsid w:val="F2771A11"/>
    <w:rsid w:val="F2BEBCB8"/>
    <w:rsid w:val="F36FB518"/>
    <w:rsid w:val="F377760D"/>
    <w:rsid w:val="F37E35A0"/>
    <w:rsid w:val="F3D7FE9F"/>
    <w:rsid w:val="F3DE1A04"/>
    <w:rsid w:val="F3F722E5"/>
    <w:rsid w:val="F5DBD81D"/>
    <w:rsid w:val="F75CCE22"/>
    <w:rsid w:val="F7FF3966"/>
    <w:rsid w:val="F97F0633"/>
    <w:rsid w:val="F9D6A2CD"/>
    <w:rsid w:val="F9FD0F61"/>
    <w:rsid w:val="FA5E4C6B"/>
    <w:rsid w:val="FA5F1E70"/>
    <w:rsid w:val="FA5FDB97"/>
    <w:rsid w:val="FAC70219"/>
    <w:rsid w:val="FAF765B0"/>
    <w:rsid w:val="FAFF0012"/>
    <w:rsid w:val="FB5C4AF7"/>
    <w:rsid w:val="FB7F486A"/>
    <w:rsid w:val="FBAF4E5C"/>
    <w:rsid w:val="FBCE2D01"/>
    <w:rsid w:val="FBFF5B2E"/>
    <w:rsid w:val="FCBD2580"/>
    <w:rsid w:val="FCEA31CE"/>
    <w:rsid w:val="FCFF8865"/>
    <w:rsid w:val="FD63302F"/>
    <w:rsid w:val="FD7E0824"/>
    <w:rsid w:val="FD7FFE2B"/>
    <w:rsid w:val="FDDFBF2E"/>
    <w:rsid w:val="FDE0034F"/>
    <w:rsid w:val="FDEE196B"/>
    <w:rsid w:val="FDEFBD2B"/>
    <w:rsid w:val="FDF71782"/>
    <w:rsid w:val="FDFE6575"/>
    <w:rsid w:val="FDFF882F"/>
    <w:rsid w:val="FEB521F6"/>
    <w:rsid w:val="FEDFDDC2"/>
    <w:rsid w:val="FEED32F6"/>
    <w:rsid w:val="FEF4B553"/>
    <w:rsid w:val="FEF781DD"/>
    <w:rsid w:val="FF3F7E3F"/>
    <w:rsid w:val="FF7A05A3"/>
    <w:rsid w:val="FF9A46D7"/>
    <w:rsid w:val="FFBA12D7"/>
    <w:rsid w:val="FFBFAC6C"/>
    <w:rsid w:val="FFDFFAEE"/>
    <w:rsid w:val="FFF43332"/>
    <w:rsid w:val="FFF9B57B"/>
    <w:rsid w:val="FFFBE75D"/>
    <w:rsid w:val="FFFC8C37"/>
    <w:rsid w:val="FFFD1E0A"/>
    <w:rsid w:val="FFFD61D9"/>
    <w:rsid w:val="FFFD8F59"/>
    <w:rsid w:val="FFFE970F"/>
    <w:rsid w:val="FFFF2BB1"/>
    <w:rsid w:val="FFFF362D"/>
    <w:rsid w:val="FFFFA074"/>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收入、支出决算总计变动情况图</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640.64</c:v>
                </c:pt>
                <c:pt idx="1">
                  <c:v>640.64</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Sheet1!$C$2:$C$3</c15:sqref>
                  </c15:fullRef>
                </c:ext>
              </c:extLst>
              <c:f>Sheet1!$C$2:$C$3</c:f>
              <c:numCache>
                <c:formatCode>General</c:formatCode>
                <c:ptCount val="2"/>
                <c:pt idx="0">
                  <c:v>946.43</c:v>
                </c:pt>
                <c:pt idx="1">
                  <c:v>946.43</c:v>
                </c:pt>
              </c:numCache>
            </c:numRef>
          </c:val>
        </c:ser>
        <c:dLbls>
          <c:showLegendKey val="0"/>
          <c:showVal val="1"/>
          <c:showCatName val="0"/>
          <c:showSerName val="0"/>
          <c:showPercent val="0"/>
          <c:showBubbleSize val="0"/>
        </c:dLbls>
        <c:gapWidth val="219"/>
        <c:overlap val="-27"/>
        <c:axId val="206207495"/>
        <c:axId val="476762700"/>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收入</c:v>
                      </c:pt>
                      <c:pt idx="1">
                        <c:v>支出</c:v>
                      </c:pt>
                    </c:strCache>
                  </c:strRef>
                </c:cat>
              </c15:ser>
            </c15:filteredBarSeries>
          </c:ext>
        </c:extLst>
      </c:barChart>
      <c:catAx>
        <c:axId val="20620749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6762700"/>
        <c:crosses val="autoZero"/>
        <c:auto val="1"/>
        <c:lblAlgn val="ctr"/>
        <c:lblOffset val="100"/>
        <c:noMultiLvlLbl val="0"/>
      </c:catAx>
      <c:valAx>
        <c:axId val="4767627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20749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收入决算结构图</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c15:sqref>
                  </c15:fullRef>
                </c:ext>
              </c:extLst>
              <c:f>Sheet1!$A$2</c:f>
              <c:strCache>
                <c:ptCount val="1"/>
                <c:pt idx="0">
                  <c:v>一般公共预算财政拨款收入</c:v>
                </c:pt>
              </c:strCache>
            </c:strRef>
          </c:cat>
          <c:val>
            <c:numRef>
              <c:extLst>
                <c:ext xmlns:c15="http://schemas.microsoft.com/office/drawing/2012/chart" uri="{02D57815-91ED-43cb-92C2-25804820EDAC}">
                  <c15:fullRef>
                    <c15:sqref>Sheet1!$B$2</c15:sqref>
                  </c15:fullRef>
                </c:ext>
              </c:extLst>
              <c:f>Sheet1!$B$2</c:f>
              <c:numCache>
                <c:formatCode>General</c:formatCode>
                <c:ptCount val="1"/>
                <c:pt idx="0">
                  <c:v>946.43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支出决算结构图</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641.18</c:v>
                </c:pt>
                <c:pt idx="1">
                  <c:v>305.25</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财政拨款收、支决算总计变动情况</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barChart>
        <c:barDir val="col"/>
        <c:grouping val="clustered"/>
        <c:varyColors val="0"/>
        <c:ser>
          <c:idx val="0"/>
          <c:order val="0"/>
          <c:tx>
            <c:strRef>
              <c:f>"2024年度"</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640.64</c:v>
                </c:pt>
                <c:pt idx="1">
                  <c:v>640.64</c:v>
                </c:pt>
              </c:numCache>
            </c:numRef>
          </c:val>
        </c:ser>
        <c:ser>
          <c:idx val="1"/>
          <c:order val="1"/>
          <c:tx>
            <c:strRef>
              <c:f>"2025年度"</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946.43</c:v>
                </c:pt>
                <c:pt idx="1">
                  <c:v>946.43</c:v>
                </c:pt>
              </c:numCache>
            </c:numRef>
          </c:val>
        </c:ser>
        <c:dLbls>
          <c:showLegendKey val="0"/>
          <c:showVal val="1"/>
          <c:showCatName val="0"/>
          <c:showSerName val="0"/>
          <c:showPercent val="0"/>
          <c:showBubbleSize val="0"/>
        </c:dLbls>
        <c:gapWidth val="75"/>
        <c:overlap val="-25"/>
        <c:axId val="916007512"/>
        <c:axId val="449739052"/>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财政拨款收入</c:v>
                      </c:pt>
                      <c:pt idx="1">
                        <c:v>财政拨款支出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9160075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9739052"/>
        <c:crosses val="autoZero"/>
        <c:auto val="1"/>
        <c:lblAlgn val="ctr"/>
        <c:lblOffset val="100"/>
        <c:noMultiLvlLbl val="0"/>
      </c:catAx>
      <c:valAx>
        <c:axId val="4497390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60075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一般公共预算财政拨款支出决算变动情况</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640.64</c:v>
                </c:pt>
                <c:pt idx="1">
                  <c:v>946.43</c:v>
                </c:pt>
              </c:numCache>
            </c:numRef>
          </c:val>
        </c:ser>
        <c:dLbls>
          <c:showLegendKey val="0"/>
          <c:showVal val="1"/>
          <c:showCatName val="0"/>
          <c:showSerName val="0"/>
          <c:showPercent val="0"/>
          <c:showBubbleSize val="0"/>
        </c:dLbls>
        <c:gapWidth val="219"/>
        <c:overlap val="-27"/>
        <c:axId val="104194184"/>
        <c:axId val="58096507"/>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2024年度</c:v>
                      </c:pt>
                      <c:pt idx="1">
                        <c:v>2025年度</c:v>
                      </c:pt>
                    </c:strCache>
                  </c:strRef>
                </c:cat>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2024年度</c:v>
                      </c:pt>
                      <c:pt idx="1">
                        <c:v>2025年度</c:v>
                      </c:pt>
                    </c:strCache>
                  </c:strRef>
                </c:cat>
              </c15:ser>
            </c15:filteredBarSeries>
          </c:ext>
        </c:extLst>
      </c:barChart>
      <c:catAx>
        <c:axId val="1041941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096507"/>
        <c:crosses val="autoZero"/>
        <c:auto val="1"/>
        <c:lblAlgn val="ctr"/>
        <c:lblOffset val="100"/>
        <c:noMultiLvlLbl val="0"/>
      </c:catAx>
      <c:valAx>
        <c:axId val="580965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1941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一般公共预算财政拨款支出决算结构</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528406845311876"/>
                  <c:y val="-0.20185773561940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一般公共服务支出83</a:t>
                    </a:r>
                    <a:r>
                      <a:rPr lang="en-US" altLang="zh-CN"/>
                      <a:t>.02</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05576412209833"/>
                  <c:y val="0.11943642346534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社会保障和就业支出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8.87</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486810724408853"/>
                  <c:y val="0.096091868613561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卫生健康支出3</a:t>
                    </a:r>
                    <a:r>
                      <a:rPr lang="en-US" altLang="zh-CN"/>
                      <a:t>.23</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2381964290659"/>
                  <c:y val="0.061911585544060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住房保障支出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4.88</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785.71</c:v>
                </c:pt>
                <c:pt idx="1">
                  <c:v>83.99</c:v>
                </c:pt>
                <c:pt idx="2">
                  <c:v>30.58</c:v>
                </c:pt>
                <c:pt idx="3">
                  <c:v>46.15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cs typeface="方正仿宋_GBK" panose="03000509000000000000" charset="-122"/>
              </a:rPr>
              <a:t>财政拨款“三公”经费支出结构</a:t>
            </a:r>
            <a:endParaRPr sz="1600">
              <a:latin typeface="方正仿宋_GBK" panose="03000509000000000000" charset="-122"/>
              <a:ea typeface="方正仿宋_GBK" panose="03000509000000000000" charset="-122"/>
              <a:cs typeface="方正仿宋_GBK" panose="03000509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326250708666477"/>
                  <c:y val="0.15270107361886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14999304886724"/>
                  <c:y val="0.14329693251464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Sheet1!$A$2:$A$4</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Sheet1!$B$2:$B$4</c15:sqref>
                  </c15:fullRef>
                </c:ext>
              </c:extLst>
              <c:f>Sheet1!$B$2:$B$4</c:f>
              <c:numCache>
                <c:formatCode>General</c:formatCode>
                <c:ptCount val="3"/>
                <c:pt idx="0">
                  <c:v>0</c:v>
                </c:pt>
                <c:pt idx="1">
                  <c:v>13.73</c:v>
                </c:pt>
                <c:pt idx="2">
                  <c:v>0</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7998</Words>
  <Characters>8753</Characters>
  <Lines>61</Lines>
  <Paragraphs>17</Paragraphs>
  <TotalTime>9</TotalTime>
  <ScaleCrop>false</ScaleCrop>
  <LinksUpToDate>false</LinksUpToDate>
  <CharactersWithSpaces>8866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Administrator</cp:lastModifiedBy>
  <cp:lastPrinted>2026-09-09T09:45:00Z</cp:lastPrinted>
  <dcterms:modified xsi:type="dcterms:W3CDTF">2026-09-18T02:57:54Z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5702F0E452384DFC9D2FE0F387D424E1_13</vt:lpwstr>
  </property>
  <property fmtid="{D5CDD505-2E9C-101B-9397-08002B2CF9AE}" pid="4" name="KSOTemplateDocerSaveRecord">
    <vt:lpwstr>eyJoZGlkIjoiZDU5NTRmMjIxNGRkY2I2NGQwOTM4OTY5NmM5MjI1MWYiLCJ1c2VySWQiOiIzNTE1MDY0MTUifQ==</vt:lpwstr>
  </property>
</Properties>
</file>