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14D06">
      <w:pPr>
        <w:spacing w:line="600" w:lineRule="exact"/>
        <w:jc w:val="left"/>
        <w:outlineLvl w:val="0"/>
        <w:rPr>
          <w:rFonts w:hint="default" w:ascii="Times New Roman" w:hAnsi="Times New Roman" w:eastAsia="方正小标宋简体" w:cs="Times New Roman"/>
          <w:szCs w:val="21"/>
        </w:rPr>
      </w:pPr>
      <w:bookmarkStart w:id="0" w:name="_Toc15306267"/>
    </w:p>
    <w:p w14:paraId="6DF4C32B">
      <w:pPr>
        <w:pStyle w:val="2"/>
        <w:spacing w:before="93"/>
        <w:rPr>
          <w:rFonts w:hint="default" w:ascii="Times New Roman" w:hAnsi="Times New Roman" w:cs="Times New Roman"/>
        </w:rPr>
      </w:pPr>
    </w:p>
    <w:p w14:paraId="0FADA803">
      <w:pPr>
        <w:spacing w:line="600" w:lineRule="exact"/>
        <w:jc w:val="center"/>
        <w:outlineLvl w:val="0"/>
        <w:rPr>
          <w:rFonts w:hint="default" w:ascii="Times New Roman" w:hAnsi="Times New Roman" w:eastAsia="方正小标宋简体" w:cs="Times New Roman"/>
          <w:sz w:val="72"/>
          <w:szCs w:val="72"/>
        </w:rPr>
      </w:pPr>
    </w:p>
    <w:p w14:paraId="0FE0CB91">
      <w:pPr>
        <w:rPr>
          <w:rFonts w:hint="default" w:ascii="Times New Roman" w:hAnsi="Times New Roman" w:eastAsia="方正小标宋简体" w:cs="Times New Roman"/>
          <w:sz w:val="72"/>
          <w:szCs w:val="72"/>
        </w:rPr>
      </w:pPr>
    </w:p>
    <w:p w14:paraId="356E32A4">
      <w:pPr>
        <w:pStyle w:val="2"/>
        <w:rPr>
          <w:rFonts w:hint="default" w:ascii="Times New Roman" w:hAnsi="Times New Roman" w:cs="Times New Roman"/>
        </w:rPr>
      </w:pPr>
    </w:p>
    <w:p w14:paraId="2C71649B">
      <w:pPr>
        <w:tabs>
          <w:tab w:val="left" w:pos="6010"/>
        </w:tabs>
        <w:spacing w:line="600" w:lineRule="exact"/>
        <w:jc w:val="left"/>
        <w:outlineLvl w:val="0"/>
        <w:rPr>
          <w:rFonts w:hint="default" w:ascii="Times New Roman" w:hAnsi="Times New Roman" w:eastAsia="方正小标宋简体" w:cs="Times New Roman"/>
          <w:sz w:val="72"/>
          <w:szCs w:val="72"/>
          <w:lang w:eastAsia="zh-CN"/>
        </w:rPr>
      </w:pPr>
      <w:r>
        <w:rPr>
          <w:rFonts w:hint="default" w:ascii="Times New Roman" w:hAnsi="Times New Roman" w:eastAsia="方正小标宋简体" w:cs="Times New Roman"/>
          <w:sz w:val="72"/>
          <w:szCs w:val="72"/>
          <w:lang w:eastAsia="zh-CN"/>
        </w:rPr>
        <w:tab/>
      </w:r>
    </w:p>
    <w:p w14:paraId="3FA89053">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0"/>
        <w:rPr>
          <w:rFonts w:hint="default" w:ascii="Times New Roman" w:hAnsi="Times New Roman" w:eastAsia="方正小标宋简体" w:cs="Times New Roman"/>
          <w:kern w:val="2"/>
          <w:sz w:val="44"/>
          <w:szCs w:val="44"/>
          <w:lang w:val="en-US" w:eastAsia="zh-CN" w:bidi="ar-SA"/>
        </w:rPr>
      </w:pPr>
      <w:bookmarkStart w:id="1" w:name="_Toc15377425"/>
      <w:bookmarkStart w:id="2" w:name="_Toc15378441"/>
      <w:bookmarkStart w:id="3" w:name="_Toc15396597"/>
      <w:bookmarkStart w:id="4" w:name="_Toc15377193"/>
      <w:bookmarkStart w:id="5" w:name="_Toc15396475"/>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bookmarkEnd w:id="0"/>
      <w:bookmarkEnd w:id="1"/>
      <w:bookmarkEnd w:id="2"/>
      <w:bookmarkEnd w:id="3"/>
      <w:bookmarkEnd w:id="4"/>
      <w:bookmarkEnd w:id="5"/>
      <w:bookmarkStart w:id="6" w:name="_Toc15396476"/>
      <w:bookmarkStart w:id="7" w:name="_Toc15378442"/>
      <w:bookmarkStart w:id="8" w:name="_Toc15377194"/>
      <w:bookmarkStart w:id="9" w:name="_Toc15396598"/>
      <w:bookmarkStart w:id="10" w:name="_Toc15377426"/>
      <w:bookmarkStart w:id="11" w:name="_Toc15306268"/>
      <w:r>
        <w:rPr>
          <w:rFonts w:hint="default" w:ascii="Times New Roman" w:hAnsi="Times New Roman" w:eastAsia="方正小标宋简体" w:cs="Times New Roman"/>
          <w:kern w:val="2"/>
          <w:sz w:val="44"/>
          <w:szCs w:val="44"/>
          <w:lang w:val="en-US" w:eastAsia="zh-CN" w:bidi="ar-SA"/>
        </w:rPr>
        <w:t>阿坝州机构编制信息服务</w:t>
      </w:r>
    </w:p>
    <w:p w14:paraId="5F0326C5">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0"/>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kern w:val="2"/>
          <w:sz w:val="44"/>
          <w:szCs w:val="44"/>
          <w:lang w:val="en-US" w:eastAsia="zh-CN" w:bidi="ar-SA"/>
        </w:rPr>
        <w:t>中心</w:t>
      </w:r>
      <w:r>
        <w:rPr>
          <w:rFonts w:hint="default" w:ascii="Times New Roman" w:hAnsi="Times New Roman" w:eastAsia="方正小标宋简体" w:cs="Times New Roman"/>
          <w:sz w:val="44"/>
          <w:szCs w:val="44"/>
        </w:rPr>
        <w:t>决算</w:t>
      </w:r>
      <w:bookmarkEnd w:id="6"/>
      <w:bookmarkEnd w:id="7"/>
      <w:bookmarkEnd w:id="8"/>
      <w:bookmarkEnd w:id="9"/>
      <w:bookmarkEnd w:id="10"/>
      <w:bookmarkEnd w:id="11"/>
      <w:r>
        <w:rPr>
          <w:rFonts w:hint="default" w:ascii="Times New Roman" w:hAnsi="Times New Roman" w:eastAsia="方正小标宋简体" w:cs="Times New Roman"/>
          <w:sz w:val="44"/>
          <w:szCs w:val="44"/>
          <w:lang w:eastAsia="zh-CN"/>
        </w:rPr>
        <w:t>公开</w:t>
      </w:r>
    </w:p>
    <w:p w14:paraId="1BB6FBF9">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36"/>
          <w:szCs w:val="36"/>
        </w:rPr>
      </w:pPr>
    </w:p>
    <w:p w14:paraId="2E127945">
      <w:pPr>
        <w:bidi w:val="0"/>
        <w:rPr>
          <w:rFonts w:hint="default" w:ascii="Times New Roman" w:hAnsi="Times New Roman" w:eastAsia="方正小标宋简体" w:cs="Times New Roman"/>
          <w:sz w:val="36"/>
          <w:szCs w:val="36"/>
        </w:rPr>
      </w:pPr>
      <w:bookmarkStart w:id="63" w:name="_GoBack"/>
      <w:bookmarkEnd w:id="63"/>
    </w:p>
    <w:p w14:paraId="20B41D03">
      <w:pPr>
        <w:bidi w:val="0"/>
        <w:rPr>
          <w:rFonts w:hint="default" w:ascii="Times New Roman" w:hAnsi="Times New Roman" w:eastAsia="方正小标宋简体" w:cs="Times New Roman"/>
          <w:sz w:val="36"/>
          <w:szCs w:val="36"/>
        </w:rPr>
      </w:pPr>
    </w:p>
    <w:p w14:paraId="2CA811E7">
      <w:pPr>
        <w:bidi w:val="0"/>
        <w:rPr>
          <w:rFonts w:hint="default" w:ascii="Times New Roman" w:hAnsi="Times New Roman" w:eastAsia="方正小标宋简体" w:cs="Times New Roman"/>
          <w:sz w:val="36"/>
          <w:szCs w:val="36"/>
        </w:rPr>
      </w:pPr>
    </w:p>
    <w:p w14:paraId="7803258B">
      <w:pPr>
        <w:bidi w:val="0"/>
        <w:rPr>
          <w:rFonts w:hint="default" w:ascii="Times New Roman" w:hAnsi="Times New Roman" w:eastAsia="方正小标宋简体" w:cs="Times New Roman"/>
          <w:sz w:val="36"/>
          <w:szCs w:val="36"/>
        </w:rPr>
      </w:pPr>
    </w:p>
    <w:p w14:paraId="13AF38BB">
      <w:pPr>
        <w:pStyle w:val="2"/>
        <w:rPr>
          <w:rFonts w:hint="default" w:ascii="Times New Roman" w:hAnsi="Times New Roman" w:cs="Times New Roman"/>
        </w:rPr>
      </w:pPr>
    </w:p>
    <w:p w14:paraId="4C764C1D">
      <w:pPr>
        <w:bidi w:val="0"/>
        <w:rPr>
          <w:rFonts w:hint="default" w:ascii="Times New Roman" w:hAnsi="Times New Roman" w:eastAsia="方正小标宋简体" w:cs="Times New Roman"/>
          <w:sz w:val="36"/>
          <w:szCs w:val="36"/>
        </w:rPr>
      </w:pPr>
    </w:p>
    <w:p w14:paraId="75A50133">
      <w:pPr>
        <w:bidi w:val="0"/>
        <w:rPr>
          <w:rFonts w:hint="default" w:ascii="Times New Roman" w:hAnsi="Times New Roman" w:eastAsia="方正小标宋简体" w:cs="Times New Roman"/>
          <w:sz w:val="36"/>
          <w:szCs w:val="36"/>
        </w:rPr>
      </w:pPr>
    </w:p>
    <w:p w14:paraId="2EEC803C">
      <w:pPr>
        <w:pStyle w:val="14"/>
        <w:pageBreakBefore w:val="0"/>
        <w:shd w:val="clear" w:color="auto" w:fill="FFFFFF"/>
        <w:kinsoku/>
        <w:wordWrap/>
        <w:overflowPunct/>
        <w:topLinePunct w:val="0"/>
        <w:bidi w:val="0"/>
        <w:spacing w:before="0" w:beforeAutospacing="0" w:line="560" w:lineRule="exact"/>
        <w:ind w:left="0"/>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已经</w:t>
      </w:r>
      <w:r>
        <w:rPr>
          <w:rFonts w:hint="default" w:ascii="Times New Roman" w:hAnsi="Times New Roman" w:cs="Times New Roman"/>
          <w:sz w:val="32"/>
          <w:szCs w:val="32"/>
        </w:rPr>
        <w:t>保密审查、内容审定，同意对外公开</w:t>
      </w:r>
    </w:p>
    <w:p w14:paraId="6EA07264">
      <w:pPr>
        <w:bidi w:val="0"/>
        <w:jc w:val="center"/>
        <w:rPr>
          <w:rFonts w:hint="default" w:ascii="Times New Roman" w:hAnsi="Times New Roman" w:eastAsia="方正黑体_GBK" w:cs="Times New Roman"/>
          <w:color w:val="auto"/>
          <w:sz w:val="44"/>
          <w:szCs w:val="44"/>
          <w:highlight w:val="none"/>
        </w:rPr>
        <w:sectPr>
          <w:footerReference r:id="rId4" w:type="first"/>
          <w:footerReference r:id="rId3" w:type="default"/>
          <w:pgSz w:w="11906" w:h="16838"/>
          <w:pgMar w:top="2098" w:right="1587" w:bottom="1984" w:left="1587" w:header="851" w:footer="992" w:gutter="0"/>
          <w:pgNumType w:fmt="decimal" w:start="1"/>
          <w:cols w:space="720" w:num="1"/>
          <w:docGrid w:type="lines" w:linePitch="312" w:charSpace="0"/>
        </w:sectPr>
      </w:pPr>
      <w:bookmarkStart w:id="12" w:name="_Toc15396599"/>
      <w:bookmarkStart w:id="13" w:name="_Toc15377196"/>
    </w:p>
    <w:p w14:paraId="6C779627">
      <w:pPr>
        <w:bidi w:val="0"/>
        <w:jc w:val="center"/>
        <w:rPr>
          <w:rFonts w:hint="default" w:ascii="Times New Roman" w:hAnsi="Times New Roman" w:eastAsia="方正黑体_GBK" w:cs="Times New Roman"/>
          <w:color w:val="auto"/>
          <w:sz w:val="44"/>
          <w:szCs w:val="44"/>
          <w:highlight w:val="none"/>
        </w:rPr>
      </w:pPr>
      <w:r>
        <w:rPr>
          <w:rFonts w:hint="default" w:ascii="Times New Roman" w:hAnsi="Times New Roman" w:eastAsia="方正黑体_GBK" w:cs="Times New Roman"/>
          <w:color w:val="auto"/>
          <w:sz w:val="44"/>
          <w:szCs w:val="44"/>
          <w:highlight w:val="none"/>
        </w:rPr>
        <w:t>目</w:t>
      </w:r>
      <w:r>
        <w:rPr>
          <w:rFonts w:hint="default" w:ascii="Times New Roman" w:hAnsi="Times New Roman" w:eastAsia="方正黑体_GBK" w:cs="Times New Roman"/>
          <w:color w:val="auto"/>
          <w:sz w:val="44"/>
          <w:szCs w:val="44"/>
          <w:highlight w:val="none"/>
          <w:lang w:val="en-US" w:eastAsia="zh-CN"/>
        </w:rPr>
        <w:t xml:space="preserve">  </w:t>
      </w:r>
      <w:r>
        <w:rPr>
          <w:rFonts w:hint="default" w:ascii="Times New Roman" w:hAnsi="Times New Roman" w:eastAsia="方正黑体_GBK" w:cs="Times New Roman"/>
          <w:color w:val="auto"/>
          <w:sz w:val="44"/>
          <w:szCs w:val="44"/>
          <w:highlight w:val="none"/>
        </w:rPr>
        <w:t>录</w:t>
      </w:r>
    </w:p>
    <w:p w14:paraId="763A7F0A">
      <w:pPr>
        <w:pStyle w:val="12"/>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公开时间：20</w:t>
      </w:r>
      <w:r>
        <w:rPr>
          <w:rFonts w:hint="default" w:ascii="Times New Roman" w:hAnsi="Times New Roman" w:cs="Times New Roman"/>
          <w:color w:val="auto"/>
          <w:sz w:val="32"/>
          <w:szCs w:val="32"/>
          <w:highlight w:val="none"/>
          <w:lang w:val="en-US" w:eastAsia="zh-CN"/>
        </w:rPr>
        <w:t>26</w:t>
      </w:r>
      <w:r>
        <w:rPr>
          <w:rFonts w:hint="default" w:ascii="Times New Roman" w:hAnsi="Times New Roman" w:cs="Times New Roman"/>
          <w:color w:val="auto"/>
          <w:sz w:val="32"/>
          <w:szCs w:val="32"/>
          <w:highlight w:val="none"/>
        </w:rPr>
        <w:t>年</w:t>
      </w:r>
      <w:r>
        <w:rPr>
          <w:rFonts w:hint="default" w:ascii="Times New Roman" w:hAnsi="Times New Roman" w:cs="Times New Roman"/>
          <w:color w:val="auto"/>
          <w:sz w:val="32"/>
          <w:szCs w:val="32"/>
          <w:highlight w:val="none"/>
          <w:lang w:val="en-US" w:eastAsia="zh-CN"/>
        </w:rPr>
        <w:t>9</w:t>
      </w:r>
      <w:r>
        <w:rPr>
          <w:rFonts w:hint="default" w:ascii="Times New Roman" w:hAnsi="Times New Roman" w:cs="Times New Roman"/>
          <w:color w:val="auto"/>
          <w:sz w:val="32"/>
          <w:szCs w:val="32"/>
          <w:highlight w:val="none"/>
        </w:rPr>
        <w:t>月</w:t>
      </w:r>
      <w:r>
        <w:rPr>
          <w:rFonts w:hint="default" w:ascii="Times New Roman" w:hAnsi="Times New Roman" w:cs="Times New Roman"/>
          <w:color w:val="auto"/>
          <w:sz w:val="32"/>
          <w:szCs w:val="32"/>
          <w:highlight w:val="none"/>
          <w:lang w:val="en-US" w:eastAsia="zh-CN"/>
        </w:rPr>
        <w:t>17</w:t>
      </w:r>
      <w:r>
        <w:rPr>
          <w:rFonts w:hint="default" w:ascii="Times New Roman" w:hAnsi="Times New Roman" w:cs="Times New Roman"/>
          <w:color w:val="auto"/>
          <w:sz w:val="32"/>
          <w:szCs w:val="32"/>
          <w:highlight w:val="none"/>
        </w:rPr>
        <w:t>日</w:t>
      </w:r>
    </w:p>
    <w:p w14:paraId="4C61341B">
      <w:pPr>
        <w:rPr>
          <w:rFonts w:hint="default" w:ascii="Times New Roman" w:hAnsi="Times New Roman" w:cs="Times New Roman"/>
        </w:rPr>
      </w:pPr>
    </w:p>
    <w:p w14:paraId="5A6CD784">
      <w:pPr>
        <w:pStyle w:val="12"/>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 xml:space="preserve">第一部分 </w:t>
      </w:r>
      <w:r>
        <w:rPr>
          <w:rFonts w:hint="default" w:ascii="Times New Roman" w:hAnsi="Times New Roman" w:eastAsia="方正黑体_GBK" w:cs="Times New Roman"/>
          <w:color w:val="auto"/>
          <w:sz w:val="32"/>
          <w:szCs w:val="32"/>
          <w:highlight w:val="none"/>
          <w:lang w:eastAsia="zh-CN"/>
        </w:rPr>
        <w:t>单位</w:t>
      </w:r>
      <w:r>
        <w:rPr>
          <w:rFonts w:hint="default" w:ascii="Times New Roman" w:hAnsi="Times New Roman" w:eastAsia="方正黑体_GBK" w:cs="Times New Roman"/>
          <w:color w:val="auto"/>
          <w:sz w:val="32"/>
          <w:szCs w:val="32"/>
          <w:highlight w:val="none"/>
        </w:rPr>
        <w:t>概况……………………………………………</w:t>
      </w:r>
      <w:r>
        <w:rPr>
          <w:rFonts w:hint="default" w:ascii="Times New Roman" w:hAnsi="Times New Roman" w:eastAsia="方正黑体_GBK" w:cs="Times New Roman"/>
          <w:color w:val="auto"/>
          <w:sz w:val="32"/>
          <w:szCs w:val="32"/>
          <w:highlight w:val="none"/>
          <w:lang w:val="en-US" w:eastAsia="zh-CN"/>
        </w:rPr>
        <w:t>3</w:t>
      </w:r>
    </w:p>
    <w:p w14:paraId="3623BEF5">
      <w:pPr>
        <w:pStyle w:val="12"/>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主要职责</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..3</w:t>
      </w:r>
    </w:p>
    <w:p w14:paraId="4F351252">
      <w:pPr>
        <w:pStyle w:val="12"/>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highlight w:val="none"/>
          <w:lang w:eastAsia="zh-CN"/>
        </w:rPr>
        <w:t>二</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机构设置</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..3</w:t>
      </w:r>
    </w:p>
    <w:p w14:paraId="2AD5AD99">
      <w:pPr>
        <w:pStyle w:val="12"/>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第二部分</w:t>
      </w:r>
      <w:r>
        <w:rPr>
          <w:rFonts w:hint="default" w:ascii="Times New Roman" w:hAnsi="Times New Roman" w:eastAsia="方正黑体_GBK" w:cs="Times New Roman"/>
          <w:color w:val="auto"/>
          <w:sz w:val="32"/>
          <w:szCs w:val="32"/>
          <w:highlight w:val="none"/>
          <w:lang w:val="en-US" w:eastAsia="zh-CN"/>
        </w:rPr>
        <w:t xml:space="preserve"> 2025年度</w:t>
      </w:r>
      <w:r>
        <w:rPr>
          <w:rFonts w:hint="default" w:ascii="Times New Roman" w:hAnsi="Times New Roman" w:eastAsia="方正黑体_GBK" w:cs="Times New Roman"/>
          <w:color w:val="auto"/>
          <w:sz w:val="32"/>
          <w:szCs w:val="32"/>
          <w:highlight w:val="none"/>
          <w:lang w:eastAsia="zh-CN"/>
        </w:rPr>
        <w:t>单位</w:t>
      </w:r>
      <w:r>
        <w:rPr>
          <w:rFonts w:hint="default" w:ascii="Times New Roman" w:hAnsi="Times New Roman" w:eastAsia="方正黑体_GBK" w:cs="Times New Roman"/>
          <w:color w:val="auto"/>
          <w:sz w:val="32"/>
          <w:szCs w:val="32"/>
          <w:highlight w:val="none"/>
        </w:rPr>
        <w:t>决算情况说明……………………</w:t>
      </w:r>
      <w:r>
        <w:rPr>
          <w:rFonts w:hint="default" w:ascii="Times New Roman" w:hAnsi="Times New Roman" w:eastAsia="方正黑体_GBK" w:cs="Times New Roman"/>
          <w:color w:val="auto"/>
          <w:sz w:val="32"/>
          <w:szCs w:val="32"/>
          <w:highlight w:val="none"/>
          <w:lang w:val="en-US" w:eastAsia="zh-CN"/>
        </w:rPr>
        <w:t>...4</w:t>
      </w:r>
    </w:p>
    <w:p w14:paraId="06533691">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一、收入支出决算总体情况说明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p>
    <w:p w14:paraId="54EDECC1">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二、收入决算情况说明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p>
    <w:p w14:paraId="1784B757">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三、支出决算情况说明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5</w:t>
      </w:r>
    </w:p>
    <w:p w14:paraId="37A82FEB">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四、财政拨款收入支出决算总体情况说明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..6</w:t>
      </w:r>
    </w:p>
    <w:p w14:paraId="394898E7">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五、一般公共预算财政拨款支出决算情况说明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..6</w:t>
      </w:r>
    </w:p>
    <w:p w14:paraId="3A37CDAB">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六、一般公共预算财政拨款基本支出决算情况说明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..8</w:t>
      </w:r>
    </w:p>
    <w:p w14:paraId="249AEDAF">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..9</w:t>
      </w:r>
    </w:p>
    <w:p w14:paraId="47E2C6B9">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八、政府性基金预算支出决算情况说明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...9</w:t>
      </w:r>
    </w:p>
    <w:p w14:paraId="4D4EE142">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九、国有资本经营预算支出决算情况说明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...9</w:t>
      </w:r>
    </w:p>
    <w:p w14:paraId="05F7A4C9">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十、其他重要事项的情况说明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....10</w:t>
      </w:r>
    </w:p>
    <w:p w14:paraId="65811F9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第三部分 名词解释…………………………………………</w:t>
      </w:r>
      <w:r>
        <w:rPr>
          <w:rFonts w:hint="default" w:ascii="Times New Roman" w:hAnsi="Times New Roman" w:eastAsia="方正黑体_GBK" w:cs="Times New Roman"/>
          <w:color w:val="auto"/>
          <w:sz w:val="32"/>
          <w:szCs w:val="32"/>
          <w:highlight w:val="none"/>
          <w:lang w:val="en-US" w:eastAsia="zh-CN"/>
        </w:rPr>
        <w:t>..12</w:t>
      </w:r>
    </w:p>
    <w:p w14:paraId="4948CC2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第四部分 附件…………………………………………</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....15</w:t>
      </w:r>
    </w:p>
    <w:p w14:paraId="34FBD14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第五部分 附表…………………………………………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450032F3">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3B316AA4">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rPr>
        <w:sectPr>
          <w:footerReference r:id="rId5" w:type="default"/>
          <w:pgSz w:w="11906" w:h="16838"/>
          <w:pgMar w:top="2098" w:right="1474" w:bottom="1984" w:left="1587" w:header="851" w:footer="992" w:gutter="0"/>
          <w:pgNumType w:fmt="decimal" w:start="3"/>
          <w:cols w:space="720" w:num="1"/>
          <w:docGrid w:type="lines" w:linePitch="312" w:charSpace="0"/>
        </w:sectPr>
      </w:pPr>
    </w:p>
    <w:p w14:paraId="0BEBE200">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二、收入决算表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4F3BADDA">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三、支出决算表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06F9208F">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2B46A099">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五、财政拨款支出决算明细表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5602A7F2">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0874AA28">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七、一般公共预算财政拨款支出决算明细表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73566E5B">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27218E1B">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九、一般公共预算财政拨款项目支出决算表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259CB20C">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十、政府性基金预算财政拨款收入支出决算表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2CE1C98D">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十一、国有资本经营预算财政拨款收入支出决算表</w:t>
      </w:r>
      <w:r>
        <w:rPr>
          <w:rFonts w:hint="default" w:ascii="Times New Roman" w:hAnsi="Times New Roman" w:eastAsia="方正黑体_GBK" w:cs="Times New Roman"/>
          <w:color w:val="auto"/>
          <w:sz w:val="32"/>
          <w:szCs w:val="32"/>
          <w:highlight w:val="none"/>
          <w:lang w:val="en-US" w:eastAsia="zh-CN"/>
        </w:rPr>
        <w:t>........16</w:t>
      </w:r>
    </w:p>
    <w:p w14:paraId="02705A08">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41EAC5F9">
      <w:pPr>
        <w:pStyle w:val="13"/>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十三、财政拨款“三公”经费支出决算表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.......16</w:t>
      </w:r>
    </w:p>
    <w:p w14:paraId="542C308F">
      <w:pPr>
        <w:widowControl/>
        <w:spacing w:line="440" w:lineRule="exact"/>
        <w:jc w:val="left"/>
        <w:rPr>
          <w:rFonts w:hint="default" w:ascii="Times New Roman" w:hAnsi="Times New Roman" w:eastAsia="仿宋" w:cs="Times New Roman"/>
          <w:bCs/>
          <w:kern w:val="44"/>
          <w:sz w:val="24"/>
        </w:rPr>
      </w:pPr>
    </w:p>
    <w:p w14:paraId="4246EB2C">
      <w:pPr>
        <w:pStyle w:val="4"/>
        <w:jc w:val="center"/>
        <w:rPr>
          <w:rFonts w:hint="default" w:ascii="Times New Roman" w:hAnsi="Times New Roman" w:eastAsia="黑体" w:cs="Times New Roman"/>
          <w:b w:val="0"/>
        </w:rPr>
      </w:pPr>
    </w:p>
    <w:p w14:paraId="05A1A5DC">
      <w:pPr>
        <w:pStyle w:val="4"/>
        <w:jc w:val="center"/>
        <w:rPr>
          <w:rFonts w:hint="default" w:ascii="Times New Roman" w:hAnsi="Times New Roman" w:eastAsia="黑体" w:cs="Times New Roman"/>
          <w:b w:val="0"/>
        </w:rPr>
      </w:pPr>
    </w:p>
    <w:p w14:paraId="3E02423A">
      <w:pPr>
        <w:rPr>
          <w:rFonts w:hint="default" w:ascii="Times New Roman" w:hAnsi="Times New Roman" w:eastAsia="黑体" w:cs="Times New Roman"/>
          <w:b w:val="0"/>
        </w:rPr>
      </w:pPr>
    </w:p>
    <w:p w14:paraId="72277CB8">
      <w:pPr>
        <w:pStyle w:val="2"/>
        <w:rPr>
          <w:rFonts w:hint="default" w:ascii="Times New Roman" w:hAnsi="Times New Roman" w:eastAsia="黑体" w:cs="Times New Roman"/>
          <w:b w:val="0"/>
        </w:rPr>
      </w:pPr>
    </w:p>
    <w:p w14:paraId="4D1C2AB0">
      <w:pPr>
        <w:pStyle w:val="3"/>
        <w:rPr>
          <w:rFonts w:hint="default" w:ascii="Times New Roman" w:hAnsi="Times New Roman" w:cs="Times New Roman"/>
        </w:rPr>
      </w:pPr>
    </w:p>
    <w:bookmarkEnd w:id="12"/>
    <w:bookmarkEnd w:id="13"/>
    <w:p w14:paraId="1F8B1C9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黑体_GBK" w:cs="Times New Roman"/>
          <w:sz w:val="44"/>
          <w:szCs w:val="44"/>
        </w:rPr>
      </w:pPr>
    </w:p>
    <w:p w14:paraId="088B18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44"/>
          <w:szCs w:val="44"/>
        </w:rPr>
      </w:pPr>
    </w:p>
    <w:p w14:paraId="3FEA3A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44"/>
          <w:szCs w:val="44"/>
        </w:rPr>
        <w:sectPr>
          <w:footerReference r:id="rId6" w:type="default"/>
          <w:pgSz w:w="11906" w:h="16838"/>
          <w:pgMar w:top="2098" w:right="1474" w:bottom="1984" w:left="1587" w:header="851" w:footer="992" w:gutter="0"/>
          <w:pgNumType w:fmt="decimal" w:start="3"/>
          <w:cols w:space="720" w:num="1"/>
          <w:docGrid w:type="lines" w:linePitch="312" w:charSpace="0"/>
        </w:sectPr>
      </w:pPr>
    </w:p>
    <w:p w14:paraId="4B09EF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44"/>
          <w:szCs w:val="44"/>
        </w:rPr>
      </w:pPr>
      <w:r>
        <w:rPr>
          <w:rFonts w:hint="default" w:ascii="Times New Roman" w:hAnsi="Times New Roman" w:eastAsia="方正黑体_GBK" w:cs="Times New Roman"/>
          <w:sz w:val="44"/>
          <w:szCs w:val="44"/>
        </w:rPr>
        <w:t xml:space="preserve">第一部分 </w:t>
      </w:r>
      <w:r>
        <w:rPr>
          <w:rFonts w:hint="default" w:ascii="Times New Roman" w:hAnsi="Times New Roman" w:eastAsia="方正黑体_GBK" w:cs="Times New Roman"/>
          <w:sz w:val="44"/>
          <w:szCs w:val="44"/>
          <w:lang w:eastAsia="zh-CN"/>
        </w:rPr>
        <w:t>单位</w:t>
      </w:r>
      <w:r>
        <w:rPr>
          <w:rFonts w:hint="default" w:ascii="Times New Roman" w:hAnsi="Times New Roman" w:eastAsia="方正黑体_GBK" w:cs="Times New Roman"/>
          <w:sz w:val="44"/>
          <w:szCs w:val="44"/>
        </w:rPr>
        <w:t>概况</w:t>
      </w:r>
    </w:p>
    <w:p w14:paraId="6FB2C0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p>
    <w:p w14:paraId="14F209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黑体_GBK" w:cs="Times New Roman"/>
          <w:sz w:val="32"/>
          <w:szCs w:val="32"/>
          <w:lang w:val="en-US" w:eastAsia="zh-CN"/>
        </w:rPr>
        <w:t>一、</w:t>
      </w:r>
      <w:r>
        <w:rPr>
          <w:rFonts w:hint="default" w:ascii="Times New Roman" w:hAnsi="Times New Roman" w:eastAsia="方正黑体_GBK" w:cs="Times New Roman"/>
          <w:sz w:val="32"/>
          <w:szCs w:val="32"/>
          <w:lang w:eastAsia="zh-CN"/>
        </w:rPr>
        <w:t>主要职责</w:t>
      </w:r>
    </w:p>
    <w:p w14:paraId="0BC7C6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阿坝州机构编制</w:t>
      </w:r>
      <w:r>
        <w:rPr>
          <w:rFonts w:hint="default" w:ascii="Times New Roman" w:hAnsi="Times New Roman" w:eastAsia="方正仿宋_GBK" w:cs="Times New Roman"/>
          <w:sz w:val="32"/>
          <w:szCs w:val="32"/>
          <w:lang w:eastAsia="zh-CN"/>
        </w:rPr>
        <w:t>信息服务</w:t>
      </w:r>
      <w:r>
        <w:rPr>
          <w:rFonts w:hint="default" w:ascii="Times New Roman" w:hAnsi="Times New Roman" w:eastAsia="方正仿宋_GBK" w:cs="Times New Roman"/>
          <w:sz w:val="32"/>
          <w:szCs w:val="32"/>
        </w:rPr>
        <w:t>中心，州委编办所属正科级公益一类事业单位。主要职责：承担机构编制统计及实名制网络管理系统、阿坝州机构编制智能化管理系统、办机关微信公众号的运行、维护工作；负责州级党政群机关事业单位政务和公益中文域名注册登记、网站名称管理服务工作；负责州属事业单位和国家、省事业单位登记管理机关授权的事业单位登记管理服务工作；负责州本级党政群机关统一社会信用代码颁（换）证服务工作；指导各县（市）开展相关业务工作。。</w:t>
      </w:r>
    </w:p>
    <w:p w14:paraId="7805F4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二、机构设置</w:t>
      </w:r>
    </w:p>
    <w:p w14:paraId="1B4CD5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阿坝州机构编制</w:t>
      </w:r>
      <w:r>
        <w:rPr>
          <w:rFonts w:hint="default" w:ascii="Times New Roman" w:hAnsi="Times New Roman" w:eastAsia="方正仿宋_GBK" w:cs="Times New Roman"/>
          <w:sz w:val="32"/>
          <w:szCs w:val="32"/>
          <w:lang w:eastAsia="zh-CN"/>
        </w:rPr>
        <w:t>信息服务</w:t>
      </w:r>
      <w:r>
        <w:rPr>
          <w:rFonts w:hint="default" w:ascii="Times New Roman" w:hAnsi="Times New Roman" w:eastAsia="方正仿宋_GBK" w:cs="Times New Roman"/>
          <w:sz w:val="32"/>
          <w:szCs w:val="32"/>
        </w:rPr>
        <w:t>中心</w:t>
      </w:r>
      <w:r>
        <w:rPr>
          <w:rFonts w:hint="default" w:ascii="Times New Roman" w:hAnsi="Times New Roman" w:eastAsia="方正仿宋_GBK" w:cs="Times New Roman"/>
          <w:sz w:val="32"/>
          <w:szCs w:val="32"/>
          <w:lang w:eastAsia="zh-CN"/>
        </w:rPr>
        <w:t>是州委编办所属的公益一类事业单位，</w:t>
      </w:r>
      <w:r>
        <w:rPr>
          <w:rFonts w:hint="default" w:ascii="Times New Roman" w:hAnsi="Times New Roman" w:eastAsia="方正仿宋_GBK" w:cs="Times New Roman"/>
          <w:sz w:val="32"/>
          <w:szCs w:val="32"/>
          <w:lang w:val="en-US" w:eastAsia="zh-CN"/>
        </w:rPr>
        <w:t>无下属单位，无内设机构。</w:t>
      </w:r>
    </w:p>
    <w:p w14:paraId="33532218">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7E243D8A">
      <w:pPr>
        <w:pStyle w:val="4"/>
        <w:pageBreakBefore w:val="0"/>
        <w:widowControl w:val="0"/>
        <w:kinsoku/>
        <w:wordWrap/>
        <w:overflowPunct/>
        <w:topLinePunct w:val="0"/>
        <w:autoSpaceDE/>
        <w:autoSpaceDN/>
        <w:bidi w:val="0"/>
        <w:adjustRightInd/>
        <w:snapToGrid/>
        <w:spacing w:line="560" w:lineRule="exact"/>
        <w:ind w:right="440"/>
        <w:jc w:val="center"/>
        <w:textAlignment w:val="auto"/>
        <w:rPr>
          <w:rFonts w:hint="default" w:ascii="Times New Roman" w:hAnsi="Times New Roman" w:eastAsia="黑体" w:cs="Times New Roman"/>
          <w:sz w:val="32"/>
          <w:szCs w:val="32"/>
          <w:lang w:eastAsia="zh-CN"/>
        </w:rPr>
      </w:pPr>
      <w:bookmarkStart w:id="14" w:name="_Toc15377204"/>
      <w:bookmarkStart w:id="15" w:name="_Toc15396602"/>
      <w:r>
        <w:rPr>
          <w:rFonts w:hint="default" w:ascii="Times New Roman" w:hAnsi="Times New Roman" w:eastAsia="方正黑体_GBK" w:cs="Times New Roman"/>
          <w:b w:val="0"/>
        </w:rPr>
        <w:t>第二部分 202</w:t>
      </w:r>
      <w:r>
        <w:rPr>
          <w:rFonts w:hint="default" w:ascii="Times New Roman" w:hAnsi="Times New Roman" w:eastAsia="方正黑体_GBK" w:cs="Times New Roman"/>
          <w:b w:val="0"/>
          <w:lang w:val="en-US" w:eastAsia="zh-CN"/>
        </w:rPr>
        <w:t>5</w:t>
      </w:r>
      <w:r>
        <w:rPr>
          <w:rFonts w:hint="default" w:ascii="Times New Roman" w:hAnsi="Times New Roman" w:eastAsia="方正黑体_GBK" w:cs="Times New Roman"/>
          <w:b w:val="0"/>
        </w:rPr>
        <w:t>年度</w:t>
      </w:r>
      <w:r>
        <w:rPr>
          <w:rStyle w:val="29"/>
          <w:rFonts w:hint="default" w:ascii="Times New Roman" w:hAnsi="Times New Roman" w:eastAsia="方正黑体_GBK" w:cs="Times New Roman"/>
          <w:b w:val="0"/>
          <w:bCs/>
        </w:rPr>
        <w:t>单位决算情况说明</w:t>
      </w:r>
      <w:bookmarkEnd w:id="14"/>
      <w:bookmarkEnd w:id="15"/>
      <w:bookmarkStart w:id="16" w:name="_Toc15396603"/>
      <w:bookmarkStart w:id="17" w:name="_Toc15377205"/>
    </w:p>
    <w:p w14:paraId="24E2D68F">
      <w:pPr>
        <w:pStyle w:val="28"/>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Style w:val="30"/>
          <w:rFonts w:hint="default" w:ascii="Times New Roman" w:hAnsi="Times New Roman" w:eastAsia="黑体" w:cs="Times New Roman"/>
          <w:b w:val="0"/>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收</w:t>
      </w:r>
      <w:r>
        <w:rPr>
          <w:rStyle w:val="30"/>
          <w:rFonts w:hint="default" w:ascii="Times New Roman" w:hAnsi="Times New Roman" w:eastAsia="黑体" w:cs="Times New Roman"/>
          <w:b w:val="0"/>
        </w:rPr>
        <w:t>入支出决算总体情况说明</w:t>
      </w:r>
      <w:bookmarkEnd w:id="16"/>
      <w:bookmarkEnd w:id="17"/>
    </w:p>
    <w:p w14:paraId="6C276834">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年度收</w:t>
      </w:r>
      <w:r>
        <w:rPr>
          <w:rFonts w:hint="default" w:ascii="Times New Roman" w:hAnsi="Times New Roman" w:eastAsia="方正仿宋_GBK" w:cs="Times New Roman"/>
          <w:color w:val="auto"/>
          <w:sz w:val="32"/>
          <w:szCs w:val="32"/>
          <w:highlight w:val="none"/>
          <w:lang w:eastAsia="zh-CN"/>
        </w:rPr>
        <w:t>入</w:t>
      </w:r>
      <w:r>
        <w:rPr>
          <w:rFonts w:hint="default" w:ascii="Times New Roman" w:hAnsi="Times New Roman" w:eastAsia="方正仿宋_GBK" w:cs="Times New Roman"/>
          <w:color w:val="auto"/>
          <w:sz w:val="32"/>
          <w:szCs w:val="32"/>
          <w:highlight w:val="none"/>
        </w:rPr>
        <w:t>、支</w:t>
      </w:r>
      <w:r>
        <w:rPr>
          <w:rFonts w:hint="default" w:ascii="Times New Roman" w:hAnsi="Times New Roman" w:eastAsia="方正仿宋_GBK" w:cs="Times New Roman"/>
          <w:color w:val="auto"/>
          <w:sz w:val="32"/>
          <w:szCs w:val="32"/>
          <w:highlight w:val="none"/>
          <w:lang w:eastAsia="zh-CN"/>
        </w:rPr>
        <w:t>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color w:val="auto"/>
          <w:sz w:val="32"/>
          <w:szCs w:val="32"/>
          <w:highlight w:val="none"/>
          <w:lang w:val="en-US" w:eastAsia="zh-CN"/>
        </w:rPr>
        <w:t>243.48</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相比，收</w:t>
      </w:r>
      <w:r>
        <w:rPr>
          <w:rFonts w:hint="default" w:ascii="Times New Roman" w:hAnsi="Times New Roman" w:eastAsia="方正仿宋_GBK" w:cs="Times New Roman"/>
          <w:color w:val="auto"/>
          <w:sz w:val="32"/>
          <w:szCs w:val="32"/>
          <w:highlight w:val="none"/>
          <w:lang w:eastAsia="zh-CN"/>
        </w:rPr>
        <w:t>入</w:t>
      </w:r>
      <w:r>
        <w:rPr>
          <w:rFonts w:hint="default" w:ascii="Times New Roman" w:hAnsi="Times New Roman" w:eastAsia="方正仿宋_GBK" w:cs="Times New Roman"/>
          <w:color w:val="auto"/>
          <w:sz w:val="32"/>
          <w:szCs w:val="32"/>
          <w:highlight w:val="none"/>
        </w:rPr>
        <w:t>、支</w:t>
      </w:r>
      <w:r>
        <w:rPr>
          <w:rFonts w:hint="default" w:ascii="Times New Roman" w:hAnsi="Times New Roman" w:eastAsia="方正仿宋_GBK" w:cs="Times New Roman"/>
          <w:color w:val="auto"/>
          <w:sz w:val="32"/>
          <w:szCs w:val="32"/>
          <w:highlight w:val="none"/>
          <w:lang w:eastAsia="zh-CN"/>
        </w:rPr>
        <w:t>出</w:t>
      </w:r>
      <w:r>
        <w:rPr>
          <w:rFonts w:hint="default" w:ascii="Times New Roman" w:hAnsi="Times New Roman" w:eastAsia="方正仿宋_GBK" w:cs="Times New Roman"/>
          <w:color w:val="auto"/>
          <w:sz w:val="32"/>
          <w:szCs w:val="32"/>
          <w:highlight w:val="none"/>
        </w:rPr>
        <w:t>总计各增加</w:t>
      </w:r>
      <w:r>
        <w:rPr>
          <w:rFonts w:hint="default" w:ascii="Times New Roman" w:hAnsi="Times New Roman" w:eastAsia="方正仿宋_GBK" w:cs="Times New Roman"/>
          <w:color w:val="auto"/>
          <w:sz w:val="32"/>
          <w:szCs w:val="32"/>
          <w:highlight w:val="none"/>
          <w:lang w:val="en-US" w:eastAsia="zh-CN"/>
        </w:rPr>
        <w:t>36.84</w:t>
      </w:r>
      <w:r>
        <w:rPr>
          <w:rFonts w:hint="default" w:ascii="Times New Roman" w:hAnsi="Times New Roman" w:eastAsia="方正仿宋_GBK" w:cs="Times New Roman"/>
          <w:color w:val="auto"/>
          <w:sz w:val="32"/>
          <w:szCs w:val="32"/>
          <w:highlight w:val="none"/>
        </w:rPr>
        <w:t>万元，增长</w:t>
      </w:r>
      <w:r>
        <w:rPr>
          <w:rFonts w:hint="default" w:ascii="Times New Roman" w:hAnsi="Times New Roman" w:eastAsia="方正仿宋_GBK" w:cs="Times New Roman"/>
          <w:color w:val="auto"/>
          <w:sz w:val="32"/>
          <w:szCs w:val="32"/>
          <w:highlight w:val="none"/>
          <w:lang w:val="en-US" w:eastAsia="zh-CN"/>
        </w:rPr>
        <w:t>17.8</w:t>
      </w:r>
      <w:r>
        <w:rPr>
          <w:rFonts w:hint="default" w:ascii="Times New Roman" w:hAnsi="Times New Roman" w:eastAsia="方正仿宋_GBK" w:cs="Times New Roman"/>
          <w:color w:val="auto"/>
          <w:sz w:val="32"/>
          <w:szCs w:val="32"/>
          <w:highlight w:val="none"/>
        </w:rPr>
        <w:t>%。主要变动原因是</w:t>
      </w:r>
      <w:r>
        <w:rPr>
          <w:rFonts w:hint="default" w:ascii="Times New Roman" w:hAnsi="Times New Roman" w:eastAsia="方正仿宋_GBK" w:cs="Times New Roman"/>
          <w:color w:val="auto"/>
          <w:sz w:val="32"/>
          <w:szCs w:val="32"/>
          <w:highlight w:val="none"/>
          <w:lang w:eastAsia="zh-CN"/>
        </w:rPr>
        <w:t>人员增加。</w:t>
      </w:r>
    </w:p>
    <w:p w14:paraId="7763CC0F">
      <w:pPr>
        <w:pStyle w:val="2"/>
        <w:rPr>
          <w:rFonts w:hint="default" w:ascii="Times New Roman" w:hAnsi="Times New Roman" w:cs="Times New Roman"/>
        </w:rPr>
      </w:pPr>
      <w:r>
        <w:rPr>
          <w:rFonts w:hint="default"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467360</wp:posOffset>
            </wp:positionH>
            <wp:positionV relativeFrom="paragraph">
              <wp:posOffset>107950</wp:posOffset>
            </wp:positionV>
            <wp:extent cx="4509770" cy="2877820"/>
            <wp:effectExtent l="4445" t="4445" r="19685" b="1333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655FDD4">
      <w:pPr>
        <w:spacing w:line="600" w:lineRule="exact"/>
        <w:ind w:firstLine="640" w:firstLineChars="200"/>
        <w:rPr>
          <w:rFonts w:hint="default" w:ascii="Times New Roman" w:hAnsi="Times New Roman" w:eastAsia="仿宋" w:cs="Times New Roman"/>
          <w:sz w:val="32"/>
          <w:szCs w:val="32"/>
        </w:rPr>
      </w:pPr>
    </w:p>
    <w:p w14:paraId="45421567">
      <w:pPr>
        <w:spacing w:line="600" w:lineRule="exact"/>
        <w:ind w:firstLine="640" w:firstLineChars="200"/>
        <w:rPr>
          <w:rFonts w:hint="default" w:ascii="Times New Roman" w:hAnsi="Times New Roman" w:eastAsia="仿宋" w:cs="Times New Roman"/>
          <w:sz w:val="32"/>
          <w:szCs w:val="32"/>
        </w:rPr>
      </w:pPr>
    </w:p>
    <w:p w14:paraId="6EDFCB40">
      <w:pPr>
        <w:spacing w:line="600" w:lineRule="exact"/>
        <w:ind w:firstLine="640" w:firstLineChars="200"/>
        <w:rPr>
          <w:rFonts w:hint="default" w:ascii="Times New Roman" w:hAnsi="Times New Roman" w:eastAsia="仿宋" w:cs="Times New Roman"/>
          <w:sz w:val="32"/>
          <w:szCs w:val="32"/>
        </w:rPr>
      </w:pPr>
    </w:p>
    <w:p w14:paraId="6175F4F4">
      <w:pPr>
        <w:spacing w:line="600" w:lineRule="exact"/>
        <w:ind w:firstLine="640" w:firstLineChars="200"/>
        <w:rPr>
          <w:rFonts w:hint="default" w:ascii="Times New Roman" w:hAnsi="Times New Roman" w:eastAsia="仿宋" w:cs="Times New Roman"/>
          <w:sz w:val="32"/>
          <w:szCs w:val="32"/>
        </w:rPr>
      </w:pPr>
    </w:p>
    <w:p w14:paraId="22F531C6">
      <w:pPr>
        <w:spacing w:line="600" w:lineRule="exact"/>
        <w:ind w:firstLine="640" w:firstLineChars="200"/>
        <w:rPr>
          <w:rFonts w:hint="default" w:ascii="Times New Roman" w:hAnsi="Times New Roman" w:eastAsia="仿宋" w:cs="Times New Roman"/>
          <w:sz w:val="32"/>
          <w:szCs w:val="32"/>
        </w:rPr>
      </w:pPr>
    </w:p>
    <w:p w14:paraId="2A642790">
      <w:pPr>
        <w:spacing w:line="600" w:lineRule="exact"/>
        <w:ind w:firstLine="640" w:firstLineChars="200"/>
        <w:rPr>
          <w:rFonts w:hint="default" w:ascii="Times New Roman" w:hAnsi="Times New Roman" w:eastAsia="仿宋" w:cs="Times New Roman"/>
          <w:sz w:val="32"/>
          <w:szCs w:val="32"/>
        </w:rPr>
      </w:pPr>
    </w:p>
    <w:p w14:paraId="1B37C893">
      <w:pPr>
        <w:spacing w:line="600" w:lineRule="exact"/>
        <w:rPr>
          <w:rFonts w:hint="default" w:ascii="Times New Roman" w:hAnsi="Times New Roman" w:eastAsia="仿宋" w:cs="Times New Roman"/>
          <w:sz w:val="32"/>
          <w:szCs w:val="32"/>
          <w:lang w:eastAsia="zh-CN"/>
        </w:rPr>
      </w:pPr>
    </w:p>
    <w:p w14:paraId="056669D1">
      <w:pPr>
        <w:spacing w:line="600" w:lineRule="exact"/>
        <w:ind w:firstLine="1920" w:firstLineChars="600"/>
        <w:rPr>
          <w:rFonts w:hint="default" w:ascii="Times New Roman" w:hAnsi="Times New Roman" w:eastAsia="黑体" w:cs="Times New Roman"/>
          <w:sz w:val="32"/>
          <w:szCs w:val="32"/>
          <w:lang w:eastAsia="zh-CN"/>
        </w:rPr>
      </w:pPr>
      <w:r>
        <w:rPr>
          <w:rFonts w:hint="default" w:ascii="Times New Roman" w:hAnsi="Times New Roman" w:eastAsia="仿宋" w:cs="Times New Roman"/>
          <w:sz w:val="32"/>
          <w:szCs w:val="32"/>
        </w:rPr>
        <w:t>图1：收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rPr>
        <w:t>、支</w:t>
      </w:r>
      <w:r>
        <w:rPr>
          <w:rFonts w:hint="default" w:ascii="Times New Roman" w:hAnsi="Times New Roman" w:eastAsia="仿宋" w:cs="Times New Roman"/>
          <w:sz w:val="32"/>
          <w:szCs w:val="32"/>
          <w:lang w:eastAsia="zh-CN"/>
        </w:rPr>
        <w:t>出</w:t>
      </w:r>
      <w:r>
        <w:rPr>
          <w:rFonts w:hint="default" w:ascii="Times New Roman" w:hAnsi="Times New Roman" w:eastAsia="仿宋" w:cs="Times New Roman"/>
          <w:sz w:val="32"/>
          <w:szCs w:val="32"/>
        </w:rPr>
        <w:t>决算总计变动情况图</w:t>
      </w:r>
      <w:bookmarkStart w:id="18" w:name="_Toc15396604"/>
      <w:bookmarkStart w:id="19" w:name="_Toc15377206"/>
    </w:p>
    <w:p w14:paraId="76FCACBB">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1"/>
        <w:rPr>
          <w:rStyle w:val="30"/>
          <w:rFonts w:hint="default" w:ascii="Times New Roman" w:hAnsi="Times New Roman" w:eastAsia="黑体" w:cs="Times New Roman"/>
          <w:b w:val="0"/>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收</w:t>
      </w:r>
      <w:r>
        <w:rPr>
          <w:rStyle w:val="30"/>
          <w:rFonts w:hint="default" w:ascii="Times New Roman" w:hAnsi="Times New Roman" w:eastAsia="黑体" w:cs="Times New Roman"/>
          <w:b w:val="0"/>
        </w:rPr>
        <w:t>入决算情况说明</w:t>
      </w:r>
      <w:bookmarkEnd w:id="18"/>
      <w:bookmarkEnd w:id="19"/>
    </w:p>
    <w:p w14:paraId="4933AC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年度本年收入合计</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100%</w:t>
      </w:r>
      <w:r>
        <w:rPr>
          <w:rFonts w:hint="default" w:ascii="Times New Roman" w:hAnsi="Times New Roman" w:eastAsia="仿宋" w:cs="Times New Roman"/>
          <w:sz w:val="32"/>
          <w:szCs w:val="32"/>
        </w:rPr>
        <w:t>；政府性基金预算财政拨款收入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%；国有资本经营预算财政拨款收入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%；上级补助收入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万元，占0%；事业收入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%；经营收入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%；附属单位上缴收入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%；其他收入</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p>
    <w:p w14:paraId="4E0088E3">
      <w:pPr>
        <w:rPr>
          <w:rFonts w:hint="default" w:ascii="Times New Roman" w:hAnsi="Times New Roman" w:eastAsia="仿宋" w:cs="Times New Roman"/>
          <w:lang w:eastAsia="zh-CN"/>
        </w:rPr>
      </w:pPr>
      <w:r>
        <w:rPr>
          <w:rFonts w:hint="default" w:ascii="Times New Roman" w:hAnsi="Times New Roman" w:eastAsia="仿宋" w:cs="Times New Roman"/>
          <w:lang w:eastAsia="zh-CN"/>
        </w:rPr>
        <w:drawing>
          <wp:anchor distT="0" distB="0" distL="114300" distR="114300" simplePos="0" relativeHeight="251664384" behindDoc="0" locked="0" layoutInCell="1" allowOverlap="1">
            <wp:simplePos x="0" y="0"/>
            <wp:positionH relativeFrom="column">
              <wp:posOffset>614045</wp:posOffset>
            </wp:positionH>
            <wp:positionV relativeFrom="paragraph">
              <wp:posOffset>10160</wp:posOffset>
            </wp:positionV>
            <wp:extent cx="4462145" cy="2743835"/>
            <wp:effectExtent l="4445" t="4445" r="10160" b="1397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011C149">
      <w:pPr>
        <w:spacing w:line="600" w:lineRule="exact"/>
        <w:ind w:firstLine="2560" w:firstLineChars="8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p>
    <w:p w14:paraId="695627B3">
      <w:pPr>
        <w:spacing w:line="600" w:lineRule="exact"/>
        <w:ind w:firstLine="2560" w:firstLineChars="800"/>
        <w:rPr>
          <w:rFonts w:hint="default" w:ascii="Times New Roman" w:hAnsi="Times New Roman" w:eastAsia="仿宋" w:cs="Times New Roman"/>
          <w:sz w:val="32"/>
          <w:szCs w:val="32"/>
        </w:rPr>
      </w:pPr>
    </w:p>
    <w:p w14:paraId="3BEC595C">
      <w:pPr>
        <w:spacing w:line="600" w:lineRule="exact"/>
        <w:ind w:firstLine="2560" w:firstLineChars="800"/>
        <w:rPr>
          <w:rFonts w:hint="default" w:ascii="Times New Roman" w:hAnsi="Times New Roman" w:eastAsia="仿宋" w:cs="Times New Roman"/>
          <w:sz w:val="32"/>
          <w:szCs w:val="32"/>
        </w:rPr>
      </w:pPr>
    </w:p>
    <w:p w14:paraId="54907BD9">
      <w:pPr>
        <w:spacing w:line="600" w:lineRule="exact"/>
        <w:ind w:firstLine="2560" w:firstLineChars="800"/>
        <w:rPr>
          <w:rFonts w:hint="default" w:ascii="Times New Roman" w:hAnsi="Times New Roman" w:eastAsia="仿宋" w:cs="Times New Roman"/>
          <w:sz w:val="32"/>
          <w:szCs w:val="32"/>
        </w:rPr>
      </w:pPr>
    </w:p>
    <w:p w14:paraId="7547C5A4">
      <w:pPr>
        <w:spacing w:line="600" w:lineRule="exact"/>
        <w:ind w:firstLine="2560" w:firstLineChars="800"/>
        <w:rPr>
          <w:rFonts w:hint="default" w:ascii="Times New Roman" w:hAnsi="Times New Roman" w:eastAsia="仿宋" w:cs="Times New Roman"/>
          <w:sz w:val="32"/>
          <w:szCs w:val="32"/>
        </w:rPr>
      </w:pPr>
    </w:p>
    <w:p w14:paraId="04AF4316">
      <w:pPr>
        <w:spacing w:line="600" w:lineRule="exact"/>
        <w:ind w:firstLine="2560" w:firstLineChars="800"/>
        <w:rPr>
          <w:rFonts w:hint="default" w:ascii="Times New Roman" w:hAnsi="Times New Roman" w:eastAsia="仿宋" w:cs="Times New Roman"/>
          <w:sz w:val="32"/>
          <w:szCs w:val="32"/>
        </w:rPr>
      </w:pPr>
    </w:p>
    <w:p w14:paraId="56E70E7A">
      <w:pPr>
        <w:spacing w:line="600" w:lineRule="exact"/>
        <w:ind w:firstLine="2560" w:firstLineChars="800"/>
        <w:rPr>
          <w:rFonts w:hint="default" w:ascii="Times New Roman" w:hAnsi="Times New Roman" w:eastAsia="仿宋" w:cs="Times New Roman"/>
          <w:sz w:val="32"/>
          <w:szCs w:val="32"/>
        </w:rPr>
      </w:pPr>
    </w:p>
    <w:p w14:paraId="7B22658D">
      <w:pPr>
        <w:spacing w:line="600" w:lineRule="exact"/>
        <w:ind w:firstLine="2560" w:firstLineChars="8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lang w:eastAsia="zh-CN"/>
        </w:rPr>
        <w:t>图</w:t>
      </w:r>
      <w:r>
        <w:rPr>
          <w:rFonts w:hint="default" w:ascii="Times New Roman" w:hAnsi="Times New Roman" w:eastAsia="仿宋" w:cs="Times New Roman"/>
          <w:sz w:val="32"/>
          <w:szCs w:val="32"/>
        </w:rPr>
        <w:t>2：收入决算结构图</w:t>
      </w:r>
    </w:p>
    <w:p w14:paraId="11590E53">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1"/>
        <w:rPr>
          <w:rStyle w:val="30"/>
          <w:rFonts w:hint="default" w:ascii="Times New Roman" w:hAnsi="Times New Roman" w:eastAsia="黑体" w:cs="Times New Roman"/>
          <w:b w:val="0"/>
        </w:rPr>
      </w:pPr>
      <w:bookmarkStart w:id="20" w:name="_Toc15396605"/>
      <w:bookmarkStart w:id="21" w:name="_Toc15377207"/>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支</w:t>
      </w:r>
      <w:r>
        <w:rPr>
          <w:rStyle w:val="30"/>
          <w:rFonts w:hint="default" w:ascii="Times New Roman" w:hAnsi="Times New Roman" w:eastAsia="黑体" w:cs="Times New Roman"/>
          <w:b w:val="0"/>
        </w:rPr>
        <w:t>出决算情况说明</w:t>
      </w:r>
      <w:bookmarkEnd w:id="20"/>
      <w:bookmarkEnd w:id="21"/>
    </w:p>
    <w:p w14:paraId="75DBF3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cs="Times New Roma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年度本年支出合计</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万元，其中：基本支出</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100</w:t>
      </w:r>
      <w:r>
        <w:rPr>
          <w:rFonts w:hint="default" w:ascii="Times New Roman" w:hAnsi="Times New Roman" w:eastAsia="仿宋" w:cs="Times New Roman"/>
          <w:sz w:val="32"/>
          <w:szCs w:val="32"/>
        </w:rPr>
        <w:t>%；项目支出</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%；上缴上级支出</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%；经营支出</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%；对附属单位补助支出</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w:t>
      </w:r>
    </w:p>
    <w:p w14:paraId="6282DA41">
      <w:pPr>
        <w:spacing w:line="600" w:lineRule="exact"/>
        <w:ind w:firstLine="640" w:firstLineChars="200"/>
        <w:jc w:val="center"/>
        <w:rPr>
          <w:rFonts w:hint="default" w:ascii="Times New Roman" w:hAnsi="Times New Roman" w:eastAsia="黑体"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1312" behindDoc="0" locked="0" layoutInCell="1" allowOverlap="1">
            <wp:simplePos x="0" y="0"/>
            <wp:positionH relativeFrom="column">
              <wp:posOffset>410210</wp:posOffset>
            </wp:positionH>
            <wp:positionV relativeFrom="paragraph">
              <wp:posOffset>31750</wp:posOffset>
            </wp:positionV>
            <wp:extent cx="4794885" cy="2600960"/>
            <wp:effectExtent l="4445" t="4445" r="20320" b="6159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default" w:ascii="Times New Roman" w:hAnsi="Times New Roman" w:eastAsia="仿宋" w:cs="Times New Roman"/>
          <w:sz w:val="32"/>
          <w:szCs w:val="32"/>
          <w:lang w:eastAsia="zh-CN"/>
        </w:rPr>
        <w:t>图</w:t>
      </w:r>
      <w:r>
        <w:rPr>
          <w:rFonts w:hint="default" w:ascii="Times New Roman" w:hAnsi="Times New Roman" w:eastAsia="仿宋" w:cs="Times New Roman"/>
          <w:sz w:val="32"/>
          <w:szCs w:val="32"/>
        </w:rPr>
        <w:t>3：支出决算结构图</w:t>
      </w:r>
      <w:bookmarkStart w:id="22" w:name="_Toc15396606"/>
      <w:bookmarkStart w:id="23" w:name="_Toc15377208"/>
    </w:p>
    <w:p w14:paraId="12E88C8D">
      <w:pPr>
        <w:spacing w:line="600" w:lineRule="exact"/>
        <w:ind w:firstLine="640" w:firstLineChars="200"/>
        <w:outlineLvl w:val="1"/>
        <w:rPr>
          <w:rStyle w:val="30"/>
          <w:rFonts w:hint="default" w:ascii="Times New Roman" w:hAnsi="Times New Roman" w:eastAsia="黑体" w:cs="Times New Roman"/>
          <w:b w:val="0"/>
        </w:rPr>
      </w:pPr>
      <w:r>
        <w:rPr>
          <w:rFonts w:hint="default" w:ascii="Times New Roman" w:hAnsi="Times New Roman" w:eastAsia="黑体" w:cs="Times New Roman"/>
          <w:sz w:val="32"/>
          <w:szCs w:val="32"/>
        </w:rPr>
        <w:t>四、财</w:t>
      </w:r>
      <w:r>
        <w:rPr>
          <w:rStyle w:val="30"/>
          <w:rFonts w:hint="default" w:ascii="Times New Roman" w:hAnsi="Times New Roman" w:eastAsia="黑体" w:cs="Times New Roman"/>
          <w:b w:val="0"/>
        </w:rPr>
        <w:t>政拨款收入支出决算总体情况说明</w:t>
      </w:r>
      <w:bookmarkEnd w:id="22"/>
      <w:bookmarkEnd w:id="23"/>
    </w:p>
    <w:p w14:paraId="1959F9E5">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年度财政拨款收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rPr>
        <w:t>、支</w:t>
      </w:r>
      <w:r>
        <w:rPr>
          <w:rFonts w:hint="default" w:ascii="Times New Roman" w:hAnsi="Times New Roman" w:eastAsia="仿宋" w:cs="Times New Roman"/>
          <w:sz w:val="32"/>
          <w:szCs w:val="32"/>
          <w:lang w:eastAsia="zh-CN"/>
        </w:rPr>
        <w:t>出</w:t>
      </w:r>
      <w:r>
        <w:rPr>
          <w:rFonts w:hint="default" w:ascii="Times New Roman" w:hAnsi="Times New Roman" w:eastAsia="仿宋" w:cs="Times New Roman"/>
          <w:sz w:val="32"/>
          <w:szCs w:val="32"/>
        </w:rPr>
        <w:t>总计均为</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万元。与202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年度相比，财政拨款收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rPr>
        <w:t>、支</w:t>
      </w:r>
      <w:r>
        <w:rPr>
          <w:rFonts w:hint="default" w:ascii="Times New Roman" w:hAnsi="Times New Roman" w:eastAsia="仿宋" w:cs="Times New Roman"/>
          <w:sz w:val="32"/>
          <w:szCs w:val="32"/>
          <w:lang w:eastAsia="zh-CN"/>
        </w:rPr>
        <w:t>出</w:t>
      </w:r>
      <w:r>
        <w:rPr>
          <w:rFonts w:hint="default" w:ascii="Times New Roman" w:hAnsi="Times New Roman" w:eastAsia="仿宋" w:cs="Times New Roman"/>
          <w:sz w:val="32"/>
          <w:szCs w:val="32"/>
        </w:rPr>
        <w:t>总计各增加</w:t>
      </w:r>
      <w:r>
        <w:rPr>
          <w:rFonts w:hint="default" w:ascii="Times New Roman" w:hAnsi="Times New Roman" w:eastAsia="仿宋" w:cs="Times New Roman"/>
          <w:sz w:val="32"/>
          <w:szCs w:val="32"/>
          <w:lang w:val="en-US" w:eastAsia="zh-CN"/>
        </w:rPr>
        <w:t>36.84</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17.8</w:t>
      </w:r>
      <w:r>
        <w:rPr>
          <w:rFonts w:hint="default" w:ascii="Times New Roman" w:hAnsi="Times New Roman" w:eastAsia="仿宋" w:cs="Times New Roman"/>
          <w:sz w:val="32"/>
          <w:szCs w:val="32"/>
        </w:rPr>
        <w:t>%。主要变动原因是</w:t>
      </w:r>
      <w:r>
        <w:rPr>
          <w:rFonts w:hint="default" w:ascii="Times New Roman" w:hAnsi="Times New Roman" w:eastAsia="方正仿宋_GBK" w:cs="Times New Roman"/>
          <w:color w:val="auto"/>
          <w:sz w:val="32"/>
          <w:szCs w:val="32"/>
          <w:highlight w:val="none"/>
          <w:lang w:eastAsia="zh-CN"/>
        </w:rPr>
        <w:t>人员增加。</w:t>
      </w:r>
    </w:p>
    <w:p w14:paraId="1804E453">
      <w:pPr>
        <w:spacing w:line="600" w:lineRule="exact"/>
        <w:ind w:firstLine="640"/>
        <w:rPr>
          <w:rFonts w:hint="default" w:ascii="Times New Roman" w:hAnsi="Times New Roman" w:eastAsia="仿宋" w:cs="Times New Roman"/>
          <w:sz w:val="32"/>
          <w:szCs w:val="32"/>
        </w:rPr>
      </w:pPr>
    </w:p>
    <w:p w14:paraId="18612C1D">
      <w:pPr>
        <w:pStyle w:val="3"/>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4861560" cy="2810510"/>
            <wp:effectExtent l="4445" t="4445" r="10795"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35C7EC">
      <w:pPr>
        <w:spacing w:line="600" w:lineRule="exact"/>
        <w:ind w:firstLine="640" w:firstLineChars="200"/>
        <w:jc w:val="center"/>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图4：财政拨款收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rPr>
        <w:t>、支</w:t>
      </w:r>
      <w:r>
        <w:rPr>
          <w:rFonts w:hint="default" w:ascii="Times New Roman" w:hAnsi="Times New Roman" w:eastAsia="仿宋" w:cs="Times New Roman"/>
          <w:sz w:val="32"/>
          <w:szCs w:val="32"/>
          <w:lang w:eastAsia="zh-CN"/>
        </w:rPr>
        <w:t>出</w:t>
      </w:r>
      <w:r>
        <w:rPr>
          <w:rFonts w:hint="default" w:ascii="Times New Roman" w:hAnsi="Times New Roman" w:eastAsia="仿宋" w:cs="Times New Roman"/>
          <w:sz w:val="32"/>
          <w:szCs w:val="32"/>
        </w:rPr>
        <w:t>决算总计变动情况</w:t>
      </w:r>
    </w:p>
    <w:p w14:paraId="1278480E">
      <w:pPr>
        <w:spacing w:line="600" w:lineRule="exact"/>
        <w:ind w:firstLine="640" w:firstLineChars="200"/>
        <w:outlineLvl w:val="1"/>
        <w:rPr>
          <w:rStyle w:val="30"/>
          <w:rFonts w:hint="default" w:ascii="Times New Roman" w:hAnsi="Times New Roman" w:eastAsia="黑体" w:cs="Times New Roman"/>
          <w:b w:val="0"/>
        </w:rPr>
      </w:pPr>
      <w:bookmarkStart w:id="24" w:name="_Toc15396607"/>
      <w:bookmarkStart w:id="25"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般公共预算财政拨款支出决算情况说明</w:t>
      </w:r>
      <w:bookmarkEnd w:id="24"/>
      <w:bookmarkEnd w:id="25"/>
    </w:p>
    <w:p w14:paraId="04275003">
      <w:pPr>
        <w:spacing w:line="600" w:lineRule="exact"/>
        <w:ind w:firstLine="643" w:firstLineChars="200"/>
        <w:outlineLvl w:val="2"/>
        <w:rPr>
          <w:rFonts w:hint="default" w:ascii="Times New Roman" w:hAnsi="Times New Roman" w:eastAsia="方正楷体_GBK" w:cs="Times New Roman"/>
          <w:b/>
          <w:sz w:val="32"/>
          <w:szCs w:val="32"/>
        </w:rPr>
      </w:pPr>
      <w:bookmarkStart w:id="26" w:name="_Toc15377210"/>
      <w:r>
        <w:rPr>
          <w:rFonts w:hint="default" w:ascii="Times New Roman" w:hAnsi="Times New Roman" w:eastAsia="方正楷体_GBK" w:cs="Times New Roman"/>
          <w:b/>
          <w:sz w:val="32"/>
          <w:szCs w:val="32"/>
        </w:rPr>
        <w:t>（一）一般公共预算财政拨款支出决算总体情况</w:t>
      </w:r>
      <w:bookmarkEnd w:id="26"/>
    </w:p>
    <w:p w14:paraId="51971432">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年度一般公共预算财政拨款支出</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万元，占本年支出合计的</w:t>
      </w:r>
      <w:r>
        <w:rPr>
          <w:rFonts w:hint="default" w:ascii="Times New Roman" w:hAnsi="Times New Roman" w:eastAsia="仿宋" w:cs="Times New Roman"/>
          <w:b/>
          <w:sz w:val="32"/>
          <w:szCs w:val="32"/>
        </w:rPr>
        <w:t>100</w:t>
      </w:r>
      <w:r>
        <w:rPr>
          <w:rFonts w:hint="default" w:ascii="Times New Roman" w:hAnsi="Times New Roman" w:eastAsia="仿宋" w:cs="Times New Roman"/>
          <w:sz w:val="32"/>
          <w:szCs w:val="32"/>
        </w:rPr>
        <w:t>%。与202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年度相比，一般公共预算财政拨款支出增加</w:t>
      </w:r>
      <w:r>
        <w:rPr>
          <w:rFonts w:hint="default" w:ascii="Times New Roman" w:hAnsi="Times New Roman" w:eastAsia="仿宋" w:cs="Times New Roman"/>
          <w:sz w:val="32"/>
          <w:szCs w:val="32"/>
          <w:lang w:val="en-US" w:eastAsia="zh-CN"/>
        </w:rPr>
        <w:t>36.84</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17.8</w:t>
      </w:r>
      <w:r>
        <w:rPr>
          <w:rFonts w:hint="default" w:ascii="Times New Roman" w:hAnsi="Times New Roman" w:eastAsia="仿宋" w:cs="Times New Roman"/>
          <w:sz w:val="32"/>
          <w:szCs w:val="32"/>
        </w:rPr>
        <w:t>%。主要变动原因是</w:t>
      </w:r>
      <w:r>
        <w:rPr>
          <w:rFonts w:hint="default" w:ascii="Times New Roman" w:hAnsi="Times New Roman" w:eastAsia="仿宋" w:cs="Times New Roman"/>
          <w:sz w:val="32"/>
          <w:szCs w:val="32"/>
          <w:lang w:eastAsia="zh-CN"/>
        </w:rPr>
        <w:t>新进</w:t>
      </w:r>
      <w:r>
        <w:rPr>
          <w:rFonts w:hint="default" w:ascii="Times New Roman" w:hAnsi="Times New Roman" w:eastAsia="方正仿宋_GBK" w:cs="Times New Roman"/>
          <w:color w:val="auto"/>
          <w:sz w:val="32"/>
          <w:szCs w:val="32"/>
          <w:highlight w:val="none"/>
          <w:lang w:eastAsia="zh-CN"/>
        </w:rPr>
        <w:t>人员增加。</w:t>
      </w:r>
    </w:p>
    <w:p w14:paraId="67398588">
      <w:pPr>
        <w:spacing w:line="600" w:lineRule="exact"/>
        <w:ind w:firstLine="640" w:firstLineChars="200"/>
        <w:rPr>
          <w:rFonts w:hint="default" w:ascii="Times New Roman" w:hAnsi="Times New Roman" w:eastAsia="仿宋" w:cs="Times New Roman"/>
          <w:sz w:val="32"/>
          <w:szCs w:val="32"/>
        </w:rPr>
      </w:pPr>
    </w:p>
    <w:p w14:paraId="56D5704A">
      <w:pPr>
        <w:rPr>
          <w:rFonts w:hint="default" w:ascii="Times New Roman" w:hAnsi="Times New Roman" w:eastAsia="仿宋" w:cs="Times New Roman"/>
          <w:sz w:val="32"/>
          <w:szCs w:val="32"/>
        </w:rPr>
      </w:pPr>
    </w:p>
    <w:p w14:paraId="15B2EA81">
      <w:pPr>
        <w:pStyle w:val="2"/>
        <w:rPr>
          <w:rFonts w:hint="default" w:ascii="Times New Roman" w:hAnsi="Times New Roman" w:eastAsia="仿宋" w:cs="Times New Roman"/>
          <w:lang w:eastAsia="zh-CN"/>
        </w:rPr>
      </w:pPr>
      <w:r>
        <w:rPr>
          <w:rFonts w:hint="default" w:ascii="Times New Roman" w:hAnsi="Times New Roman" w:eastAsia="仿宋" w:cs="Times New Roman"/>
          <w:lang w:eastAsia="zh-CN"/>
        </w:rPr>
        <w:drawing>
          <wp:anchor distT="0" distB="0" distL="114300" distR="114300" simplePos="0" relativeHeight="251663360" behindDoc="0" locked="0" layoutInCell="1" allowOverlap="1">
            <wp:simplePos x="0" y="0"/>
            <wp:positionH relativeFrom="column">
              <wp:posOffset>556895</wp:posOffset>
            </wp:positionH>
            <wp:positionV relativeFrom="paragraph">
              <wp:posOffset>-780415</wp:posOffset>
            </wp:positionV>
            <wp:extent cx="4509770" cy="2716530"/>
            <wp:effectExtent l="4445" t="4445" r="19685" b="2222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A082563">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p>
    <w:p w14:paraId="45205E0F">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p>
    <w:p w14:paraId="50227B37">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w:t>
      </w:r>
    </w:p>
    <w:p w14:paraId="0C2C55A5">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p>
    <w:p w14:paraId="3831A657">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p>
    <w:p w14:paraId="41790038">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图</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：一般公共预算财政拨款支出决算变动情况</w:t>
      </w:r>
    </w:p>
    <w:p w14:paraId="08A8A3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方正楷体_GBK" w:cs="Times New Roman"/>
          <w:b/>
          <w:sz w:val="32"/>
          <w:szCs w:val="32"/>
        </w:rPr>
      </w:pPr>
      <w:bookmarkStart w:id="27" w:name="_Toc15377211"/>
      <w:r>
        <w:rPr>
          <w:rFonts w:hint="default" w:ascii="Times New Roman" w:hAnsi="Times New Roman" w:eastAsia="方正楷体_GBK" w:cs="Times New Roman"/>
          <w:b/>
          <w:sz w:val="32"/>
          <w:szCs w:val="32"/>
        </w:rPr>
        <w:t>（二）一般公共预算财政拨款支出决算结构情况</w:t>
      </w:r>
      <w:bookmarkEnd w:id="27"/>
    </w:p>
    <w:p w14:paraId="6A5F6E9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年度一般公共预算财政拨款支出</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万元，主要用于以下方面:</w:t>
      </w:r>
      <w:r>
        <w:rPr>
          <w:rFonts w:hint="default" w:ascii="Times New Roman" w:hAnsi="Times New Roman" w:eastAsia="仿宋" w:cs="Times New Roman"/>
          <w:b/>
          <w:sz w:val="32"/>
          <w:szCs w:val="32"/>
        </w:rPr>
        <w:t>一般公共服务</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lang w:val="en-US" w:eastAsia="zh-CN"/>
        </w:rPr>
        <w:t>183.06</w:t>
      </w:r>
      <w:r>
        <w:rPr>
          <w:rFonts w:hint="default" w:ascii="Times New Roman" w:hAnsi="Times New Roman" w:eastAsia="仿宋" w:cs="Times New Roman"/>
          <w:sz w:val="32"/>
          <w:szCs w:val="32"/>
        </w:rPr>
        <w:t>元，占</w:t>
      </w:r>
      <w:r>
        <w:rPr>
          <w:rFonts w:hint="default" w:ascii="Times New Roman" w:hAnsi="Times New Roman" w:eastAsia="仿宋" w:cs="Times New Roman"/>
          <w:sz w:val="32"/>
          <w:szCs w:val="32"/>
          <w:lang w:val="en-US" w:eastAsia="zh-CN"/>
        </w:rPr>
        <w:t>75.2</w:t>
      </w:r>
      <w:r>
        <w:rPr>
          <w:rFonts w:hint="default" w:ascii="Times New Roman" w:hAnsi="Times New Roman" w:eastAsia="仿宋" w:cs="Times New Roman"/>
          <w:sz w:val="32"/>
          <w:szCs w:val="32"/>
        </w:rPr>
        <w:t>%；</w:t>
      </w:r>
      <w:r>
        <w:rPr>
          <w:rFonts w:hint="default" w:ascii="Times New Roman" w:hAnsi="Times New Roman" w:eastAsia="仿宋" w:cs="Times New Roman"/>
          <w:b/>
          <w:sz w:val="32"/>
          <w:szCs w:val="32"/>
        </w:rPr>
        <w:t>社会保障和就业</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lang w:val="en-US" w:eastAsia="zh-CN"/>
        </w:rPr>
        <w:t>31.23</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12.8</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卫生健康支出</w:t>
      </w:r>
      <w:r>
        <w:rPr>
          <w:rFonts w:hint="default" w:ascii="Times New Roman" w:hAnsi="Times New Roman" w:eastAsia="仿宋" w:cs="Times New Roman"/>
          <w:sz w:val="32"/>
          <w:szCs w:val="32"/>
          <w:lang w:val="en-US" w:eastAsia="zh-CN"/>
        </w:rPr>
        <w:t>11.59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4.8</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住房保障支出</w:t>
      </w:r>
      <w:r>
        <w:rPr>
          <w:rFonts w:hint="default" w:ascii="Times New Roman" w:hAnsi="Times New Roman" w:eastAsia="仿宋" w:cs="Times New Roman"/>
          <w:sz w:val="32"/>
          <w:szCs w:val="32"/>
          <w:lang w:val="en-US" w:eastAsia="zh-CN"/>
        </w:rPr>
        <w:t>17.61</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7.2</w:t>
      </w:r>
      <w:r>
        <w:rPr>
          <w:rFonts w:hint="default" w:ascii="Times New Roman" w:hAnsi="Times New Roman" w:eastAsia="仿宋" w:cs="Times New Roman"/>
          <w:sz w:val="32"/>
          <w:szCs w:val="32"/>
        </w:rPr>
        <w:t>%。</w:t>
      </w:r>
    </w:p>
    <w:p w14:paraId="53CBF4FE">
      <w:pPr>
        <w:pStyle w:val="2"/>
        <w:jc w:val="center"/>
        <w:rPr>
          <w:rFonts w:hint="default" w:ascii="Times New Roman" w:hAnsi="Times New Roman" w:eastAsia="仿宋" w:cs="Times New Roman"/>
          <w:sz w:val="32"/>
          <w:szCs w:val="32"/>
        </w:rPr>
      </w:pPr>
      <w:r>
        <w:rPr>
          <w:rFonts w:hint="default" w:ascii="Times New Roman" w:hAnsi="Times New Roman" w:eastAsia="宋体" w:cs="Times New Roman"/>
          <w:lang w:eastAsia="zh-CN"/>
        </w:rPr>
        <w:drawing>
          <wp:anchor distT="0" distB="0" distL="114300" distR="114300" simplePos="0" relativeHeight="251662336" behindDoc="0" locked="0" layoutInCell="1" allowOverlap="1">
            <wp:simplePos x="0" y="0"/>
            <wp:positionH relativeFrom="column">
              <wp:posOffset>499745</wp:posOffset>
            </wp:positionH>
            <wp:positionV relativeFrom="paragraph">
              <wp:posOffset>27940</wp:posOffset>
            </wp:positionV>
            <wp:extent cx="4318635" cy="2554605"/>
            <wp:effectExtent l="4445" t="4445" r="20320" b="1270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仿宋" w:cs="Times New Roman"/>
          <w:sz w:val="32"/>
          <w:szCs w:val="32"/>
        </w:rPr>
        <w:t>图6：一般公共预算财政拨款支出决算结构</w:t>
      </w:r>
    </w:p>
    <w:p w14:paraId="7991CC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方正楷体_GBK" w:cs="Times New Roman"/>
          <w:b/>
          <w:sz w:val="32"/>
          <w:szCs w:val="32"/>
        </w:rPr>
      </w:pPr>
      <w:bookmarkStart w:id="28" w:name="_Toc15377212"/>
      <w:r>
        <w:rPr>
          <w:rFonts w:hint="default" w:ascii="Times New Roman" w:hAnsi="Times New Roman" w:eastAsia="方正楷体_GBK" w:cs="Times New Roman"/>
          <w:b/>
          <w:sz w:val="32"/>
          <w:szCs w:val="32"/>
        </w:rPr>
        <w:t>（三）一般公共预算财政拨款支出决算具体情况</w:t>
      </w:r>
      <w:bookmarkEnd w:id="28"/>
    </w:p>
    <w:p w14:paraId="625DF7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仿宋" w:cs="Times New Roman"/>
          <w:sz w:val="32"/>
          <w:szCs w:val="32"/>
        </w:rPr>
      </w:pPr>
      <w:bookmarkStart w:id="29" w:name="_Toc15377444"/>
      <w:bookmarkStart w:id="30" w:name="_Toc15377213"/>
      <w:bookmarkStart w:id="31" w:name="_Toc15378460"/>
      <w:r>
        <w:rPr>
          <w:rFonts w:hint="default" w:ascii="Times New Roman" w:hAnsi="Times New Roman" w:eastAsia="仿宋" w:cs="Times New Roman"/>
          <w:b/>
          <w:sz w:val="32"/>
          <w:szCs w:val="32"/>
        </w:rPr>
        <w:t>202</w:t>
      </w:r>
      <w:r>
        <w:rPr>
          <w:rFonts w:hint="default" w:ascii="Times New Roman" w:hAnsi="Times New Roman" w:eastAsia="仿宋" w:cs="Times New Roman"/>
          <w:b/>
          <w:sz w:val="32"/>
          <w:szCs w:val="32"/>
          <w:lang w:val="en-US" w:eastAsia="zh-CN"/>
        </w:rPr>
        <w:t>5</w:t>
      </w:r>
      <w:r>
        <w:rPr>
          <w:rFonts w:hint="default" w:ascii="Times New Roman" w:hAnsi="Times New Roman" w:eastAsia="仿宋" w:cs="Times New Roman"/>
          <w:b/>
          <w:sz w:val="32"/>
          <w:szCs w:val="32"/>
        </w:rPr>
        <w:t>年度一般公共预算支出决算数为</w:t>
      </w:r>
      <w:r>
        <w:rPr>
          <w:rFonts w:hint="default" w:ascii="Times New Roman" w:hAnsi="Times New Roman" w:eastAsia="仿宋" w:cs="Times New Roman"/>
          <w:b/>
          <w:sz w:val="32"/>
          <w:szCs w:val="32"/>
          <w:lang w:val="en-US" w:eastAsia="zh-CN"/>
        </w:rPr>
        <w:t>243.48万元</w:t>
      </w:r>
      <w:r>
        <w:rPr>
          <w:rFonts w:hint="default" w:ascii="Times New Roman" w:hAnsi="Times New Roman" w:eastAsia="仿宋" w:cs="Times New Roman"/>
          <w:sz w:val="32"/>
          <w:szCs w:val="32"/>
        </w:rPr>
        <w:t>，</w:t>
      </w:r>
      <w:r>
        <w:rPr>
          <w:rStyle w:val="18"/>
          <w:rFonts w:hint="default" w:ascii="Times New Roman" w:hAnsi="Times New Roman" w:eastAsia="仿宋" w:cs="Times New Roman"/>
          <w:bCs/>
          <w:sz w:val="32"/>
          <w:szCs w:val="32"/>
        </w:rPr>
        <w:t>完成预算</w:t>
      </w:r>
      <w:r>
        <w:rPr>
          <w:rStyle w:val="18"/>
          <w:rFonts w:hint="default" w:ascii="Times New Roman" w:hAnsi="Times New Roman" w:eastAsia="仿宋" w:cs="Times New Roman"/>
          <w:bCs/>
          <w:sz w:val="32"/>
          <w:szCs w:val="32"/>
          <w:lang w:val="en-US" w:eastAsia="zh-CN"/>
        </w:rPr>
        <w:t>100</w:t>
      </w:r>
      <w:r>
        <w:rPr>
          <w:rStyle w:val="18"/>
          <w:rFonts w:hint="default" w:ascii="Times New Roman" w:hAnsi="Times New Roman" w:eastAsia="仿宋" w:cs="Times New Roman"/>
          <w:bCs/>
          <w:sz w:val="32"/>
          <w:szCs w:val="32"/>
        </w:rPr>
        <w:t>%。其中：</w:t>
      </w:r>
      <w:bookmarkEnd w:id="29"/>
      <w:bookmarkEnd w:id="30"/>
      <w:bookmarkEnd w:id="31"/>
    </w:p>
    <w:p w14:paraId="32AC1F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color w:val="auto"/>
          <w:sz w:val="32"/>
          <w:szCs w:val="32"/>
          <w:highlight w:val="none"/>
        </w:rPr>
      </w:pPr>
      <w:r>
        <w:rPr>
          <w:rStyle w:val="18"/>
          <w:rFonts w:hint="default" w:ascii="Times New Roman" w:hAnsi="Times New Roman" w:eastAsia="仿宋" w:cs="Times New Roman"/>
          <w:bCs/>
          <w:color w:val="auto"/>
          <w:sz w:val="32"/>
          <w:szCs w:val="32"/>
          <w:highlight w:val="none"/>
        </w:rPr>
        <w:t>1.一般公共服务</w:t>
      </w:r>
      <w:r>
        <w:rPr>
          <w:rStyle w:val="18"/>
          <w:rFonts w:hint="default" w:ascii="Times New Roman" w:hAnsi="Times New Roman" w:eastAsia="仿宋" w:cs="Times New Roman"/>
          <w:bCs/>
          <w:color w:val="auto"/>
          <w:sz w:val="32"/>
          <w:szCs w:val="32"/>
          <w:highlight w:val="none"/>
          <w:lang w:val="en-US" w:eastAsia="zh-CN"/>
        </w:rPr>
        <w:t>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党委办公厅（室）及相关机构事务</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val="en-US" w:eastAsia="zh-CN"/>
        </w:rPr>
        <w:t>事业运行</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 xml:space="preserve"> 支出决算为</w:t>
      </w:r>
      <w:r>
        <w:rPr>
          <w:rStyle w:val="18"/>
          <w:rFonts w:hint="default" w:ascii="Times New Roman" w:hAnsi="Times New Roman" w:eastAsia="仿宋" w:cs="Times New Roman"/>
          <w:b w:val="0"/>
          <w:bCs/>
          <w:color w:val="auto"/>
          <w:sz w:val="32"/>
          <w:szCs w:val="32"/>
          <w:highlight w:val="none"/>
          <w:lang w:val="en-US" w:eastAsia="zh-CN"/>
        </w:rPr>
        <w:t>183.06</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p>
    <w:p w14:paraId="6EBEFA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color w:val="auto"/>
          <w:sz w:val="32"/>
          <w:szCs w:val="32"/>
          <w:highlight w:val="none"/>
        </w:rPr>
      </w:pPr>
      <w:r>
        <w:rPr>
          <w:rStyle w:val="18"/>
          <w:rFonts w:hint="default" w:ascii="Times New Roman" w:hAnsi="Times New Roman" w:eastAsia="仿宋" w:cs="Times New Roman"/>
          <w:bCs/>
          <w:color w:val="auto"/>
          <w:sz w:val="32"/>
          <w:szCs w:val="32"/>
          <w:highlight w:val="none"/>
          <w:lang w:val="en-US" w:eastAsia="zh-CN"/>
        </w:rPr>
        <w:t>2</w:t>
      </w:r>
      <w:r>
        <w:rPr>
          <w:rStyle w:val="18"/>
          <w:rFonts w:hint="default" w:ascii="Times New Roman" w:hAnsi="Times New Roman" w:eastAsia="仿宋" w:cs="Times New Roman"/>
          <w:bCs/>
          <w:color w:val="auto"/>
          <w:sz w:val="32"/>
          <w:szCs w:val="32"/>
          <w:highlight w:val="none"/>
        </w:rPr>
        <w:t>.社会保障和就业</w:t>
      </w:r>
      <w:r>
        <w:rPr>
          <w:rStyle w:val="18"/>
          <w:rFonts w:hint="default" w:ascii="Times New Roman" w:hAnsi="Times New Roman" w:eastAsia="仿宋" w:cs="Times New Roman"/>
          <w:bCs/>
          <w:color w:val="auto"/>
          <w:sz w:val="32"/>
          <w:szCs w:val="32"/>
          <w:highlight w:val="none"/>
          <w:lang w:val="en-US" w:eastAsia="zh-CN"/>
        </w:rPr>
        <w:t>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行政事业单位养老支出</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val="en-US" w:eastAsia="zh-CN"/>
        </w:rPr>
        <w:t>机关事业单位基本养老保险缴费支出</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 xml:space="preserve"> 支出决算为</w:t>
      </w:r>
      <w:r>
        <w:rPr>
          <w:rStyle w:val="18"/>
          <w:rFonts w:hint="default" w:ascii="Times New Roman" w:hAnsi="Times New Roman" w:eastAsia="仿宋" w:cs="Times New Roman"/>
          <w:b w:val="0"/>
          <w:bCs/>
          <w:color w:val="auto"/>
          <w:sz w:val="32"/>
          <w:szCs w:val="32"/>
          <w:highlight w:val="none"/>
          <w:lang w:val="en-US" w:eastAsia="zh-CN"/>
        </w:rPr>
        <w:t>20.82</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r>
        <w:rPr>
          <w:rStyle w:val="18"/>
          <w:rFonts w:hint="default" w:ascii="Times New Roman" w:hAnsi="Times New Roman" w:eastAsia="仿宋" w:cs="Times New Roman"/>
          <w:bCs/>
          <w:color w:val="auto"/>
          <w:sz w:val="32"/>
          <w:szCs w:val="32"/>
          <w:highlight w:val="none"/>
        </w:rPr>
        <w:t>社会保障和就业</w:t>
      </w:r>
      <w:r>
        <w:rPr>
          <w:rStyle w:val="18"/>
          <w:rFonts w:hint="default" w:ascii="Times New Roman" w:hAnsi="Times New Roman" w:eastAsia="仿宋" w:cs="Times New Roman"/>
          <w:bCs/>
          <w:color w:val="auto"/>
          <w:sz w:val="32"/>
          <w:szCs w:val="32"/>
          <w:highlight w:val="none"/>
          <w:lang w:val="en-US" w:eastAsia="zh-CN"/>
        </w:rPr>
        <w:t>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行政事业单位养老支出</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val="en-US" w:eastAsia="zh-CN"/>
        </w:rPr>
        <w:t>机关事业单位职业年金缴费支出</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 xml:space="preserve"> 支出决算为</w:t>
      </w:r>
      <w:r>
        <w:rPr>
          <w:rStyle w:val="18"/>
          <w:rFonts w:hint="default" w:ascii="Times New Roman" w:hAnsi="Times New Roman" w:eastAsia="仿宋" w:cs="Times New Roman"/>
          <w:b w:val="0"/>
          <w:bCs/>
          <w:color w:val="auto"/>
          <w:sz w:val="32"/>
          <w:szCs w:val="32"/>
          <w:highlight w:val="none"/>
          <w:lang w:val="en-US" w:eastAsia="zh-CN"/>
        </w:rPr>
        <w:t>10.41</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p>
    <w:p w14:paraId="0B1752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18"/>
          <w:rFonts w:hint="default" w:ascii="Times New Roman" w:hAnsi="Times New Roman" w:eastAsia="仿宋" w:cs="Times New Roman"/>
          <w:b w:val="0"/>
          <w:bCs/>
          <w:color w:val="auto"/>
          <w:sz w:val="32"/>
          <w:szCs w:val="32"/>
          <w:highlight w:val="none"/>
          <w:lang w:eastAsia="zh-CN"/>
        </w:rPr>
      </w:pPr>
      <w:r>
        <w:rPr>
          <w:rStyle w:val="18"/>
          <w:rFonts w:hint="default" w:ascii="Times New Roman" w:hAnsi="Times New Roman" w:eastAsia="仿宋" w:cs="Times New Roman"/>
          <w:bCs/>
          <w:color w:val="auto"/>
          <w:sz w:val="32"/>
          <w:szCs w:val="32"/>
          <w:highlight w:val="none"/>
          <w:lang w:val="en-US" w:eastAsia="zh-CN"/>
        </w:rPr>
        <w:t>3</w:t>
      </w:r>
      <w:r>
        <w:rPr>
          <w:rStyle w:val="18"/>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
          <w:bCs/>
          <w:color w:val="auto"/>
          <w:sz w:val="32"/>
          <w:szCs w:val="32"/>
          <w:highlight w:val="none"/>
        </w:rPr>
        <w:t>卫生健康</w:t>
      </w:r>
      <w:r>
        <w:rPr>
          <w:rFonts w:hint="default" w:ascii="Times New Roman" w:hAnsi="Times New Roman" w:eastAsia="仿宋" w:cs="Times New Roman"/>
          <w:b/>
          <w:bCs/>
          <w:color w:val="auto"/>
          <w:sz w:val="32"/>
          <w:szCs w:val="32"/>
          <w:highlight w:val="none"/>
          <w:lang w:val="en-US" w:eastAsia="zh-CN"/>
        </w:rPr>
        <w:t>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行政事业单位医疗</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val="en-US" w:eastAsia="zh-CN"/>
        </w:rPr>
        <w:t>事业单位医疗</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支出决算为</w:t>
      </w:r>
      <w:r>
        <w:rPr>
          <w:rStyle w:val="18"/>
          <w:rFonts w:hint="default" w:ascii="Times New Roman" w:hAnsi="Times New Roman" w:eastAsia="仿宋" w:cs="Times New Roman"/>
          <w:b w:val="0"/>
          <w:bCs/>
          <w:color w:val="auto"/>
          <w:sz w:val="32"/>
          <w:szCs w:val="32"/>
          <w:highlight w:val="none"/>
          <w:lang w:val="en-US" w:eastAsia="zh-CN"/>
        </w:rPr>
        <w:t>9.83</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r>
        <w:rPr>
          <w:rStyle w:val="18"/>
          <w:rFonts w:hint="default" w:ascii="Times New Roman" w:hAnsi="Times New Roman" w:eastAsia="仿宋" w:cs="Times New Roman"/>
          <w:b w:val="0"/>
          <w:bCs/>
          <w:color w:val="auto"/>
          <w:sz w:val="32"/>
          <w:szCs w:val="32"/>
          <w:highlight w:val="none"/>
          <w:lang w:eastAsia="zh-CN"/>
        </w:rPr>
        <w:t>。</w:t>
      </w:r>
      <w:r>
        <w:rPr>
          <w:rFonts w:hint="default" w:ascii="Times New Roman" w:hAnsi="Times New Roman" w:eastAsia="仿宋" w:cs="Times New Roman"/>
          <w:b/>
          <w:bCs/>
          <w:color w:val="auto"/>
          <w:sz w:val="32"/>
          <w:szCs w:val="32"/>
          <w:highlight w:val="none"/>
        </w:rPr>
        <w:t>卫生健康</w:t>
      </w:r>
      <w:r>
        <w:rPr>
          <w:rFonts w:hint="default" w:ascii="Times New Roman" w:hAnsi="Times New Roman" w:eastAsia="仿宋" w:cs="Times New Roman"/>
          <w:b/>
          <w:bCs/>
          <w:color w:val="auto"/>
          <w:sz w:val="32"/>
          <w:szCs w:val="32"/>
          <w:highlight w:val="none"/>
          <w:lang w:val="en-US" w:eastAsia="zh-CN"/>
        </w:rPr>
        <w:t>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行政事业单位医疗</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eastAsia="zh-CN"/>
        </w:rPr>
        <w:t>其他行政</w:t>
      </w:r>
      <w:r>
        <w:rPr>
          <w:rStyle w:val="18"/>
          <w:rFonts w:hint="default" w:ascii="Times New Roman" w:hAnsi="Times New Roman" w:eastAsia="仿宋" w:cs="Times New Roman"/>
          <w:bCs/>
          <w:color w:val="auto"/>
          <w:sz w:val="32"/>
          <w:szCs w:val="32"/>
          <w:highlight w:val="none"/>
          <w:lang w:val="en-US" w:eastAsia="zh-CN"/>
        </w:rPr>
        <w:t>事业单位医疗支出</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支出决算为</w:t>
      </w:r>
      <w:r>
        <w:rPr>
          <w:rStyle w:val="18"/>
          <w:rFonts w:hint="default" w:ascii="Times New Roman" w:hAnsi="Times New Roman" w:eastAsia="仿宋" w:cs="Times New Roman"/>
          <w:b w:val="0"/>
          <w:bCs/>
          <w:color w:val="auto"/>
          <w:sz w:val="32"/>
          <w:szCs w:val="32"/>
          <w:highlight w:val="none"/>
          <w:lang w:val="en-US" w:eastAsia="zh-CN"/>
        </w:rPr>
        <w:t>1.76</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r>
        <w:rPr>
          <w:rStyle w:val="18"/>
          <w:rFonts w:hint="default" w:ascii="Times New Roman" w:hAnsi="Times New Roman" w:eastAsia="仿宋" w:cs="Times New Roman"/>
          <w:b w:val="0"/>
          <w:bCs/>
          <w:color w:val="auto"/>
          <w:sz w:val="32"/>
          <w:szCs w:val="32"/>
          <w:highlight w:val="none"/>
          <w:lang w:eastAsia="zh-CN"/>
        </w:rPr>
        <w:t>。</w:t>
      </w:r>
    </w:p>
    <w:p w14:paraId="1A88E4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color w:val="auto"/>
          <w:sz w:val="32"/>
          <w:szCs w:val="32"/>
          <w:highlight w:val="none"/>
        </w:rPr>
      </w:pPr>
      <w:r>
        <w:rPr>
          <w:rStyle w:val="18"/>
          <w:rFonts w:hint="default" w:ascii="Times New Roman" w:hAnsi="Times New Roman" w:eastAsia="仿宋" w:cs="Times New Roman"/>
          <w:bCs/>
          <w:color w:val="auto"/>
          <w:sz w:val="32"/>
          <w:szCs w:val="32"/>
          <w:highlight w:val="none"/>
          <w:lang w:val="en-US" w:eastAsia="zh-CN"/>
        </w:rPr>
        <w:t>4</w:t>
      </w:r>
      <w:r>
        <w:rPr>
          <w:rStyle w:val="18"/>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
          <w:bCs/>
          <w:color w:val="auto"/>
          <w:sz w:val="32"/>
          <w:szCs w:val="32"/>
          <w:highlight w:val="none"/>
          <w:lang w:val="en-US" w:eastAsia="zh-CN"/>
        </w:rPr>
        <w:t>住房保障支出</w:t>
      </w:r>
      <w:r>
        <w:rPr>
          <w:rStyle w:val="18"/>
          <w:rFonts w:hint="default" w:ascii="Times New Roman" w:hAnsi="Times New Roman" w:eastAsia="仿宋" w:cs="Times New Roman"/>
          <w:bCs/>
          <w:color w:val="auto"/>
          <w:sz w:val="32"/>
          <w:szCs w:val="32"/>
          <w:highlight w:val="none"/>
        </w:rPr>
        <w:t>（类）</w:t>
      </w:r>
      <w:r>
        <w:rPr>
          <w:rStyle w:val="18"/>
          <w:rFonts w:hint="default" w:ascii="Times New Roman" w:hAnsi="Times New Roman" w:eastAsia="仿宋" w:cs="Times New Roman"/>
          <w:bCs/>
          <w:color w:val="auto"/>
          <w:sz w:val="32"/>
          <w:szCs w:val="32"/>
          <w:highlight w:val="none"/>
          <w:lang w:val="en-US" w:eastAsia="zh-CN"/>
        </w:rPr>
        <w:t>住房改革支出</w:t>
      </w:r>
      <w:r>
        <w:rPr>
          <w:rStyle w:val="18"/>
          <w:rFonts w:hint="default" w:ascii="Times New Roman" w:hAnsi="Times New Roman" w:eastAsia="仿宋" w:cs="Times New Roman"/>
          <w:bCs/>
          <w:color w:val="auto"/>
          <w:sz w:val="32"/>
          <w:szCs w:val="32"/>
          <w:highlight w:val="none"/>
        </w:rPr>
        <w:t>（款）</w:t>
      </w:r>
      <w:r>
        <w:rPr>
          <w:rStyle w:val="18"/>
          <w:rFonts w:hint="default" w:ascii="Times New Roman" w:hAnsi="Times New Roman" w:eastAsia="仿宋" w:cs="Times New Roman"/>
          <w:bCs/>
          <w:color w:val="auto"/>
          <w:sz w:val="32"/>
          <w:szCs w:val="32"/>
          <w:highlight w:val="none"/>
          <w:lang w:val="en-US" w:eastAsia="zh-CN"/>
        </w:rPr>
        <w:t>住房公积金</w:t>
      </w:r>
      <w:r>
        <w:rPr>
          <w:rStyle w:val="18"/>
          <w:rFonts w:hint="default" w:ascii="Times New Roman" w:hAnsi="Times New Roman" w:eastAsia="仿宋" w:cs="Times New Roman"/>
          <w:bCs/>
          <w:color w:val="auto"/>
          <w:sz w:val="32"/>
          <w:szCs w:val="32"/>
          <w:highlight w:val="none"/>
        </w:rPr>
        <w:t>（项）:</w:t>
      </w:r>
      <w:r>
        <w:rPr>
          <w:rStyle w:val="18"/>
          <w:rFonts w:hint="default" w:ascii="Times New Roman" w:hAnsi="Times New Roman" w:eastAsia="仿宋" w:cs="Times New Roman"/>
          <w:b w:val="0"/>
          <w:bCs/>
          <w:color w:val="auto"/>
          <w:sz w:val="32"/>
          <w:szCs w:val="32"/>
          <w:highlight w:val="none"/>
        </w:rPr>
        <w:t>支出决算为</w:t>
      </w:r>
      <w:r>
        <w:rPr>
          <w:rStyle w:val="18"/>
          <w:rFonts w:hint="default" w:ascii="Times New Roman" w:hAnsi="Times New Roman" w:eastAsia="仿宋" w:cs="Times New Roman"/>
          <w:b w:val="0"/>
          <w:bCs/>
          <w:color w:val="auto"/>
          <w:sz w:val="32"/>
          <w:szCs w:val="32"/>
          <w:highlight w:val="none"/>
          <w:lang w:val="en-US" w:eastAsia="zh-CN"/>
        </w:rPr>
        <w:t>17.61</w:t>
      </w:r>
      <w:r>
        <w:rPr>
          <w:rStyle w:val="18"/>
          <w:rFonts w:hint="default" w:ascii="Times New Roman" w:hAnsi="Times New Roman" w:eastAsia="仿宋" w:cs="Times New Roman"/>
          <w:b w:val="0"/>
          <w:bCs/>
          <w:color w:val="auto"/>
          <w:sz w:val="32"/>
          <w:szCs w:val="32"/>
          <w:highlight w:val="none"/>
        </w:rPr>
        <w:t>万元，完成预算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p>
    <w:p w14:paraId="6DF61ACC">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30"/>
          <w:rFonts w:hint="default" w:ascii="Times New Roman" w:hAnsi="Times New Roman" w:cs="Times New Roman"/>
        </w:rPr>
      </w:pPr>
      <w:bookmarkStart w:id="32" w:name="_Toc15377214"/>
      <w:bookmarkStart w:id="33"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般公共预算财政拨款基本支出决算情况说明</w:t>
      </w:r>
      <w:bookmarkEnd w:id="32"/>
      <w:bookmarkEnd w:id="33"/>
      <w:r>
        <w:rPr>
          <w:rStyle w:val="30"/>
          <w:rFonts w:hint="default" w:ascii="Times New Roman" w:hAnsi="Times New Roman" w:eastAsia="黑体" w:cs="Times New Roman"/>
          <w:b w:val="0"/>
        </w:rPr>
        <w:tab/>
      </w:r>
    </w:p>
    <w:p w14:paraId="317E8B3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年度一般公共预算财政拨款基本支出</w:t>
      </w:r>
      <w:r>
        <w:rPr>
          <w:rFonts w:hint="default" w:ascii="Times New Roman" w:hAnsi="Times New Roman" w:eastAsia="仿宋" w:cs="Times New Roman"/>
          <w:b/>
          <w:sz w:val="32"/>
          <w:szCs w:val="32"/>
          <w:lang w:val="en-US" w:eastAsia="zh-CN"/>
        </w:rPr>
        <w:t>243.48</w:t>
      </w:r>
      <w:r>
        <w:rPr>
          <w:rFonts w:hint="default" w:ascii="Times New Roman" w:hAnsi="Times New Roman" w:eastAsia="仿宋" w:cs="Times New Roman"/>
          <w:sz w:val="32"/>
          <w:szCs w:val="32"/>
        </w:rPr>
        <w:t>万元，其中：</w:t>
      </w:r>
    </w:p>
    <w:p w14:paraId="00792B73">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人员经费</w:t>
      </w:r>
      <w:r>
        <w:rPr>
          <w:rFonts w:hint="default" w:ascii="Times New Roman" w:hAnsi="Times New Roman" w:eastAsia="仿宋" w:cs="Times New Roman"/>
          <w:b/>
          <w:sz w:val="32"/>
          <w:szCs w:val="32"/>
          <w:lang w:val="en-US" w:eastAsia="zh-CN"/>
        </w:rPr>
        <w:t>221.88</w:t>
      </w:r>
      <w:r>
        <w:rPr>
          <w:rFonts w:hint="default" w:ascii="Times New Roman" w:hAnsi="Times New Roman" w:eastAsia="仿宋" w:cs="Times New Roman"/>
          <w:sz w:val="32"/>
          <w:szCs w:val="32"/>
        </w:rPr>
        <w:t>万元，主要包括：基本工资、津贴补贴</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奖金、伙食补助费、绩效工资、机关事业单位基本养老保险费、职业年金缴费、</w:t>
      </w:r>
      <w:r>
        <w:rPr>
          <w:rFonts w:hint="default" w:ascii="Times New Roman" w:hAnsi="Times New Roman" w:eastAsia="仿宋" w:cs="Times New Roman"/>
          <w:color w:val="auto"/>
          <w:sz w:val="32"/>
          <w:szCs w:val="32"/>
          <w:highlight w:val="none"/>
          <w:lang w:val="en-US" w:eastAsia="zh-CN"/>
        </w:rPr>
        <w:t>职工基本医疗保险</w:t>
      </w:r>
      <w:r>
        <w:rPr>
          <w:rFonts w:hint="default" w:ascii="Times New Roman" w:hAnsi="Times New Roman" w:eastAsia="仿宋" w:cs="Times New Roman"/>
          <w:sz w:val="32"/>
          <w:szCs w:val="32"/>
        </w:rPr>
        <w:t>缴</w:t>
      </w:r>
      <w:r>
        <w:rPr>
          <w:rFonts w:hint="default" w:ascii="Times New Roman" w:hAnsi="Times New Roman" w:eastAsia="仿宋" w:cs="Times New Roman"/>
          <w:color w:val="auto"/>
          <w:sz w:val="32"/>
          <w:szCs w:val="32"/>
          <w:highlight w:val="none"/>
          <w:lang w:val="en-US" w:eastAsia="zh-CN"/>
        </w:rPr>
        <w:t>费、</w:t>
      </w:r>
      <w:r>
        <w:rPr>
          <w:rFonts w:hint="default" w:ascii="Times New Roman" w:hAnsi="Times New Roman" w:eastAsia="仿宋" w:cs="Times New Roman"/>
          <w:sz w:val="32"/>
          <w:szCs w:val="32"/>
        </w:rPr>
        <w:t>其他社会保障缴费、</w:t>
      </w:r>
      <w:r>
        <w:rPr>
          <w:rFonts w:hint="default" w:ascii="Times New Roman" w:hAnsi="Times New Roman" w:eastAsia="仿宋" w:cs="Times New Roman"/>
          <w:sz w:val="32"/>
          <w:szCs w:val="32"/>
          <w:lang w:eastAsia="zh-CN"/>
        </w:rPr>
        <w:t>住房公积金、</w:t>
      </w:r>
      <w:r>
        <w:rPr>
          <w:rFonts w:hint="default" w:ascii="Times New Roman" w:hAnsi="Times New Roman" w:eastAsia="仿宋" w:cs="Times New Roman"/>
          <w:sz w:val="32"/>
          <w:szCs w:val="32"/>
        </w:rPr>
        <w:t>医疗费</w:t>
      </w:r>
      <w:r>
        <w:rPr>
          <w:rFonts w:hint="default" w:ascii="Times New Roman" w:hAnsi="Times New Roman" w:eastAsia="仿宋" w:cs="Times New Roman"/>
          <w:sz w:val="32"/>
          <w:szCs w:val="32"/>
          <w:lang w:eastAsia="zh-CN"/>
        </w:rPr>
        <w:t>、生活补助、奖励金</w:t>
      </w:r>
      <w:r>
        <w:rPr>
          <w:rFonts w:hint="default" w:ascii="Times New Roman" w:hAnsi="Times New Roman" w:eastAsia="仿宋" w:cs="Times New Roman"/>
          <w:sz w:val="32"/>
          <w:szCs w:val="32"/>
        </w:rPr>
        <w:t>等。</w:t>
      </w:r>
      <w:r>
        <w:rPr>
          <w:rFonts w:hint="default" w:ascii="Times New Roman" w:hAnsi="Times New Roman" w:eastAsia="仿宋" w:cs="Times New Roman"/>
          <w:sz w:val="32"/>
          <w:szCs w:val="32"/>
        </w:rPr>
        <w:br w:type="textWrapping"/>
      </w:r>
      <w:r>
        <w:rPr>
          <w:rFonts w:hint="default" w:ascii="Times New Roman" w:hAnsi="Times New Roman" w:eastAsia="仿宋" w:cs="Times New Roman"/>
          <w:sz w:val="32"/>
          <w:szCs w:val="32"/>
        </w:rPr>
        <w:t>　　公用经费</w:t>
      </w:r>
      <w:r>
        <w:rPr>
          <w:rFonts w:hint="default" w:ascii="Times New Roman" w:hAnsi="Times New Roman" w:eastAsia="仿宋" w:cs="Times New Roman"/>
          <w:b/>
          <w:sz w:val="32"/>
          <w:szCs w:val="32"/>
          <w:lang w:val="en-US" w:eastAsia="zh-CN"/>
        </w:rPr>
        <w:t>21.6</w:t>
      </w:r>
      <w:r>
        <w:rPr>
          <w:rFonts w:hint="default" w:ascii="Times New Roman" w:hAnsi="Times New Roman" w:eastAsia="仿宋" w:cs="Times New Roman"/>
          <w:sz w:val="32"/>
          <w:szCs w:val="32"/>
        </w:rPr>
        <w:t>万元，主要包括：办公费、电费、邮电费、差旅费、</w:t>
      </w:r>
      <w:r>
        <w:rPr>
          <w:rFonts w:hint="default" w:ascii="Times New Roman" w:hAnsi="Times New Roman" w:eastAsia="仿宋" w:cs="Times New Roman"/>
          <w:sz w:val="32"/>
          <w:szCs w:val="32"/>
          <w:lang w:eastAsia="zh-CN"/>
        </w:rPr>
        <w:t>维修（护）费、</w:t>
      </w:r>
      <w:r>
        <w:rPr>
          <w:rFonts w:hint="default" w:ascii="Times New Roman" w:hAnsi="Times New Roman" w:eastAsia="仿宋" w:cs="Times New Roman"/>
          <w:sz w:val="32"/>
          <w:szCs w:val="32"/>
        </w:rPr>
        <w:t>租赁费、培训费、</w:t>
      </w:r>
      <w:r>
        <w:rPr>
          <w:rFonts w:hint="default" w:ascii="Times New Roman" w:hAnsi="Times New Roman" w:eastAsia="仿宋" w:cs="Times New Roman"/>
          <w:sz w:val="32"/>
          <w:szCs w:val="32"/>
          <w:lang w:eastAsia="zh-CN"/>
        </w:rPr>
        <w:t>劳务费、委托业务费、福利费、其他商品和服务支出</w:t>
      </w:r>
      <w:r>
        <w:rPr>
          <w:rFonts w:hint="default" w:ascii="Times New Roman" w:hAnsi="Times New Roman" w:eastAsia="仿宋" w:cs="Times New Roman"/>
          <w:sz w:val="32"/>
          <w:szCs w:val="32"/>
        </w:rPr>
        <w:t>等。</w:t>
      </w:r>
    </w:p>
    <w:p w14:paraId="36B5A37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hint="default" w:ascii="Times New Roman" w:hAnsi="Times New Roman" w:eastAsia="黑体" w:cs="Times New Roman"/>
          <w:b w:val="0"/>
        </w:rPr>
      </w:pPr>
      <w:bookmarkStart w:id="34" w:name="_Toc15396609"/>
      <w:bookmarkStart w:id="35" w:name="_Toc15377215"/>
      <w:r>
        <w:rPr>
          <w:rFonts w:hint="default" w:ascii="Times New Roman" w:hAnsi="Times New Roman" w:eastAsia="黑体" w:cs="Times New Roman"/>
          <w:sz w:val="32"/>
          <w:szCs w:val="32"/>
        </w:rPr>
        <w:t>七、</w:t>
      </w:r>
      <w:r>
        <w:rPr>
          <w:rStyle w:val="30"/>
          <w:rFonts w:hint="default" w:ascii="Times New Roman" w:hAnsi="Times New Roman" w:eastAsia="黑体" w:cs="Times New Roman"/>
          <w:b w:val="0"/>
        </w:rPr>
        <w:t>财政拨款</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三公”经费支出决算情况说明</w:t>
      </w:r>
      <w:bookmarkEnd w:id="34"/>
      <w:bookmarkEnd w:id="35"/>
    </w:p>
    <w:p w14:paraId="61C5436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2"/>
        <w:rPr>
          <w:rFonts w:hint="default" w:ascii="Times New Roman" w:hAnsi="Times New Roman" w:eastAsia="仿宋" w:cs="Times New Roman"/>
          <w:b/>
          <w:sz w:val="32"/>
          <w:szCs w:val="32"/>
        </w:rPr>
      </w:pPr>
      <w:bookmarkStart w:id="36" w:name="_Toc15377216"/>
      <w:r>
        <w:rPr>
          <w:rFonts w:hint="default" w:ascii="Times New Roman" w:hAnsi="Times New Roman" w:eastAsia="仿宋" w:cs="Times New Roman"/>
          <w:b/>
          <w:sz w:val="32"/>
          <w:szCs w:val="32"/>
        </w:rPr>
        <w:t>（一）“三公”经费财政拨款支出决算总体情况说明</w:t>
      </w:r>
      <w:bookmarkEnd w:id="36"/>
    </w:p>
    <w:p w14:paraId="446CD2BD">
      <w:pPr>
        <w:keepNext w:val="0"/>
        <w:keepLines w:val="0"/>
        <w:widowControl/>
        <w:suppressLineNumbers w:val="0"/>
        <w:ind w:firstLine="640" w:firstLineChars="200"/>
        <w:jc w:val="left"/>
        <w:rPr>
          <w:rFonts w:hint="default" w:ascii="Times New Roman" w:hAnsi="Times New Roman" w:eastAsia="仿宋" w:cs="Times New Roman"/>
          <w:b/>
          <w:sz w:val="32"/>
          <w:szCs w:val="32"/>
          <w:lang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年度“三公”经费财政拨款支出决算为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万元，完成预算</w:t>
      </w:r>
      <w:r>
        <w:rPr>
          <w:rFonts w:hint="default" w:ascii="Times New Roman" w:hAnsi="Times New Roman" w:eastAsia="仿宋" w:cs="Times New Roman"/>
          <w:b/>
          <w:sz w:val="32"/>
          <w:szCs w:val="32"/>
          <w:lang w:val="en-US" w:eastAsia="zh-CN"/>
        </w:rPr>
        <w:t>0</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p>
    <w:p w14:paraId="1672E5B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2"/>
        <w:rPr>
          <w:rFonts w:hint="default" w:ascii="Times New Roman" w:hAnsi="Times New Roman" w:eastAsia="仿宋" w:cs="Times New Roman"/>
          <w:b/>
          <w:sz w:val="32"/>
          <w:szCs w:val="32"/>
        </w:rPr>
      </w:pPr>
      <w:bookmarkStart w:id="37" w:name="_Toc15377217"/>
      <w:r>
        <w:rPr>
          <w:rFonts w:hint="default" w:ascii="Times New Roman" w:hAnsi="Times New Roman" w:eastAsia="仿宋" w:cs="Times New Roman"/>
          <w:b/>
          <w:sz w:val="32"/>
          <w:szCs w:val="32"/>
        </w:rPr>
        <w:t>（二）“三公”经费财政拨款支出决算具体情况说明</w:t>
      </w:r>
      <w:bookmarkEnd w:id="37"/>
    </w:p>
    <w:p w14:paraId="30FBA84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年度“三公”经费财政拨款支出决算中，因公出国（境）费支出决算</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%；公务用车购置及运行维护费支出决算</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rPr>
        <w:t>0</w:t>
      </w:r>
      <w:r>
        <w:rPr>
          <w:rFonts w:hint="default" w:ascii="Times New Roman" w:hAnsi="Times New Roman" w:eastAsia="仿宋" w:cs="Times New Roman"/>
          <w:sz w:val="32"/>
          <w:szCs w:val="32"/>
        </w:rPr>
        <w:t>%；公务接待费支出决算</w:t>
      </w:r>
      <w:r>
        <w:rPr>
          <w:rFonts w:hint="default" w:ascii="Times New Roman" w:hAnsi="Times New Roman" w:eastAsia="仿宋" w:cs="Times New Roman"/>
          <w:b/>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b/>
          <w:sz w:val="32"/>
          <w:szCs w:val="32"/>
          <w:lang w:val="en-US" w:eastAsia="zh-CN"/>
        </w:rPr>
        <w:t>0</w:t>
      </w:r>
      <w:r>
        <w:rPr>
          <w:rFonts w:hint="default" w:ascii="Times New Roman" w:hAnsi="Times New Roman" w:eastAsia="仿宋" w:cs="Times New Roman"/>
          <w:sz w:val="32"/>
          <w:szCs w:val="32"/>
        </w:rPr>
        <w:t>%。</w:t>
      </w:r>
      <w:bookmarkStart w:id="38" w:name="_Toc15396610"/>
      <w:bookmarkStart w:id="39" w:name="_Toc15377218"/>
    </w:p>
    <w:p w14:paraId="152ADBAC">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具体情况如下：</w:t>
      </w:r>
    </w:p>
    <w:p w14:paraId="08D92F60">
      <w:pPr>
        <w:spacing w:line="600" w:lineRule="exact"/>
        <w:ind w:firstLine="643" w:firstLineChars="200"/>
        <w:rPr>
          <w:rFonts w:hint="default" w:ascii="Times New Roman" w:hAnsi="Times New Roman" w:eastAsia="仿宋" w:cs="Times New Roman"/>
          <w:b/>
          <w:sz w:val="32"/>
          <w:szCs w:val="32"/>
          <w:lang w:eastAsia="zh-CN"/>
        </w:rPr>
      </w:pPr>
      <w:r>
        <w:rPr>
          <w:rFonts w:hint="default" w:ascii="Times New Roman" w:hAnsi="Times New Roman" w:eastAsia="仿宋_GB2312" w:cs="Times New Roman"/>
          <w:b/>
          <w:sz w:val="32"/>
          <w:szCs w:val="32"/>
        </w:rPr>
        <w:t>因公出国（境）经费支出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w:t>
      </w:r>
      <w:r>
        <w:rPr>
          <w:rStyle w:val="18"/>
          <w:rFonts w:hint="default" w:ascii="Times New Roman" w:hAnsi="Times New Roman" w:eastAsia="仿宋" w:cs="Times New Roman"/>
          <w:b w:val="0"/>
          <w:bCs/>
          <w:sz w:val="32"/>
          <w:szCs w:val="32"/>
        </w:rPr>
        <w:t>完成预算</w:t>
      </w:r>
      <w:r>
        <w:rPr>
          <w:rStyle w:val="18"/>
          <w:rFonts w:hint="default" w:ascii="Times New Roman" w:hAnsi="Times New Roman" w:eastAsia="仿宋" w:cs="Times New Roman"/>
          <w:bCs/>
          <w:sz w:val="32"/>
          <w:szCs w:val="32"/>
        </w:rPr>
        <w:t>0</w:t>
      </w:r>
      <w:r>
        <w:rPr>
          <w:rStyle w:val="18"/>
          <w:rFonts w:hint="default" w:ascii="Times New Roman" w:hAnsi="Times New Roman" w:eastAsia="仿宋" w:cs="Times New Roman"/>
          <w:b w:val="0"/>
          <w:bCs/>
          <w:sz w:val="32"/>
          <w:szCs w:val="32"/>
        </w:rPr>
        <w:t>%。</w:t>
      </w:r>
      <w:r>
        <w:rPr>
          <w:rFonts w:hint="default" w:ascii="Times New Roman" w:hAnsi="Times New Roman" w:eastAsia="仿宋_GB2312" w:cs="Times New Roman"/>
          <w:b/>
          <w:sz w:val="32"/>
          <w:szCs w:val="32"/>
        </w:rPr>
        <w:t>公务用车购置及运行维护费支出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w:t>
      </w:r>
      <w:r>
        <w:rPr>
          <w:rStyle w:val="18"/>
          <w:rFonts w:hint="default" w:ascii="Times New Roman" w:hAnsi="Times New Roman" w:eastAsia="仿宋" w:cs="Times New Roman"/>
          <w:b w:val="0"/>
          <w:bCs/>
          <w:sz w:val="32"/>
          <w:szCs w:val="32"/>
        </w:rPr>
        <w:t>完成预算</w:t>
      </w:r>
      <w:r>
        <w:rPr>
          <w:rStyle w:val="18"/>
          <w:rFonts w:hint="default" w:ascii="Times New Roman" w:hAnsi="Times New Roman" w:eastAsia="仿宋" w:cs="Times New Roman"/>
          <w:bCs/>
          <w:sz w:val="32"/>
          <w:szCs w:val="32"/>
        </w:rPr>
        <w:t>0</w:t>
      </w:r>
      <w:r>
        <w:rPr>
          <w:rStyle w:val="18"/>
          <w:rFonts w:hint="default" w:ascii="Times New Roman" w:hAnsi="Times New Roman" w:eastAsia="仿宋" w:cs="Times New Roman"/>
          <w:b w:val="0"/>
          <w:bCs/>
          <w:sz w:val="32"/>
          <w:szCs w:val="32"/>
        </w:rPr>
        <w:t>%。</w:t>
      </w:r>
      <w:r>
        <w:rPr>
          <w:rFonts w:hint="default" w:ascii="Times New Roman" w:hAnsi="Times New Roman" w:eastAsia="仿宋_GB2312" w:cs="Times New Roman"/>
          <w:b/>
          <w:sz w:val="32"/>
          <w:szCs w:val="32"/>
        </w:rPr>
        <w:t>公务接待费支出</w:t>
      </w:r>
      <w:r>
        <w:rPr>
          <w:rFonts w:hint="default" w:ascii="Times New Roman" w:hAnsi="Times New Roman" w:eastAsia="仿宋" w:cs="Times New Roman"/>
          <w:b/>
          <w:sz w:val="32"/>
          <w:szCs w:val="32"/>
          <w:lang w:val="en-US" w:eastAsia="zh-CN"/>
        </w:rPr>
        <w:t>0</w:t>
      </w:r>
      <w:r>
        <w:rPr>
          <w:rFonts w:hint="default" w:ascii="Times New Roman" w:hAnsi="Times New Roman" w:eastAsia="仿宋_GB2312" w:cs="Times New Roman"/>
          <w:sz w:val="32"/>
          <w:szCs w:val="32"/>
        </w:rPr>
        <w:t>万元，</w:t>
      </w:r>
      <w:r>
        <w:rPr>
          <w:rStyle w:val="18"/>
          <w:rFonts w:hint="default" w:ascii="Times New Roman" w:hAnsi="Times New Roman" w:eastAsia="仿宋" w:cs="Times New Roman"/>
          <w:b w:val="0"/>
          <w:bCs/>
          <w:sz w:val="32"/>
          <w:szCs w:val="32"/>
        </w:rPr>
        <w:t>完成预算</w:t>
      </w:r>
      <w:r>
        <w:rPr>
          <w:rStyle w:val="18"/>
          <w:rFonts w:hint="default" w:ascii="Times New Roman" w:hAnsi="Times New Roman" w:eastAsia="仿宋" w:cs="Times New Roman"/>
          <w:b w:val="0"/>
          <w:bCs/>
          <w:sz w:val="32"/>
          <w:szCs w:val="32"/>
          <w:lang w:val="en-US" w:eastAsia="zh-CN"/>
        </w:rPr>
        <w:t>0</w:t>
      </w:r>
      <w:r>
        <w:rPr>
          <w:rStyle w:val="18"/>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公务接待费支出决算比202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0.06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下降</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%。主要原因</w:t>
      </w:r>
      <w:r>
        <w:rPr>
          <w:rFonts w:hint="default" w:ascii="Times New Roman" w:hAnsi="Times New Roman" w:eastAsia="仿宋" w:cs="Times New Roman"/>
          <w:sz w:val="32"/>
          <w:szCs w:val="32"/>
          <w:lang w:val="en-US" w:eastAsia="zh-CN"/>
        </w:rPr>
        <w:t>2025年无公务接待费</w:t>
      </w:r>
      <w:r>
        <w:rPr>
          <w:rFonts w:hint="default" w:ascii="Times New Roman" w:hAnsi="Times New Roman" w:eastAsia="仿宋" w:cs="Times New Roman"/>
          <w:sz w:val="32"/>
          <w:szCs w:val="32"/>
          <w:lang w:eastAsia="zh-CN"/>
        </w:rPr>
        <w:t>。</w:t>
      </w:r>
    </w:p>
    <w:p w14:paraId="1FC0715B">
      <w:pPr>
        <w:spacing w:line="600" w:lineRule="exact"/>
        <w:ind w:firstLine="643" w:firstLineChars="200"/>
        <w:rPr>
          <w:rFonts w:hint="default" w:ascii="Times New Roman" w:hAnsi="Times New Roman" w:eastAsia="黑体" w:cs="Times New Roman"/>
          <w:sz w:val="32"/>
          <w:szCs w:val="32"/>
        </w:rPr>
      </w:pPr>
      <w:r>
        <w:rPr>
          <w:rFonts w:hint="default" w:ascii="Times New Roman" w:hAnsi="Times New Roman" w:eastAsia="仿宋" w:cs="Times New Roman"/>
          <w:b/>
          <w:sz w:val="32"/>
          <w:szCs w:val="32"/>
          <w:lang w:eastAsia="zh-CN"/>
        </w:rPr>
        <w:t>本单位无</w:t>
      </w:r>
      <w:r>
        <w:rPr>
          <w:rFonts w:hint="default" w:ascii="Times New Roman" w:hAnsi="Times New Roman" w:eastAsia="仿宋" w:cs="Times New Roman"/>
          <w:b/>
          <w:sz w:val="32"/>
          <w:szCs w:val="32"/>
        </w:rPr>
        <w:t>外事接待支出</w:t>
      </w:r>
      <w:r>
        <w:rPr>
          <w:rFonts w:hint="default" w:ascii="Times New Roman" w:hAnsi="Times New Roman" w:eastAsia="仿宋_GB2312" w:cs="Times New Roman"/>
          <w:sz w:val="32"/>
          <w:szCs w:val="32"/>
        </w:rPr>
        <w:t>。</w:t>
      </w:r>
    </w:p>
    <w:p w14:paraId="6B07FC59">
      <w:pPr>
        <w:spacing w:line="600" w:lineRule="exact"/>
        <w:ind w:firstLine="640"/>
        <w:outlineLvl w:val="1"/>
        <w:rPr>
          <w:rStyle w:val="30"/>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0"/>
          <w:rFonts w:hint="default" w:ascii="Times New Roman" w:hAnsi="Times New Roman" w:eastAsia="黑体" w:cs="Times New Roman"/>
          <w:b w:val="0"/>
        </w:rPr>
        <w:t>政府性基金预算支出决算情况说明</w:t>
      </w:r>
      <w:bookmarkEnd w:id="38"/>
      <w:bookmarkEnd w:id="39"/>
    </w:p>
    <w:p w14:paraId="4EBC978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lang w:eastAsia="zh-CN"/>
        </w:rPr>
        <w:t>本单位无</w:t>
      </w:r>
      <w:r>
        <w:rPr>
          <w:rFonts w:hint="default" w:ascii="Times New Roman" w:hAnsi="Times New Roman" w:eastAsia="仿宋_GB2312" w:cs="Times New Roman"/>
          <w:sz w:val="32"/>
          <w:szCs w:val="32"/>
        </w:rPr>
        <w:t>政府性基金预算</w:t>
      </w:r>
      <w:r>
        <w:rPr>
          <w:rFonts w:hint="default" w:ascii="Times New Roman" w:hAnsi="Times New Roman" w:eastAsia="仿宋_GB2312" w:cs="Times New Roman"/>
          <w:sz w:val="32"/>
          <w:szCs w:val="32"/>
          <w:lang w:eastAsia="zh-CN"/>
        </w:rPr>
        <w:t>财政</w:t>
      </w:r>
      <w:r>
        <w:rPr>
          <w:rFonts w:hint="default" w:ascii="Times New Roman" w:hAnsi="Times New Roman" w:eastAsia="仿宋_GB2312" w:cs="Times New Roman"/>
          <w:sz w:val="32"/>
          <w:szCs w:val="32"/>
        </w:rPr>
        <w:t>拨款支出。</w:t>
      </w:r>
    </w:p>
    <w:p w14:paraId="171E3D25">
      <w:pPr>
        <w:numPr>
          <w:ilvl w:val="0"/>
          <w:numId w:val="1"/>
        </w:numPr>
        <w:spacing w:line="600" w:lineRule="exact"/>
        <w:ind w:firstLine="640"/>
        <w:outlineLvl w:val="1"/>
        <w:rPr>
          <w:rStyle w:val="30"/>
          <w:rFonts w:hint="default" w:ascii="Times New Roman" w:hAnsi="Times New Roman" w:eastAsia="黑体" w:cs="Times New Roman"/>
          <w:b w:val="0"/>
        </w:rPr>
      </w:pPr>
      <w:bookmarkStart w:id="40" w:name="_Toc15377219"/>
      <w:bookmarkStart w:id="41" w:name="_Toc15396611"/>
      <w:r>
        <w:rPr>
          <w:rStyle w:val="30"/>
          <w:rFonts w:hint="default" w:ascii="Times New Roman" w:hAnsi="Times New Roman" w:eastAsia="黑体" w:cs="Times New Roman"/>
          <w:b w:val="0"/>
        </w:rPr>
        <w:t>国有资本经营预算支出决算情况说明</w:t>
      </w:r>
      <w:bookmarkEnd w:id="40"/>
      <w:bookmarkEnd w:id="41"/>
    </w:p>
    <w:p w14:paraId="66E0E22D">
      <w:pPr>
        <w:spacing w:line="600" w:lineRule="exact"/>
        <w:ind w:firstLine="640"/>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lang w:eastAsia="zh-CN"/>
        </w:rPr>
        <w:t>本单位无</w:t>
      </w:r>
      <w:r>
        <w:rPr>
          <w:rFonts w:hint="default" w:ascii="Times New Roman" w:hAnsi="Times New Roman" w:eastAsia="仿宋_GB2312" w:cs="Times New Roman"/>
          <w:sz w:val="32"/>
          <w:szCs w:val="32"/>
        </w:rPr>
        <w:t>国有资本经营预算财政拨款支出。</w:t>
      </w:r>
    </w:p>
    <w:p w14:paraId="2141AF88">
      <w:pPr>
        <w:numPr>
          <w:ilvl w:val="0"/>
          <w:numId w:val="1"/>
        </w:numPr>
        <w:spacing w:line="600" w:lineRule="exact"/>
        <w:ind w:firstLine="640"/>
        <w:outlineLvl w:val="1"/>
        <w:rPr>
          <w:rStyle w:val="30"/>
          <w:rFonts w:hint="default" w:ascii="Times New Roman" w:hAnsi="Times New Roman" w:eastAsia="黑体" w:cs="Times New Roman"/>
          <w:b w:val="0"/>
        </w:rPr>
      </w:pPr>
      <w:bookmarkStart w:id="42" w:name="_Toc15396612"/>
      <w:bookmarkStart w:id="43" w:name="_Toc15377221"/>
      <w:r>
        <w:rPr>
          <w:rStyle w:val="30"/>
          <w:rFonts w:hint="default" w:ascii="Times New Roman" w:hAnsi="Times New Roman" w:eastAsia="黑体" w:cs="Times New Roman"/>
          <w:b w:val="0"/>
        </w:rPr>
        <w:t>其他重要事项的情况说明</w:t>
      </w:r>
      <w:bookmarkEnd w:id="42"/>
      <w:bookmarkEnd w:id="43"/>
    </w:p>
    <w:p w14:paraId="3ED66C7B">
      <w:pPr>
        <w:spacing w:line="600" w:lineRule="exact"/>
        <w:ind w:firstLine="643" w:firstLineChars="200"/>
        <w:outlineLvl w:val="2"/>
        <w:rPr>
          <w:rFonts w:hint="default" w:ascii="Times New Roman" w:hAnsi="Times New Roman" w:eastAsia="方正楷体_GBK" w:cs="Times New Roman"/>
          <w:b/>
          <w:bCs w:val="0"/>
          <w:sz w:val="32"/>
          <w:szCs w:val="32"/>
        </w:rPr>
      </w:pPr>
      <w:bookmarkStart w:id="44" w:name="_Toc15377222"/>
      <w:r>
        <w:rPr>
          <w:rFonts w:hint="default" w:ascii="Times New Roman" w:hAnsi="Times New Roman" w:eastAsia="方正楷体_GBK" w:cs="Times New Roman"/>
          <w:b/>
          <w:bCs w:val="0"/>
          <w:sz w:val="32"/>
          <w:szCs w:val="32"/>
        </w:rPr>
        <w:t>（一）机关运行经费支出情况</w:t>
      </w:r>
      <w:bookmarkEnd w:id="44"/>
    </w:p>
    <w:p w14:paraId="1D0C8ED9">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年度，阿坝州机构编制</w:t>
      </w:r>
      <w:r>
        <w:rPr>
          <w:rFonts w:hint="default" w:ascii="Times New Roman" w:hAnsi="Times New Roman" w:eastAsia="仿宋_GB2312" w:cs="Times New Roman"/>
          <w:sz w:val="32"/>
          <w:szCs w:val="32"/>
          <w:lang w:eastAsia="zh-CN"/>
        </w:rPr>
        <w:t>信息服务中心</w:t>
      </w:r>
      <w:r>
        <w:rPr>
          <w:rFonts w:hint="default" w:ascii="Times New Roman" w:hAnsi="Times New Roman" w:eastAsia="仿宋_GB2312" w:cs="Times New Roman"/>
          <w:sz w:val="32"/>
          <w:szCs w:val="32"/>
        </w:rPr>
        <w:t>机关运行经费支出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万元，比202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w:t>
      </w:r>
      <w:r>
        <w:rPr>
          <w:rFonts w:hint="default" w:ascii="Times New Roman" w:hAnsi="Times New Roman" w:eastAsia="仿宋_GB2312" w:cs="Times New Roman"/>
          <w:sz w:val="32"/>
          <w:szCs w:val="32"/>
          <w:lang w:eastAsia="zh-CN"/>
        </w:rPr>
        <w:t>决算数持平</w:t>
      </w:r>
      <w:r>
        <w:rPr>
          <w:rFonts w:hint="default" w:ascii="Times New Roman" w:hAnsi="Times New Roman" w:eastAsia="仿宋_GB2312" w:cs="Times New Roman"/>
          <w:sz w:val="32"/>
          <w:szCs w:val="32"/>
        </w:rPr>
        <w:t>。主要原因是阿坝州机构编制</w:t>
      </w:r>
      <w:r>
        <w:rPr>
          <w:rFonts w:hint="default" w:ascii="Times New Roman" w:hAnsi="Times New Roman" w:eastAsia="仿宋_GB2312" w:cs="Times New Roman"/>
          <w:sz w:val="32"/>
          <w:szCs w:val="32"/>
          <w:lang w:eastAsia="zh-CN"/>
        </w:rPr>
        <w:t>信息服务中心为州委编办所属事业单位，不存在机关运行经费支出</w:t>
      </w:r>
      <w:r>
        <w:rPr>
          <w:rFonts w:hint="default" w:ascii="Times New Roman" w:hAnsi="Times New Roman" w:eastAsia="仿宋_GB2312" w:cs="Times New Roman"/>
          <w:sz w:val="32"/>
          <w:szCs w:val="32"/>
        </w:rPr>
        <w:t>。</w:t>
      </w:r>
    </w:p>
    <w:p w14:paraId="4721E96E">
      <w:pPr>
        <w:spacing w:line="600" w:lineRule="exact"/>
        <w:ind w:firstLine="643" w:firstLineChars="200"/>
        <w:outlineLvl w:val="2"/>
        <w:rPr>
          <w:rFonts w:hint="default" w:ascii="Times New Roman" w:hAnsi="Times New Roman" w:eastAsia="方正楷体_GBK" w:cs="Times New Roman"/>
          <w:b/>
          <w:bCs w:val="0"/>
          <w:sz w:val="32"/>
          <w:szCs w:val="32"/>
        </w:rPr>
      </w:pPr>
      <w:bookmarkStart w:id="45" w:name="_Toc15377223"/>
      <w:r>
        <w:rPr>
          <w:rFonts w:hint="default" w:ascii="Times New Roman" w:hAnsi="Times New Roman" w:eastAsia="方正楷体_GBK" w:cs="Times New Roman"/>
          <w:b/>
          <w:bCs w:val="0"/>
          <w:sz w:val="32"/>
          <w:szCs w:val="32"/>
        </w:rPr>
        <w:t>（二）政府采购支出情况</w:t>
      </w:r>
      <w:bookmarkEnd w:id="45"/>
    </w:p>
    <w:p w14:paraId="659F13F2">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年度，阿坝州机构编制</w:t>
      </w:r>
      <w:r>
        <w:rPr>
          <w:rFonts w:hint="default" w:ascii="Times New Roman" w:hAnsi="Times New Roman" w:eastAsia="仿宋_GB2312" w:cs="Times New Roman"/>
          <w:sz w:val="32"/>
          <w:szCs w:val="32"/>
          <w:lang w:eastAsia="zh-CN"/>
        </w:rPr>
        <w:t>信息服务中心</w:t>
      </w:r>
      <w:r>
        <w:rPr>
          <w:rFonts w:hint="default" w:ascii="Times New Roman" w:hAnsi="Times New Roman" w:eastAsia="仿宋_GB2312" w:cs="Times New Roman"/>
          <w:sz w:val="32"/>
          <w:szCs w:val="32"/>
        </w:rPr>
        <w:t>政府采购支出总额</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万元、政府采购工程支出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万元。授予中小企业合同金额</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 xml:space="preserve">0 </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 w:cs="Times New Roman"/>
          <w:b/>
          <w:sz w:val="32"/>
          <w:szCs w:val="32"/>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b/>
          <w:sz w:val="32"/>
          <w:szCs w:val="32"/>
        </w:rPr>
        <w:t>0</w:t>
      </w:r>
      <w:r>
        <w:rPr>
          <w:rFonts w:hint="default" w:ascii="Times New Roman" w:hAnsi="Times New Roman" w:eastAsia="仿宋_GB2312" w:cs="Times New Roman"/>
          <w:b/>
          <w:sz w:val="32"/>
          <w:szCs w:val="32"/>
          <w:lang w:val="en-US" w:eastAsia="zh-CN"/>
        </w:rPr>
        <w:t xml:space="preserve"> </w:t>
      </w:r>
      <w:r>
        <w:rPr>
          <w:rFonts w:hint="default" w:ascii="Times New Roman" w:hAnsi="Times New Roman" w:eastAsia="仿宋_GB2312" w:cs="Times New Roman"/>
          <w:sz w:val="32"/>
          <w:szCs w:val="32"/>
        </w:rPr>
        <w:t>%。</w:t>
      </w:r>
    </w:p>
    <w:p w14:paraId="10D7A565">
      <w:pPr>
        <w:spacing w:line="600" w:lineRule="exact"/>
        <w:ind w:firstLine="643" w:firstLineChars="200"/>
        <w:outlineLvl w:val="2"/>
        <w:rPr>
          <w:rFonts w:hint="default" w:ascii="Times New Roman" w:hAnsi="Times New Roman" w:eastAsia="方正楷体_GBK" w:cs="Times New Roman"/>
          <w:b/>
          <w:bCs w:val="0"/>
          <w:sz w:val="32"/>
          <w:szCs w:val="32"/>
        </w:rPr>
      </w:pPr>
      <w:bookmarkStart w:id="46" w:name="_Toc15377224"/>
      <w:r>
        <w:rPr>
          <w:rFonts w:hint="default" w:ascii="Times New Roman" w:hAnsi="Times New Roman" w:eastAsia="方正楷体_GBK" w:cs="Times New Roman"/>
          <w:b/>
          <w:bCs w:val="0"/>
          <w:sz w:val="32"/>
          <w:szCs w:val="32"/>
        </w:rPr>
        <w:t>（三）国有资产占有使用情况</w:t>
      </w:r>
      <w:bookmarkEnd w:id="46"/>
    </w:p>
    <w:p w14:paraId="74F3A250">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年12月31日，阿坝州机构编制</w:t>
      </w:r>
      <w:r>
        <w:rPr>
          <w:rFonts w:hint="default" w:ascii="Times New Roman" w:hAnsi="Times New Roman" w:eastAsia="仿宋_GB2312" w:cs="Times New Roman"/>
          <w:sz w:val="32"/>
          <w:szCs w:val="32"/>
          <w:lang w:eastAsia="zh-CN"/>
        </w:rPr>
        <w:t>信息服务中心无固定资产。州机构编制信息服务中心为阿坝州委编办所属事业单位，办公地点和人员与办机关在一起，资产未单独核算和管理</w:t>
      </w:r>
      <w:r>
        <w:rPr>
          <w:rFonts w:hint="default" w:ascii="Times New Roman" w:hAnsi="Times New Roman" w:eastAsia="仿宋_GB2312" w:cs="Times New Roman"/>
          <w:sz w:val="32"/>
          <w:szCs w:val="32"/>
        </w:rPr>
        <w:t>。</w:t>
      </w:r>
    </w:p>
    <w:p w14:paraId="450CBEFA">
      <w:pPr>
        <w:spacing w:line="600" w:lineRule="exact"/>
        <w:ind w:firstLine="643" w:firstLineChars="200"/>
        <w:outlineLvl w:val="2"/>
        <w:rPr>
          <w:rFonts w:hint="default" w:ascii="Times New Roman" w:hAnsi="Times New Roman" w:eastAsia="方正楷体_GBK" w:cs="Times New Roman"/>
          <w:b/>
          <w:bCs w:val="0"/>
          <w:sz w:val="32"/>
          <w:szCs w:val="32"/>
        </w:rPr>
      </w:pPr>
      <w:r>
        <w:rPr>
          <w:rFonts w:hint="default" w:ascii="Times New Roman" w:hAnsi="Times New Roman" w:eastAsia="方正楷体_GBK" w:cs="Times New Roman"/>
          <w:b/>
          <w:bCs w:val="0"/>
          <w:sz w:val="32"/>
          <w:szCs w:val="32"/>
        </w:rPr>
        <w:t>（四）预算绩效管理情况</w:t>
      </w:r>
    </w:p>
    <w:p w14:paraId="0127AF3F">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sz w:val="32"/>
          <w:szCs w:val="32"/>
          <w:lang w:eastAsia="zh-CN"/>
        </w:rPr>
        <w:t>组织</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人员类项目、公用经费项目</w:t>
      </w:r>
      <w:r>
        <w:rPr>
          <w:rFonts w:hint="default" w:ascii="Times New Roman" w:hAnsi="Times New Roman" w:eastAsia="仿宋_GB2312" w:cs="Times New Roman"/>
          <w:sz w:val="32"/>
          <w:szCs w:val="32"/>
        </w:rPr>
        <w:t>编制了绩效目标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预算执行过程中，</w:t>
      </w:r>
      <w:r>
        <w:rPr>
          <w:rFonts w:hint="default" w:ascii="Times New Roman" w:hAnsi="Times New Roman" w:eastAsia="仿宋_GB2312" w:cs="Times New Roman"/>
          <w:sz w:val="32"/>
          <w:szCs w:val="32"/>
          <w:lang w:eastAsia="zh-CN"/>
        </w:rPr>
        <w:t>按要求对全部</w:t>
      </w:r>
      <w:r>
        <w:rPr>
          <w:rFonts w:hint="default" w:ascii="Times New Roman" w:hAnsi="Times New Roman" w:eastAsia="仿宋_GB2312" w:cs="Times New Roman"/>
          <w:sz w:val="32"/>
          <w:szCs w:val="32"/>
        </w:rPr>
        <w:t>项目开展绩效监控，组织</w:t>
      </w:r>
      <w:r>
        <w:rPr>
          <w:rFonts w:hint="default" w:ascii="Times New Roman" w:hAnsi="Times New Roman" w:eastAsia="仿宋_GB2312" w:cs="Times New Roman"/>
          <w:sz w:val="32"/>
          <w:szCs w:val="32"/>
          <w:lang w:eastAsia="zh-CN"/>
        </w:rPr>
        <w:t>对项目（人员类、公用经费）</w:t>
      </w:r>
      <w:r>
        <w:rPr>
          <w:rFonts w:hint="default" w:ascii="Times New Roman" w:hAnsi="Times New Roman" w:eastAsia="仿宋_GB2312" w:cs="Times New Roman"/>
          <w:sz w:val="32"/>
          <w:szCs w:val="32"/>
        </w:rPr>
        <w:t>开展绩效自评。</w:t>
      </w:r>
      <w:r>
        <w:rPr>
          <w:rFonts w:hint="default" w:ascii="Times New Roman" w:hAnsi="Times New Roman" w:eastAsia="仿宋_GB2312" w:cs="Times New Roman"/>
          <w:sz w:val="32"/>
          <w:szCs w:val="32"/>
          <w:lang w:val="en-US" w:eastAsia="zh-CN"/>
        </w:rPr>
        <w:t>2025年无项目支付，无项目开展。</w:t>
      </w:r>
    </w:p>
    <w:p w14:paraId="52B0DE9C">
      <w:pPr>
        <w:pStyle w:val="2"/>
        <w:rPr>
          <w:rFonts w:hint="default" w:ascii="Times New Roman" w:hAnsi="Times New Roman" w:eastAsia="仿宋_GB2312" w:cs="Times New Roman"/>
          <w:sz w:val="32"/>
          <w:szCs w:val="32"/>
          <w:lang w:val="en-US" w:eastAsia="zh-CN"/>
        </w:rPr>
      </w:pPr>
    </w:p>
    <w:p w14:paraId="6C06754B">
      <w:pPr>
        <w:pStyle w:val="3"/>
        <w:rPr>
          <w:rFonts w:hint="default" w:ascii="Times New Roman" w:hAnsi="Times New Roman" w:eastAsia="仿宋_GB2312" w:cs="Times New Roman"/>
          <w:sz w:val="32"/>
          <w:szCs w:val="32"/>
        </w:rPr>
      </w:pPr>
    </w:p>
    <w:p w14:paraId="1F2B4C28">
      <w:pPr>
        <w:rPr>
          <w:rFonts w:hint="default" w:ascii="Times New Roman" w:hAnsi="Times New Roman" w:eastAsia="仿宋_GB2312" w:cs="Times New Roman"/>
          <w:sz w:val="32"/>
          <w:szCs w:val="32"/>
        </w:rPr>
      </w:pPr>
    </w:p>
    <w:p w14:paraId="4C5728CB">
      <w:pPr>
        <w:pStyle w:val="2"/>
        <w:rPr>
          <w:rFonts w:hint="default" w:ascii="Times New Roman" w:hAnsi="Times New Roman" w:eastAsia="仿宋_GB2312" w:cs="Times New Roman"/>
          <w:sz w:val="32"/>
          <w:szCs w:val="32"/>
        </w:rPr>
      </w:pPr>
    </w:p>
    <w:p w14:paraId="1DE80CD8">
      <w:pPr>
        <w:pStyle w:val="3"/>
        <w:rPr>
          <w:rFonts w:hint="default" w:ascii="Times New Roman" w:hAnsi="Times New Roman" w:eastAsia="仿宋_GB2312" w:cs="Times New Roman"/>
          <w:sz w:val="32"/>
          <w:szCs w:val="32"/>
        </w:rPr>
      </w:pPr>
    </w:p>
    <w:p w14:paraId="44F6232C">
      <w:pPr>
        <w:rPr>
          <w:rFonts w:hint="default" w:ascii="Times New Roman" w:hAnsi="Times New Roman" w:eastAsia="仿宋_GB2312" w:cs="Times New Roman"/>
          <w:sz w:val="32"/>
          <w:szCs w:val="32"/>
        </w:rPr>
      </w:pPr>
    </w:p>
    <w:p w14:paraId="6C73CA31">
      <w:pPr>
        <w:pStyle w:val="2"/>
        <w:rPr>
          <w:rFonts w:hint="default" w:ascii="Times New Roman" w:hAnsi="Times New Roman" w:cs="Times New Roman"/>
        </w:rPr>
      </w:pPr>
    </w:p>
    <w:p w14:paraId="1055BCFF">
      <w:pPr>
        <w:pStyle w:val="3"/>
        <w:rPr>
          <w:rFonts w:hint="default" w:ascii="Times New Roman" w:hAnsi="Times New Roman" w:cs="Times New Roman"/>
        </w:rPr>
      </w:pPr>
    </w:p>
    <w:p w14:paraId="35075181">
      <w:pPr>
        <w:rPr>
          <w:rFonts w:hint="default" w:ascii="Times New Roman" w:hAnsi="Times New Roman" w:cs="Times New Roman"/>
        </w:rPr>
      </w:pPr>
    </w:p>
    <w:p w14:paraId="01487EFE">
      <w:pPr>
        <w:pStyle w:val="2"/>
        <w:rPr>
          <w:rFonts w:hint="default" w:ascii="Times New Roman" w:hAnsi="Times New Roman" w:cs="Times New Roman"/>
        </w:rPr>
      </w:pPr>
    </w:p>
    <w:p w14:paraId="5D572AAF">
      <w:pPr>
        <w:pStyle w:val="3"/>
        <w:rPr>
          <w:rFonts w:hint="default" w:ascii="Times New Roman" w:hAnsi="Times New Roman" w:cs="Times New Roman"/>
        </w:rPr>
      </w:pPr>
    </w:p>
    <w:p w14:paraId="2D3760E6">
      <w:pPr>
        <w:rPr>
          <w:rFonts w:hint="default" w:ascii="Times New Roman" w:hAnsi="Times New Roman" w:cs="Times New Roman"/>
        </w:rPr>
      </w:pPr>
    </w:p>
    <w:p w14:paraId="66FD608E">
      <w:pPr>
        <w:pStyle w:val="2"/>
        <w:rPr>
          <w:rFonts w:hint="default" w:ascii="Times New Roman" w:hAnsi="Times New Roman" w:cs="Times New Roman"/>
        </w:rPr>
      </w:pPr>
    </w:p>
    <w:p w14:paraId="1ED8BE3E">
      <w:pPr>
        <w:pStyle w:val="3"/>
        <w:rPr>
          <w:rFonts w:hint="default" w:ascii="Times New Roman" w:hAnsi="Times New Roman" w:cs="Times New Roman"/>
        </w:rPr>
      </w:pPr>
    </w:p>
    <w:p w14:paraId="56612823">
      <w:pPr>
        <w:rPr>
          <w:rFonts w:hint="default" w:ascii="Times New Roman" w:hAnsi="Times New Roman" w:cs="Times New Roman"/>
        </w:rPr>
      </w:pPr>
    </w:p>
    <w:p w14:paraId="1AA7A9E2">
      <w:pPr>
        <w:pStyle w:val="2"/>
        <w:rPr>
          <w:rFonts w:hint="default" w:ascii="Times New Roman" w:hAnsi="Times New Roman" w:cs="Times New Roman"/>
        </w:rPr>
      </w:pPr>
    </w:p>
    <w:p w14:paraId="381AAEEA">
      <w:pPr>
        <w:numPr>
          <w:ilvl w:val="0"/>
          <w:numId w:val="0"/>
        </w:numPr>
        <w:spacing w:line="600" w:lineRule="exact"/>
        <w:jc w:val="both"/>
        <w:outlineLvl w:val="0"/>
        <w:rPr>
          <w:rFonts w:hint="default" w:ascii="Times New Roman" w:hAnsi="Times New Roman" w:eastAsia="方正黑体_GBK" w:cs="Times New Roman"/>
          <w:sz w:val="44"/>
          <w:szCs w:val="44"/>
        </w:rPr>
      </w:pPr>
    </w:p>
    <w:p w14:paraId="42AE7F8C">
      <w:pPr>
        <w:numPr>
          <w:ilvl w:val="0"/>
          <w:numId w:val="0"/>
        </w:numPr>
        <w:spacing w:line="600" w:lineRule="exact"/>
        <w:jc w:val="center"/>
        <w:outlineLvl w:val="0"/>
        <w:rPr>
          <w:rStyle w:val="35"/>
          <w:rFonts w:hint="default" w:ascii="Times New Roman" w:hAnsi="Times New Roman" w:eastAsia="方正小标宋简体" w:cs="Times New Roman"/>
          <w:b w:val="0"/>
          <w:bCs w:val="0"/>
          <w:color w:val="auto"/>
          <w:highlight w:val="none"/>
        </w:rPr>
      </w:pPr>
      <w:r>
        <w:rPr>
          <w:rFonts w:hint="default" w:ascii="Times New Roman" w:hAnsi="Times New Roman" w:eastAsia="方正小标宋简体" w:cs="Times New Roman"/>
          <w:b w:val="0"/>
          <w:bCs w:val="0"/>
          <w:sz w:val="44"/>
          <w:szCs w:val="44"/>
        </w:rPr>
        <w:t>第</w:t>
      </w:r>
      <w:r>
        <w:rPr>
          <w:rFonts w:hint="default" w:ascii="Times New Roman" w:hAnsi="Times New Roman" w:eastAsia="方正小标宋简体" w:cs="Times New Roman"/>
          <w:b w:val="0"/>
          <w:bCs w:val="0"/>
          <w:sz w:val="44"/>
          <w:szCs w:val="44"/>
          <w:lang w:eastAsia="zh-CN"/>
        </w:rPr>
        <w:t>三</w:t>
      </w:r>
      <w:r>
        <w:rPr>
          <w:rFonts w:hint="default" w:ascii="Times New Roman" w:hAnsi="Times New Roman" w:eastAsia="方正小标宋简体" w:cs="Times New Roman"/>
          <w:b w:val="0"/>
          <w:bCs w:val="0"/>
          <w:sz w:val="44"/>
          <w:szCs w:val="44"/>
        </w:rPr>
        <w:t>部分</w:t>
      </w:r>
      <w:r>
        <w:rPr>
          <w:rFonts w:hint="default" w:ascii="Times New Roman" w:hAnsi="Times New Roman" w:eastAsia="方正小标宋简体" w:cs="Times New Roman"/>
          <w:b w:val="0"/>
          <w:bCs w:val="0"/>
          <w:sz w:val="44"/>
          <w:szCs w:val="44"/>
          <w:lang w:val="en-US" w:eastAsia="zh-CN"/>
        </w:rPr>
        <w:t xml:space="preserve">  </w:t>
      </w:r>
      <w:r>
        <w:rPr>
          <w:rFonts w:hint="default" w:ascii="Times New Roman" w:hAnsi="Times New Roman" w:eastAsia="方正小标宋简体" w:cs="Times New Roman"/>
          <w:b w:val="0"/>
          <w:bCs w:val="0"/>
          <w:color w:val="auto"/>
          <w:sz w:val="44"/>
          <w:szCs w:val="44"/>
          <w:highlight w:val="none"/>
        </w:rPr>
        <w:t>名</w:t>
      </w:r>
      <w:r>
        <w:rPr>
          <w:rStyle w:val="35"/>
          <w:rFonts w:hint="default" w:ascii="Times New Roman" w:hAnsi="Times New Roman" w:eastAsia="方正小标宋简体" w:cs="Times New Roman"/>
          <w:b w:val="0"/>
          <w:bCs w:val="0"/>
          <w:color w:val="auto"/>
          <w:highlight w:val="none"/>
        </w:rPr>
        <w:t>词解释</w:t>
      </w:r>
    </w:p>
    <w:p w14:paraId="4B93CB40">
      <w:pPr>
        <w:spacing w:line="600" w:lineRule="exact"/>
        <w:jc w:val="left"/>
        <w:rPr>
          <w:rFonts w:hint="default" w:ascii="Times New Roman" w:hAnsi="Times New Roman" w:cs="Times New Roman"/>
          <w:b/>
          <w:color w:val="auto"/>
          <w:sz w:val="44"/>
          <w:szCs w:val="44"/>
          <w:highlight w:val="none"/>
        </w:rPr>
      </w:pPr>
    </w:p>
    <w:p w14:paraId="4C6BA821">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1.财政拨款收入：指单位从同级财政部门取得的财政预算资金。</w:t>
      </w:r>
    </w:p>
    <w:p w14:paraId="5687E357">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2.事业收入：指事业单位开展专业业务活动及辅助活动取得的收入。</w:t>
      </w:r>
    </w:p>
    <w:p w14:paraId="0C83A876">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3.经营收入：指事业单位在专业业务活动及其辅助活动之外开展非独立核算经营活动取得的收入。</w:t>
      </w:r>
    </w:p>
    <w:p w14:paraId="6FC54636">
      <w:pPr>
        <w:pStyle w:val="27"/>
        <w:spacing w:line="560" w:lineRule="exact"/>
        <w:ind w:left="638" w:leftChars="304" w:firstLine="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4.其他收入：指单位取得的除上述收入以外的各项收</w:t>
      </w:r>
    </w:p>
    <w:p w14:paraId="2014F49F">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w:t>
      </w:r>
      <w:r>
        <w:rPr>
          <w:rFonts w:hint="default" w:ascii="Times New Roman" w:hAnsi="Times New Roman" w:eastAsia="仿宋_GB2312" w:cs="Times New Roman"/>
          <w:color w:val="auto"/>
          <w:sz w:val="32"/>
          <w:szCs w:val="32"/>
          <w:highlight w:val="none"/>
          <w:lang w:eastAsia="zh-CN"/>
        </w:rPr>
        <w:t>使用非财政拨款结余</w:t>
      </w:r>
      <w:r>
        <w:rPr>
          <w:rFonts w:hint="default" w:ascii="Times New Roman" w:hAnsi="Times New Roman" w:eastAsia="仿宋_GB2312" w:cs="Times New Roman"/>
          <w:color w:val="auto"/>
          <w:sz w:val="32"/>
          <w:szCs w:val="32"/>
          <w:highlight w:val="none"/>
        </w:rPr>
        <w:t>：指事业单位</w:t>
      </w:r>
      <w:r>
        <w:rPr>
          <w:rFonts w:hint="default" w:ascii="Times New Roman" w:hAnsi="Times New Roman" w:eastAsia="仿宋_GB2312" w:cs="Times New Roman"/>
          <w:color w:val="auto"/>
          <w:sz w:val="32"/>
          <w:szCs w:val="32"/>
          <w:highlight w:val="none"/>
          <w:lang w:eastAsia="zh-CN"/>
        </w:rPr>
        <w:t>使用以前年度积累的非财政拨款结余弥补当年收支差额的金额。</w:t>
      </w:r>
    </w:p>
    <w:p w14:paraId="473EA02A">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6.年初结转和结余：指以前年度尚未完成、结转到本年按有关规定继续使用的资金。 </w:t>
      </w:r>
    </w:p>
    <w:p w14:paraId="125E78B6">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7.结余分配：指事业单位按照会计制度规定</w:t>
      </w:r>
      <w:r>
        <w:rPr>
          <w:rFonts w:hint="default" w:ascii="Times New Roman" w:hAnsi="Times New Roman" w:eastAsia="仿宋_GB2312" w:cs="Times New Roman"/>
          <w:color w:val="auto"/>
          <w:sz w:val="32"/>
          <w:szCs w:val="32"/>
          <w:highlight w:val="none"/>
          <w:lang w:eastAsia="zh-CN"/>
        </w:rPr>
        <w:t>缴纳的所得税、提取的专用结余以及转入非财政拨款结余的金额</w:t>
      </w:r>
      <w:r>
        <w:rPr>
          <w:rFonts w:hint="default" w:ascii="Times New Roman" w:hAnsi="Times New Roman" w:eastAsia="仿宋_GB2312" w:cs="Times New Roman"/>
          <w:color w:val="auto"/>
          <w:sz w:val="32"/>
          <w:szCs w:val="32"/>
          <w:highlight w:val="none"/>
        </w:rPr>
        <w:t>等。</w:t>
      </w:r>
    </w:p>
    <w:p w14:paraId="2AA836CA">
      <w:pPr>
        <w:pStyle w:val="27"/>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年末结转和结余：指单位按有关规定结转到下年或以后年度继续使用的资金。</w:t>
      </w:r>
    </w:p>
    <w:p w14:paraId="19C822E0">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color w:val="auto"/>
          <w:kern w:val="0"/>
          <w:sz w:val="32"/>
          <w:szCs w:val="32"/>
          <w:highlight w:val="none"/>
          <w:lang w:val="en-US" w:eastAsia="zh-CN" w:bidi="ar-SA"/>
        </w:rPr>
        <w:t>9.一般公共服务（类）党委办公厅（室）及相关机构事务（款）行政运行（项）:指行政单位（包括实行公务员管理的事业单位）的基本支出。</w:t>
      </w:r>
    </w:p>
    <w:p w14:paraId="378555B1">
      <w:pPr>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sz w:val="32"/>
          <w:szCs w:val="32"/>
          <w:highlight w:val="none"/>
        </w:rPr>
        <w:t>10.</w:t>
      </w:r>
      <w:r>
        <w:rPr>
          <w:rFonts w:hint="default" w:ascii="Times New Roman" w:hAnsi="Times New Roman" w:eastAsia="仿宋_GB2312" w:cs="Times New Roman"/>
          <w:color w:val="auto"/>
          <w:kern w:val="0"/>
          <w:sz w:val="32"/>
          <w:szCs w:val="32"/>
          <w:highlight w:val="none"/>
          <w:lang w:val="en-US" w:eastAsia="zh-CN" w:bidi="ar-SA"/>
        </w:rPr>
        <w:t>社会保障和就业（类）行政事业单位养老支出（款）机关事业单位基本养老保险缴费支出（项）:</w:t>
      </w:r>
      <w:r>
        <w:rPr>
          <w:rFonts w:hint="default" w:ascii="Times New Roman" w:hAnsi="Times New Roman" w:eastAsia="仿宋_GB2312" w:cs="Times New Roman"/>
          <w:i w:val="0"/>
          <w:iCs w:val="0"/>
          <w:caps w:val="0"/>
          <w:smallCaps w:val="0"/>
          <w:color w:val="000000"/>
          <w:spacing w:val="0"/>
          <w:sz w:val="32"/>
          <w:szCs w:val="32"/>
          <w:shd w:val="clear" w:color="auto" w:fill="FFFFFF"/>
        </w:rPr>
        <w:t>指机关事业单位实施养老保险制度由单位缴纳的基本养老保险费支出。</w:t>
      </w:r>
    </w:p>
    <w:p w14:paraId="7711315F">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SA"/>
        </w:rPr>
        <w:t>1</w:t>
      </w: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kern w:val="0"/>
          <w:sz w:val="32"/>
          <w:szCs w:val="32"/>
          <w:highlight w:val="none"/>
          <w:lang w:val="en-US" w:eastAsia="zh-CN" w:bidi="ar-SA"/>
        </w:rPr>
        <w:t>社会保障和就业（类）行政事业单位养老支出（款）机关事业单位职业年金缴费支出（项）:</w:t>
      </w:r>
      <w:r>
        <w:rPr>
          <w:rFonts w:hint="default" w:ascii="Times New Roman" w:hAnsi="Times New Roman" w:eastAsia="仿宋_GB2312" w:cs="Times New Roman"/>
          <w:i w:val="0"/>
          <w:iCs w:val="0"/>
          <w:caps w:val="0"/>
          <w:smallCaps w:val="0"/>
          <w:color w:val="000000"/>
          <w:spacing w:val="0"/>
          <w:sz w:val="32"/>
          <w:szCs w:val="32"/>
          <w:shd w:val="clear" w:color="auto" w:fill="FFFFFF"/>
        </w:rPr>
        <w:t>指机关事业单位实施养老保险制度由单位</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实际</w:t>
      </w:r>
      <w:r>
        <w:rPr>
          <w:rFonts w:hint="default" w:ascii="Times New Roman" w:hAnsi="Times New Roman" w:eastAsia="仿宋_GB2312" w:cs="Times New Roman"/>
          <w:i w:val="0"/>
          <w:iCs w:val="0"/>
          <w:caps w:val="0"/>
          <w:smallCaps w:val="0"/>
          <w:color w:val="000000"/>
          <w:spacing w:val="0"/>
          <w:sz w:val="32"/>
          <w:szCs w:val="32"/>
          <w:shd w:val="clear" w:color="auto" w:fill="FFFFFF"/>
        </w:rPr>
        <w:t>缴纳的职业年金支出。</w:t>
      </w:r>
    </w:p>
    <w:p w14:paraId="780D8A75">
      <w:pPr>
        <w:ind w:firstLine="640" w:firstLineChars="200"/>
        <w:rPr>
          <w:rFonts w:hint="default" w:ascii="Times New Roman" w:hAnsi="Times New Roman" w:eastAsia="仿宋_GB2312" w:cs="Times New Roman"/>
          <w:i w:val="0"/>
          <w:iCs w:val="0"/>
          <w:caps w:val="0"/>
          <w:smallCaps w:val="0"/>
          <w:color w:val="000000"/>
          <w:spacing w:val="0"/>
          <w:sz w:val="32"/>
          <w:szCs w:val="32"/>
          <w:shd w:val="clear" w:color="auto" w:fill="FFFFFF"/>
        </w:rPr>
      </w:pPr>
      <w:r>
        <w:rPr>
          <w:rFonts w:hint="default" w:ascii="Times New Roman" w:hAnsi="Times New Roman" w:eastAsia="仿宋_GB2312" w:cs="Times New Roman"/>
          <w:color w:val="auto"/>
          <w:sz w:val="32"/>
          <w:szCs w:val="32"/>
          <w:highlight w:val="none"/>
        </w:rPr>
        <w:t>12.</w:t>
      </w:r>
      <w:r>
        <w:rPr>
          <w:rFonts w:hint="default" w:ascii="Times New Roman" w:hAnsi="Times New Roman" w:eastAsia="仿宋_GB2312" w:cs="Times New Roman"/>
          <w:color w:val="auto"/>
          <w:kern w:val="0"/>
          <w:sz w:val="32"/>
          <w:szCs w:val="32"/>
          <w:highlight w:val="none"/>
          <w:lang w:val="en-US" w:eastAsia="zh-CN" w:bidi="ar-SA"/>
        </w:rPr>
        <w:t>卫生健康（类）行政事业单位医疗（款）行政单位医疗（项）：</w:t>
      </w:r>
      <w:r>
        <w:rPr>
          <w:rFonts w:hint="default" w:ascii="Times New Roman" w:hAnsi="Times New Roman" w:eastAsia="仿宋_GB2312" w:cs="Times New Roman"/>
          <w:i w:val="0"/>
          <w:iCs w:val="0"/>
          <w:caps w:val="0"/>
          <w:smallCaps w:val="0"/>
          <w:color w:val="000000"/>
          <w:spacing w:val="0"/>
          <w:sz w:val="32"/>
          <w:szCs w:val="32"/>
          <w:shd w:val="clear" w:color="auto" w:fill="FFFFFF"/>
        </w:rPr>
        <w:t>指财政部门安排的行政单位基本医疗保险缴费经费，未参加医疗保险的行政单位的公费医疗经费，按国家规定享受离休人员、红军老战士待遇人员的医疗经费。</w:t>
      </w:r>
    </w:p>
    <w:p w14:paraId="3B15FF42">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i w:val="0"/>
          <w:iCs w:val="0"/>
          <w:caps w:val="0"/>
          <w:smallCaps w:val="0"/>
          <w:color w:val="000000"/>
          <w:spacing w:val="0"/>
          <w:sz w:val="32"/>
          <w:szCs w:val="32"/>
          <w:shd w:val="clear" w:color="auto" w:fill="FFFFFF"/>
        </w:rPr>
        <w:t>卫生健康（类）</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行政事业单位医疗</w:t>
      </w:r>
      <w:r>
        <w:rPr>
          <w:rFonts w:hint="default" w:ascii="Times New Roman" w:hAnsi="Times New Roman" w:eastAsia="仿宋_GB2312" w:cs="Times New Roman"/>
          <w:i w:val="0"/>
          <w:iCs w:val="0"/>
          <w:caps w:val="0"/>
          <w:smallCaps w:val="0"/>
          <w:color w:val="000000"/>
          <w:spacing w:val="0"/>
          <w:sz w:val="32"/>
          <w:szCs w:val="32"/>
          <w:shd w:val="clear" w:color="auto" w:fill="FFFFFF"/>
        </w:rPr>
        <w:t>（款）</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公务员医疗补助</w:t>
      </w:r>
      <w:r>
        <w:rPr>
          <w:rFonts w:hint="default" w:ascii="Times New Roman" w:hAnsi="Times New Roman" w:eastAsia="仿宋_GB2312" w:cs="Times New Roman"/>
          <w:i w:val="0"/>
          <w:iCs w:val="0"/>
          <w:caps w:val="0"/>
          <w:smallCaps w:val="0"/>
          <w:color w:val="000000"/>
          <w:spacing w:val="0"/>
          <w:sz w:val="32"/>
          <w:szCs w:val="32"/>
          <w:shd w:val="clear" w:color="auto" w:fill="FFFFFF"/>
        </w:rPr>
        <w:t>（项）</w:t>
      </w:r>
      <w:r>
        <w:rPr>
          <w:rFonts w:hint="default" w:ascii="Times New Roman" w:hAnsi="Times New Roman" w:eastAsia="仿宋_GB2312" w:cs="Times New Roman"/>
          <w:color w:val="auto"/>
          <w:sz w:val="32"/>
          <w:szCs w:val="32"/>
          <w:highlight w:val="none"/>
        </w:rPr>
        <w:t>：指</w:t>
      </w:r>
      <w:r>
        <w:rPr>
          <w:rFonts w:hint="default" w:ascii="Times New Roman" w:hAnsi="Times New Roman" w:eastAsia="仿宋_GB2312" w:cs="Times New Roman"/>
          <w:i w:val="0"/>
          <w:iCs w:val="0"/>
          <w:caps w:val="0"/>
          <w:smallCaps w:val="0"/>
          <w:color w:val="000000"/>
          <w:spacing w:val="0"/>
          <w:sz w:val="32"/>
          <w:szCs w:val="32"/>
          <w:shd w:val="clear" w:color="auto" w:fill="FFFFFF"/>
        </w:rPr>
        <w:t>财政部门集中安排的公务员医疗补助经费。</w:t>
      </w:r>
    </w:p>
    <w:p w14:paraId="2FF5E73D">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14.</w:t>
      </w:r>
      <w:r>
        <w:rPr>
          <w:rFonts w:hint="default" w:ascii="Times New Roman" w:hAnsi="Times New Roman" w:eastAsia="仿宋_GB2312" w:cs="Times New Roman"/>
          <w:i w:val="0"/>
          <w:iCs w:val="0"/>
          <w:caps w:val="0"/>
          <w:smallCaps w:val="0"/>
          <w:color w:val="000000"/>
          <w:spacing w:val="0"/>
          <w:sz w:val="32"/>
          <w:szCs w:val="32"/>
          <w:shd w:val="clear" w:color="auto" w:fill="FFFFFF"/>
          <w:lang w:val="en-US" w:eastAsia="zh-CN"/>
        </w:rPr>
        <w:t>住房保障支出（类）住房改革支出（款）住房公积金（项）</w:t>
      </w:r>
      <w:r>
        <w:rPr>
          <w:rFonts w:hint="default" w:ascii="Times New Roman" w:hAnsi="Times New Roman" w:eastAsia="仿宋_GB2312" w:cs="Times New Roman"/>
          <w:color w:val="auto"/>
          <w:sz w:val="32"/>
          <w:szCs w:val="32"/>
          <w:highlight w:val="none"/>
        </w:rPr>
        <w:t>：指</w:t>
      </w:r>
      <w:r>
        <w:rPr>
          <w:rFonts w:hint="default" w:ascii="Times New Roman" w:hAnsi="Times New Roman" w:eastAsia="仿宋_GB2312" w:cs="Times New Roman"/>
          <w:i w:val="0"/>
          <w:iCs w:val="0"/>
          <w:caps w:val="0"/>
          <w:smallCaps w:val="0"/>
          <w:color w:val="000000"/>
          <w:spacing w:val="0"/>
          <w:sz w:val="32"/>
          <w:szCs w:val="32"/>
          <w:shd w:val="clear" w:color="auto" w:fill="FFFFFF"/>
        </w:rPr>
        <w:t>行政事业单位按人力资源和社会保障部、财政部规定的基本工资和津贴补贴以及规定比例为职工缴纳的住房公积金。</w:t>
      </w:r>
    </w:p>
    <w:p w14:paraId="54F79876">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.基本支出：指为保障机构正常运转、完成日常工作任务而发生的人员支出和公用支出。</w:t>
      </w:r>
    </w:p>
    <w:p w14:paraId="30A2DC43">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 xml:space="preserve">.项目支出：指在基本支出之外为完成特定行政任务和事业发展目标所发生的支出。 </w:t>
      </w:r>
    </w:p>
    <w:p w14:paraId="106961E4">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17</w:t>
      </w:r>
      <w:r>
        <w:rPr>
          <w:rFonts w:hint="default" w:ascii="Times New Roman" w:hAnsi="Times New Roman" w:eastAsia="仿宋_GB2312" w:cs="Times New Roman"/>
          <w:color w:val="auto"/>
          <w:sz w:val="32"/>
          <w:szCs w:val="32"/>
          <w:highlight w:val="none"/>
        </w:rPr>
        <w:t>.经营支出：指事业单位在专业业务活动及其辅助活动之外开展非独立核算经营活动发生的支出。</w:t>
      </w:r>
    </w:p>
    <w:p w14:paraId="2E8FF04E">
      <w:pPr>
        <w:pStyle w:val="27"/>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.“三公”经费：指</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5ADBCE">
      <w:pPr>
        <w:pStyle w:val="27"/>
        <w:spacing w:line="560" w:lineRule="exact"/>
        <w:ind w:firstLine="640" w:firstLineChars="200"/>
        <w:rPr>
          <w:rFonts w:hint="default" w:ascii="Times New Roman" w:hAnsi="Times New Roman" w:cs="Times New Roman"/>
          <w:b/>
          <w:color w:val="auto"/>
          <w:sz w:val="44"/>
          <w:szCs w:val="44"/>
          <w:highlight w:val="none"/>
        </w:rPr>
        <w:sectPr>
          <w:footerReference r:id="rId7" w:type="default"/>
          <w:pgSz w:w="11906" w:h="16838"/>
          <w:pgMar w:top="2098" w:right="1474" w:bottom="1984" w:left="1587" w:header="851" w:footer="992" w:gutter="0"/>
          <w:pgNumType w:fmt="decimal" w:start="3"/>
          <w:cols w:space="720" w:num="1"/>
          <w:docGrid w:type="lines" w:linePitch="312" w:charSpace="0"/>
        </w:sectPr>
      </w:pP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E12D66">
      <w:pPr>
        <w:spacing w:line="600" w:lineRule="exact"/>
        <w:jc w:val="center"/>
        <w:rPr>
          <w:rStyle w:val="29"/>
          <w:rFonts w:hint="default" w:ascii="Times New Roman" w:hAnsi="Times New Roman" w:eastAsia="方正小标宋简体" w:cs="Times New Roman"/>
          <w:b w:val="0"/>
        </w:rPr>
      </w:pPr>
      <w:bookmarkStart w:id="47" w:name="_Toc15396614"/>
      <w:bookmarkStart w:id="48" w:name="_Toc15377226"/>
      <w:r>
        <w:rPr>
          <w:rFonts w:hint="default" w:ascii="Times New Roman" w:hAnsi="Times New Roman" w:eastAsia="方正小标宋简体" w:cs="Times New Roman"/>
          <w:sz w:val="44"/>
          <w:szCs w:val="44"/>
        </w:rPr>
        <w:t>第</w:t>
      </w:r>
      <w:r>
        <w:rPr>
          <w:rStyle w:val="29"/>
          <w:rFonts w:hint="default" w:ascii="Times New Roman" w:hAnsi="Times New Roman" w:eastAsia="方正小标宋简体" w:cs="Times New Roman"/>
          <w:b w:val="0"/>
        </w:rPr>
        <w:t>四部分 附件</w:t>
      </w:r>
      <w:bookmarkEnd w:id="47"/>
    </w:p>
    <w:p w14:paraId="3D31064F">
      <w:pPr>
        <w:spacing w:line="600" w:lineRule="exact"/>
        <w:jc w:val="center"/>
        <w:rPr>
          <w:rFonts w:hint="default" w:ascii="Times New Roman" w:hAnsi="Times New Roman" w:eastAsia="方正仿宋_GBK" w:cs="Times New Roman"/>
          <w:sz w:val="32"/>
          <w:szCs w:val="32"/>
          <w:lang w:eastAsia="zh-CN"/>
        </w:rPr>
      </w:pPr>
      <w:bookmarkStart w:id="49" w:name="_Toc15396618"/>
    </w:p>
    <w:p w14:paraId="63E53671">
      <w:pPr>
        <w:spacing w:line="600" w:lineRule="exact"/>
        <w:ind w:firstLine="640"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阿坝州机构编制信息服务中心</w:t>
      </w:r>
      <w:r>
        <w:rPr>
          <w:rFonts w:hint="default" w:ascii="Times New Roman" w:hAnsi="Times New Roman" w:eastAsia="方正仿宋_GBK" w:cs="Times New Roman"/>
          <w:sz w:val="32"/>
          <w:szCs w:val="32"/>
          <w:lang w:val="en-US" w:eastAsia="zh-CN"/>
        </w:rPr>
        <w:t>2025年部门整体支出绩效评价报告已在2025年度中共阿坝州委机构编制委员会办公室部门决算第四部分中进行了说明。</w:t>
      </w:r>
    </w:p>
    <w:p w14:paraId="030A3E86">
      <w:pPr>
        <w:spacing w:line="600" w:lineRule="exact"/>
        <w:jc w:val="center"/>
        <w:rPr>
          <w:rFonts w:hint="default" w:ascii="Times New Roman" w:hAnsi="Times New Roman" w:eastAsia="方正小标宋简体" w:cs="Times New Roman"/>
          <w:sz w:val="44"/>
          <w:szCs w:val="44"/>
        </w:rPr>
      </w:pPr>
    </w:p>
    <w:p w14:paraId="393ED19C">
      <w:pPr>
        <w:spacing w:line="600" w:lineRule="exact"/>
        <w:jc w:val="center"/>
        <w:rPr>
          <w:rFonts w:hint="default" w:ascii="Times New Roman" w:hAnsi="Times New Roman" w:eastAsia="方正小标宋简体" w:cs="Times New Roman"/>
          <w:sz w:val="44"/>
          <w:szCs w:val="44"/>
        </w:rPr>
      </w:pPr>
    </w:p>
    <w:p w14:paraId="32891C01">
      <w:pPr>
        <w:spacing w:line="600" w:lineRule="exact"/>
        <w:jc w:val="center"/>
        <w:rPr>
          <w:rFonts w:hint="default" w:ascii="Times New Roman" w:hAnsi="Times New Roman" w:eastAsia="方正小标宋简体" w:cs="Times New Roman"/>
          <w:sz w:val="44"/>
          <w:szCs w:val="44"/>
        </w:rPr>
      </w:pPr>
    </w:p>
    <w:p w14:paraId="2CB89EB1">
      <w:pPr>
        <w:pStyle w:val="2"/>
        <w:rPr>
          <w:rFonts w:hint="default" w:ascii="Times New Roman" w:hAnsi="Times New Roman" w:eastAsia="方正小标宋简体" w:cs="Times New Roman"/>
          <w:sz w:val="44"/>
          <w:szCs w:val="44"/>
        </w:rPr>
      </w:pPr>
    </w:p>
    <w:p w14:paraId="105B3563">
      <w:pPr>
        <w:pStyle w:val="3"/>
        <w:rPr>
          <w:rFonts w:hint="default" w:ascii="Times New Roman" w:hAnsi="Times New Roman" w:eastAsia="方正小标宋简体" w:cs="Times New Roman"/>
          <w:sz w:val="44"/>
          <w:szCs w:val="44"/>
        </w:rPr>
      </w:pPr>
    </w:p>
    <w:p w14:paraId="194734D1">
      <w:pPr>
        <w:rPr>
          <w:rFonts w:hint="default" w:ascii="Times New Roman" w:hAnsi="Times New Roman" w:eastAsia="方正小标宋简体" w:cs="Times New Roman"/>
          <w:sz w:val="44"/>
          <w:szCs w:val="44"/>
        </w:rPr>
      </w:pPr>
    </w:p>
    <w:p w14:paraId="66504F1D">
      <w:pPr>
        <w:pStyle w:val="2"/>
        <w:rPr>
          <w:rFonts w:hint="default" w:ascii="Times New Roman" w:hAnsi="Times New Roman" w:eastAsia="方正小标宋简体" w:cs="Times New Roman"/>
          <w:sz w:val="44"/>
          <w:szCs w:val="44"/>
        </w:rPr>
      </w:pPr>
    </w:p>
    <w:p w14:paraId="071829D6">
      <w:pPr>
        <w:pStyle w:val="3"/>
        <w:rPr>
          <w:rFonts w:hint="default" w:ascii="Times New Roman" w:hAnsi="Times New Roman" w:eastAsia="方正小标宋简体" w:cs="Times New Roman"/>
          <w:sz w:val="44"/>
          <w:szCs w:val="44"/>
        </w:rPr>
      </w:pPr>
    </w:p>
    <w:p w14:paraId="291C734F">
      <w:pPr>
        <w:rPr>
          <w:rFonts w:hint="default" w:ascii="Times New Roman" w:hAnsi="Times New Roman" w:eastAsia="方正小标宋简体" w:cs="Times New Roman"/>
          <w:sz w:val="44"/>
          <w:szCs w:val="44"/>
        </w:rPr>
      </w:pPr>
    </w:p>
    <w:p w14:paraId="02B9F845">
      <w:pPr>
        <w:pStyle w:val="2"/>
        <w:rPr>
          <w:rFonts w:hint="default" w:ascii="Times New Roman" w:hAnsi="Times New Roman" w:eastAsia="方正小标宋简体" w:cs="Times New Roman"/>
          <w:sz w:val="44"/>
          <w:szCs w:val="44"/>
        </w:rPr>
      </w:pPr>
    </w:p>
    <w:p w14:paraId="716A6008">
      <w:pPr>
        <w:pStyle w:val="3"/>
        <w:rPr>
          <w:rFonts w:hint="default" w:ascii="Times New Roman" w:hAnsi="Times New Roman" w:cs="Times New Roman"/>
        </w:rPr>
      </w:pPr>
    </w:p>
    <w:p w14:paraId="3D345F57">
      <w:pPr>
        <w:spacing w:line="600" w:lineRule="exact"/>
        <w:jc w:val="center"/>
        <w:rPr>
          <w:rFonts w:hint="default" w:ascii="Times New Roman" w:hAnsi="Times New Roman" w:eastAsia="方正小标宋简体" w:cs="Times New Roman"/>
          <w:sz w:val="44"/>
          <w:szCs w:val="44"/>
        </w:rPr>
      </w:pPr>
    </w:p>
    <w:p w14:paraId="761125F2">
      <w:pPr>
        <w:spacing w:line="600" w:lineRule="exact"/>
        <w:jc w:val="both"/>
        <w:rPr>
          <w:rFonts w:hint="default" w:ascii="Times New Roman" w:hAnsi="Times New Roman" w:eastAsia="方正小标宋简体" w:cs="Times New Roman"/>
          <w:sz w:val="44"/>
          <w:szCs w:val="44"/>
        </w:rPr>
      </w:pPr>
    </w:p>
    <w:p w14:paraId="4B58EDF0">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第五部分 附表</w:t>
      </w:r>
      <w:bookmarkEnd w:id="48"/>
      <w:bookmarkEnd w:id="49"/>
      <w:bookmarkStart w:id="50" w:name="_Toc15396619"/>
    </w:p>
    <w:p w14:paraId="64656171">
      <w:pPr>
        <w:rPr>
          <w:rFonts w:hint="default" w:ascii="Times New Roman" w:hAnsi="Times New Roman" w:eastAsia="方正仿宋_GBK" w:cs="Times New Roman"/>
          <w:sz w:val="32"/>
          <w:szCs w:val="32"/>
        </w:rPr>
      </w:pPr>
    </w:p>
    <w:p w14:paraId="59B4CD7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bookmarkEnd w:id="50"/>
    </w:p>
    <w:p w14:paraId="1DADB67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1" w:name="_Toc15396620"/>
      <w:r>
        <w:rPr>
          <w:rFonts w:hint="default" w:ascii="Times New Roman" w:hAnsi="Times New Roman" w:eastAsia="方正仿宋_GBK" w:cs="Times New Roman"/>
          <w:sz w:val="32"/>
          <w:szCs w:val="32"/>
        </w:rPr>
        <w:t>二、收入决算表</w:t>
      </w:r>
      <w:bookmarkEnd w:id="51"/>
    </w:p>
    <w:p w14:paraId="16C9220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2" w:name="_Toc15396621"/>
      <w:r>
        <w:rPr>
          <w:rFonts w:hint="default" w:ascii="Times New Roman" w:hAnsi="Times New Roman" w:eastAsia="方正仿宋_GBK" w:cs="Times New Roman"/>
          <w:sz w:val="32"/>
          <w:szCs w:val="32"/>
        </w:rPr>
        <w:t>三、支出决算表</w:t>
      </w:r>
      <w:bookmarkEnd w:id="52"/>
    </w:p>
    <w:p w14:paraId="74B22B6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3" w:name="_Toc15396622"/>
      <w:r>
        <w:rPr>
          <w:rFonts w:hint="default" w:ascii="Times New Roman" w:hAnsi="Times New Roman" w:eastAsia="方正仿宋_GBK" w:cs="Times New Roman"/>
          <w:sz w:val="32"/>
          <w:szCs w:val="32"/>
        </w:rPr>
        <w:t>四、财政拨款收入支出决算总表</w:t>
      </w:r>
      <w:bookmarkEnd w:id="53"/>
    </w:p>
    <w:p w14:paraId="6FE76DA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4" w:name="_Toc15396623"/>
      <w:r>
        <w:rPr>
          <w:rFonts w:hint="default" w:ascii="Times New Roman" w:hAnsi="Times New Roman" w:eastAsia="方正仿宋_GBK" w:cs="Times New Roman"/>
          <w:sz w:val="32"/>
          <w:szCs w:val="32"/>
        </w:rPr>
        <w:t>五、财政拨款支出决算明细表</w:t>
      </w:r>
      <w:bookmarkEnd w:id="54"/>
      <w:bookmarkStart w:id="55" w:name="_Toc15396624"/>
    </w:p>
    <w:p w14:paraId="497BC31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bookmarkEnd w:id="55"/>
    </w:p>
    <w:p w14:paraId="3AFF6BE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6" w:name="_Toc15396625"/>
      <w:r>
        <w:rPr>
          <w:rFonts w:hint="default" w:ascii="Times New Roman" w:hAnsi="Times New Roman" w:eastAsia="方正仿宋_GBK" w:cs="Times New Roman"/>
          <w:sz w:val="32"/>
          <w:szCs w:val="32"/>
        </w:rPr>
        <w:t>七、一般公共预算财政拨款支出决算明细表</w:t>
      </w:r>
      <w:bookmarkEnd w:id="56"/>
    </w:p>
    <w:p w14:paraId="69F7BFC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7" w:name="_Toc15396626"/>
      <w:r>
        <w:rPr>
          <w:rFonts w:hint="default" w:ascii="Times New Roman" w:hAnsi="Times New Roman" w:eastAsia="方正仿宋_GBK" w:cs="Times New Roman"/>
          <w:sz w:val="32"/>
          <w:szCs w:val="32"/>
        </w:rPr>
        <w:t>八、一般公共预算财政拨款基本支出决算</w:t>
      </w:r>
      <w:r>
        <w:rPr>
          <w:rFonts w:hint="default" w:ascii="Times New Roman" w:hAnsi="Times New Roman" w:eastAsia="方正仿宋_GBK" w:cs="Times New Roman"/>
          <w:sz w:val="32"/>
          <w:szCs w:val="32"/>
          <w:lang w:eastAsia="zh-CN"/>
        </w:rPr>
        <w:t>明细</w:t>
      </w:r>
      <w:r>
        <w:rPr>
          <w:rFonts w:hint="default" w:ascii="Times New Roman" w:hAnsi="Times New Roman" w:eastAsia="方正仿宋_GBK" w:cs="Times New Roman"/>
          <w:sz w:val="32"/>
          <w:szCs w:val="32"/>
        </w:rPr>
        <w:t>表</w:t>
      </w:r>
      <w:bookmarkEnd w:id="57"/>
    </w:p>
    <w:p w14:paraId="472D0B6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8" w:name="_Toc15396627"/>
      <w:r>
        <w:rPr>
          <w:rFonts w:hint="default" w:ascii="Times New Roman" w:hAnsi="Times New Roman" w:eastAsia="方正仿宋_GBK" w:cs="Times New Roman"/>
          <w:sz w:val="32"/>
          <w:szCs w:val="32"/>
        </w:rPr>
        <w:t>九、一般公共预算财政拨款项目支出决算表</w:t>
      </w:r>
      <w:bookmarkEnd w:id="58"/>
    </w:p>
    <w:p w14:paraId="2EB38A0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59" w:name="_Toc15396628"/>
      <w:r>
        <w:rPr>
          <w:rFonts w:hint="default" w:ascii="Times New Roman" w:hAnsi="Times New Roman" w:eastAsia="方正仿宋_GBK" w:cs="Times New Roman"/>
          <w:sz w:val="32"/>
          <w:szCs w:val="32"/>
        </w:rPr>
        <w:t>十、</w:t>
      </w:r>
      <w:bookmarkEnd w:id="59"/>
      <w:r>
        <w:rPr>
          <w:rFonts w:hint="default" w:ascii="Times New Roman" w:hAnsi="Times New Roman" w:eastAsia="方正仿宋_GBK" w:cs="Times New Roman"/>
          <w:sz w:val="32"/>
          <w:szCs w:val="32"/>
        </w:rPr>
        <w:t>政府性基金预算财政拨款收入支出决算表</w:t>
      </w:r>
    </w:p>
    <w:p w14:paraId="598FBE2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60" w:name="_Toc15396629"/>
      <w:r>
        <w:rPr>
          <w:rFonts w:hint="default" w:ascii="Times New Roman" w:hAnsi="Times New Roman" w:eastAsia="方正仿宋_GBK" w:cs="Times New Roman"/>
          <w:sz w:val="32"/>
          <w:szCs w:val="32"/>
        </w:rPr>
        <w:t>十一、</w:t>
      </w:r>
      <w:bookmarkEnd w:id="60"/>
      <w:r>
        <w:rPr>
          <w:rFonts w:hint="default" w:ascii="Times New Roman" w:hAnsi="Times New Roman" w:eastAsia="方正仿宋_GBK" w:cs="Times New Roman"/>
          <w:sz w:val="32"/>
          <w:szCs w:val="32"/>
        </w:rPr>
        <w:t>国有资本经营预算财政拨款收入支出决算表</w:t>
      </w:r>
    </w:p>
    <w:p w14:paraId="7F75C6D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61" w:name="_Toc15396630"/>
      <w:r>
        <w:rPr>
          <w:rFonts w:hint="default" w:ascii="Times New Roman" w:hAnsi="Times New Roman" w:eastAsia="方正仿宋_GBK" w:cs="Times New Roman"/>
          <w:sz w:val="32"/>
          <w:szCs w:val="32"/>
        </w:rPr>
        <w:t>十二、</w:t>
      </w:r>
      <w:bookmarkEnd w:id="61"/>
      <w:r>
        <w:rPr>
          <w:rFonts w:hint="default" w:ascii="Times New Roman" w:hAnsi="Times New Roman" w:eastAsia="方正仿宋_GBK" w:cs="Times New Roman"/>
          <w:sz w:val="32"/>
          <w:szCs w:val="32"/>
        </w:rPr>
        <w:t>国有资本经营预算财政拨款支出决算表</w:t>
      </w:r>
    </w:p>
    <w:p w14:paraId="10F6A5D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bookmarkStart w:id="62" w:name="_Toc15396631"/>
      <w:r>
        <w:rPr>
          <w:rFonts w:hint="default" w:ascii="Times New Roman" w:hAnsi="Times New Roman" w:eastAsia="方正仿宋_GBK" w:cs="Times New Roman"/>
          <w:sz w:val="32"/>
          <w:szCs w:val="32"/>
        </w:rPr>
        <w:t>十三、</w:t>
      </w:r>
      <w:bookmarkEnd w:id="62"/>
      <w:r>
        <w:rPr>
          <w:rFonts w:hint="default" w:ascii="Times New Roman" w:hAnsi="Times New Roman" w:eastAsia="方正仿宋_GBK" w:cs="Times New Roman"/>
          <w:sz w:val="32"/>
          <w:szCs w:val="32"/>
        </w:rPr>
        <w:t>财政拨款“三公”经费支出决算表</w:t>
      </w:r>
    </w:p>
    <w:sectPr>
      <w:headerReference r:id="rId8" w:type="default"/>
      <w:footerReference r:id="rId9" w:type="default"/>
      <w:pgSz w:w="11906" w:h="16838"/>
      <w:pgMar w:top="2098" w:right="1587" w:bottom="1984" w:left="158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仿宋">
    <w:altName w:val="仿宋_GB2312"/>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520D">
    <w:pPr>
      <w:pStyle w:val="10"/>
      <w:rPr>
        <w:rFonts w:hint="default"/>
        <w:lang w:val="en-US"/>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8399B">
    <w:pPr>
      <w:pStyle w:val="10"/>
    </w:pPr>
    <w:r>
      <w:rPr>
        <w:sz w:val="18"/>
      </w:rPr>
      <mc:AlternateContent>
        <mc:Choice Requires="wps">
          <w:drawing>
            <wp:anchor distT="0" distB="0" distL="113665" distR="113665" simplePos="0" relativeHeight="251659264" behindDoc="0" locked="0" layoutInCell="1" allowOverlap="1">
              <wp:simplePos x="0" y="0"/>
              <wp:positionH relativeFrom="margin">
                <wp:posOffset>2604770</wp:posOffset>
              </wp:positionH>
              <wp:positionV relativeFrom="paragraph">
                <wp:posOffset>102870</wp:posOffset>
              </wp:positionV>
              <wp:extent cx="88900" cy="230505"/>
              <wp:effectExtent l="0" t="0" r="0" b="0"/>
              <wp:wrapNone/>
              <wp:docPr id="10" name="文本框 16"/>
              <wp:cNvGraphicFramePr/>
              <a:graphic xmlns:a="http://schemas.openxmlformats.org/drawingml/2006/main">
                <a:graphicData uri="http://schemas.microsoft.com/office/word/2010/wordprocessingShape">
                  <wps:wsp>
                    <wps:cNvSpPr/>
                    <wps:spPr>
                      <a:xfrm>
                        <a:off x="0" y="0"/>
                        <a:ext cx="88899" cy="230251"/>
                      </a:xfrm>
                      <a:prstGeom prst="rect">
                        <a:avLst/>
                      </a:prstGeom>
                      <a:noFill/>
                      <a:ln w="6350" cap="flat" cmpd="sng">
                        <a:noFill/>
                        <a:prstDash val="solid"/>
                        <a:round/>
                      </a:ln>
                    </wps:spPr>
                    <wps:txbx>
                      <w:txbxContent>
                        <w:p w14:paraId="0B99E859">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6" o:spid="_x0000_s1026" o:spt="1" style="position:absolute;left:0pt;margin-left:205.1pt;margin-top:8.1pt;height:18.15pt;width:7pt;mso-position-horizontal-relative:margin;mso-wrap-style:none;z-index:251659264;mso-width-relative:page;mso-height-relative:page;" filled="f" stroked="f" coordsize="21600,21600" o:gfxdata="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&#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aIQyTaAAAACQEAAA8AAAAAAAAAAQAgAAAAIgAAAGRy&#10;cy9kb3ducmV2LnhtbFBLAQIUABQAAAAIAIdO4kDhlfodAwIAAPUDAAAOAAAAAAAAAAEAIAAAACkB&#10;AABkcnMvZTJvRG9jLnhtbFBLBQYAAAAABgAGAFkBAACeBQAAAAA=&#10;">
              <v:fill on="f" focussize="0,0"/>
              <v:stroke on="f" weight="0.5pt" joinstyle="round"/>
              <v:imagedata o:title=""/>
              <o:lock v:ext="edit" aspectratio="f"/>
              <v:textbox inset="0mm,0mm,0mm,0mm" style="mso-fit-shape-to-text:t;">
                <w:txbxContent>
                  <w:p w14:paraId="0B99E859">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38DF8">
    <w:pPr>
      <w:pStyle w:val="10"/>
      <w:rPr>
        <w:rFonts w:hint="default"/>
        <w:lang w:val="en-US"/>
      </w:rPr>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52173">
    <w:pPr>
      <w:pStyle w:val="10"/>
      <w:rPr>
        <w:rFonts w:hint="default"/>
        <w:lang w:val="en-US"/>
      </w:rPr>
    </w:pP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177B">
    <w:pPr>
      <w:pStyle w:val="10"/>
      <w:rPr>
        <w:rFonts w:hint="default"/>
        <w:lang w:val="en-US"/>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A10D1">
                          <w:pPr>
                            <w:pStyle w:val="10"/>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64A10D1">
                    <w:pPr>
                      <w:pStyle w:val="10"/>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3F162">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8CC31">
                          <w:pPr>
                            <w:pStyle w:val="10"/>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658CC31">
                    <w:pPr>
                      <w:pStyle w:val="10"/>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897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DC2831"/>
    <w:rsid w:val="081B5E94"/>
    <w:rsid w:val="0A2032A3"/>
    <w:rsid w:val="0B3FADAD"/>
    <w:rsid w:val="0B8A37D8"/>
    <w:rsid w:val="0EAD65DA"/>
    <w:rsid w:val="0F5FFB2F"/>
    <w:rsid w:val="0F7B1449"/>
    <w:rsid w:val="0FC07FD0"/>
    <w:rsid w:val="0FDE615F"/>
    <w:rsid w:val="0FF7AC47"/>
    <w:rsid w:val="0FFB3E7F"/>
    <w:rsid w:val="0FFFCF60"/>
    <w:rsid w:val="0FFFEF45"/>
    <w:rsid w:val="10C055FF"/>
    <w:rsid w:val="118107EC"/>
    <w:rsid w:val="11DD6519"/>
    <w:rsid w:val="153F34A1"/>
    <w:rsid w:val="15F65B8B"/>
    <w:rsid w:val="16BB723D"/>
    <w:rsid w:val="176B9606"/>
    <w:rsid w:val="17EDB1F0"/>
    <w:rsid w:val="17F7C435"/>
    <w:rsid w:val="17FECBB0"/>
    <w:rsid w:val="17FF3BED"/>
    <w:rsid w:val="17FF5FAB"/>
    <w:rsid w:val="17FFCBE5"/>
    <w:rsid w:val="17FFDA6A"/>
    <w:rsid w:val="18015F3F"/>
    <w:rsid w:val="196D8958"/>
    <w:rsid w:val="1B7FD8C4"/>
    <w:rsid w:val="1BB76283"/>
    <w:rsid w:val="1BE8440E"/>
    <w:rsid w:val="1BF9CA1C"/>
    <w:rsid w:val="1BFCD136"/>
    <w:rsid w:val="1BFEFDE8"/>
    <w:rsid w:val="1D155CEE"/>
    <w:rsid w:val="1DFF08D2"/>
    <w:rsid w:val="1F5EFA19"/>
    <w:rsid w:val="1FC7C17D"/>
    <w:rsid w:val="1FD61D84"/>
    <w:rsid w:val="1FDBBF84"/>
    <w:rsid w:val="1FEF3BB7"/>
    <w:rsid w:val="1FF45348"/>
    <w:rsid w:val="1FF73C1C"/>
    <w:rsid w:val="1FF9DAAC"/>
    <w:rsid w:val="204F09D6"/>
    <w:rsid w:val="20F57F95"/>
    <w:rsid w:val="23CF87E3"/>
    <w:rsid w:val="23EEC53B"/>
    <w:rsid w:val="240371BF"/>
    <w:rsid w:val="24FFBAA1"/>
    <w:rsid w:val="25711CC6"/>
    <w:rsid w:val="257F2EC7"/>
    <w:rsid w:val="25BFCF0E"/>
    <w:rsid w:val="25C741E6"/>
    <w:rsid w:val="275F346A"/>
    <w:rsid w:val="276F80C0"/>
    <w:rsid w:val="27842671"/>
    <w:rsid w:val="27FB3941"/>
    <w:rsid w:val="27FF5271"/>
    <w:rsid w:val="29EFDBAE"/>
    <w:rsid w:val="29FD04D3"/>
    <w:rsid w:val="2ABE7A3E"/>
    <w:rsid w:val="2AFF09B6"/>
    <w:rsid w:val="2C9936F1"/>
    <w:rsid w:val="2CA234A8"/>
    <w:rsid w:val="2CBDEEE9"/>
    <w:rsid w:val="2CF980F5"/>
    <w:rsid w:val="2E755160"/>
    <w:rsid w:val="2E77FC51"/>
    <w:rsid w:val="2EFA178C"/>
    <w:rsid w:val="2EFDF86C"/>
    <w:rsid w:val="2EFF7971"/>
    <w:rsid w:val="2F1FC488"/>
    <w:rsid w:val="2F7F1156"/>
    <w:rsid w:val="2F7F252D"/>
    <w:rsid w:val="2F9D17E1"/>
    <w:rsid w:val="2FAFFA07"/>
    <w:rsid w:val="2FF512C9"/>
    <w:rsid w:val="2FF764C2"/>
    <w:rsid w:val="2FFFCC58"/>
    <w:rsid w:val="306F5FFF"/>
    <w:rsid w:val="30B46D73"/>
    <w:rsid w:val="315D0972"/>
    <w:rsid w:val="317A62E6"/>
    <w:rsid w:val="319F7F4E"/>
    <w:rsid w:val="31B79277"/>
    <w:rsid w:val="31D5C9FA"/>
    <w:rsid w:val="33DE44F2"/>
    <w:rsid w:val="33DFE17B"/>
    <w:rsid w:val="347FEF9D"/>
    <w:rsid w:val="356A28F1"/>
    <w:rsid w:val="35777400"/>
    <w:rsid w:val="357C035A"/>
    <w:rsid w:val="35C5150B"/>
    <w:rsid w:val="363B4F7A"/>
    <w:rsid w:val="364F8544"/>
    <w:rsid w:val="366DE105"/>
    <w:rsid w:val="367F0982"/>
    <w:rsid w:val="368E000D"/>
    <w:rsid w:val="36EC4E44"/>
    <w:rsid w:val="36FE6998"/>
    <w:rsid w:val="373E5A05"/>
    <w:rsid w:val="37B425A7"/>
    <w:rsid w:val="37EF3CE5"/>
    <w:rsid w:val="37FDE1B4"/>
    <w:rsid w:val="383D272C"/>
    <w:rsid w:val="38A77E0D"/>
    <w:rsid w:val="38D271CD"/>
    <w:rsid w:val="38E67003"/>
    <w:rsid w:val="399AF9A9"/>
    <w:rsid w:val="39AE70AB"/>
    <w:rsid w:val="39D80F0B"/>
    <w:rsid w:val="39FB63F8"/>
    <w:rsid w:val="3A4DCE41"/>
    <w:rsid w:val="3A778A3D"/>
    <w:rsid w:val="3BCB56FA"/>
    <w:rsid w:val="3BD9AB7B"/>
    <w:rsid w:val="3BDBA3E7"/>
    <w:rsid w:val="3BDC3BC4"/>
    <w:rsid w:val="3BEB6F86"/>
    <w:rsid w:val="3BF1FF8C"/>
    <w:rsid w:val="3BFB4D3F"/>
    <w:rsid w:val="3BFDC0CA"/>
    <w:rsid w:val="3BFF0AAC"/>
    <w:rsid w:val="3C0C0783"/>
    <w:rsid w:val="3CEFCA5D"/>
    <w:rsid w:val="3D7BF508"/>
    <w:rsid w:val="3D7CFD8B"/>
    <w:rsid w:val="3D9F33EC"/>
    <w:rsid w:val="3DDE441C"/>
    <w:rsid w:val="3DEF44C2"/>
    <w:rsid w:val="3DFF6A7E"/>
    <w:rsid w:val="3E5A5E38"/>
    <w:rsid w:val="3E7FC449"/>
    <w:rsid w:val="3EB789FC"/>
    <w:rsid w:val="3EDB04C4"/>
    <w:rsid w:val="3EDF1A0A"/>
    <w:rsid w:val="3EE4138F"/>
    <w:rsid w:val="3EE7C2F4"/>
    <w:rsid w:val="3EF3503C"/>
    <w:rsid w:val="3EF795A9"/>
    <w:rsid w:val="3EFD2A58"/>
    <w:rsid w:val="3EFDB299"/>
    <w:rsid w:val="3EFF324E"/>
    <w:rsid w:val="3F371B56"/>
    <w:rsid w:val="3F662301"/>
    <w:rsid w:val="3F6D3726"/>
    <w:rsid w:val="3F6FCE1B"/>
    <w:rsid w:val="3F73F7FF"/>
    <w:rsid w:val="3F792ED8"/>
    <w:rsid w:val="3F7F65C0"/>
    <w:rsid w:val="3F7F6649"/>
    <w:rsid w:val="3F9ED2A7"/>
    <w:rsid w:val="3F9F3A96"/>
    <w:rsid w:val="3FA7AFD4"/>
    <w:rsid w:val="3FAF5DCB"/>
    <w:rsid w:val="3FBA6820"/>
    <w:rsid w:val="3FD9B101"/>
    <w:rsid w:val="3FDDB471"/>
    <w:rsid w:val="3FDF19F7"/>
    <w:rsid w:val="3FEAD810"/>
    <w:rsid w:val="3FECA4B2"/>
    <w:rsid w:val="3FEE864C"/>
    <w:rsid w:val="3FEF4B94"/>
    <w:rsid w:val="3FF16CF1"/>
    <w:rsid w:val="3FF35660"/>
    <w:rsid w:val="3FF58C48"/>
    <w:rsid w:val="3FFE9572"/>
    <w:rsid w:val="3FFF7B03"/>
    <w:rsid w:val="3FFF9AE2"/>
    <w:rsid w:val="417F642C"/>
    <w:rsid w:val="42FF6694"/>
    <w:rsid w:val="44FF6E4D"/>
    <w:rsid w:val="45FB913F"/>
    <w:rsid w:val="48BF60AB"/>
    <w:rsid w:val="492BD670"/>
    <w:rsid w:val="493C27E9"/>
    <w:rsid w:val="496F39ED"/>
    <w:rsid w:val="49AE8492"/>
    <w:rsid w:val="49FF41D3"/>
    <w:rsid w:val="4ABFF669"/>
    <w:rsid w:val="4B7EE476"/>
    <w:rsid w:val="4BBCD246"/>
    <w:rsid w:val="4BE068DB"/>
    <w:rsid w:val="4BEE46F4"/>
    <w:rsid w:val="4BF6002B"/>
    <w:rsid w:val="4BF76FFF"/>
    <w:rsid w:val="4BFA5859"/>
    <w:rsid w:val="4BFFC6BE"/>
    <w:rsid w:val="4C7FCDBD"/>
    <w:rsid w:val="4CAEE2BF"/>
    <w:rsid w:val="4DD32C76"/>
    <w:rsid w:val="4DDE0E91"/>
    <w:rsid w:val="4DE73374"/>
    <w:rsid w:val="4DFB55DC"/>
    <w:rsid w:val="4E87273A"/>
    <w:rsid w:val="4ECE2238"/>
    <w:rsid w:val="4EDFDAB2"/>
    <w:rsid w:val="4EDFFAA3"/>
    <w:rsid w:val="4EFE9E42"/>
    <w:rsid w:val="4F7F078D"/>
    <w:rsid w:val="4FB7467A"/>
    <w:rsid w:val="4FD9257B"/>
    <w:rsid w:val="4FEB71C6"/>
    <w:rsid w:val="4FF57635"/>
    <w:rsid w:val="4FFA1B48"/>
    <w:rsid w:val="51DB4B86"/>
    <w:rsid w:val="51F64DB0"/>
    <w:rsid w:val="52DEDAD8"/>
    <w:rsid w:val="539B6A6E"/>
    <w:rsid w:val="53E567BD"/>
    <w:rsid w:val="53F25020"/>
    <w:rsid w:val="53F7091D"/>
    <w:rsid w:val="55333C3E"/>
    <w:rsid w:val="555C55E8"/>
    <w:rsid w:val="55DFE8CB"/>
    <w:rsid w:val="55EB2CB9"/>
    <w:rsid w:val="55FCB150"/>
    <w:rsid w:val="55FEB66F"/>
    <w:rsid w:val="55FF015E"/>
    <w:rsid w:val="55FFD869"/>
    <w:rsid w:val="567FD5AA"/>
    <w:rsid w:val="57EB4BC1"/>
    <w:rsid w:val="57EF91B9"/>
    <w:rsid w:val="57EFAD84"/>
    <w:rsid w:val="57FB6D07"/>
    <w:rsid w:val="57FD9C71"/>
    <w:rsid w:val="58BD3B4A"/>
    <w:rsid w:val="58FF4F9D"/>
    <w:rsid w:val="591B2120"/>
    <w:rsid w:val="59FE1B16"/>
    <w:rsid w:val="5A37609A"/>
    <w:rsid w:val="5ABEB23E"/>
    <w:rsid w:val="5AE5E8DA"/>
    <w:rsid w:val="5AFF9C0F"/>
    <w:rsid w:val="5B33F595"/>
    <w:rsid w:val="5B730944"/>
    <w:rsid w:val="5BA4AFE5"/>
    <w:rsid w:val="5BCC02AB"/>
    <w:rsid w:val="5BDE2720"/>
    <w:rsid w:val="5BEA9319"/>
    <w:rsid w:val="5D3BD363"/>
    <w:rsid w:val="5D4F9EAD"/>
    <w:rsid w:val="5D5FDC13"/>
    <w:rsid w:val="5D9551A9"/>
    <w:rsid w:val="5D9FA9BD"/>
    <w:rsid w:val="5DE7D7F7"/>
    <w:rsid w:val="5DF7F3C2"/>
    <w:rsid w:val="5DFD6EC1"/>
    <w:rsid w:val="5E32A37A"/>
    <w:rsid w:val="5E62B15B"/>
    <w:rsid w:val="5E755871"/>
    <w:rsid w:val="5EDA329E"/>
    <w:rsid w:val="5EE3C106"/>
    <w:rsid w:val="5EF7DECA"/>
    <w:rsid w:val="5EF9CF1A"/>
    <w:rsid w:val="5F1B09CD"/>
    <w:rsid w:val="5F67802D"/>
    <w:rsid w:val="5F6FEA3F"/>
    <w:rsid w:val="5F77F000"/>
    <w:rsid w:val="5F7B015A"/>
    <w:rsid w:val="5F7DA515"/>
    <w:rsid w:val="5F7DC4F2"/>
    <w:rsid w:val="5F7E738C"/>
    <w:rsid w:val="5F7F4BDA"/>
    <w:rsid w:val="5F91A175"/>
    <w:rsid w:val="5F975347"/>
    <w:rsid w:val="5FB36814"/>
    <w:rsid w:val="5FBB8E56"/>
    <w:rsid w:val="5FE624C7"/>
    <w:rsid w:val="5FEEA05D"/>
    <w:rsid w:val="5FEF4F9B"/>
    <w:rsid w:val="5FF31DD8"/>
    <w:rsid w:val="5FF7C329"/>
    <w:rsid w:val="5FF92FCC"/>
    <w:rsid w:val="5FFB5535"/>
    <w:rsid w:val="5FFCCFF4"/>
    <w:rsid w:val="5FFDBBE5"/>
    <w:rsid w:val="5FFE226B"/>
    <w:rsid w:val="623FFBB2"/>
    <w:rsid w:val="63060A19"/>
    <w:rsid w:val="637FAB8F"/>
    <w:rsid w:val="6399DAC6"/>
    <w:rsid w:val="63FF0FF0"/>
    <w:rsid w:val="64CA39A1"/>
    <w:rsid w:val="656FFAB4"/>
    <w:rsid w:val="65FE88E9"/>
    <w:rsid w:val="671B9323"/>
    <w:rsid w:val="6737895C"/>
    <w:rsid w:val="676BFD90"/>
    <w:rsid w:val="677D5956"/>
    <w:rsid w:val="677D69B8"/>
    <w:rsid w:val="677FA93D"/>
    <w:rsid w:val="679F325C"/>
    <w:rsid w:val="67DC1566"/>
    <w:rsid w:val="67FF15E9"/>
    <w:rsid w:val="68EDC3E5"/>
    <w:rsid w:val="69630ADE"/>
    <w:rsid w:val="69BD5F13"/>
    <w:rsid w:val="69DF55D9"/>
    <w:rsid w:val="69FB0B4B"/>
    <w:rsid w:val="6A9F8BEE"/>
    <w:rsid w:val="6B77E8AF"/>
    <w:rsid w:val="6B79D9BD"/>
    <w:rsid w:val="6BD511C1"/>
    <w:rsid w:val="6BDF464E"/>
    <w:rsid w:val="6BDF7A42"/>
    <w:rsid w:val="6BF5A527"/>
    <w:rsid w:val="6BFFE1FB"/>
    <w:rsid w:val="6C4A05C8"/>
    <w:rsid w:val="6C77E800"/>
    <w:rsid w:val="6D3B1A89"/>
    <w:rsid w:val="6D97C2F1"/>
    <w:rsid w:val="6D9F0FC6"/>
    <w:rsid w:val="6DABA5C5"/>
    <w:rsid w:val="6DB7D8A3"/>
    <w:rsid w:val="6DD7B8AD"/>
    <w:rsid w:val="6DDF223B"/>
    <w:rsid w:val="6DFF8F52"/>
    <w:rsid w:val="6E6FCCA6"/>
    <w:rsid w:val="6E7E79C8"/>
    <w:rsid w:val="6E9FEACC"/>
    <w:rsid w:val="6EBD7C57"/>
    <w:rsid w:val="6EC78701"/>
    <w:rsid w:val="6EF39DAA"/>
    <w:rsid w:val="6EF3F80B"/>
    <w:rsid w:val="6EFF8C89"/>
    <w:rsid w:val="6EFFD583"/>
    <w:rsid w:val="6F3C26AA"/>
    <w:rsid w:val="6F4F83C0"/>
    <w:rsid w:val="6F56828D"/>
    <w:rsid w:val="6F5F4A99"/>
    <w:rsid w:val="6F6FCA02"/>
    <w:rsid w:val="6F776C70"/>
    <w:rsid w:val="6F7A5481"/>
    <w:rsid w:val="6F7FD352"/>
    <w:rsid w:val="6F99A049"/>
    <w:rsid w:val="6FA521CE"/>
    <w:rsid w:val="6FA5C3C8"/>
    <w:rsid w:val="6FADB10F"/>
    <w:rsid w:val="6FAF0C53"/>
    <w:rsid w:val="6FB6B0EF"/>
    <w:rsid w:val="6FBF2F20"/>
    <w:rsid w:val="6FBF692E"/>
    <w:rsid w:val="6FBF767C"/>
    <w:rsid w:val="6FBF80CF"/>
    <w:rsid w:val="6FBF8537"/>
    <w:rsid w:val="6FDE3695"/>
    <w:rsid w:val="6FDFDD11"/>
    <w:rsid w:val="6FECD830"/>
    <w:rsid w:val="6FEF6DE5"/>
    <w:rsid w:val="6FF31ED8"/>
    <w:rsid w:val="6FF924E4"/>
    <w:rsid w:val="6FFB15AB"/>
    <w:rsid w:val="6FFDD65F"/>
    <w:rsid w:val="6FFE07A9"/>
    <w:rsid w:val="6FFF39C8"/>
    <w:rsid w:val="6FFFF43B"/>
    <w:rsid w:val="70DFEBBA"/>
    <w:rsid w:val="71577065"/>
    <w:rsid w:val="71BF4EC2"/>
    <w:rsid w:val="72734D90"/>
    <w:rsid w:val="72B1CF83"/>
    <w:rsid w:val="72E78E52"/>
    <w:rsid w:val="731D78BB"/>
    <w:rsid w:val="737F340D"/>
    <w:rsid w:val="737F7429"/>
    <w:rsid w:val="739D26BF"/>
    <w:rsid w:val="73BBA91F"/>
    <w:rsid w:val="73BF571D"/>
    <w:rsid w:val="73D7FDA1"/>
    <w:rsid w:val="73E75B71"/>
    <w:rsid w:val="73F56DBE"/>
    <w:rsid w:val="73FD0322"/>
    <w:rsid w:val="73FE43B5"/>
    <w:rsid w:val="73FF76E5"/>
    <w:rsid w:val="7412278C"/>
    <w:rsid w:val="747F8567"/>
    <w:rsid w:val="74F7F7AF"/>
    <w:rsid w:val="74FBB10C"/>
    <w:rsid w:val="74FD00CF"/>
    <w:rsid w:val="74FEE30A"/>
    <w:rsid w:val="755FE68A"/>
    <w:rsid w:val="757B9A86"/>
    <w:rsid w:val="75AFD83F"/>
    <w:rsid w:val="75BD5859"/>
    <w:rsid w:val="75BF1CB8"/>
    <w:rsid w:val="75BF6771"/>
    <w:rsid w:val="75DDCDA9"/>
    <w:rsid w:val="75DFD58F"/>
    <w:rsid w:val="75E825D2"/>
    <w:rsid w:val="75EE074B"/>
    <w:rsid w:val="75EFBCAC"/>
    <w:rsid w:val="75F8E0AD"/>
    <w:rsid w:val="75FF44B1"/>
    <w:rsid w:val="763FFFDE"/>
    <w:rsid w:val="767B220C"/>
    <w:rsid w:val="768B3695"/>
    <w:rsid w:val="76AF2F08"/>
    <w:rsid w:val="76BE4648"/>
    <w:rsid w:val="76DBFDBC"/>
    <w:rsid w:val="76EF56EE"/>
    <w:rsid w:val="76F72C36"/>
    <w:rsid w:val="76FBDA01"/>
    <w:rsid w:val="771FE644"/>
    <w:rsid w:val="772F6511"/>
    <w:rsid w:val="773EF79D"/>
    <w:rsid w:val="7753FE85"/>
    <w:rsid w:val="77590980"/>
    <w:rsid w:val="775F6ECE"/>
    <w:rsid w:val="7765AACC"/>
    <w:rsid w:val="77670518"/>
    <w:rsid w:val="7779118C"/>
    <w:rsid w:val="777DDB76"/>
    <w:rsid w:val="777E54C2"/>
    <w:rsid w:val="777F87EF"/>
    <w:rsid w:val="777FA627"/>
    <w:rsid w:val="77B08957"/>
    <w:rsid w:val="77B3A786"/>
    <w:rsid w:val="77BA5531"/>
    <w:rsid w:val="77BBD62B"/>
    <w:rsid w:val="77BD9E9F"/>
    <w:rsid w:val="77CD9BB0"/>
    <w:rsid w:val="77D9341E"/>
    <w:rsid w:val="77DB2BC5"/>
    <w:rsid w:val="77DF1B5F"/>
    <w:rsid w:val="77DF5150"/>
    <w:rsid w:val="77EF2D9D"/>
    <w:rsid w:val="77EFBAE6"/>
    <w:rsid w:val="77F71A4C"/>
    <w:rsid w:val="77F7E11B"/>
    <w:rsid w:val="77F83032"/>
    <w:rsid w:val="77FB6025"/>
    <w:rsid w:val="77FB9B95"/>
    <w:rsid w:val="77FC7B30"/>
    <w:rsid w:val="77FD41E0"/>
    <w:rsid w:val="77FD8C5A"/>
    <w:rsid w:val="77FE7046"/>
    <w:rsid w:val="77FEB02D"/>
    <w:rsid w:val="77FF60EB"/>
    <w:rsid w:val="77FFAA31"/>
    <w:rsid w:val="77FFB5AA"/>
    <w:rsid w:val="77FFDB11"/>
    <w:rsid w:val="78762B49"/>
    <w:rsid w:val="78FF2F7B"/>
    <w:rsid w:val="78FF91DB"/>
    <w:rsid w:val="796F7FAE"/>
    <w:rsid w:val="797F59E9"/>
    <w:rsid w:val="79AFE2C7"/>
    <w:rsid w:val="79BD0238"/>
    <w:rsid w:val="79BF89FC"/>
    <w:rsid w:val="79BFB349"/>
    <w:rsid w:val="79E7B28D"/>
    <w:rsid w:val="7A2FB915"/>
    <w:rsid w:val="7A3C91E1"/>
    <w:rsid w:val="7A52A772"/>
    <w:rsid w:val="7A7C1232"/>
    <w:rsid w:val="7AB61892"/>
    <w:rsid w:val="7AC37211"/>
    <w:rsid w:val="7ACFF0C2"/>
    <w:rsid w:val="7ADFFC79"/>
    <w:rsid w:val="7AE773BD"/>
    <w:rsid w:val="7AEF874B"/>
    <w:rsid w:val="7AFA6EED"/>
    <w:rsid w:val="7AFB9108"/>
    <w:rsid w:val="7AFE5D20"/>
    <w:rsid w:val="7B730C98"/>
    <w:rsid w:val="7B7D4A7A"/>
    <w:rsid w:val="7B9F9F0D"/>
    <w:rsid w:val="7BAD2C03"/>
    <w:rsid w:val="7BB3BFF4"/>
    <w:rsid w:val="7BB74E10"/>
    <w:rsid w:val="7BB7D5ED"/>
    <w:rsid w:val="7BBDE7DD"/>
    <w:rsid w:val="7BBF0013"/>
    <w:rsid w:val="7BC12FF7"/>
    <w:rsid w:val="7BD5340C"/>
    <w:rsid w:val="7BD98F87"/>
    <w:rsid w:val="7BDFEDEA"/>
    <w:rsid w:val="7BECFA5E"/>
    <w:rsid w:val="7BEDCE10"/>
    <w:rsid w:val="7BEECB5A"/>
    <w:rsid w:val="7BF0F902"/>
    <w:rsid w:val="7BF1259C"/>
    <w:rsid w:val="7BF66913"/>
    <w:rsid w:val="7BF6B8EC"/>
    <w:rsid w:val="7BF79DA2"/>
    <w:rsid w:val="7BFB18FB"/>
    <w:rsid w:val="7BFB19D2"/>
    <w:rsid w:val="7BFD1750"/>
    <w:rsid w:val="7BFDAA1B"/>
    <w:rsid w:val="7BFDF7F5"/>
    <w:rsid w:val="7BFFC7B2"/>
    <w:rsid w:val="7C6DF819"/>
    <w:rsid w:val="7C792513"/>
    <w:rsid w:val="7C9EBD63"/>
    <w:rsid w:val="7CDF82DA"/>
    <w:rsid w:val="7CDF9A82"/>
    <w:rsid w:val="7CF70707"/>
    <w:rsid w:val="7CFFA1BD"/>
    <w:rsid w:val="7CFFB089"/>
    <w:rsid w:val="7D2E3F7A"/>
    <w:rsid w:val="7D3A9FA9"/>
    <w:rsid w:val="7D67ED28"/>
    <w:rsid w:val="7D6FB980"/>
    <w:rsid w:val="7D7F87AA"/>
    <w:rsid w:val="7D7FF288"/>
    <w:rsid w:val="7D8ED83F"/>
    <w:rsid w:val="7D9EA37C"/>
    <w:rsid w:val="7DB31B8F"/>
    <w:rsid w:val="7DB3778F"/>
    <w:rsid w:val="7DB83FDC"/>
    <w:rsid w:val="7DBF003E"/>
    <w:rsid w:val="7DBFCF48"/>
    <w:rsid w:val="7DDA80E6"/>
    <w:rsid w:val="7DE36C49"/>
    <w:rsid w:val="7DED9490"/>
    <w:rsid w:val="7DEE1DC8"/>
    <w:rsid w:val="7DEE4651"/>
    <w:rsid w:val="7DEF340C"/>
    <w:rsid w:val="7DEFAEFD"/>
    <w:rsid w:val="7DEFE6B3"/>
    <w:rsid w:val="7DEFF375"/>
    <w:rsid w:val="7DF109D9"/>
    <w:rsid w:val="7DF78D66"/>
    <w:rsid w:val="7DF79159"/>
    <w:rsid w:val="7DF9A0AB"/>
    <w:rsid w:val="7DFD342D"/>
    <w:rsid w:val="7DFE9309"/>
    <w:rsid w:val="7DFF1FAD"/>
    <w:rsid w:val="7DFF4872"/>
    <w:rsid w:val="7E3CA12D"/>
    <w:rsid w:val="7E67B939"/>
    <w:rsid w:val="7E6C3D25"/>
    <w:rsid w:val="7E6FEA49"/>
    <w:rsid w:val="7E7487E6"/>
    <w:rsid w:val="7E761A37"/>
    <w:rsid w:val="7E7A6A08"/>
    <w:rsid w:val="7E7C2A54"/>
    <w:rsid w:val="7E7F1CCA"/>
    <w:rsid w:val="7E7F33DC"/>
    <w:rsid w:val="7E8F4CB4"/>
    <w:rsid w:val="7E9B547E"/>
    <w:rsid w:val="7EB791EC"/>
    <w:rsid w:val="7EC3F904"/>
    <w:rsid w:val="7EC796EB"/>
    <w:rsid w:val="7EDF93FF"/>
    <w:rsid w:val="7EDFCE64"/>
    <w:rsid w:val="7EE32CE4"/>
    <w:rsid w:val="7EEEFD72"/>
    <w:rsid w:val="7EFB9CED"/>
    <w:rsid w:val="7EFDAC0C"/>
    <w:rsid w:val="7EFDFB5A"/>
    <w:rsid w:val="7EFF2E86"/>
    <w:rsid w:val="7EFF5CF1"/>
    <w:rsid w:val="7EFF7755"/>
    <w:rsid w:val="7F1D517C"/>
    <w:rsid w:val="7F331013"/>
    <w:rsid w:val="7F372BFC"/>
    <w:rsid w:val="7F3B2466"/>
    <w:rsid w:val="7F3F12A2"/>
    <w:rsid w:val="7F3FD826"/>
    <w:rsid w:val="7F4FB840"/>
    <w:rsid w:val="7F57582B"/>
    <w:rsid w:val="7F5DA057"/>
    <w:rsid w:val="7F5F9B36"/>
    <w:rsid w:val="7F5FBDCE"/>
    <w:rsid w:val="7F6C2237"/>
    <w:rsid w:val="7F6CE8BD"/>
    <w:rsid w:val="7F6D28E4"/>
    <w:rsid w:val="7F6E458F"/>
    <w:rsid w:val="7F7320D0"/>
    <w:rsid w:val="7F77FF1B"/>
    <w:rsid w:val="7F7B1740"/>
    <w:rsid w:val="7F7F319B"/>
    <w:rsid w:val="7F7FDA15"/>
    <w:rsid w:val="7F7FFBA5"/>
    <w:rsid w:val="7F9656DA"/>
    <w:rsid w:val="7F9EF783"/>
    <w:rsid w:val="7F9F20EE"/>
    <w:rsid w:val="7FAE97C8"/>
    <w:rsid w:val="7FAF92DE"/>
    <w:rsid w:val="7FB1B867"/>
    <w:rsid w:val="7FB39D80"/>
    <w:rsid w:val="7FB503B9"/>
    <w:rsid w:val="7FB76984"/>
    <w:rsid w:val="7FB7CDA9"/>
    <w:rsid w:val="7FBBE890"/>
    <w:rsid w:val="7FBC2ABD"/>
    <w:rsid w:val="7FBE9A66"/>
    <w:rsid w:val="7FBF2D35"/>
    <w:rsid w:val="7FBF5D48"/>
    <w:rsid w:val="7FCB7C36"/>
    <w:rsid w:val="7FCCFC01"/>
    <w:rsid w:val="7FCF10D9"/>
    <w:rsid w:val="7FDBD9A8"/>
    <w:rsid w:val="7FDD1748"/>
    <w:rsid w:val="7FDF5E46"/>
    <w:rsid w:val="7FDF7ED5"/>
    <w:rsid w:val="7FDFC2E9"/>
    <w:rsid w:val="7FDFC3CB"/>
    <w:rsid w:val="7FE16C77"/>
    <w:rsid w:val="7FE724C6"/>
    <w:rsid w:val="7FE769C6"/>
    <w:rsid w:val="7FE98E26"/>
    <w:rsid w:val="7FEDA583"/>
    <w:rsid w:val="7FEEF172"/>
    <w:rsid w:val="7FEEF1ED"/>
    <w:rsid w:val="7FF3F51A"/>
    <w:rsid w:val="7FF581A1"/>
    <w:rsid w:val="7FF60135"/>
    <w:rsid w:val="7FF62B27"/>
    <w:rsid w:val="7FF65042"/>
    <w:rsid w:val="7FF66D29"/>
    <w:rsid w:val="7FF6D5EA"/>
    <w:rsid w:val="7FF71153"/>
    <w:rsid w:val="7FF726C4"/>
    <w:rsid w:val="7FF74849"/>
    <w:rsid w:val="7FF7A3D7"/>
    <w:rsid w:val="7FF7DD92"/>
    <w:rsid w:val="7FF7EA42"/>
    <w:rsid w:val="7FF99994"/>
    <w:rsid w:val="7FFB0D83"/>
    <w:rsid w:val="7FFB851C"/>
    <w:rsid w:val="7FFBBE54"/>
    <w:rsid w:val="7FFBE0D9"/>
    <w:rsid w:val="7FFC28A2"/>
    <w:rsid w:val="7FFD083E"/>
    <w:rsid w:val="7FFD5FEE"/>
    <w:rsid w:val="7FFD746D"/>
    <w:rsid w:val="7FFD7604"/>
    <w:rsid w:val="7FFD8B74"/>
    <w:rsid w:val="7FFDC72C"/>
    <w:rsid w:val="7FFDED05"/>
    <w:rsid w:val="7FFEACC7"/>
    <w:rsid w:val="7FFEFEDF"/>
    <w:rsid w:val="7FFF08F2"/>
    <w:rsid w:val="7FFF0B4E"/>
    <w:rsid w:val="7FFF1A43"/>
    <w:rsid w:val="7FFF1B4F"/>
    <w:rsid w:val="7FFF5DCF"/>
    <w:rsid w:val="7FFF9372"/>
    <w:rsid w:val="7FFF9BED"/>
    <w:rsid w:val="7FFFA8E6"/>
    <w:rsid w:val="7FFFF832"/>
    <w:rsid w:val="80BFF514"/>
    <w:rsid w:val="84BF1F3B"/>
    <w:rsid w:val="877D8B12"/>
    <w:rsid w:val="89BF8CAA"/>
    <w:rsid w:val="8ACE8F48"/>
    <w:rsid w:val="8D5A0BCC"/>
    <w:rsid w:val="8F55B106"/>
    <w:rsid w:val="8FBD26EA"/>
    <w:rsid w:val="8FFF06DD"/>
    <w:rsid w:val="90F7E8E7"/>
    <w:rsid w:val="92C761F7"/>
    <w:rsid w:val="95DF317D"/>
    <w:rsid w:val="95EF255F"/>
    <w:rsid w:val="960D730F"/>
    <w:rsid w:val="96FCE330"/>
    <w:rsid w:val="97E1835F"/>
    <w:rsid w:val="97E77C70"/>
    <w:rsid w:val="97EEC23A"/>
    <w:rsid w:val="99771E5E"/>
    <w:rsid w:val="9ACF5E5D"/>
    <w:rsid w:val="9AE151A8"/>
    <w:rsid w:val="9B7ED5FD"/>
    <w:rsid w:val="9BBFC5C7"/>
    <w:rsid w:val="9BC7BEC6"/>
    <w:rsid w:val="9DBE2265"/>
    <w:rsid w:val="9E3A10E2"/>
    <w:rsid w:val="9E6519E4"/>
    <w:rsid w:val="9E66CEEF"/>
    <w:rsid w:val="9EDFE3A9"/>
    <w:rsid w:val="9EFFF9BC"/>
    <w:rsid w:val="9F2A9E6B"/>
    <w:rsid w:val="9F2E3C53"/>
    <w:rsid w:val="9F330A7D"/>
    <w:rsid w:val="9F717B63"/>
    <w:rsid w:val="9FB7FD43"/>
    <w:rsid w:val="9FB91FBD"/>
    <w:rsid w:val="9FD54998"/>
    <w:rsid w:val="9FE7919C"/>
    <w:rsid w:val="9FF174F5"/>
    <w:rsid w:val="9FFA87E2"/>
    <w:rsid w:val="9FFE1E34"/>
    <w:rsid w:val="9FFEEA05"/>
    <w:rsid w:val="A1EFD23C"/>
    <w:rsid w:val="A5F28382"/>
    <w:rsid w:val="A671883B"/>
    <w:rsid w:val="A7EFD17F"/>
    <w:rsid w:val="A7FFE43F"/>
    <w:rsid w:val="A7FFF5DB"/>
    <w:rsid w:val="A8F99A5C"/>
    <w:rsid w:val="A99FB115"/>
    <w:rsid w:val="ABDFDEDB"/>
    <w:rsid w:val="ABFB7E35"/>
    <w:rsid w:val="AEBE7E23"/>
    <w:rsid w:val="AEF7BD47"/>
    <w:rsid w:val="AEFE725A"/>
    <w:rsid w:val="AEFF6719"/>
    <w:rsid w:val="AF7DA7B6"/>
    <w:rsid w:val="AF7F7404"/>
    <w:rsid w:val="AFA4A412"/>
    <w:rsid w:val="AFF2CE1D"/>
    <w:rsid w:val="AFFF5BAE"/>
    <w:rsid w:val="B1ED3EBA"/>
    <w:rsid w:val="B33FAFFA"/>
    <w:rsid w:val="B3FDD1C2"/>
    <w:rsid w:val="B5DF24D3"/>
    <w:rsid w:val="B615C388"/>
    <w:rsid w:val="B679FE64"/>
    <w:rsid w:val="B6BD8692"/>
    <w:rsid w:val="B6CDEF3C"/>
    <w:rsid w:val="B6FF67CC"/>
    <w:rsid w:val="B73DEC94"/>
    <w:rsid w:val="B77B87D3"/>
    <w:rsid w:val="B77DDFCA"/>
    <w:rsid w:val="B77F9C15"/>
    <w:rsid w:val="B77FB2FF"/>
    <w:rsid w:val="B7BD55C9"/>
    <w:rsid w:val="B7EC7EEE"/>
    <w:rsid w:val="B7F639BC"/>
    <w:rsid w:val="B7FB24EB"/>
    <w:rsid w:val="B7FD6611"/>
    <w:rsid w:val="B9DF80AE"/>
    <w:rsid w:val="B9F66629"/>
    <w:rsid w:val="BA3EC8F7"/>
    <w:rsid w:val="BBB71234"/>
    <w:rsid w:val="BBCF14C5"/>
    <w:rsid w:val="BBD75336"/>
    <w:rsid w:val="BBF58E77"/>
    <w:rsid w:val="BBFFDCDC"/>
    <w:rsid w:val="BC9B195D"/>
    <w:rsid w:val="BD3F82C1"/>
    <w:rsid w:val="BDAE851B"/>
    <w:rsid w:val="BDB6CE65"/>
    <w:rsid w:val="BDBFD7BD"/>
    <w:rsid w:val="BDD7C25D"/>
    <w:rsid w:val="BDDDDBDC"/>
    <w:rsid w:val="BDEAFA81"/>
    <w:rsid w:val="BDFEA317"/>
    <w:rsid w:val="BDFFAF71"/>
    <w:rsid w:val="BE6DA937"/>
    <w:rsid w:val="BE6FC28C"/>
    <w:rsid w:val="BE782092"/>
    <w:rsid w:val="BEB7A5A7"/>
    <w:rsid w:val="BEF7E97C"/>
    <w:rsid w:val="BEFD7170"/>
    <w:rsid w:val="BEFF18AA"/>
    <w:rsid w:val="BF1B9025"/>
    <w:rsid w:val="BF3B131A"/>
    <w:rsid w:val="BF5DC4BA"/>
    <w:rsid w:val="BF653DEF"/>
    <w:rsid w:val="BF6F0E95"/>
    <w:rsid w:val="BF730228"/>
    <w:rsid w:val="BF76FF08"/>
    <w:rsid w:val="BF7BF35E"/>
    <w:rsid w:val="BF7C74DB"/>
    <w:rsid w:val="BF9BB808"/>
    <w:rsid w:val="BFAE7281"/>
    <w:rsid w:val="BFBD4A65"/>
    <w:rsid w:val="BFBEB7A3"/>
    <w:rsid w:val="BFBF5A00"/>
    <w:rsid w:val="BFDBC020"/>
    <w:rsid w:val="BFDC6FA1"/>
    <w:rsid w:val="BFE35D5E"/>
    <w:rsid w:val="BFE3DBE8"/>
    <w:rsid w:val="BFEB9B73"/>
    <w:rsid w:val="BFEE7E47"/>
    <w:rsid w:val="BFEF9A6E"/>
    <w:rsid w:val="BFF3BC8E"/>
    <w:rsid w:val="BFF7FA3B"/>
    <w:rsid w:val="BFF94755"/>
    <w:rsid w:val="BFFAFE7F"/>
    <w:rsid w:val="BFFB10C9"/>
    <w:rsid w:val="BFFB1DA0"/>
    <w:rsid w:val="BFFB3AC4"/>
    <w:rsid w:val="BFFD5B3C"/>
    <w:rsid w:val="BFFD741F"/>
    <w:rsid w:val="C0FE324C"/>
    <w:rsid w:val="C2FDA10B"/>
    <w:rsid w:val="C3BC36E0"/>
    <w:rsid w:val="C6FD872F"/>
    <w:rsid w:val="C7EF7860"/>
    <w:rsid w:val="C9BF9B4C"/>
    <w:rsid w:val="C9F904F1"/>
    <w:rsid w:val="CBE9A777"/>
    <w:rsid w:val="CBEB51BB"/>
    <w:rsid w:val="CBF6EDB7"/>
    <w:rsid w:val="CC5C43E7"/>
    <w:rsid w:val="CD56E34A"/>
    <w:rsid w:val="CD9BBABB"/>
    <w:rsid w:val="CDEAFB09"/>
    <w:rsid w:val="CE2DBCDA"/>
    <w:rsid w:val="CEF93FA1"/>
    <w:rsid w:val="CF3D08AB"/>
    <w:rsid w:val="CF5A67A9"/>
    <w:rsid w:val="CF99F292"/>
    <w:rsid w:val="CFB743A3"/>
    <w:rsid w:val="CFC94421"/>
    <w:rsid w:val="CFCB3BF6"/>
    <w:rsid w:val="CFE89DEA"/>
    <w:rsid w:val="CFF14CA3"/>
    <w:rsid w:val="CFFFBBD3"/>
    <w:rsid w:val="D2FE89CF"/>
    <w:rsid w:val="D3FE61FC"/>
    <w:rsid w:val="D57FA9E5"/>
    <w:rsid w:val="D5D73760"/>
    <w:rsid w:val="D5DA60B3"/>
    <w:rsid w:val="D5F7E11B"/>
    <w:rsid w:val="D65D31D0"/>
    <w:rsid w:val="D67FED13"/>
    <w:rsid w:val="D6BB24CF"/>
    <w:rsid w:val="D6BB6AF9"/>
    <w:rsid w:val="D6BF7A1A"/>
    <w:rsid w:val="D6F72D65"/>
    <w:rsid w:val="D777BC83"/>
    <w:rsid w:val="D77B4BFE"/>
    <w:rsid w:val="D79F75F6"/>
    <w:rsid w:val="D7AB35DB"/>
    <w:rsid w:val="D7B745C3"/>
    <w:rsid w:val="D7BBC363"/>
    <w:rsid w:val="D7C6F579"/>
    <w:rsid w:val="D7F52F67"/>
    <w:rsid w:val="D7FB8EF6"/>
    <w:rsid w:val="D7FFC4B0"/>
    <w:rsid w:val="D8BE274B"/>
    <w:rsid w:val="D8FECA92"/>
    <w:rsid w:val="D9DFE986"/>
    <w:rsid w:val="D9FDE027"/>
    <w:rsid w:val="D9FF7B27"/>
    <w:rsid w:val="DA6AB073"/>
    <w:rsid w:val="DA738155"/>
    <w:rsid w:val="DAE92717"/>
    <w:rsid w:val="DAFB32B8"/>
    <w:rsid w:val="DAFFBE66"/>
    <w:rsid w:val="DB9C4EF5"/>
    <w:rsid w:val="DBE87A8E"/>
    <w:rsid w:val="DBFF6678"/>
    <w:rsid w:val="DD2C0BFE"/>
    <w:rsid w:val="DD6B4E4E"/>
    <w:rsid w:val="DD8772B1"/>
    <w:rsid w:val="DD9FB2B3"/>
    <w:rsid w:val="DDA6A0C1"/>
    <w:rsid w:val="DDDD799F"/>
    <w:rsid w:val="DDEFC183"/>
    <w:rsid w:val="DDFF23D5"/>
    <w:rsid w:val="DDFFEF5A"/>
    <w:rsid w:val="DE16EA1B"/>
    <w:rsid w:val="DE2FDB1C"/>
    <w:rsid w:val="DE3CAA9E"/>
    <w:rsid w:val="DE3F332B"/>
    <w:rsid w:val="DE6F1EEF"/>
    <w:rsid w:val="DE6F4A3D"/>
    <w:rsid w:val="DE7F570C"/>
    <w:rsid w:val="DE9F0253"/>
    <w:rsid w:val="DEDD7959"/>
    <w:rsid w:val="DEDE8AF3"/>
    <w:rsid w:val="DEF75EAA"/>
    <w:rsid w:val="DEFDECB2"/>
    <w:rsid w:val="DEFEF928"/>
    <w:rsid w:val="DF402A50"/>
    <w:rsid w:val="DF69F8B0"/>
    <w:rsid w:val="DF6F443B"/>
    <w:rsid w:val="DF7CD0BE"/>
    <w:rsid w:val="DF7FBC6E"/>
    <w:rsid w:val="DFA716A4"/>
    <w:rsid w:val="DFAEE0BA"/>
    <w:rsid w:val="DFBB099F"/>
    <w:rsid w:val="DFBE729E"/>
    <w:rsid w:val="DFBF1513"/>
    <w:rsid w:val="DFBFCD96"/>
    <w:rsid w:val="DFC71555"/>
    <w:rsid w:val="DFDF95FE"/>
    <w:rsid w:val="DFE51E05"/>
    <w:rsid w:val="DFE60BB9"/>
    <w:rsid w:val="DFE741E9"/>
    <w:rsid w:val="DFE91CA1"/>
    <w:rsid w:val="DFEFAC25"/>
    <w:rsid w:val="DFFB7966"/>
    <w:rsid w:val="DFFC559C"/>
    <w:rsid w:val="DFFE3B7C"/>
    <w:rsid w:val="DFFEDFAE"/>
    <w:rsid w:val="DFFF2702"/>
    <w:rsid w:val="DFFFB5EB"/>
    <w:rsid w:val="DFFFC988"/>
    <w:rsid w:val="E0BFC3EB"/>
    <w:rsid w:val="E2E3A6A3"/>
    <w:rsid w:val="E2FDC0DA"/>
    <w:rsid w:val="E33F5993"/>
    <w:rsid w:val="E3D7B35D"/>
    <w:rsid w:val="E3EF6100"/>
    <w:rsid w:val="E4B33E57"/>
    <w:rsid w:val="E57FA1D0"/>
    <w:rsid w:val="E5BF946A"/>
    <w:rsid w:val="E5E9599C"/>
    <w:rsid w:val="E5ECCC17"/>
    <w:rsid w:val="E5FCA387"/>
    <w:rsid w:val="E617D0FA"/>
    <w:rsid w:val="E6B54536"/>
    <w:rsid w:val="E6BBC650"/>
    <w:rsid w:val="E6ED5F5D"/>
    <w:rsid w:val="E6F78421"/>
    <w:rsid w:val="E7574B09"/>
    <w:rsid w:val="E77C2EE9"/>
    <w:rsid w:val="E7AAEA8D"/>
    <w:rsid w:val="E7AF6256"/>
    <w:rsid w:val="E7CFE7FB"/>
    <w:rsid w:val="E7F4F766"/>
    <w:rsid w:val="E7FFDB9B"/>
    <w:rsid w:val="E8596485"/>
    <w:rsid w:val="E8BF7733"/>
    <w:rsid w:val="E9DD10D5"/>
    <w:rsid w:val="E9FD9682"/>
    <w:rsid w:val="EAEF1333"/>
    <w:rsid w:val="EAF799AF"/>
    <w:rsid w:val="EAFFF936"/>
    <w:rsid w:val="EB39BD45"/>
    <w:rsid w:val="EB5FC163"/>
    <w:rsid w:val="EB7F7143"/>
    <w:rsid w:val="EBCF1FC2"/>
    <w:rsid w:val="EBD18F66"/>
    <w:rsid w:val="EBD7643F"/>
    <w:rsid w:val="EBF22286"/>
    <w:rsid w:val="EBFA63B1"/>
    <w:rsid w:val="EBFD9F36"/>
    <w:rsid w:val="EC7B6903"/>
    <w:rsid w:val="EC7BDE7D"/>
    <w:rsid w:val="ED0E80D2"/>
    <w:rsid w:val="ED17392C"/>
    <w:rsid w:val="ED74F962"/>
    <w:rsid w:val="ED97480A"/>
    <w:rsid w:val="ED9FFD9A"/>
    <w:rsid w:val="EDB7968B"/>
    <w:rsid w:val="EDD7095C"/>
    <w:rsid w:val="EDEF5739"/>
    <w:rsid w:val="EDFB5DF6"/>
    <w:rsid w:val="EDFC261C"/>
    <w:rsid w:val="EE27A3F9"/>
    <w:rsid w:val="EE7F1998"/>
    <w:rsid w:val="EE7F8EB8"/>
    <w:rsid w:val="EEBF09F1"/>
    <w:rsid w:val="EEDF7F52"/>
    <w:rsid w:val="EEE1CFEB"/>
    <w:rsid w:val="EEE71740"/>
    <w:rsid w:val="EEF73F60"/>
    <w:rsid w:val="EEFF812F"/>
    <w:rsid w:val="EEFFD89E"/>
    <w:rsid w:val="EF3B12A4"/>
    <w:rsid w:val="EF3B2CC4"/>
    <w:rsid w:val="EF7DF4A9"/>
    <w:rsid w:val="EF7F7DA1"/>
    <w:rsid w:val="EF7FC3A2"/>
    <w:rsid w:val="EFAB877D"/>
    <w:rsid w:val="EFBDCF9F"/>
    <w:rsid w:val="EFBF0F74"/>
    <w:rsid w:val="EFBF2BD5"/>
    <w:rsid w:val="EFCDCD40"/>
    <w:rsid w:val="EFD92BDF"/>
    <w:rsid w:val="EFDF58AF"/>
    <w:rsid w:val="EFDFBB87"/>
    <w:rsid w:val="EFED9E42"/>
    <w:rsid w:val="EFEF9C7A"/>
    <w:rsid w:val="EFF78F51"/>
    <w:rsid w:val="EFF7C790"/>
    <w:rsid w:val="EFFF0633"/>
    <w:rsid w:val="EFFF0FC3"/>
    <w:rsid w:val="EFFF358F"/>
    <w:rsid w:val="EFFF690A"/>
    <w:rsid w:val="EFFFB067"/>
    <w:rsid w:val="EFFFB194"/>
    <w:rsid w:val="EFFFB774"/>
    <w:rsid w:val="F0EF9653"/>
    <w:rsid w:val="F0FF29E4"/>
    <w:rsid w:val="F13F66D1"/>
    <w:rsid w:val="F1570A23"/>
    <w:rsid w:val="F1B95E8C"/>
    <w:rsid w:val="F1BC6A29"/>
    <w:rsid w:val="F2DBDA26"/>
    <w:rsid w:val="F2E1F9D4"/>
    <w:rsid w:val="F2F7EBE1"/>
    <w:rsid w:val="F2FE5EFF"/>
    <w:rsid w:val="F31BC3F9"/>
    <w:rsid w:val="F3732CDE"/>
    <w:rsid w:val="F377412E"/>
    <w:rsid w:val="F37E1DAA"/>
    <w:rsid w:val="F39DA10C"/>
    <w:rsid w:val="F3BF04A9"/>
    <w:rsid w:val="F3EF5683"/>
    <w:rsid w:val="F3FA97E4"/>
    <w:rsid w:val="F3FF1F2D"/>
    <w:rsid w:val="F3FFB2F5"/>
    <w:rsid w:val="F47D7EDE"/>
    <w:rsid w:val="F47F7226"/>
    <w:rsid w:val="F4B58800"/>
    <w:rsid w:val="F4B7AD2F"/>
    <w:rsid w:val="F4B7C3AE"/>
    <w:rsid w:val="F55D8156"/>
    <w:rsid w:val="F56F7ABC"/>
    <w:rsid w:val="F57FA19A"/>
    <w:rsid w:val="F5BBDC1A"/>
    <w:rsid w:val="F5BF9339"/>
    <w:rsid w:val="F5BF9EEF"/>
    <w:rsid w:val="F5CCC8B5"/>
    <w:rsid w:val="F5FD97D7"/>
    <w:rsid w:val="F5FF7449"/>
    <w:rsid w:val="F5FF910E"/>
    <w:rsid w:val="F665C371"/>
    <w:rsid w:val="F6890C98"/>
    <w:rsid w:val="F6BF42F6"/>
    <w:rsid w:val="F6CE10C3"/>
    <w:rsid w:val="F6EDC98F"/>
    <w:rsid w:val="F6FB87A9"/>
    <w:rsid w:val="F6FBCE80"/>
    <w:rsid w:val="F6FDF3C6"/>
    <w:rsid w:val="F6FFD4F9"/>
    <w:rsid w:val="F71896DB"/>
    <w:rsid w:val="F76691CA"/>
    <w:rsid w:val="F76B8C6A"/>
    <w:rsid w:val="F76F45E3"/>
    <w:rsid w:val="F77BAC7B"/>
    <w:rsid w:val="F77C33DE"/>
    <w:rsid w:val="F77D9979"/>
    <w:rsid w:val="F77F47CA"/>
    <w:rsid w:val="F77FF3F7"/>
    <w:rsid w:val="F7880819"/>
    <w:rsid w:val="F78AE37E"/>
    <w:rsid w:val="F7AF180D"/>
    <w:rsid w:val="F7BDBFA7"/>
    <w:rsid w:val="F7CB592B"/>
    <w:rsid w:val="F7CE9200"/>
    <w:rsid w:val="F7CFE53D"/>
    <w:rsid w:val="F7DE0AE4"/>
    <w:rsid w:val="F7EF8542"/>
    <w:rsid w:val="F7EFB24B"/>
    <w:rsid w:val="F7F47139"/>
    <w:rsid w:val="F7F6C4DC"/>
    <w:rsid w:val="F7FAD68F"/>
    <w:rsid w:val="F7FB14CF"/>
    <w:rsid w:val="F7FB3A14"/>
    <w:rsid w:val="F7FC17BE"/>
    <w:rsid w:val="F7FC6C14"/>
    <w:rsid w:val="F7FFF26B"/>
    <w:rsid w:val="F8FFA596"/>
    <w:rsid w:val="F9B501AF"/>
    <w:rsid w:val="F9DE492D"/>
    <w:rsid w:val="F9DFD3FB"/>
    <w:rsid w:val="F9E5CB55"/>
    <w:rsid w:val="F9F5DC99"/>
    <w:rsid w:val="F9F6F365"/>
    <w:rsid w:val="F9F9D909"/>
    <w:rsid w:val="F9FF7093"/>
    <w:rsid w:val="F9FF9ABF"/>
    <w:rsid w:val="F9FFA152"/>
    <w:rsid w:val="F9FFD740"/>
    <w:rsid w:val="FA7D5A33"/>
    <w:rsid w:val="FA7F7043"/>
    <w:rsid w:val="FADF7722"/>
    <w:rsid w:val="FAE5170C"/>
    <w:rsid w:val="FAFB5A36"/>
    <w:rsid w:val="FAFBE69A"/>
    <w:rsid w:val="FAFCFEDE"/>
    <w:rsid w:val="FAFF3717"/>
    <w:rsid w:val="FAFF9453"/>
    <w:rsid w:val="FB3FC69C"/>
    <w:rsid w:val="FB4CF4ED"/>
    <w:rsid w:val="FB6A7AA6"/>
    <w:rsid w:val="FB6F74E0"/>
    <w:rsid w:val="FB6F9923"/>
    <w:rsid w:val="FB7E02B5"/>
    <w:rsid w:val="FB7F57BB"/>
    <w:rsid w:val="FB87F21A"/>
    <w:rsid w:val="FBAF7564"/>
    <w:rsid w:val="FBDFF225"/>
    <w:rsid w:val="FBEF38B1"/>
    <w:rsid w:val="FBF71916"/>
    <w:rsid w:val="FBF7282B"/>
    <w:rsid w:val="FBF7AB63"/>
    <w:rsid w:val="FBF7D706"/>
    <w:rsid w:val="FBFAD271"/>
    <w:rsid w:val="FBFCD388"/>
    <w:rsid w:val="FBFD994B"/>
    <w:rsid w:val="FBFE25EE"/>
    <w:rsid w:val="FBFF0B9F"/>
    <w:rsid w:val="FBFF7ADB"/>
    <w:rsid w:val="FBFF8076"/>
    <w:rsid w:val="FBFF91A1"/>
    <w:rsid w:val="FBFFA571"/>
    <w:rsid w:val="FBFFC8DF"/>
    <w:rsid w:val="FBFFC9B7"/>
    <w:rsid w:val="FC2F3373"/>
    <w:rsid w:val="FC7B3137"/>
    <w:rsid w:val="FC9932B0"/>
    <w:rsid w:val="FCA7089E"/>
    <w:rsid w:val="FCBB36A6"/>
    <w:rsid w:val="FCBBF302"/>
    <w:rsid w:val="FCBF8F26"/>
    <w:rsid w:val="FCDC5B9C"/>
    <w:rsid w:val="FCF51535"/>
    <w:rsid w:val="FCFBCAFE"/>
    <w:rsid w:val="FCFDC43C"/>
    <w:rsid w:val="FCFED266"/>
    <w:rsid w:val="FCFFA8FB"/>
    <w:rsid w:val="FD5FFE20"/>
    <w:rsid w:val="FD6D121D"/>
    <w:rsid w:val="FD6E57C0"/>
    <w:rsid w:val="FD77F6B8"/>
    <w:rsid w:val="FD7F24D5"/>
    <w:rsid w:val="FD7F68E1"/>
    <w:rsid w:val="FD7F6F72"/>
    <w:rsid w:val="FD97A0E8"/>
    <w:rsid w:val="FDAFD15B"/>
    <w:rsid w:val="FDB7A1BF"/>
    <w:rsid w:val="FDD69328"/>
    <w:rsid w:val="FDDFEC0E"/>
    <w:rsid w:val="FDE58BDD"/>
    <w:rsid w:val="FDEC7001"/>
    <w:rsid w:val="FDF3FB72"/>
    <w:rsid w:val="FDF4B82F"/>
    <w:rsid w:val="FDF7DBD5"/>
    <w:rsid w:val="FDFB15FE"/>
    <w:rsid w:val="FDFB41B5"/>
    <w:rsid w:val="FDFDDD25"/>
    <w:rsid w:val="FDFF59E1"/>
    <w:rsid w:val="FDFF6942"/>
    <w:rsid w:val="FE5E65D9"/>
    <w:rsid w:val="FE742C47"/>
    <w:rsid w:val="FE78B7B1"/>
    <w:rsid w:val="FE7A0B61"/>
    <w:rsid w:val="FE7A95AE"/>
    <w:rsid w:val="FE7D40B4"/>
    <w:rsid w:val="FE97003F"/>
    <w:rsid w:val="FEA39FA6"/>
    <w:rsid w:val="FEB17306"/>
    <w:rsid w:val="FEBCED6C"/>
    <w:rsid w:val="FEBD5022"/>
    <w:rsid w:val="FEBF6DB9"/>
    <w:rsid w:val="FEBF9FE5"/>
    <w:rsid w:val="FEDE99B2"/>
    <w:rsid w:val="FEDF016D"/>
    <w:rsid w:val="FEDFE5B3"/>
    <w:rsid w:val="FEDFE87F"/>
    <w:rsid w:val="FEE4920A"/>
    <w:rsid w:val="FEEF2080"/>
    <w:rsid w:val="FEF1D25B"/>
    <w:rsid w:val="FEF5CFFC"/>
    <w:rsid w:val="FEF7A153"/>
    <w:rsid w:val="FEF7B75B"/>
    <w:rsid w:val="FEFB8701"/>
    <w:rsid w:val="FEFBB6A1"/>
    <w:rsid w:val="FEFE1D1E"/>
    <w:rsid w:val="FEFF8109"/>
    <w:rsid w:val="FEFFC055"/>
    <w:rsid w:val="FF1FCC9E"/>
    <w:rsid w:val="FF291ADC"/>
    <w:rsid w:val="FF2E3832"/>
    <w:rsid w:val="FF2FE8B0"/>
    <w:rsid w:val="FF2FF962"/>
    <w:rsid w:val="FF35DB29"/>
    <w:rsid w:val="FF3A8141"/>
    <w:rsid w:val="FF3BF217"/>
    <w:rsid w:val="FF3EF90F"/>
    <w:rsid w:val="FF3FF6DF"/>
    <w:rsid w:val="FF5F213E"/>
    <w:rsid w:val="FF6E9A45"/>
    <w:rsid w:val="FF731CD9"/>
    <w:rsid w:val="FF77E9AA"/>
    <w:rsid w:val="FF7B0E4E"/>
    <w:rsid w:val="FF7B46BB"/>
    <w:rsid w:val="FF7DEFEB"/>
    <w:rsid w:val="FF7E1EFA"/>
    <w:rsid w:val="FF7EF1BA"/>
    <w:rsid w:val="FF7F2D3E"/>
    <w:rsid w:val="FF7F3FA5"/>
    <w:rsid w:val="FF7F773F"/>
    <w:rsid w:val="FF7F7A6E"/>
    <w:rsid w:val="FF7FB06E"/>
    <w:rsid w:val="FF7FBD0A"/>
    <w:rsid w:val="FF7FC137"/>
    <w:rsid w:val="FF8EE1D8"/>
    <w:rsid w:val="FF93D3D0"/>
    <w:rsid w:val="FF9502F5"/>
    <w:rsid w:val="FF9B5C74"/>
    <w:rsid w:val="FF9D8E82"/>
    <w:rsid w:val="FF9E42B5"/>
    <w:rsid w:val="FF9F0C1E"/>
    <w:rsid w:val="FF9FAB50"/>
    <w:rsid w:val="FFAB915C"/>
    <w:rsid w:val="FFAD571B"/>
    <w:rsid w:val="FFAF6081"/>
    <w:rsid w:val="FFAF9E7A"/>
    <w:rsid w:val="FFB0E827"/>
    <w:rsid w:val="FFB206AB"/>
    <w:rsid w:val="FFB5F95C"/>
    <w:rsid w:val="FFB69370"/>
    <w:rsid w:val="FFB7B7EB"/>
    <w:rsid w:val="FFBB65D8"/>
    <w:rsid w:val="FFBBD2A2"/>
    <w:rsid w:val="FFBF51AE"/>
    <w:rsid w:val="FFBFBA08"/>
    <w:rsid w:val="FFD3F0F7"/>
    <w:rsid w:val="FFDBF934"/>
    <w:rsid w:val="FFDD3F21"/>
    <w:rsid w:val="FFDD9DA3"/>
    <w:rsid w:val="FFDDBE46"/>
    <w:rsid w:val="FFDE300C"/>
    <w:rsid w:val="FFDF45FE"/>
    <w:rsid w:val="FFDF9515"/>
    <w:rsid w:val="FFDFB9A8"/>
    <w:rsid w:val="FFDFE489"/>
    <w:rsid w:val="FFE3E3B1"/>
    <w:rsid w:val="FFE44A03"/>
    <w:rsid w:val="FFEA0973"/>
    <w:rsid w:val="FFEA8C6B"/>
    <w:rsid w:val="FFEB97D7"/>
    <w:rsid w:val="FFECCD8C"/>
    <w:rsid w:val="FFED60BD"/>
    <w:rsid w:val="FFEE08F0"/>
    <w:rsid w:val="FFEE7F9F"/>
    <w:rsid w:val="FFEED789"/>
    <w:rsid w:val="FFEFF3DB"/>
    <w:rsid w:val="FFF398A9"/>
    <w:rsid w:val="FFF547A8"/>
    <w:rsid w:val="FFF5A2B4"/>
    <w:rsid w:val="FFF7D48B"/>
    <w:rsid w:val="FFF99425"/>
    <w:rsid w:val="FFFA17B6"/>
    <w:rsid w:val="FFFA51AE"/>
    <w:rsid w:val="FFFAA35D"/>
    <w:rsid w:val="FFFCD1A0"/>
    <w:rsid w:val="FFFD20AA"/>
    <w:rsid w:val="FFFD916D"/>
    <w:rsid w:val="FFFDF49F"/>
    <w:rsid w:val="FFFE115F"/>
    <w:rsid w:val="FFFE1D65"/>
    <w:rsid w:val="FFFE3238"/>
    <w:rsid w:val="FFFE83DF"/>
    <w:rsid w:val="FFFED28B"/>
    <w:rsid w:val="FFFF1DA5"/>
    <w:rsid w:val="FFFF3194"/>
    <w:rsid w:val="FFFF3197"/>
    <w:rsid w:val="FFFF4665"/>
    <w:rsid w:val="FFFF68C5"/>
    <w:rsid w:val="FFFF786C"/>
    <w:rsid w:val="FFFFBCB9"/>
    <w:rsid w:val="FFFFCD74"/>
    <w:rsid w:val="FFFFD9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6"/>
    <w:qFormat/>
    <w:uiPriority w:val="99"/>
    <w:pPr>
      <w:spacing w:beforeLines="30"/>
    </w:pPr>
    <w:rPr>
      <w:rFonts w:ascii="仿宋_GB2312" w:eastAsia="仿宋_GB2312"/>
      <w:kern w:val="0"/>
      <w:sz w:val="30"/>
    </w:rPr>
  </w:style>
  <w:style w:type="paragraph" w:styleId="3">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4"/>
    <w:qFormat/>
    <w:uiPriority w:val="9"/>
    <w:rPr>
      <w:rFonts w:ascii="Times New Roman" w:hAnsi="Times New Roman"/>
      <w:b/>
      <w:bCs/>
      <w:kern w:val="44"/>
      <w:sz w:val="44"/>
      <w:szCs w:val="44"/>
    </w:rPr>
  </w:style>
  <w:style w:type="character" w:customStyle="1" w:styleId="30">
    <w:name w:val="标题 2 字符"/>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9"/>
    <w:semiHidden/>
    <w:qFormat/>
    <w:uiPriority w:val="99"/>
    <w:rPr>
      <w:rFonts w:ascii="Times New Roman" w:hAnsi="Times New Roman"/>
      <w:kern w:val="2"/>
      <w:sz w:val="18"/>
      <w:szCs w:val="18"/>
    </w:rPr>
  </w:style>
  <w:style w:type="character" w:customStyle="1" w:styleId="33">
    <w:name w:val="标题 3 字符"/>
    <w:basedOn w:val="17"/>
    <w:link w:val="6"/>
    <w:qFormat/>
    <w:uiPriority w:val="9"/>
    <w:rPr>
      <w:rFonts w:ascii="Times New Roman" w:hAnsi="Times New Roman"/>
      <w:b/>
      <w:bCs/>
      <w:kern w:val="2"/>
      <w:sz w:val="32"/>
      <w:szCs w:val="32"/>
    </w:rPr>
  </w:style>
  <w:style w:type="paragraph" w:customStyle="1" w:styleId="34">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heading 1 Char"/>
    <w:basedOn w:val="17"/>
    <w:link w:val="4"/>
    <w:qFormat/>
    <w:uiPriority w:val="0"/>
    <w:rPr>
      <w:rFonts w:ascii="Times New Roman" w:hAnsi="Times New Roman" w:eastAsia="宋体" w:cs="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206.64</c:v>
                </c:pt>
                <c:pt idx="1">
                  <c:v>243.48</c:v>
                </c:pt>
              </c:numCache>
            </c:numRef>
          </c:val>
        </c:ser>
        <c:ser>
          <c:idx val="1"/>
          <c:order val="1"/>
          <c:tx>
            <c:strRef>
              <c:f>Sheet1!$C$1</c:f>
              <c:strCache>
                <c:ptCount val="1"/>
                <c:pt idx="0">
                  <c:v>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Sheet1!$C$2:$C$3</c:f>
              <c:numCache>
                <c:formatCode>General</c:formatCode>
                <c:ptCount val="2"/>
                <c:pt idx="0">
                  <c:v>206.64</c:v>
                </c:pt>
                <c:pt idx="1">
                  <c:v>243.48</c:v>
                </c:pt>
              </c:numCache>
            </c:numRef>
          </c:val>
        </c:ser>
        <c:dLbls>
          <c:showLegendKey val="0"/>
          <c:showVal val="1"/>
          <c:showCatName val="0"/>
          <c:showSerName val="0"/>
          <c:showPercent val="0"/>
          <c:showBubbleSize val="0"/>
        </c:dLbls>
        <c:gapWidth val="150"/>
        <c:overlap val="-25"/>
        <c:axId val="492160717"/>
        <c:axId val="878182754"/>
      </c:barChart>
      <c:catAx>
        <c:axId val="4921607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182754"/>
        <c:crosses val="autoZero"/>
        <c:auto val="1"/>
        <c:lblAlgn val="ctr"/>
        <c:lblOffset val="100"/>
        <c:noMultiLvlLbl val="0"/>
      </c:catAx>
      <c:valAx>
        <c:axId val="87818275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160717"/>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483584e-d778-4ee6-bf52-fd18b6a33d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2024年度</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Pt>
            <c:idx val="4"/>
            <c:bubble3D val="0"/>
            <c:spPr>
              <a:solidFill>
                <a:schemeClr val="accent5"/>
              </a:solidFill>
              <a:ln w="25400">
                <a:solidFill>
                  <a:schemeClr val="lt1"/>
                </a:solidFill>
              </a:ln>
              <a:effectLst/>
              <a:scene3d>
                <a:camera prst="orthographicFront"/>
                <a:lightRig rig="threePt" dir="t"/>
              </a:scene3d>
              <a:sp3d contourW="25400"/>
            </c:spPr>
          </c:dPt>
          <c:dPt>
            <c:idx val="5"/>
            <c:bubble3D val="0"/>
            <c:spPr>
              <a:solidFill>
                <a:schemeClr val="accent6"/>
              </a:solidFill>
              <a:ln w="25400">
                <a:solidFill>
                  <a:schemeClr val="lt1"/>
                </a:solidFill>
              </a:ln>
              <a:effectLst/>
              <a:scene3d>
                <a:camera prst="orthographicFront"/>
                <a:lightRig rig="threePt" dir="t"/>
              </a:scene3d>
              <a:sp3d contourW="25400"/>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c:spPr>
          </c:dPt>
          <c:dLbls>
            <c:dLbl>
              <c:idx val="0"/>
              <c:layout>
                <c:manualLayout>
                  <c:x val="-0.0559623028621839"/>
                  <c:y val="-0.67880180099419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206.64</c:v>
                </c:pt>
              </c:numCache>
            </c:numRef>
          </c:val>
        </c:ser>
        <c:dLbls>
          <c:showLegendKey val="0"/>
          <c:showVal val="0"/>
          <c:showCatName val="0"/>
          <c:showSerName val="0"/>
          <c:showPercent val="0"/>
          <c:showBubbleSize val="0"/>
        </c:dLbls>
      </c:pie3DChart>
      <c:spPr>
        <a:noFill/>
        <a:ln>
          <a:noFill/>
        </a:ln>
        <a:effectLst/>
      </c:spPr>
    </c:plotArea>
    <c:legend>
      <c:legendPos val="r"/>
      <c:layout>
        <c:manualLayout>
          <c:xMode val="edge"/>
          <c:yMode val="edge"/>
          <c:x val="0.659314074284901"/>
          <c:y val="0.13746817866234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f5b29d-19fa-45d7-9471-091da3c981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2024年度</c:v>
                </c:pt>
              </c:strCache>
            </c:strRef>
          </c:tx>
          <c:spPr>
            <a:scene3d>
              <a:camera prst="orthographicFront"/>
              <a:lightRig rig="threePt" dir="t"/>
            </a:scene3d>
            <a:sp3d contourW="9525"/>
          </c:spPr>
          <c:explosion val="0"/>
          <c:dPt>
            <c:idx val="0"/>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2"/>
            <c:bubble3D val="0"/>
            <c:spPr>
              <a:solidFill>
                <a:schemeClr val="accent6"/>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3"/>
            <c:bubble3D val="0"/>
            <c:spPr>
              <a:solidFill>
                <a:schemeClr val="accent2">
                  <a:lumMod val="60000"/>
                </a:schemeClr>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4"/>
            <c:bubble3D val="0"/>
            <c:spPr>
              <a:solidFill>
                <a:schemeClr val="accent4">
                  <a:lumMod val="60000"/>
                </a:schemeClr>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manualLayout>
                  <c:x val="-0.16885242628883"/>
                  <c:y val="-0.7058392502367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206.64</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62e8a127-8e62-4ffb-8b83-707ecce39bc5}"/>
      </c:ext>
    </c:extLst>
  </c:chart>
  <c:spPr>
    <a:no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财政拨款收入、支出决算总计变动情况</a:t>
            </a:r>
          </a:p>
        </c:rich>
      </c:tx>
      <c:layout>
        <c:manualLayout>
          <c:xMode val="edge"/>
          <c:yMode val="edge"/>
          <c:x val="0.2205"/>
          <c:y val="0.027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delete val="1"/>
          </c:dLbls>
          <c:cat>
            <c:strRef>
              <c:f>Sheet1!$A$2:$A$3</c:f>
              <c:strCache>
                <c:ptCount val="2"/>
                <c:pt idx="0">
                  <c:v>2024年度</c:v>
                </c:pt>
                <c:pt idx="1">
                  <c:v>2025年度</c:v>
                </c:pt>
              </c:strCache>
            </c:strRef>
          </c:cat>
          <c:val>
            <c:numRef>
              <c:f>Sheet1!$B$2:$B$3</c:f>
              <c:numCache>
                <c:formatCode>General</c:formatCode>
                <c:ptCount val="2"/>
                <c:pt idx="0">
                  <c:v>206.64</c:v>
                </c:pt>
                <c:pt idx="1">
                  <c:v>243.48</c:v>
                </c:pt>
              </c:numCache>
            </c:numRef>
          </c:val>
        </c:ser>
        <c:ser>
          <c:idx val="1"/>
          <c:order val="1"/>
          <c:tx>
            <c:strRef>
              <c:f>Sheet1!$C$1</c:f>
              <c:strCache>
                <c:ptCount val="1"/>
                <c:pt idx="0">
                  <c:v>支出（万元）</c:v>
                </c:pt>
              </c:strCache>
            </c:strRef>
          </c:tx>
          <c:spPr>
            <a:solidFill>
              <a:schemeClr val="accent2"/>
            </a:solidFill>
            <a:ln>
              <a:noFill/>
            </a:ln>
            <a:effectLst/>
          </c:spPr>
          <c:invertIfNegative val="0"/>
          <c:dLbls>
            <c:delete val="1"/>
          </c:dLbls>
          <c:cat>
            <c:strRef>
              <c:f>Sheet1!$A$2:$A$3</c:f>
              <c:strCache>
                <c:ptCount val="2"/>
                <c:pt idx="0">
                  <c:v>2024年度</c:v>
                </c:pt>
                <c:pt idx="1">
                  <c:v>2025年度</c:v>
                </c:pt>
              </c:strCache>
            </c:strRef>
          </c:cat>
          <c:val>
            <c:numRef>
              <c:f>Sheet1!$C$2:$C$3</c:f>
              <c:numCache>
                <c:formatCode>General</c:formatCode>
                <c:ptCount val="2"/>
                <c:pt idx="0">
                  <c:v>206.64</c:v>
                </c:pt>
                <c:pt idx="1">
                  <c:v>243.48</c:v>
                </c:pt>
              </c:numCache>
            </c:numRef>
          </c:val>
        </c:ser>
        <c:dLbls>
          <c:showLegendKey val="0"/>
          <c:showVal val="0"/>
          <c:showCatName val="0"/>
          <c:showSerName val="0"/>
          <c:showPercent val="0"/>
          <c:showBubbleSize val="0"/>
        </c:dLbls>
        <c:gapWidth val="219"/>
        <c:overlap val="-27"/>
        <c:axId val="467976949"/>
        <c:axId val="620292878"/>
      </c:barChart>
      <c:catAx>
        <c:axId val="46797694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292878"/>
        <c:crosses val="autoZero"/>
        <c:auto val="1"/>
        <c:lblAlgn val="ctr"/>
        <c:lblOffset val="100"/>
        <c:noMultiLvlLbl val="0"/>
      </c:catAx>
      <c:valAx>
        <c:axId val="62029287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9769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d2d104-e94a-476a-8161-ed20522009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206.64</c:v>
                </c:pt>
                <c:pt idx="1">
                  <c:v>243.48</c:v>
                </c:pt>
              </c:numCache>
            </c:numRef>
          </c:val>
        </c:ser>
        <c:dLbls>
          <c:showLegendKey val="0"/>
          <c:showVal val="1"/>
          <c:showCatName val="0"/>
          <c:showSerName val="0"/>
          <c:showPercent val="0"/>
          <c:showBubbleSize val="0"/>
        </c:dLbls>
        <c:gapWidth val="75"/>
        <c:overlap val="40"/>
        <c:axId val="811339866"/>
        <c:axId val="216431697"/>
      </c:barChart>
      <c:catAx>
        <c:axId val="8113398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431697"/>
        <c:crosses val="autoZero"/>
        <c:auto val="1"/>
        <c:lblAlgn val="ctr"/>
        <c:lblOffset val="100"/>
        <c:noMultiLvlLbl val="0"/>
      </c:catAx>
      <c:valAx>
        <c:axId val="21643169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33986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b4bc69-c89c-4d8a-9153-3457be5803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2025年度</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206757512746391"/>
                  <c:y val="-0.018166188467039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75.2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0143773504594075"/>
                  <c:y val="0.0055909453609054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12.8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973930863027318"/>
                  <c:y val="0.0040481109648526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4.8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0692163956685212"/>
                  <c:y val="0.011397159113868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183.06</c:v>
                </c:pt>
                <c:pt idx="1">
                  <c:v>31.23</c:v>
                </c:pt>
                <c:pt idx="2">
                  <c:v>11.59</c:v>
                </c:pt>
                <c:pt idx="3">
                  <c:v>17.61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340fb4-5f41-431c-8913-acb8afad727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1142</Words>
  <Characters>6514</Characters>
  <Lines>54</Lines>
  <Paragraphs>15</Paragraphs>
  <TotalTime>2</TotalTime>
  <ScaleCrop>false</ScaleCrop>
  <LinksUpToDate>false</LinksUpToDate>
  <CharactersWithSpaces>7641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2020-08-13T17:49:00Z</dcterms:created>
  <dc:creator>曹颖</dc:creator>
  <cp:lastModifiedBy>Monolog</cp:lastModifiedBy>
  <cp:lastPrinted>2026-09-18T01:26:00Z</cp:lastPrinted>
  <dcterms:modified xsi:type="dcterms:W3CDTF">2026-09-17T17:40:57Z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1C96E46188D8C5FCC786976A1962BB8E_43</vt:lpwstr>
  </property>
</Properties>
</file>