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118D1">
      <w:pPr>
        <w:spacing w:line="600" w:lineRule="exact"/>
        <w:jc w:val="center"/>
        <w:outlineLvl w:val="0"/>
        <w:rPr>
          <w:rFonts w:hint="default" w:ascii="Times New Roman" w:hAnsi="Times New Roman" w:eastAsia="方正小标宋简体" w:cs="Times New Roman"/>
          <w:sz w:val="72"/>
          <w:szCs w:val="72"/>
        </w:rPr>
      </w:pPr>
      <w:bookmarkStart w:id="0" w:name="_Toc15378441"/>
      <w:bookmarkStart w:id="1" w:name="_Toc15377425"/>
      <w:bookmarkStart w:id="2" w:name="_Toc15377193"/>
      <w:bookmarkStart w:id="3" w:name="_Toc15306267"/>
      <w:bookmarkStart w:id="4" w:name="_Toc15396597"/>
      <w:bookmarkStart w:id="5" w:name="_Toc15396475"/>
    </w:p>
    <w:p w14:paraId="7B6B580C">
      <w:pPr>
        <w:pStyle w:val="6"/>
        <w:spacing w:before="93"/>
        <w:rPr>
          <w:rFonts w:hint="default" w:ascii="Times New Roman" w:hAnsi="Times New Roman" w:cs="Times New Roman"/>
        </w:rPr>
      </w:pPr>
    </w:p>
    <w:p w14:paraId="6FCB65EA">
      <w:pPr>
        <w:spacing w:line="600" w:lineRule="exact"/>
        <w:jc w:val="center"/>
        <w:outlineLvl w:val="0"/>
        <w:rPr>
          <w:rFonts w:hint="default" w:ascii="Times New Roman" w:hAnsi="Times New Roman" w:eastAsia="方正小标宋简体" w:cs="Times New Roman"/>
          <w:sz w:val="72"/>
          <w:szCs w:val="72"/>
        </w:rPr>
      </w:pPr>
    </w:p>
    <w:p w14:paraId="2A0A6435">
      <w:pPr>
        <w:spacing w:line="600" w:lineRule="exact"/>
        <w:jc w:val="center"/>
        <w:outlineLvl w:val="0"/>
        <w:rPr>
          <w:rFonts w:hint="default" w:ascii="Times New Roman" w:hAnsi="Times New Roman" w:eastAsia="方正小标宋简体" w:cs="Times New Roman"/>
          <w:sz w:val="72"/>
          <w:szCs w:val="72"/>
        </w:rPr>
      </w:pPr>
    </w:p>
    <w:p w14:paraId="16E3917D">
      <w:pPr>
        <w:adjustRightInd w:val="0"/>
        <w:snapToGrid w:val="0"/>
        <w:spacing w:line="360" w:lineRule="auto"/>
        <w:jc w:val="center"/>
        <w:outlineLvl w:val="0"/>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lang w:eastAsia="zh-CN"/>
        </w:rPr>
        <w:t>年度</w:t>
      </w:r>
      <w:bookmarkEnd w:id="0"/>
      <w:bookmarkEnd w:id="1"/>
      <w:bookmarkEnd w:id="2"/>
      <w:bookmarkEnd w:id="3"/>
      <w:bookmarkEnd w:id="4"/>
      <w:bookmarkEnd w:id="5"/>
      <w:bookmarkStart w:id="6" w:name="_Toc15306268"/>
      <w:bookmarkStart w:id="7" w:name="_Toc15378442"/>
      <w:bookmarkStart w:id="8" w:name="_Toc15396598"/>
      <w:bookmarkStart w:id="9" w:name="_Toc15377426"/>
      <w:bookmarkStart w:id="10" w:name="_Toc15377194"/>
      <w:bookmarkStart w:id="11" w:name="_Toc15396476"/>
      <w:r>
        <w:rPr>
          <w:rFonts w:hint="default" w:ascii="Times New Roman" w:hAnsi="Times New Roman" w:eastAsia="方正小标宋简体" w:cs="Times New Roman"/>
          <w:sz w:val="44"/>
          <w:szCs w:val="44"/>
          <w:lang w:eastAsia="zh-CN"/>
        </w:rPr>
        <w:t>中共阿坝州委机构编制</w:t>
      </w:r>
    </w:p>
    <w:p w14:paraId="06C7A8D3">
      <w:pPr>
        <w:adjustRightInd w:val="0"/>
        <w:snapToGrid w:val="0"/>
        <w:spacing w:line="360" w:lineRule="auto"/>
        <w:jc w:val="center"/>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44"/>
          <w:szCs w:val="44"/>
          <w:lang w:eastAsia="zh-CN"/>
        </w:rPr>
        <w:t>委员会办公室部门决算</w:t>
      </w:r>
      <w:bookmarkEnd w:id="6"/>
      <w:bookmarkEnd w:id="7"/>
      <w:bookmarkEnd w:id="8"/>
      <w:bookmarkEnd w:id="9"/>
      <w:bookmarkEnd w:id="10"/>
      <w:bookmarkEnd w:id="11"/>
      <w:r>
        <w:rPr>
          <w:rFonts w:hint="eastAsia" w:eastAsia="方正小标宋简体" w:cs="Times New Roman"/>
          <w:sz w:val="44"/>
          <w:szCs w:val="44"/>
          <w:lang w:eastAsia="zh-CN"/>
        </w:rPr>
        <w:t>公开</w:t>
      </w:r>
    </w:p>
    <w:p w14:paraId="31054FF4">
      <w:pPr>
        <w:widowControl/>
        <w:jc w:val="center"/>
        <w:rPr>
          <w:rFonts w:hint="default" w:ascii="Times New Roman" w:hAnsi="Times New Roman" w:eastAsia="方正小标宋简体" w:cs="Times New Roman"/>
          <w:sz w:val="36"/>
          <w:szCs w:val="36"/>
        </w:rPr>
      </w:pPr>
    </w:p>
    <w:p w14:paraId="0604471C">
      <w:pPr>
        <w:widowControl/>
        <w:jc w:val="center"/>
        <w:rPr>
          <w:rFonts w:hint="default" w:ascii="Times New Roman" w:hAnsi="Times New Roman" w:eastAsia="方正小标宋简体" w:cs="Times New Roman"/>
          <w:sz w:val="36"/>
          <w:szCs w:val="36"/>
        </w:rPr>
      </w:pPr>
    </w:p>
    <w:p w14:paraId="2B73E8E7">
      <w:pPr>
        <w:widowControl/>
        <w:jc w:val="center"/>
        <w:rPr>
          <w:rFonts w:hint="default" w:ascii="Times New Roman" w:hAnsi="Times New Roman" w:eastAsia="方正小标宋简体" w:cs="Times New Roman"/>
          <w:sz w:val="36"/>
          <w:szCs w:val="36"/>
        </w:rPr>
      </w:pPr>
    </w:p>
    <w:p w14:paraId="1BBE161C">
      <w:pPr>
        <w:widowControl/>
        <w:jc w:val="center"/>
        <w:rPr>
          <w:rFonts w:hint="default" w:ascii="Times New Roman" w:hAnsi="Times New Roman" w:eastAsia="方正小标宋简体" w:cs="Times New Roman"/>
          <w:sz w:val="36"/>
          <w:szCs w:val="36"/>
        </w:rPr>
      </w:pPr>
    </w:p>
    <w:p w14:paraId="60AF5345">
      <w:pPr>
        <w:widowControl/>
        <w:jc w:val="center"/>
        <w:rPr>
          <w:rFonts w:hint="default" w:ascii="Times New Roman" w:hAnsi="Times New Roman" w:eastAsia="方正小标宋简体" w:cs="Times New Roman"/>
          <w:sz w:val="36"/>
          <w:szCs w:val="36"/>
        </w:rPr>
      </w:pPr>
    </w:p>
    <w:p w14:paraId="5E1D8626">
      <w:pPr>
        <w:widowControl/>
        <w:jc w:val="center"/>
        <w:rPr>
          <w:rFonts w:hint="default" w:ascii="Times New Roman" w:hAnsi="Times New Roman" w:eastAsia="方正小标宋简体" w:cs="Times New Roman"/>
          <w:sz w:val="36"/>
          <w:szCs w:val="36"/>
        </w:rPr>
      </w:pPr>
    </w:p>
    <w:p w14:paraId="46E97122">
      <w:pPr>
        <w:widowControl/>
        <w:jc w:val="center"/>
        <w:rPr>
          <w:rFonts w:hint="default" w:ascii="Times New Roman" w:hAnsi="Times New Roman" w:eastAsia="方正小标宋简体" w:cs="Times New Roman"/>
          <w:sz w:val="36"/>
          <w:szCs w:val="36"/>
        </w:rPr>
      </w:pPr>
    </w:p>
    <w:p w14:paraId="4E169F58">
      <w:pPr>
        <w:widowControl/>
        <w:jc w:val="center"/>
        <w:rPr>
          <w:rFonts w:hint="default" w:ascii="Times New Roman" w:hAnsi="Times New Roman" w:eastAsia="方正小标宋简体" w:cs="Times New Roman"/>
          <w:sz w:val="36"/>
          <w:szCs w:val="36"/>
        </w:rPr>
      </w:pPr>
    </w:p>
    <w:p w14:paraId="3B712548">
      <w:pPr>
        <w:widowControl/>
        <w:jc w:val="center"/>
        <w:rPr>
          <w:rFonts w:hint="default" w:ascii="Times New Roman" w:hAnsi="Times New Roman" w:eastAsia="方正小标宋简体" w:cs="Times New Roman"/>
          <w:sz w:val="36"/>
          <w:szCs w:val="36"/>
        </w:rPr>
      </w:pPr>
    </w:p>
    <w:p w14:paraId="0FD1EA49">
      <w:pPr>
        <w:widowControl/>
        <w:jc w:val="both"/>
        <w:rPr>
          <w:rFonts w:hint="default" w:ascii="Times New Roman" w:hAnsi="Times New Roman" w:eastAsia="方正小标宋简体" w:cs="Times New Roman"/>
          <w:sz w:val="36"/>
          <w:szCs w:val="36"/>
        </w:rPr>
      </w:pPr>
    </w:p>
    <w:p w14:paraId="412B9DC7">
      <w:pPr>
        <w:pStyle w:val="16"/>
        <w:pageBreakBefore w:val="0"/>
        <w:shd w:val="clear" w:color="auto" w:fill="FFFFFF"/>
        <w:kinsoku/>
        <w:wordWrap/>
        <w:overflowPunct/>
        <w:topLinePunct w:val="0"/>
        <w:bidi w:val="0"/>
        <w:spacing w:before="0" w:beforeAutospacing="0" w:line="560" w:lineRule="exact"/>
        <w:ind w:left="0"/>
        <w:jc w:val="center"/>
        <w:textAlignment w:val="auto"/>
        <w:rPr>
          <w:rFonts w:hint="default" w:ascii="Times New Roman" w:hAnsi="Times New Roman" w:cs="Times New Roman"/>
          <w:sz w:val="32"/>
          <w:szCs w:val="32"/>
        </w:rPr>
      </w:pPr>
      <w:r>
        <w:rPr>
          <w:rFonts w:hint="default" w:ascii="Times New Roman" w:hAnsi="Times New Roman" w:cs="Times New Roman"/>
          <w:sz w:val="32"/>
          <w:szCs w:val="32"/>
          <w:lang w:eastAsia="zh-CN"/>
        </w:rPr>
        <w:t>已经</w:t>
      </w:r>
      <w:r>
        <w:rPr>
          <w:rFonts w:hint="default" w:ascii="Times New Roman" w:hAnsi="Times New Roman" w:cs="Times New Roman"/>
          <w:sz w:val="32"/>
          <w:szCs w:val="32"/>
        </w:rPr>
        <w:t>保密审查、内容审定，同意对外公开</w:t>
      </w:r>
    </w:p>
    <w:p w14:paraId="3425DBB5">
      <w:pPr>
        <w:bidi w:val="0"/>
        <w:jc w:val="center"/>
        <w:rPr>
          <w:rFonts w:hint="default" w:ascii="Times New Roman" w:hAnsi="Times New Roman" w:eastAsia="方正黑体_GBK" w:cs="Times New Roman"/>
          <w:color w:val="auto"/>
          <w:sz w:val="44"/>
          <w:szCs w:val="44"/>
          <w:highlight w:val="none"/>
        </w:rPr>
        <w:sectPr>
          <w:headerReference r:id="rId4" w:type="first"/>
          <w:footerReference r:id="rId5" w:type="first"/>
          <w:headerReference r:id="rId3" w:type="default"/>
          <w:pgSz w:w="11906" w:h="16838"/>
          <w:pgMar w:top="2098" w:right="1474" w:bottom="1984" w:left="1587" w:header="851" w:footer="992" w:gutter="0"/>
          <w:pgNumType w:fmt="decimal" w:start="1"/>
          <w:cols w:space="425" w:num="1"/>
          <w:docGrid w:type="lines" w:linePitch="312" w:charSpace="0"/>
        </w:sectPr>
      </w:pPr>
    </w:p>
    <w:p w14:paraId="681FC40D">
      <w:pPr>
        <w:bidi w:val="0"/>
        <w:jc w:val="center"/>
        <w:rPr>
          <w:rFonts w:hint="default" w:ascii="Times New Roman" w:hAnsi="Times New Roman" w:eastAsia="方正黑体_GBK" w:cs="Times New Roman"/>
          <w:color w:val="auto"/>
          <w:sz w:val="44"/>
          <w:szCs w:val="44"/>
          <w:highlight w:val="none"/>
        </w:rPr>
      </w:pPr>
      <w:r>
        <w:rPr>
          <w:rFonts w:hint="default" w:ascii="Times New Roman" w:hAnsi="Times New Roman" w:eastAsia="方正黑体_GBK" w:cs="Times New Roman"/>
          <w:color w:val="auto"/>
          <w:sz w:val="44"/>
          <w:szCs w:val="44"/>
          <w:highlight w:val="none"/>
        </w:rPr>
        <w:t>目</w:t>
      </w:r>
      <w:r>
        <w:rPr>
          <w:rFonts w:hint="default" w:ascii="Times New Roman" w:hAnsi="Times New Roman" w:eastAsia="方正黑体_GBK" w:cs="Times New Roman"/>
          <w:color w:val="auto"/>
          <w:sz w:val="44"/>
          <w:szCs w:val="44"/>
          <w:highlight w:val="none"/>
          <w:lang w:val="en-US" w:eastAsia="zh-CN"/>
        </w:rPr>
        <w:t xml:space="preserve">  </w:t>
      </w:r>
      <w:r>
        <w:rPr>
          <w:rFonts w:hint="default" w:ascii="Times New Roman" w:hAnsi="Times New Roman" w:eastAsia="方正黑体_GBK" w:cs="Times New Roman"/>
          <w:color w:val="auto"/>
          <w:sz w:val="44"/>
          <w:szCs w:val="44"/>
          <w:highlight w:val="none"/>
        </w:rPr>
        <w:t>录</w:t>
      </w:r>
    </w:p>
    <w:p w14:paraId="3E85906D">
      <w:pPr>
        <w:pStyle w:val="13"/>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公开时间：20</w:t>
      </w:r>
      <w:r>
        <w:rPr>
          <w:rFonts w:hint="default" w:ascii="Times New Roman" w:hAnsi="Times New Roman" w:cs="Times New Roman"/>
          <w:color w:val="auto"/>
          <w:sz w:val="32"/>
          <w:szCs w:val="32"/>
          <w:highlight w:val="none"/>
          <w:lang w:val="en-US" w:eastAsia="zh-CN"/>
        </w:rPr>
        <w:t>25</w:t>
      </w:r>
      <w:r>
        <w:rPr>
          <w:rFonts w:hint="default" w:ascii="Times New Roman" w:hAnsi="Times New Roman" w:cs="Times New Roman"/>
          <w:color w:val="auto"/>
          <w:sz w:val="32"/>
          <w:szCs w:val="32"/>
          <w:highlight w:val="none"/>
        </w:rPr>
        <w:t>年</w:t>
      </w:r>
      <w:r>
        <w:rPr>
          <w:rFonts w:hint="default" w:ascii="Times New Roman" w:hAnsi="Times New Roman" w:cs="Times New Roman"/>
          <w:color w:val="auto"/>
          <w:sz w:val="32"/>
          <w:szCs w:val="32"/>
          <w:highlight w:val="none"/>
          <w:lang w:val="en-US" w:eastAsia="zh-CN"/>
        </w:rPr>
        <w:t>9</w:t>
      </w:r>
      <w:r>
        <w:rPr>
          <w:rFonts w:hint="default" w:ascii="Times New Roman" w:hAnsi="Times New Roman" w:cs="Times New Roman"/>
          <w:color w:val="auto"/>
          <w:sz w:val="32"/>
          <w:szCs w:val="32"/>
          <w:highlight w:val="none"/>
        </w:rPr>
        <w:t>月</w:t>
      </w:r>
      <w:r>
        <w:rPr>
          <w:rFonts w:hint="default" w:ascii="Times New Roman" w:hAnsi="Times New Roman" w:cs="Times New Roman"/>
          <w:color w:val="auto"/>
          <w:sz w:val="32"/>
          <w:szCs w:val="32"/>
          <w:highlight w:val="none"/>
          <w:lang w:val="en-US" w:eastAsia="zh-CN"/>
        </w:rPr>
        <w:t>17</w:t>
      </w:r>
      <w:r>
        <w:rPr>
          <w:rFonts w:hint="default" w:ascii="Times New Roman" w:hAnsi="Times New Roman" w:cs="Times New Roman"/>
          <w:color w:val="auto"/>
          <w:sz w:val="32"/>
          <w:szCs w:val="32"/>
          <w:highlight w:val="none"/>
        </w:rPr>
        <w:t>日</w:t>
      </w:r>
    </w:p>
    <w:p w14:paraId="103C0368">
      <w:pPr>
        <w:rPr>
          <w:rFonts w:hint="default" w:ascii="Times New Roman" w:hAnsi="Times New Roman" w:cs="Times New Roman"/>
        </w:rPr>
      </w:pPr>
    </w:p>
    <w:p w14:paraId="23C80025">
      <w:pPr>
        <w:pStyle w:val="13"/>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rPr>
        <w:t xml:space="preserve">第一部分 </w:t>
      </w:r>
      <w:r>
        <w:rPr>
          <w:rFonts w:hint="default" w:ascii="Times New Roman" w:hAnsi="Times New Roman" w:eastAsia="方正黑体_GBK" w:cs="Times New Roman"/>
          <w:color w:val="auto"/>
          <w:sz w:val="32"/>
          <w:szCs w:val="32"/>
          <w:highlight w:val="none"/>
          <w:lang w:eastAsia="zh-CN"/>
        </w:rPr>
        <w:t>部门</w:t>
      </w:r>
      <w:r>
        <w:rPr>
          <w:rFonts w:hint="default" w:ascii="Times New Roman" w:hAnsi="Times New Roman" w:eastAsia="方正黑体_GBK" w:cs="Times New Roman"/>
          <w:color w:val="auto"/>
          <w:sz w:val="32"/>
          <w:szCs w:val="32"/>
          <w:highlight w:val="none"/>
        </w:rPr>
        <w:t>概况……………………………………………</w:t>
      </w:r>
      <w:r>
        <w:rPr>
          <w:rFonts w:hint="default" w:ascii="Times New Roman" w:hAnsi="Times New Roman" w:eastAsia="方正黑体_GBK" w:cs="Times New Roman"/>
          <w:color w:val="auto"/>
          <w:sz w:val="32"/>
          <w:szCs w:val="32"/>
          <w:highlight w:val="none"/>
          <w:lang w:val="en-US" w:eastAsia="zh-CN"/>
        </w:rPr>
        <w:t>3</w:t>
      </w:r>
    </w:p>
    <w:p w14:paraId="5BBD7EAB">
      <w:pPr>
        <w:pStyle w:val="13"/>
        <w:keepNext w:val="0"/>
        <w:keepLines w:val="0"/>
        <w:pageBreakBefore w:val="0"/>
        <w:kinsoku/>
        <w:wordWrap/>
        <w:overflowPunct/>
        <w:topLinePunct w:val="0"/>
        <w:autoSpaceDE/>
        <w:autoSpaceDN/>
        <w:bidi w:val="0"/>
        <w:spacing w:line="560" w:lineRule="exact"/>
        <w:ind w:firstLine="320" w:firstLineChars="1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一、</w:t>
      </w:r>
      <w:r>
        <w:rPr>
          <w:rFonts w:hint="default" w:ascii="Times New Roman" w:hAnsi="Times New Roman" w:eastAsia="方正仿宋_GBK" w:cs="Times New Roman"/>
          <w:color w:val="auto"/>
          <w:sz w:val="32"/>
          <w:szCs w:val="32"/>
          <w:highlight w:val="none"/>
          <w:lang w:eastAsia="zh-CN"/>
        </w:rPr>
        <w:t>部门职责</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..3</w:t>
      </w:r>
    </w:p>
    <w:p w14:paraId="551FC5F9">
      <w:pPr>
        <w:pStyle w:val="13"/>
        <w:keepNext w:val="0"/>
        <w:keepLines w:val="0"/>
        <w:pageBreakBefore w:val="0"/>
        <w:kinsoku/>
        <w:wordWrap/>
        <w:overflowPunct/>
        <w:topLinePunct w:val="0"/>
        <w:autoSpaceDE/>
        <w:autoSpaceDN/>
        <w:bidi w:val="0"/>
        <w:spacing w:line="560" w:lineRule="exact"/>
        <w:ind w:firstLine="320" w:firstLineChars="100"/>
        <w:jc w:val="left"/>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highlight w:val="none"/>
          <w:lang w:eastAsia="zh-CN"/>
        </w:rPr>
        <w:t>二</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机构设置</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p>
    <w:p w14:paraId="2CC0BDE1">
      <w:pPr>
        <w:pStyle w:val="13"/>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第二部分</w:t>
      </w:r>
      <w:r>
        <w:rPr>
          <w:rFonts w:hint="default" w:ascii="Times New Roman" w:hAnsi="Times New Roman" w:eastAsia="方正黑体_GBK" w:cs="Times New Roman"/>
          <w:color w:val="auto"/>
          <w:sz w:val="32"/>
          <w:szCs w:val="32"/>
          <w:highlight w:val="none"/>
          <w:lang w:val="en-US" w:eastAsia="zh-CN"/>
        </w:rPr>
        <w:t xml:space="preserve"> 2025年度</w:t>
      </w:r>
      <w:r>
        <w:rPr>
          <w:rFonts w:hint="default" w:ascii="Times New Roman" w:hAnsi="Times New Roman" w:eastAsia="方正黑体_GBK" w:cs="Times New Roman"/>
          <w:color w:val="auto"/>
          <w:sz w:val="32"/>
          <w:szCs w:val="32"/>
          <w:highlight w:val="none"/>
          <w:lang w:eastAsia="zh-CN"/>
        </w:rPr>
        <w:t>部门</w:t>
      </w:r>
      <w:r>
        <w:rPr>
          <w:rFonts w:hint="default" w:ascii="Times New Roman" w:hAnsi="Times New Roman" w:eastAsia="方正黑体_GBK" w:cs="Times New Roman"/>
          <w:color w:val="auto"/>
          <w:sz w:val="32"/>
          <w:szCs w:val="32"/>
          <w:highlight w:val="none"/>
        </w:rPr>
        <w:t>决算情况说明……………………</w:t>
      </w:r>
      <w:r>
        <w:rPr>
          <w:rFonts w:hint="default" w:ascii="Times New Roman" w:hAnsi="Times New Roman" w:eastAsia="方正黑体_GBK" w:cs="Times New Roman"/>
          <w:color w:val="auto"/>
          <w:sz w:val="32"/>
          <w:szCs w:val="32"/>
          <w:highlight w:val="none"/>
          <w:lang w:val="en-US" w:eastAsia="zh-CN"/>
        </w:rPr>
        <w:t>...6</w:t>
      </w:r>
    </w:p>
    <w:p w14:paraId="6C37DDA6">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一、收入支出决算总体情况说明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...6</w:t>
      </w:r>
    </w:p>
    <w:p w14:paraId="6EE15B2A">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二、收入决算情况说明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6</w:t>
      </w:r>
    </w:p>
    <w:p w14:paraId="047BADB8">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三、支出决算情况说明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7</w:t>
      </w:r>
    </w:p>
    <w:p w14:paraId="360FE2E3">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四、财政拨款收入支出决算总体情况说明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..8</w:t>
      </w:r>
    </w:p>
    <w:p w14:paraId="6726AD52">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五、一般公共预算财政拨款支出决算情况说明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..8</w:t>
      </w:r>
    </w:p>
    <w:p w14:paraId="24F210BE">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六、一般公共预算财政拨款基本支出决算情况说明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.11</w:t>
      </w:r>
    </w:p>
    <w:p w14:paraId="076BA122">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七、财政拨款</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三公”经费支出决算情况说明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.11</w:t>
      </w:r>
    </w:p>
    <w:p w14:paraId="735769C9">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八、政府性基金预算支出决算情况说明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..13</w:t>
      </w:r>
    </w:p>
    <w:p w14:paraId="1BAFB48F">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九、国有资本经营预算支出决算情况说明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..13</w:t>
      </w:r>
    </w:p>
    <w:p w14:paraId="390F7FF1">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十、其他重要事项的情况说明</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....13</w:t>
      </w:r>
    </w:p>
    <w:p w14:paraId="1B3D13A2">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第三部分 名词解释…………………………………………</w:t>
      </w:r>
      <w:r>
        <w:rPr>
          <w:rFonts w:hint="default" w:ascii="Times New Roman" w:hAnsi="Times New Roman" w:eastAsia="方正黑体_GBK" w:cs="Times New Roman"/>
          <w:color w:val="auto"/>
          <w:sz w:val="32"/>
          <w:szCs w:val="32"/>
          <w:highlight w:val="none"/>
          <w:lang w:val="en-US" w:eastAsia="zh-CN"/>
        </w:rPr>
        <w:t>..15</w:t>
      </w:r>
    </w:p>
    <w:p w14:paraId="50921E32">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第四部分 附件…………………………………………</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....18</w:t>
      </w:r>
    </w:p>
    <w:p w14:paraId="4BE4631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lang w:val="en-US"/>
        </w:rPr>
      </w:pPr>
      <w:r>
        <w:rPr>
          <w:rFonts w:hint="default" w:ascii="Times New Roman" w:hAnsi="Times New Roman" w:eastAsia="方正黑体_GBK" w:cs="Times New Roman"/>
          <w:color w:val="auto"/>
          <w:sz w:val="32"/>
          <w:szCs w:val="32"/>
          <w:highlight w:val="none"/>
        </w:rPr>
        <w:t>第五部分 附表…………………………………………</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ascii="Times New Roman" w:hAnsi="Times New Roman" w:eastAsia="方正黑体_GBK" w:cs="Times New Roman"/>
          <w:color w:val="auto"/>
          <w:sz w:val="32"/>
          <w:szCs w:val="32"/>
          <w:highlight w:val="none"/>
          <w:lang w:val="en-US" w:eastAsia="zh-CN"/>
        </w:rPr>
        <w:t>0</w:t>
      </w:r>
    </w:p>
    <w:p w14:paraId="6AAA88E1">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一、收入支出决算总表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73B20E8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sectPr>
          <w:footerReference r:id="rId7" w:type="first"/>
          <w:footerReference r:id="rId6" w:type="default"/>
          <w:pgSz w:w="11906" w:h="16838"/>
          <w:pgMar w:top="2098" w:right="1474" w:bottom="1984" w:left="1587" w:header="851" w:footer="992" w:gutter="0"/>
          <w:pgNumType w:fmt="decimal" w:start="1"/>
          <w:cols w:space="425" w:num="1"/>
          <w:docGrid w:type="lines" w:linePitch="312" w:charSpace="0"/>
        </w:sectPr>
      </w:pPr>
    </w:p>
    <w:p w14:paraId="49251CF7">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二、收入决算表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5360D13F">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三、支出决算表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6446FF5B">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四、财政拨款收入支出决算总表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383F0773">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五、财政拨款支出决算明细表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3EA85C5A">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六、一般公共预算财政拨款支出决算表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348B562D">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七、一般公共预算财政拨款支出决算明细表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3CC6AE02">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八、一般公共预算财政拨款基本支出决算</w:t>
      </w:r>
      <w:r>
        <w:rPr>
          <w:rFonts w:hint="default" w:ascii="Times New Roman" w:hAnsi="Times New Roman" w:eastAsia="方正仿宋_GBK" w:cs="Times New Roman"/>
          <w:color w:val="auto"/>
          <w:sz w:val="32"/>
          <w:szCs w:val="32"/>
          <w:highlight w:val="none"/>
          <w:lang w:eastAsia="zh-CN"/>
        </w:rPr>
        <w:t>明细</w:t>
      </w:r>
      <w:r>
        <w:rPr>
          <w:rFonts w:hint="default" w:ascii="Times New Roman" w:hAnsi="Times New Roman" w:eastAsia="方正仿宋_GBK" w:cs="Times New Roman"/>
          <w:color w:val="auto"/>
          <w:sz w:val="32"/>
          <w:szCs w:val="32"/>
          <w:highlight w:val="none"/>
        </w:rPr>
        <w:t>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166E9ECF">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九、一般公共预算财政拨款项目支出决算表</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7923E265">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十、政府性基金预算财政拨款收入支出决算表</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4D046294">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十一、国有资本经营预算财政拨款收入支出决算表</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7D805030">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十二、</w:t>
      </w:r>
      <w:r>
        <w:rPr>
          <w:rFonts w:hint="default" w:ascii="Times New Roman" w:hAnsi="Times New Roman" w:eastAsia="方正仿宋_GBK" w:cs="Times New Roman"/>
          <w:color w:val="auto"/>
          <w:sz w:val="32"/>
          <w:szCs w:val="32"/>
          <w:highlight w:val="none"/>
          <w:lang w:val="en-US" w:eastAsia="zh-CN"/>
        </w:rPr>
        <w:t>国有资本经营预算财政拨款支出决算表</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7BEC3741">
      <w:pPr>
        <w:pStyle w:val="15"/>
        <w:keepNext w:val="0"/>
        <w:keepLines w:val="0"/>
        <w:pageBreakBefore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十三、财政拨款“三公”经费支出决算表</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w:t>
      </w:r>
      <w:r>
        <w:rPr>
          <w:rFonts w:hint="default" w:ascii="Times New Roman" w:hAnsi="Times New Roman" w:eastAsia="方正黑体_GBK" w:cs="Times New Roman"/>
          <w:color w:val="auto"/>
          <w:sz w:val="32"/>
          <w:szCs w:val="32"/>
          <w:highlight w:val="none"/>
        </w:rPr>
        <w:t>…</w:t>
      </w:r>
      <w:r>
        <w:rPr>
          <w:rFonts w:hint="default" w:ascii="Times New Roman" w:hAnsi="Times New Roman" w:eastAsia="方正黑体_GBK" w:cs="Times New Roman"/>
          <w:color w:val="auto"/>
          <w:sz w:val="32"/>
          <w:szCs w:val="32"/>
          <w:highlight w:val="none"/>
          <w:lang w:val="en-US" w:eastAsia="zh-CN"/>
        </w:rPr>
        <w:t>.......4</w:t>
      </w:r>
      <w:r>
        <w:rPr>
          <w:rFonts w:hint="eastAsia" w:eastAsia="方正黑体_GBK" w:cs="Times New Roman"/>
          <w:color w:val="auto"/>
          <w:sz w:val="32"/>
          <w:szCs w:val="32"/>
          <w:highlight w:val="none"/>
          <w:lang w:val="en-US" w:eastAsia="zh-CN"/>
        </w:rPr>
        <w:t>0</w:t>
      </w:r>
    </w:p>
    <w:p w14:paraId="097C5142">
      <w:pPr>
        <w:keepNext w:val="0"/>
        <w:keepLines w:val="0"/>
        <w:pageBreakBefore w:val="0"/>
        <w:widowControl/>
        <w:kinsoku/>
        <w:wordWrap/>
        <w:overflowPunct/>
        <w:topLinePunct w:val="0"/>
        <w:autoSpaceDE/>
        <w:autoSpaceDN/>
        <w:bidi w:val="0"/>
        <w:adjustRightInd w:val="0"/>
        <w:snapToGrid w:val="0"/>
        <w:spacing w:line="560" w:lineRule="exact"/>
        <w:ind w:firstLine="1760" w:firstLineChars="550"/>
        <w:jc w:val="left"/>
        <w:textAlignment w:val="auto"/>
        <w:rPr>
          <w:rFonts w:hint="default" w:ascii="Times New Roman" w:hAnsi="Times New Roman" w:eastAsia="仿宋" w:cs="Times New Roman"/>
          <w:color w:val="auto"/>
          <w:sz w:val="32"/>
          <w:szCs w:val="32"/>
          <w:highlight w:val="red"/>
        </w:rPr>
      </w:pPr>
    </w:p>
    <w:p w14:paraId="59751FB4">
      <w:pPr>
        <w:widowControl/>
        <w:adjustRightInd w:val="0"/>
        <w:snapToGrid w:val="0"/>
        <w:spacing w:line="440" w:lineRule="exact"/>
        <w:ind w:firstLine="1320" w:firstLineChars="550"/>
        <w:jc w:val="left"/>
        <w:rPr>
          <w:rFonts w:hint="default" w:ascii="Times New Roman" w:hAnsi="Times New Roman" w:eastAsia="仿宋" w:cs="Times New Roman"/>
          <w:sz w:val="24"/>
        </w:rPr>
      </w:pPr>
    </w:p>
    <w:p w14:paraId="668AFED5">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rPr>
        <w:sectPr>
          <w:footerReference r:id="rId9" w:type="first"/>
          <w:footerReference r:id="rId8" w:type="default"/>
          <w:pgSz w:w="11906" w:h="16838"/>
          <w:pgMar w:top="2098" w:right="1474" w:bottom="1984" w:left="1587" w:header="851" w:footer="992" w:gutter="0"/>
          <w:pgNumType w:fmt="decimal" w:start="1"/>
          <w:cols w:space="425" w:num="1"/>
          <w:docGrid w:type="lines" w:linePitch="312" w:charSpace="0"/>
        </w:sectPr>
      </w:pPr>
    </w:p>
    <w:p w14:paraId="25761719">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b w:val="0"/>
        </w:rPr>
        <w:t xml:space="preserve">第一部分 </w:t>
      </w:r>
      <w:r>
        <w:rPr>
          <w:rStyle w:val="38"/>
          <w:rFonts w:hint="default" w:ascii="Times New Roman" w:hAnsi="Times New Roman" w:eastAsia="黑体" w:cs="Times New Roman"/>
          <w:b w:val="0"/>
          <w:bCs w:val="0"/>
        </w:rPr>
        <w:t>部门概况</w:t>
      </w:r>
    </w:p>
    <w:p w14:paraId="4E7ED2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bookmarkStart w:id="12" w:name="_Toc15396600"/>
      <w:bookmarkStart w:id="13" w:name="_Toc15377197"/>
      <w:r>
        <w:rPr>
          <w:rFonts w:hint="default" w:ascii="Times New Roman" w:hAnsi="Times New Roman" w:eastAsia="黑体" w:cs="Times New Roman"/>
          <w:sz w:val="32"/>
          <w:szCs w:val="32"/>
        </w:rPr>
        <w:t>一、</w:t>
      </w:r>
      <w:bookmarkEnd w:id="12"/>
      <w:bookmarkEnd w:id="13"/>
      <w:r>
        <w:rPr>
          <w:rFonts w:hint="default" w:ascii="Times New Roman" w:hAnsi="Times New Roman" w:eastAsia="黑体" w:cs="Times New Roman"/>
          <w:sz w:val="32"/>
          <w:szCs w:val="32"/>
        </w:rPr>
        <w:t>部门职责</w:t>
      </w:r>
    </w:p>
    <w:p w14:paraId="21FEB4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）贯彻执行中央、省关于行政管理体制改革和机构改革、事业单位改革及机构编制管理的方针政策、法律法规，研究拟定本州的政策规定、管理办法和实施细则。</w:t>
      </w:r>
    </w:p>
    <w:p w14:paraId="14C53520">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eastAsia="zh-CN"/>
        </w:rPr>
        <w:t>）研究拟定全州行政管理体制改革和机构改革方案，审核州直各部门“三定”规定和县（市）、乡镇机构改革方案，指导县（市）、乡镇行政管理体制改革和机构改革，评估改革效果。参与行政审批制度改革和行政区划调整的有关工作。</w:t>
      </w:r>
    </w:p>
    <w:p w14:paraId="65C1C32E">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）拟定全州各级行政编制、政法专项编制总额分配方案</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审核跨层级调整行政编制事项。负责全州行政事业编制总量控制、结构调整和机关事业单位机构编制实名制管理工作。对州直机关和州属事业单位使用空缺编制补充人员以及进入州级财政供养范围的人员（工勤人员除外）进行核批。</w:t>
      </w:r>
    </w:p>
    <w:p w14:paraId="3AD81E84">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eastAsia="zh-CN"/>
        </w:rPr>
        <w:t>）负责州委、州政府各部门，州人大、州政协机关及州人民团体机关的机构编制管理工作。协调州直各部门之间及州直各部门与县（市）之间的职责分工。</w:t>
      </w:r>
    </w:p>
    <w:p w14:paraId="5C53326F">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lang w:eastAsia="zh-CN"/>
        </w:rPr>
        <w:t>）审核各县（市）副科级或按照副科级及以上规格管理机构的设置、调整，指导县（市）、乡镇机构编制管理工作。</w:t>
      </w:r>
    </w:p>
    <w:p w14:paraId="75C627B1">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lang w:eastAsia="zh-CN"/>
        </w:rPr>
        <w:t>）研究拟定全州事业单位改革方案及其实施意见，负责州属事业单位机构编制管理，审核州属事业单位的机构编制方案，负责参照公务员法管理事业单位的职责审核工作，审核各县（市）、乡镇事业单位改革总体方案，指导并协调县、乡镇事业单位改革和机构编制管理工作。</w:t>
      </w:r>
    </w:p>
    <w:p w14:paraId="559AC046">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lang w:eastAsia="zh-CN"/>
        </w:rPr>
        <w:t>）监督检查全州行政管理体制改革和机构改革方案及机构编制规定执行情况</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建立机构编制工作考核评估制度</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会同有关部门查处机构编制违法违纪行为。</w:t>
      </w:r>
    </w:p>
    <w:p w14:paraId="2706B98D">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八</w:t>
      </w:r>
      <w:r>
        <w:rPr>
          <w:rFonts w:hint="default" w:ascii="Times New Roman" w:hAnsi="Times New Roman" w:eastAsia="仿宋_GB2312" w:cs="Times New Roman"/>
          <w:sz w:val="32"/>
          <w:szCs w:val="32"/>
          <w:lang w:eastAsia="zh-CN"/>
        </w:rPr>
        <w:t>）负责全州事业单位登记管理工作，组织实施州属事业单位登记和年度报告公示工作。</w:t>
      </w:r>
    </w:p>
    <w:p w14:paraId="1D50CEAF">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九</w:t>
      </w:r>
      <w:r>
        <w:rPr>
          <w:rFonts w:hint="default" w:ascii="Times New Roman" w:hAnsi="Times New Roman" w:eastAsia="仿宋_GB2312" w:cs="Times New Roman"/>
          <w:sz w:val="32"/>
          <w:szCs w:val="32"/>
          <w:lang w:eastAsia="zh-CN"/>
        </w:rPr>
        <w:t>）负责州级党政群机关、事业单位政务和公益中文域名管理工作，指导和监督各县（市）政务和公益中文域名管理工作。</w:t>
      </w:r>
    </w:p>
    <w:p w14:paraId="3EDBE9C0">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十</w:t>
      </w:r>
      <w:r>
        <w:rPr>
          <w:rFonts w:hint="default" w:ascii="Times New Roman" w:hAnsi="Times New Roman" w:eastAsia="仿宋_GB2312" w:cs="Times New Roman"/>
          <w:sz w:val="32"/>
          <w:szCs w:val="32"/>
          <w:lang w:eastAsia="zh-CN"/>
        </w:rPr>
        <w:t>）负责州级党政群机关、事业单位和社会组织网上名称管理工作，指导和监督各县（市）机构编制管理机关的网上名称管理工作。</w:t>
      </w:r>
    </w:p>
    <w:p w14:paraId="2C5CFB25">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十一</w:t>
      </w:r>
      <w:r>
        <w:rPr>
          <w:rFonts w:hint="default" w:ascii="Times New Roman" w:hAnsi="Times New Roman" w:eastAsia="仿宋_GB2312" w:cs="Times New Roman"/>
          <w:sz w:val="32"/>
          <w:szCs w:val="32"/>
          <w:lang w:eastAsia="zh-CN"/>
        </w:rPr>
        <w:t>）负责州级机关、编办直接管理机构编制的群众团体机关统一社会信用代码赋码颁证工作。</w:t>
      </w:r>
    </w:p>
    <w:p w14:paraId="51432C55">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十二</w:t>
      </w:r>
      <w:r>
        <w:rPr>
          <w:rFonts w:hint="default" w:ascii="Times New Roman" w:hAnsi="Times New Roman" w:eastAsia="仿宋_GB2312" w:cs="Times New Roman"/>
          <w:sz w:val="32"/>
          <w:szCs w:val="32"/>
          <w:lang w:eastAsia="zh-CN"/>
        </w:rPr>
        <w:t>）承办州委、州委编委交办的其他工作。</w:t>
      </w:r>
    </w:p>
    <w:p w14:paraId="5A609B3F">
      <w:pPr>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黑体" w:cs="Times New Roman"/>
          <w:sz w:val="32"/>
          <w:szCs w:val="32"/>
          <w:lang w:val="en-US" w:eastAsia="zh-CN"/>
        </w:rPr>
      </w:pPr>
      <w:bookmarkStart w:id="14" w:name="_Toc15377200"/>
      <w:bookmarkStart w:id="15" w:name="_Toc15396601"/>
      <w:r>
        <w:rPr>
          <w:rFonts w:hint="default" w:ascii="Times New Roman" w:hAnsi="Times New Roman" w:eastAsia="黑体" w:cs="Times New Roman"/>
          <w:sz w:val="32"/>
          <w:szCs w:val="32"/>
          <w:lang w:val="en-US" w:eastAsia="zh-CN"/>
        </w:rPr>
        <w:t>二、机构设置</w:t>
      </w:r>
      <w:bookmarkEnd w:id="14"/>
      <w:bookmarkEnd w:id="15"/>
    </w:p>
    <w:p w14:paraId="4C1DBABF">
      <w:pPr>
        <w:pageBreakBefore w:val="0"/>
        <w:widowControl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中共阿坝州委机构编制委员会办公室</w:t>
      </w:r>
      <w:r>
        <w:rPr>
          <w:rFonts w:hint="default" w:ascii="Times New Roman" w:hAnsi="Times New Roman" w:eastAsia="仿宋" w:cs="Times New Roman"/>
          <w:sz w:val="32"/>
          <w:szCs w:val="32"/>
        </w:rPr>
        <w:t>下属二级预算单位</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个，其中行政单位</w:t>
      </w: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个，其他事业单位</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个。</w:t>
      </w:r>
    </w:p>
    <w:p w14:paraId="0F837840">
      <w:pPr>
        <w:pStyle w:val="6"/>
        <w:pageBreakBefore w:val="0"/>
        <w:widowControl w:val="0"/>
        <w:kinsoku/>
        <w:wordWrap/>
        <w:overflowPunct/>
        <w:topLinePunct w:val="0"/>
        <w:autoSpaceDE/>
        <w:autoSpaceDN/>
        <w:bidi w:val="0"/>
        <w:adjustRightInd w:val="0"/>
        <w:snapToGrid w:val="0"/>
        <w:spacing w:before="30" w:beforeLines="0" w:line="560" w:lineRule="exact"/>
        <w:ind w:firstLine="665" w:firstLineChars="208"/>
        <w:jc w:val="lef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纳入</w:t>
      </w:r>
      <w:r>
        <w:rPr>
          <w:rFonts w:hint="default" w:ascii="Times New Roman" w:hAnsi="Times New Roman" w:eastAsia="仿宋" w:cs="Times New Roman"/>
          <w:sz w:val="32"/>
          <w:szCs w:val="32"/>
          <w:lang w:val="en-US" w:eastAsia="zh-CN"/>
        </w:rPr>
        <w:t>中共阿坝州委机构编制委员会办公室</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年度部门决算编制范围的二级预算单位</w:t>
      </w:r>
      <w:r>
        <w:rPr>
          <w:rFonts w:hint="default" w:ascii="Times New Roman" w:hAnsi="Times New Roman" w:eastAsia="仿宋" w:cs="Times New Roman"/>
          <w:sz w:val="32"/>
          <w:szCs w:val="32"/>
          <w:lang w:eastAsia="zh-CN"/>
        </w:rPr>
        <w:t>包括：</w:t>
      </w:r>
    </w:p>
    <w:p w14:paraId="4212F917">
      <w:pPr>
        <w:pStyle w:val="6"/>
        <w:pageBreakBefore w:val="0"/>
        <w:widowControl w:val="0"/>
        <w:numPr>
          <w:ilvl w:val="0"/>
          <w:numId w:val="0"/>
        </w:numPr>
        <w:kinsoku/>
        <w:wordWrap/>
        <w:overflowPunct/>
        <w:topLinePunct w:val="0"/>
        <w:autoSpaceDE/>
        <w:autoSpaceDN/>
        <w:bidi w:val="0"/>
        <w:adjustRightInd w:val="0"/>
        <w:snapToGrid w:val="0"/>
        <w:spacing w:before="30" w:beforeLines="0" w:line="560"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1.中共阿坝州委机构编制委员会办公室</w:t>
      </w:r>
    </w:p>
    <w:p w14:paraId="317BDEFB">
      <w:pPr>
        <w:pStyle w:val="6"/>
        <w:pageBreakBefore w:val="0"/>
        <w:widowControl w:val="0"/>
        <w:numPr>
          <w:ilvl w:val="0"/>
          <w:numId w:val="0"/>
        </w:numPr>
        <w:kinsoku/>
        <w:wordWrap/>
        <w:overflowPunct/>
        <w:topLinePunct w:val="0"/>
        <w:autoSpaceDE/>
        <w:autoSpaceDN/>
        <w:bidi w:val="0"/>
        <w:adjustRightInd w:val="0"/>
        <w:snapToGrid w:val="0"/>
        <w:spacing w:before="30" w:beforeLines="0" w:line="560"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2.阿坝州机构编制信息服务中心</w:t>
      </w:r>
    </w:p>
    <w:p w14:paraId="2C881C9F">
      <w:pPr>
        <w:pStyle w:val="6"/>
        <w:pageBreakBefore w:val="0"/>
        <w:widowControl w:val="0"/>
        <w:numPr>
          <w:ilvl w:val="0"/>
          <w:numId w:val="0"/>
        </w:numPr>
        <w:kinsoku/>
        <w:wordWrap/>
        <w:overflowPunct/>
        <w:topLinePunct w:val="0"/>
        <w:autoSpaceDE/>
        <w:autoSpaceDN/>
        <w:bidi w:val="0"/>
        <w:adjustRightInd w:val="0"/>
        <w:snapToGrid w:val="0"/>
        <w:spacing w:before="30" w:beforeLines="0" w:line="560"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3.阿坝州机构编制政策研究中心（与信息服务中心统一核算，未单独核算）</w:t>
      </w:r>
    </w:p>
    <w:p w14:paraId="73ED54B0">
      <w:pPr>
        <w:pStyle w:val="6"/>
        <w:pageBreakBefore w:val="0"/>
        <w:widowControl w:val="0"/>
        <w:numPr>
          <w:ilvl w:val="0"/>
          <w:numId w:val="0"/>
        </w:numPr>
        <w:kinsoku/>
        <w:wordWrap/>
        <w:overflowPunct/>
        <w:topLinePunct w:val="0"/>
        <w:autoSpaceDE/>
        <w:autoSpaceDN/>
        <w:bidi w:val="0"/>
        <w:adjustRightInd w:val="0"/>
        <w:snapToGrid w:val="0"/>
        <w:spacing w:before="30" w:beforeLines="0" w:line="560" w:lineRule="exact"/>
        <w:ind w:firstLine="640" w:firstLineChars="200"/>
        <w:jc w:val="left"/>
        <w:textAlignment w:val="auto"/>
        <w:rPr>
          <w:rFonts w:hint="default" w:ascii="Times New Roman" w:hAnsi="Times New Roman" w:eastAsia="仿宋" w:cs="Times New Roman"/>
          <w:sz w:val="32"/>
          <w:szCs w:val="32"/>
          <w:lang w:val="en-US" w:eastAsia="zh-CN"/>
        </w:rPr>
      </w:pPr>
    </w:p>
    <w:p w14:paraId="2C79DC87">
      <w:pPr>
        <w:widowControl/>
        <w:jc w:val="left"/>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4C80A12F">
      <w:pPr>
        <w:pStyle w:val="3"/>
        <w:pageBreakBefore w:val="0"/>
        <w:widowControl w:val="0"/>
        <w:kinsoku/>
        <w:wordWrap/>
        <w:overflowPunct/>
        <w:topLinePunct w:val="0"/>
        <w:autoSpaceDE/>
        <w:autoSpaceDN/>
        <w:bidi w:val="0"/>
        <w:adjustRightInd/>
        <w:snapToGrid/>
        <w:spacing w:line="560" w:lineRule="exact"/>
        <w:ind w:right="440"/>
        <w:jc w:val="center"/>
        <w:textAlignment w:val="auto"/>
        <w:rPr>
          <w:rFonts w:hint="default" w:ascii="Times New Roman" w:hAnsi="Times New Roman" w:cs="Times New Roman"/>
        </w:rPr>
      </w:pPr>
      <w:bookmarkStart w:id="16" w:name="_Toc15377204"/>
      <w:bookmarkStart w:id="17" w:name="_Toc15396602"/>
      <w:r>
        <w:rPr>
          <w:rFonts w:hint="default" w:ascii="Times New Roman" w:hAnsi="Times New Roman" w:eastAsia="方正小标宋简体" w:cs="Times New Roman"/>
          <w:b w:val="0"/>
        </w:rPr>
        <w:t>第二部分 202</w:t>
      </w:r>
      <w:r>
        <w:rPr>
          <w:rFonts w:hint="default" w:ascii="Times New Roman" w:hAnsi="Times New Roman" w:eastAsia="方正小标宋简体" w:cs="Times New Roman"/>
          <w:b w:val="0"/>
          <w:lang w:val="en-US" w:eastAsia="zh-CN"/>
        </w:rPr>
        <w:t>5</w:t>
      </w:r>
      <w:r>
        <w:rPr>
          <w:rFonts w:hint="default" w:ascii="Times New Roman" w:hAnsi="Times New Roman" w:eastAsia="方正小标宋简体" w:cs="Times New Roman"/>
          <w:b w:val="0"/>
        </w:rPr>
        <w:t>年度</w:t>
      </w:r>
      <w:r>
        <w:rPr>
          <w:rStyle w:val="31"/>
          <w:rFonts w:hint="default" w:ascii="Times New Roman" w:hAnsi="Times New Roman" w:eastAsia="方正小标宋简体" w:cs="Times New Roman"/>
          <w:b w:val="0"/>
          <w:bCs/>
        </w:rPr>
        <w:t>部门决算情况说明</w:t>
      </w:r>
      <w:bookmarkEnd w:id="16"/>
      <w:bookmarkEnd w:id="17"/>
    </w:p>
    <w:p w14:paraId="19A6796E">
      <w:pPr>
        <w:pStyle w:val="30"/>
        <w:pageBreakBefore w:val="0"/>
        <w:widowControl w:val="0"/>
        <w:numPr>
          <w:ilvl w:val="0"/>
          <w:numId w:val="1"/>
        </w:numPr>
        <w:kinsoku/>
        <w:wordWrap/>
        <w:overflowPunct/>
        <w:topLinePunct w:val="0"/>
        <w:autoSpaceDE/>
        <w:autoSpaceDN/>
        <w:bidi w:val="0"/>
        <w:adjustRightInd/>
        <w:snapToGrid/>
        <w:spacing w:line="560" w:lineRule="exact"/>
        <w:ind w:firstLineChars="0"/>
        <w:jc w:val="left"/>
        <w:textAlignment w:val="auto"/>
        <w:outlineLvl w:val="1"/>
        <w:rPr>
          <w:rStyle w:val="32"/>
          <w:rFonts w:hint="default" w:ascii="Times New Roman" w:hAnsi="Times New Roman" w:eastAsia="方正黑体_GBK" w:cs="Times New Roman"/>
          <w:b w:val="0"/>
        </w:rPr>
      </w:pPr>
      <w:bookmarkStart w:id="18" w:name="_Toc15377205"/>
      <w:bookmarkStart w:id="19" w:name="_Toc15396603"/>
      <w:r>
        <w:rPr>
          <w:rFonts w:hint="default" w:ascii="Times New Roman" w:hAnsi="Times New Roman" w:eastAsia="方正黑体_GBK" w:cs="Times New Roman"/>
          <w:sz w:val="32"/>
          <w:szCs w:val="32"/>
        </w:rPr>
        <w:t>收</w:t>
      </w:r>
      <w:r>
        <w:rPr>
          <w:rStyle w:val="32"/>
          <w:rFonts w:hint="default" w:ascii="Times New Roman" w:hAnsi="Times New Roman" w:eastAsia="方正黑体_GBK" w:cs="Times New Roman"/>
          <w:b w:val="0"/>
        </w:rPr>
        <w:t>入支出决算总体情况说明</w:t>
      </w:r>
      <w:bookmarkEnd w:id="18"/>
      <w:bookmarkEnd w:id="19"/>
    </w:p>
    <w:p w14:paraId="537ADA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楷体_GBK" w:cs="Times New Roman"/>
          <w:b w:val="0"/>
          <w:bCs w:val="0"/>
          <w:sz w:val="28"/>
          <w:szCs w:val="28"/>
          <w:highlight w:val="green"/>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年度收</w:t>
      </w:r>
      <w:r>
        <w:rPr>
          <w:rFonts w:hint="default" w:ascii="Times New Roman" w:hAnsi="Times New Roman" w:eastAsia="方正仿宋_GBK" w:cs="Times New Roman"/>
          <w:sz w:val="32"/>
          <w:szCs w:val="32"/>
          <w:lang w:eastAsia="zh-CN"/>
        </w:rPr>
        <w:t>入</w:t>
      </w:r>
      <w:r>
        <w:rPr>
          <w:rFonts w:hint="default" w:ascii="Times New Roman" w:hAnsi="Times New Roman" w:eastAsia="方正仿宋_GBK" w:cs="Times New Roman"/>
          <w:sz w:val="32"/>
          <w:szCs w:val="32"/>
        </w:rPr>
        <w:t>、支</w:t>
      </w:r>
      <w:r>
        <w:rPr>
          <w:rFonts w:hint="default" w:ascii="Times New Roman" w:hAnsi="Times New Roman" w:eastAsia="方正仿宋_GBK" w:cs="Times New Roman"/>
          <w:sz w:val="32"/>
          <w:szCs w:val="32"/>
          <w:lang w:eastAsia="zh-CN"/>
        </w:rPr>
        <w:t>出</w:t>
      </w:r>
      <w:r>
        <w:rPr>
          <w:rFonts w:hint="default" w:ascii="Times New Roman" w:hAnsi="Times New Roman" w:eastAsia="方正仿宋_GBK" w:cs="Times New Roman"/>
          <w:sz w:val="32"/>
          <w:szCs w:val="32"/>
        </w:rPr>
        <w:t>总计均为</w:t>
      </w:r>
      <w:r>
        <w:rPr>
          <w:rFonts w:hint="default" w:ascii="Times New Roman" w:hAnsi="Times New Roman" w:eastAsia="方正仿宋_GBK" w:cs="Times New Roman"/>
          <w:sz w:val="32"/>
          <w:szCs w:val="32"/>
          <w:lang w:val="en-US" w:eastAsia="zh-CN"/>
        </w:rPr>
        <w:t>831.17</w:t>
      </w:r>
      <w:r>
        <w:rPr>
          <w:rFonts w:hint="default" w:ascii="Times New Roman" w:hAnsi="Times New Roman" w:eastAsia="方正仿宋_GBK" w:cs="Times New Roman"/>
          <w:sz w:val="32"/>
          <w:szCs w:val="32"/>
        </w:rPr>
        <w:t>万元。与202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年度相比，收</w:t>
      </w:r>
      <w:r>
        <w:rPr>
          <w:rFonts w:hint="default" w:ascii="Times New Roman" w:hAnsi="Times New Roman" w:eastAsia="方正仿宋_GBK" w:cs="Times New Roman"/>
          <w:sz w:val="32"/>
          <w:szCs w:val="32"/>
          <w:lang w:eastAsia="zh-CN"/>
        </w:rPr>
        <w:t>入</w:t>
      </w:r>
      <w:r>
        <w:rPr>
          <w:rFonts w:hint="default" w:ascii="Times New Roman" w:hAnsi="Times New Roman" w:eastAsia="方正仿宋_GBK" w:cs="Times New Roman"/>
          <w:sz w:val="32"/>
          <w:szCs w:val="32"/>
        </w:rPr>
        <w:t>、支</w:t>
      </w:r>
      <w:r>
        <w:rPr>
          <w:rFonts w:hint="default" w:ascii="Times New Roman" w:hAnsi="Times New Roman" w:eastAsia="方正仿宋_GBK" w:cs="Times New Roman"/>
          <w:sz w:val="32"/>
          <w:szCs w:val="32"/>
          <w:lang w:eastAsia="zh-CN"/>
        </w:rPr>
        <w:t>出</w:t>
      </w:r>
      <w:r>
        <w:rPr>
          <w:rFonts w:hint="default" w:ascii="Times New Roman" w:hAnsi="Times New Roman" w:eastAsia="方正仿宋_GBK" w:cs="Times New Roman"/>
          <w:sz w:val="32"/>
          <w:szCs w:val="32"/>
        </w:rPr>
        <w:t>总计各</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85.44</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下降</w:t>
      </w:r>
      <w:r>
        <w:rPr>
          <w:rFonts w:hint="default" w:ascii="Times New Roman" w:hAnsi="Times New Roman" w:eastAsia="方正仿宋_GBK" w:cs="Times New Roman"/>
          <w:sz w:val="32"/>
          <w:szCs w:val="32"/>
          <w:highlight w:val="none"/>
          <w:lang w:val="en-US" w:eastAsia="zh-CN"/>
        </w:rPr>
        <w:t>9.3</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rPr>
        <w:t>主要变动原因是</w:t>
      </w:r>
      <w:r>
        <w:rPr>
          <w:rFonts w:hint="default" w:ascii="Times New Roman" w:hAnsi="Times New Roman" w:eastAsia="方正仿宋_GBK" w:cs="Times New Roman"/>
          <w:sz w:val="32"/>
          <w:szCs w:val="32"/>
          <w:highlight w:val="none"/>
          <w:lang w:eastAsia="zh-CN"/>
        </w:rPr>
        <w:t>项目减少</w:t>
      </w:r>
      <w:r>
        <w:rPr>
          <w:rFonts w:hint="default" w:ascii="Times New Roman" w:hAnsi="Times New Roman" w:eastAsia="方正仿宋_GBK" w:cs="Times New Roman"/>
          <w:sz w:val="32"/>
          <w:szCs w:val="32"/>
          <w:highlight w:val="none"/>
        </w:rPr>
        <w:t>。</w:t>
      </w:r>
    </w:p>
    <w:p w14:paraId="425D647E">
      <w:pPr>
        <w:spacing w:line="600" w:lineRule="exact"/>
        <w:ind w:firstLine="1680" w:firstLineChars="600"/>
        <w:jc w:val="left"/>
        <w:rPr>
          <w:rFonts w:hint="default" w:ascii="Times New Roman" w:hAnsi="Times New Roman" w:eastAsia="方正楷体_GBK" w:cs="Times New Roman"/>
          <w:b w:val="0"/>
          <w:bCs w:val="0"/>
          <w:sz w:val="28"/>
          <w:szCs w:val="28"/>
          <w:lang w:val="en-US" w:eastAsia="zh-CN"/>
        </w:rPr>
      </w:pPr>
      <w:r>
        <w:rPr>
          <w:rFonts w:hint="default" w:ascii="Times New Roman" w:hAnsi="Times New Roman" w:eastAsia="方正楷体_GBK" w:cs="Times New Roman"/>
          <w:b w:val="0"/>
          <w:bCs w:val="0"/>
          <w:sz w:val="28"/>
          <w:szCs w:val="28"/>
          <w:lang w:eastAsia="zh-CN"/>
        </w:rPr>
        <w:drawing>
          <wp:anchor distT="0" distB="0" distL="114300" distR="114300" simplePos="0" relativeHeight="251659264" behindDoc="0" locked="0" layoutInCell="1" allowOverlap="1">
            <wp:simplePos x="0" y="0"/>
            <wp:positionH relativeFrom="column">
              <wp:posOffset>213995</wp:posOffset>
            </wp:positionH>
            <wp:positionV relativeFrom="paragraph">
              <wp:posOffset>425450</wp:posOffset>
            </wp:positionV>
            <wp:extent cx="4869815" cy="2924175"/>
            <wp:effectExtent l="4445" t="4445" r="21590" b="508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default" w:ascii="Times New Roman" w:hAnsi="Times New Roman" w:eastAsia="方正楷体_GBK" w:cs="Times New Roman"/>
          <w:b w:val="0"/>
          <w:bCs w:val="0"/>
          <w:sz w:val="28"/>
          <w:szCs w:val="28"/>
          <w:lang w:val="en-US" w:eastAsia="zh-CN"/>
        </w:rPr>
        <w:t xml:space="preserve">     </w:t>
      </w:r>
    </w:p>
    <w:p w14:paraId="37107202">
      <w:pPr>
        <w:spacing w:line="600" w:lineRule="exact"/>
        <w:ind w:firstLine="1680" w:firstLineChars="600"/>
        <w:jc w:val="left"/>
        <w:rPr>
          <w:rFonts w:hint="default" w:ascii="Times New Roman" w:hAnsi="Times New Roman" w:eastAsia="方正楷体_GBK" w:cs="Times New Roman"/>
          <w:b w:val="0"/>
          <w:bCs w:val="0"/>
          <w:sz w:val="28"/>
          <w:szCs w:val="28"/>
          <w:lang w:val="en-US" w:eastAsia="zh-CN"/>
        </w:rPr>
      </w:pPr>
    </w:p>
    <w:p w14:paraId="5D660396">
      <w:pPr>
        <w:spacing w:line="600" w:lineRule="exact"/>
        <w:ind w:firstLine="1680" w:firstLineChars="600"/>
        <w:jc w:val="left"/>
        <w:rPr>
          <w:rFonts w:hint="default" w:ascii="Times New Roman" w:hAnsi="Times New Roman" w:eastAsia="方正楷体_GBK" w:cs="Times New Roman"/>
          <w:b w:val="0"/>
          <w:bCs w:val="0"/>
          <w:sz w:val="28"/>
          <w:szCs w:val="28"/>
          <w:lang w:val="en-US" w:eastAsia="zh-CN"/>
        </w:rPr>
      </w:pPr>
    </w:p>
    <w:p w14:paraId="73F8A666">
      <w:pPr>
        <w:spacing w:line="600" w:lineRule="exact"/>
        <w:ind w:firstLine="1680" w:firstLineChars="600"/>
        <w:jc w:val="left"/>
        <w:rPr>
          <w:rFonts w:hint="default" w:ascii="Times New Roman" w:hAnsi="Times New Roman" w:eastAsia="方正楷体_GBK" w:cs="Times New Roman"/>
          <w:b w:val="0"/>
          <w:bCs w:val="0"/>
          <w:sz w:val="28"/>
          <w:szCs w:val="28"/>
          <w:lang w:val="en-US" w:eastAsia="zh-CN"/>
        </w:rPr>
      </w:pPr>
    </w:p>
    <w:p w14:paraId="2D9FCE62">
      <w:pPr>
        <w:spacing w:line="600" w:lineRule="exact"/>
        <w:ind w:firstLine="1680" w:firstLineChars="600"/>
        <w:jc w:val="left"/>
        <w:rPr>
          <w:rFonts w:hint="default" w:ascii="Times New Roman" w:hAnsi="Times New Roman" w:eastAsia="方正楷体_GBK" w:cs="Times New Roman"/>
          <w:b w:val="0"/>
          <w:bCs w:val="0"/>
          <w:sz w:val="28"/>
          <w:szCs w:val="28"/>
          <w:lang w:val="en-US" w:eastAsia="zh-CN"/>
        </w:rPr>
      </w:pPr>
    </w:p>
    <w:p w14:paraId="2E75493E">
      <w:pPr>
        <w:spacing w:line="600" w:lineRule="exact"/>
        <w:ind w:firstLine="1680" w:firstLineChars="600"/>
        <w:jc w:val="left"/>
        <w:rPr>
          <w:rFonts w:hint="default" w:ascii="Times New Roman" w:hAnsi="Times New Roman" w:eastAsia="方正楷体_GBK" w:cs="Times New Roman"/>
          <w:b w:val="0"/>
          <w:bCs w:val="0"/>
          <w:sz w:val="28"/>
          <w:szCs w:val="28"/>
          <w:lang w:val="en-US" w:eastAsia="zh-CN"/>
        </w:rPr>
      </w:pPr>
    </w:p>
    <w:p w14:paraId="389D9167">
      <w:pPr>
        <w:spacing w:line="600" w:lineRule="exact"/>
        <w:jc w:val="left"/>
        <w:rPr>
          <w:rFonts w:hint="default" w:ascii="Times New Roman" w:hAnsi="Times New Roman" w:eastAsia="方正楷体_GBK" w:cs="Times New Roman"/>
          <w:b w:val="0"/>
          <w:bCs w:val="0"/>
          <w:sz w:val="28"/>
          <w:szCs w:val="28"/>
          <w:lang w:val="en-US" w:eastAsia="zh-CN"/>
        </w:rPr>
      </w:pPr>
    </w:p>
    <w:p w14:paraId="0E77D02C">
      <w:pPr>
        <w:spacing w:line="600" w:lineRule="exact"/>
        <w:ind w:firstLine="1680" w:firstLineChars="600"/>
        <w:jc w:val="left"/>
        <w:rPr>
          <w:rFonts w:hint="default" w:ascii="Times New Roman" w:hAnsi="Times New Roman" w:eastAsia="方正楷体_GBK" w:cs="Times New Roman"/>
          <w:b w:val="0"/>
          <w:bCs w:val="0"/>
          <w:sz w:val="28"/>
          <w:szCs w:val="28"/>
        </w:rPr>
      </w:pPr>
    </w:p>
    <w:p w14:paraId="23C4EE0D">
      <w:pPr>
        <w:spacing w:line="600" w:lineRule="exact"/>
        <w:ind w:firstLine="1680" w:firstLineChars="600"/>
        <w:jc w:val="left"/>
        <w:rPr>
          <w:rFonts w:hint="default" w:ascii="Times New Roman" w:hAnsi="Times New Roman" w:eastAsia="方正楷体_GBK" w:cs="Times New Roman"/>
          <w:b w:val="0"/>
          <w:bCs w:val="0"/>
          <w:sz w:val="28"/>
          <w:szCs w:val="28"/>
        </w:rPr>
      </w:pPr>
    </w:p>
    <w:p w14:paraId="71FEC55D">
      <w:pPr>
        <w:spacing w:line="600" w:lineRule="exact"/>
        <w:ind w:firstLine="1680" w:firstLineChars="600"/>
        <w:jc w:val="left"/>
        <w:rPr>
          <w:rFonts w:hint="default" w:ascii="Times New Roman" w:hAnsi="Times New Roman" w:eastAsia="方正楷体_GBK" w:cs="Times New Roman"/>
          <w:b w:val="0"/>
          <w:bCs w:val="0"/>
          <w:sz w:val="28"/>
          <w:szCs w:val="28"/>
        </w:rPr>
      </w:pPr>
      <w:r>
        <w:rPr>
          <w:rFonts w:hint="default" w:ascii="Times New Roman" w:hAnsi="Times New Roman" w:eastAsia="方正楷体_GBK" w:cs="Times New Roman"/>
          <w:b w:val="0"/>
          <w:bCs w:val="0"/>
          <w:sz w:val="28"/>
          <w:szCs w:val="28"/>
        </w:rPr>
        <w:t>图1：收</w:t>
      </w:r>
      <w:r>
        <w:rPr>
          <w:rFonts w:hint="default" w:ascii="Times New Roman" w:hAnsi="Times New Roman" w:eastAsia="方正楷体_GBK" w:cs="Times New Roman"/>
          <w:b w:val="0"/>
          <w:bCs w:val="0"/>
          <w:sz w:val="28"/>
          <w:szCs w:val="28"/>
          <w:lang w:eastAsia="zh-CN"/>
        </w:rPr>
        <w:t>入</w:t>
      </w:r>
      <w:r>
        <w:rPr>
          <w:rFonts w:hint="default" w:ascii="Times New Roman" w:hAnsi="Times New Roman" w:eastAsia="方正楷体_GBK" w:cs="Times New Roman"/>
          <w:b w:val="0"/>
          <w:bCs w:val="0"/>
          <w:sz w:val="28"/>
          <w:szCs w:val="28"/>
        </w:rPr>
        <w:t>、支</w:t>
      </w:r>
      <w:r>
        <w:rPr>
          <w:rFonts w:hint="default" w:ascii="Times New Roman" w:hAnsi="Times New Roman" w:eastAsia="方正楷体_GBK" w:cs="Times New Roman"/>
          <w:b w:val="0"/>
          <w:bCs w:val="0"/>
          <w:sz w:val="28"/>
          <w:szCs w:val="28"/>
          <w:lang w:eastAsia="zh-CN"/>
        </w:rPr>
        <w:t>出</w:t>
      </w:r>
      <w:r>
        <w:rPr>
          <w:rFonts w:hint="default" w:ascii="Times New Roman" w:hAnsi="Times New Roman" w:eastAsia="方正楷体_GBK" w:cs="Times New Roman"/>
          <w:b w:val="0"/>
          <w:bCs w:val="0"/>
          <w:sz w:val="28"/>
          <w:szCs w:val="28"/>
        </w:rPr>
        <w:t>决算总计变动情况图</w:t>
      </w:r>
    </w:p>
    <w:p w14:paraId="2BD45538">
      <w:pPr>
        <w:pStyle w:val="30"/>
        <w:numPr>
          <w:ilvl w:val="0"/>
          <w:numId w:val="1"/>
        </w:numPr>
        <w:spacing w:line="600" w:lineRule="exact"/>
        <w:ind w:firstLineChars="0"/>
        <w:outlineLvl w:val="1"/>
        <w:rPr>
          <w:rStyle w:val="32"/>
          <w:rFonts w:hint="default" w:ascii="Times New Roman" w:hAnsi="Times New Roman" w:eastAsia="方正黑体_GBK" w:cs="Times New Roman"/>
          <w:b w:val="0"/>
        </w:rPr>
      </w:pPr>
      <w:bookmarkStart w:id="20" w:name="_Toc15396604"/>
      <w:bookmarkStart w:id="21" w:name="_Toc15377206"/>
      <w:r>
        <w:rPr>
          <w:rFonts w:hint="default" w:ascii="Times New Roman" w:hAnsi="Times New Roman" w:eastAsia="方正黑体_GBK" w:cs="Times New Roman"/>
          <w:sz w:val="32"/>
          <w:szCs w:val="32"/>
        </w:rPr>
        <w:t>收</w:t>
      </w:r>
      <w:r>
        <w:rPr>
          <w:rStyle w:val="32"/>
          <w:rFonts w:hint="default" w:ascii="Times New Roman" w:hAnsi="Times New Roman" w:eastAsia="方正黑体_GBK" w:cs="Times New Roman"/>
          <w:b w:val="0"/>
        </w:rPr>
        <w:t>入决算情况说明</w:t>
      </w:r>
      <w:bookmarkEnd w:id="20"/>
      <w:bookmarkEnd w:id="21"/>
    </w:p>
    <w:p w14:paraId="4C9B3576">
      <w:pPr>
        <w:spacing w:line="600" w:lineRule="exact"/>
        <w:ind w:firstLine="640" w:firstLineChars="200"/>
        <w:jc w:val="left"/>
        <w:outlineLvl w:val="1"/>
        <w:rPr>
          <w:rFonts w:hint="default" w:ascii="Times New Roman" w:hAnsi="Times New Roman" w:eastAsia="仿宋"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年度本年收入合计</w:t>
      </w:r>
      <w:r>
        <w:rPr>
          <w:rFonts w:hint="default" w:ascii="Times New Roman" w:hAnsi="Times New Roman" w:eastAsia="方正仿宋_GBK" w:cs="Times New Roman"/>
          <w:sz w:val="32"/>
          <w:szCs w:val="32"/>
          <w:lang w:val="en-US" w:eastAsia="zh-CN"/>
        </w:rPr>
        <w:t>831.17</w:t>
      </w:r>
      <w:r>
        <w:rPr>
          <w:rFonts w:hint="default" w:ascii="Times New Roman" w:hAnsi="Times New Roman" w:eastAsia="方正仿宋_GBK" w:cs="Times New Roman"/>
          <w:sz w:val="32"/>
          <w:szCs w:val="32"/>
        </w:rPr>
        <w:t>万元，其中：一般公共预算财政拨款收入</w:t>
      </w:r>
      <w:r>
        <w:rPr>
          <w:rFonts w:hint="default" w:ascii="Times New Roman" w:hAnsi="Times New Roman" w:eastAsia="方正仿宋_GBK" w:cs="Times New Roman"/>
          <w:sz w:val="32"/>
          <w:szCs w:val="32"/>
          <w:lang w:val="en-US" w:eastAsia="zh-CN"/>
        </w:rPr>
        <w:t>831.17</w:t>
      </w:r>
      <w:r>
        <w:rPr>
          <w:rFonts w:hint="default" w:ascii="Times New Roman" w:hAnsi="Times New Roman" w:eastAsia="方正仿宋_GBK" w:cs="Times New Roman"/>
          <w:sz w:val="32"/>
          <w:szCs w:val="32"/>
        </w:rPr>
        <w:t>万元，占100%；政府性基金预算财政拨款收入0万元，占0%；国有资本经营预算财政拨款收入0万元，占0%；上级补助收入0万元。</w:t>
      </w:r>
    </w:p>
    <w:p w14:paraId="3728F5A0">
      <w:pPr>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drawing>
          <wp:anchor distT="0" distB="0" distL="114300" distR="114300" simplePos="0" relativeHeight="251660288" behindDoc="0" locked="0" layoutInCell="1" allowOverlap="1">
            <wp:simplePos x="0" y="0"/>
            <wp:positionH relativeFrom="column">
              <wp:posOffset>80645</wp:posOffset>
            </wp:positionH>
            <wp:positionV relativeFrom="paragraph">
              <wp:posOffset>13970</wp:posOffset>
            </wp:positionV>
            <wp:extent cx="4785995" cy="2782570"/>
            <wp:effectExtent l="4445" t="4445" r="10160" b="1333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1DE93654">
      <w:pPr>
        <w:pStyle w:val="6"/>
        <w:rPr>
          <w:rFonts w:hint="default" w:ascii="Times New Roman" w:hAnsi="Times New Roman" w:eastAsia="仿宋" w:cs="Times New Roman"/>
          <w:sz w:val="32"/>
          <w:szCs w:val="32"/>
        </w:rPr>
      </w:pPr>
    </w:p>
    <w:p w14:paraId="4989F739">
      <w:pPr>
        <w:pStyle w:val="7"/>
        <w:rPr>
          <w:rFonts w:hint="default" w:ascii="Times New Roman" w:hAnsi="Times New Roman" w:eastAsia="仿宋" w:cs="Times New Roman"/>
          <w:sz w:val="32"/>
          <w:szCs w:val="32"/>
        </w:rPr>
      </w:pPr>
    </w:p>
    <w:p w14:paraId="64AA473C">
      <w:pPr>
        <w:rPr>
          <w:rFonts w:hint="default" w:ascii="Times New Roman" w:hAnsi="Times New Roman" w:eastAsia="仿宋" w:cs="Times New Roman"/>
          <w:sz w:val="32"/>
          <w:szCs w:val="32"/>
        </w:rPr>
      </w:pPr>
    </w:p>
    <w:p w14:paraId="1187CD4F">
      <w:pPr>
        <w:pStyle w:val="6"/>
        <w:rPr>
          <w:rFonts w:hint="default" w:ascii="Times New Roman" w:hAnsi="Times New Roman" w:eastAsia="仿宋" w:cs="Times New Roman"/>
          <w:sz w:val="32"/>
          <w:szCs w:val="32"/>
        </w:rPr>
      </w:pPr>
    </w:p>
    <w:p w14:paraId="2395EB13">
      <w:pPr>
        <w:pStyle w:val="7"/>
        <w:rPr>
          <w:rFonts w:hint="default" w:ascii="Times New Roman" w:hAnsi="Times New Roman" w:eastAsia="仿宋" w:cs="Times New Roman"/>
          <w:sz w:val="32"/>
          <w:szCs w:val="32"/>
        </w:rPr>
      </w:pPr>
    </w:p>
    <w:p w14:paraId="3536B744">
      <w:pPr>
        <w:spacing w:line="600" w:lineRule="exact"/>
        <w:ind w:firstLine="2240" w:firstLineChars="800"/>
        <w:jc w:val="left"/>
        <w:rPr>
          <w:rFonts w:hint="default" w:ascii="Times New Roman" w:hAnsi="Times New Roman" w:eastAsia="仿宋_GB2312" w:cs="Times New Roman"/>
          <w:sz w:val="32"/>
          <w:szCs w:val="32"/>
        </w:rPr>
      </w:pPr>
      <w:r>
        <w:rPr>
          <w:rFonts w:hint="default" w:ascii="Times New Roman" w:hAnsi="Times New Roman" w:eastAsia="方正楷体_GBK" w:cs="Times New Roman"/>
          <w:b w:val="0"/>
          <w:bCs w:val="0"/>
          <w:sz w:val="28"/>
          <w:szCs w:val="28"/>
        </w:rPr>
        <w:t>图2：收入决算结构图</w:t>
      </w:r>
    </w:p>
    <w:p w14:paraId="02BAAAE0">
      <w:pPr>
        <w:pStyle w:val="30"/>
        <w:numPr>
          <w:ilvl w:val="0"/>
          <w:numId w:val="1"/>
        </w:numPr>
        <w:spacing w:line="600" w:lineRule="exact"/>
        <w:ind w:firstLineChars="0"/>
        <w:outlineLvl w:val="1"/>
        <w:rPr>
          <w:rStyle w:val="32"/>
          <w:rFonts w:hint="default" w:ascii="Times New Roman" w:hAnsi="Times New Roman" w:eastAsia="方正黑体_GBK" w:cs="Times New Roman"/>
          <w:b w:val="0"/>
        </w:rPr>
      </w:pPr>
      <w:bookmarkStart w:id="22" w:name="_Toc15396605"/>
      <w:bookmarkStart w:id="23" w:name="_Toc15377207"/>
      <w:r>
        <w:rPr>
          <w:rFonts w:hint="default" w:ascii="Times New Roman" w:hAnsi="Times New Roman" w:eastAsia="方正黑体_GBK" w:cs="Times New Roman"/>
          <w:sz w:val="32"/>
          <w:szCs w:val="32"/>
        </w:rPr>
        <w:t>支</w:t>
      </w:r>
      <w:r>
        <w:rPr>
          <w:rStyle w:val="32"/>
          <w:rFonts w:hint="default" w:ascii="Times New Roman" w:hAnsi="Times New Roman" w:eastAsia="方正黑体_GBK" w:cs="Times New Roman"/>
          <w:b w:val="0"/>
        </w:rPr>
        <w:t>出决算情况说明</w:t>
      </w:r>
      <w:bookmarkEnd w:id="22"/>
      <w:bookmarkEnd w:id="23"/>
    </w:p>
    <w:p w14:paraId="03A53FF7">
      <w:pPr>
        <w:spacing w:line="600" w:lineRule="exact"/>
        <w:ind w:firstLine="640" w:firstLineChars="200"/>
        <w:outlineLvl w:val="1"/>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年度本年支出合计</w:t>
      </w:r>
      <w:r>
        <w:rPr>
          <w:rFonts w:hint="default" w:ascii="Times New Roman" w:hAnsi="Times New Roman" w:eastAsia="方正仿宋_GBK" w:cs="Times New Roman"/>
          <w:sz w:val="32"/>
          <w:szCs w:val="32"/>
          <w:lang w:val="en-US" w:eastAsia="zh-CN"/>
        </w:rPr>
        <w:t>831.17</w:t>
      </w:r>
      <w:r>
        <w:rPr>
          <w:rFonts w:hint="default" w:ascii="Times New Roman" w:hAnsi="Times New Roman" w:eastAsia="方正仿宋_GBK" w:cs="Times New Roman"/>
          <w:sz w:val="32"/>
          <w:szCs w:val="32"/>
        </w:rPr>
        <w:t>万元，其中：基本支出</w:t>
      </w:r>
      <w:r>
        <w:rPr>
          <w:rFonts w:hint="default" w:ascii="Times New Roman" w:hAnsi="Times New Roman" w:eastAsia="方正仿宋_GBK" w:cs="Times New Roman"/>
          <w:sz w:val="32"/>
          <w:szCs w:val="32"/>
          <w:lang w:val="en-US" w:eastAsia="zh-CN"/>
        </w:rPr>
        <w:t>738.82</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88.9</w:t>
      </w:r>
      <w:r>
        <w:rPr>
          <w:rFonts w:hint="default" w:ascii="Times New Roman" w:hAnsi="Times New Roman" w:eastAsia="方正仿宋_GBK" w:cs="Times New Roman"/>
          <w:sz w:val="32"/>
          <w:szCs w:val="32"/>
        </w:rPr>
        <w:t>%；项目支出</w:t>
      </w:r>
      <w:r>
        <w:rPr>
          <w:rFonts w:hint="default" w:ascii="Times New Roman" w:hAnsi="Times New Roman" w:eastAsia="方正仿宋_GBK" w:cs="Times New Roman"/>
          <w:sz w:val="32"/>
          <w:szCs w:val="32"/>
          <w:lang w:val="en-US" w:eastAsia="zh-CN"/>
        </w:rPr>
        <w:t>92.35</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11.1</w:t>
      </w:r>
      <w:r>
        <w:rPr>
          <w:rFonts w:hint="default" w:ascii="Times New Roman" w:hAnsi="Times New Roman" w:eastAsia="方正仿宋_GBK" w:cs="Times New Roman"/>
          <w:sz w:val="32"/>
          <w:szCs w:val="32"/>
        </w:rPr>
        <w:t>%。</w:t>
      </w:r>
    </w:p>
    <w:p w14:paraId="0E5B8CBE">
      <w:pPr>
        <w:spacing w:line="600" w:lineRule="exact"/>
        <w:ind w:firstLine="640" w:firstLineChars="200"/>
        <w:outlineLvl w:val="1"/>
        <w:rPr>
          <w:rFonts w:hint="default" w:ascii="Times New Roman" w:hAnsi="Times New Roman" w:eastAsia="仿宋" w:cs="Times New Roman"/>
          <w:b/>
          <w:sz w:val="32"/>
          <w:szCs w:val="32"/>
        </w:rPr>
      </w:pPr>
      <w:r>
        <w:rPr>
          <w:rFonts w:hint="default" w:ascii="Times New Roman" w:hAnsi="Times New Roman" w:eastAsia="仿宋" w:cs="Times New Roman"/>
          <w:sz w:val="32"/>
          <w:szCs w:val="32"/>
          <w:shd w:val="pct10" w:color="auto" w:fill="FFFFFF"/>
          <w:lang w:eastAsia="zh-CN"/>
        </w:rPr>
        <w:drawing>
          <wp:anchor distT="0" distB="0" distL="114300" distR="114300" simplePos="0" relativeHeight="251661312" behindDoc="0" locked="0" layoutInCell="1" allowOverlap="1">
            <wp:simplePos x="0" y="0"/>
            <wp:positionH relativeFrom="column">
              <wp:posOffset>166370</wp:posOffset>
            </wp:positionH>
            <wp:positionV relativeFrom="paragraph">
              <wp:posOffset>193675</wp:posOffset>
            </wp:positionV>
            <wp:extent cx="4747260" cy="2504440"/>
            <wp:effectExtent l="4445" t="4445" r="10795" b="571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07304E19">
      <w:pPr>
        <w:pStyle w:val="6"/>
        <w:rPr>
          <w:rFonts w:hint="default" w:ascii="Times New Roman" w:hAnsi="Times New Roman" w:eastAsia="仿宋" w:cs="Times New Roman"/>
          <w:b/>
          <w:sz w:val="32"/>
          <w:szCs w:val="32"/>
        </w:rPr>
      </w:pPr>
    </w:p>
    <w:p w14:paraId="33680BA5">
      <w:pPr>
        <w:pStyle w:val="7"/>
        <w:rPr>
          <w:rFonts w:hint="default" w:ascii="Times New Roman" w:hAnsi="Times New Roman" w:eastAsia="仿宋" w:cs="Times New Roman"/>
          <w:b/>
          <w:sz w:val="32"/>
          <w:szCs w:val="32"/>
        </w:rPr>
      </w:pPr>
    </w:p>
    <w:p w14:paraId="21F289AD">
      <w:pPr>
        <w:rPr>
          <w:rFonts w:hint="default" w:ascii="Times New Roman" w:hAnsi="Times New Roman" w:eastAsia="仿宋" w:cs="Times New Roman"/>
          <w:b/>
          <w:sz w:val="32"/>
          <w:szCs w:val="32"/>
        </w:rPr>
      </w:pPr>
    </w:p>
    <w:p w14:paraId="2EE18B56">
      <w:pPr>
        <w:pStyle w:val="6"/>
        <w:rPr>
          <w:rFonts w:hint="default" w:ascii="Times New Roman" w:hAnsi="Times New Roman" w:eastAsia="仿宋" w:cs="Times New Roman"/>
          <w:b/>
          <w:sz w:val="32"/>
          <w:szCs w:val="32"/>
        </w:rPr>
      </w:pPr>
    </w:p>
    <w:p w14:paraId="76BF87B0">
      <w:pPr>
        <w:pStyle w:val="7"/>
        <w:rPr>
          <w:rFonts w:hint="default" w:ascii="Times New Roman" w:hAnsi="Times New Roman" w:eastAsia="仿宋" w:cs="Times New Roman"/>
          <w:b/>
          <w:sz w:val="32"/>
          <w:szCs w:val="32"/>
        </w:rPr>
      </w:pPr>
    </w:p>
    <w:p w14:paraId="59D1B7EB">
      <w:pPr>
        <w:spacing w:line="600" w:lineRule="exact"/>
        <w:ind w:firstLine="2240" w:firstLineChars="800"/>
        <w:jc w:val="left"/>
        <w:rPr>
          <w:rFonts w:hint="default" w:ascii="Times New Roman" w:hAnsi="Times New Roman" w:eastAsia="仿宋_GB2312" w:cs="Times New Roman"/>
          <w:sz w:val="32"/>
          <w:szCs w:val="32"/>
        </w:rPr>
      </w:pPr>
      <w:r>
        <w:rPr>
          <w:rFonts w:hint="default" w:ascii="Times New Roman" w:hAnsi="Times New Roman" w:eastAsia="方正楷体_GBK" w:cs="Times New Roman"/>
          <w:b w:val="0"/>
          <w:bCs w:val="0"/>
          <w:sz w:val="28"/>
          <w:szCs w:val="28"/>
        </w:rPr>
        <w:t>图3：支出决算结构图</w:t>
      </w:r>
    </w:p>
    <w:p w14:paraId="4172A944">
      <w:pPr>
        <w:spacing w:line="600" w:lineRule="exact"/>
        <w:ind w:firstLine="640" w:firstLineChars="200"/>
        <w:outlineLvl w:val="1"/>
        <w:rPr>
          <w:rFonts w:hint="default" w:ascii="Times New Roman" w:hAnsi="Times New Roman" w:eastAsia="方正黑体_GBK" w:cs="Times New Roman"/>
          <w:sz w:val="32"/>
          <w:szCs w:val="32"/>
        </w:rPr>
      </w:pPr>
      <w:bookmarkStart w:id="24" w:name="_Toc15396606"/>
      <w:bookmarkStart w:id="25" w:name="_Toc15377208"/>
    </w:p>
    <w:p w14:paraId="7A9D1789">
      <w:pPr>
        <w:spacing w:line="600" w:lineRule="exact"/>
        <w:ind w:firstLine="640" w:firstLineChars="200"/>
        <w:outlineLvl w:val="1"/>
        <w:rPr>
          <w:rStyle w:val="32"/>
          <w:rFonts w:hint="default" w:ascii="Times New Roman" w:hAnsi="Times New Roman" w:eastAsia="方正黑体_GBK" w:cs="Times New Roman"/>
          <w:b w:val="0"/>
        </w:rPr>
      </w:pPr>
      <w:r>
        <w:rPr>
          <w:rFonts w:hint="default" w:ascii="Times New Roman" w:hAnsi="Times New Roman" w:eastAsia="方正黑体_GBK" w:cs="Times New Roman"/>
          <w:sz w:val="32"/>
          <w:szCs w:val="32"/>
        </w:rPr>
        <w:t>四、财</w:t>
      </w:r>
      <w:r>
        <w:rPr>
          <w:rStyle w:val="32"/>
          <w:rFonts w:hint="default" w:ascii="Times New Roman" w:hAnsi="Times New Roman" w:eastAsia="方正黑体_GBK" w:cs="Times New Roman"/>
          <w:b w:val="0"/>
        </w:rPr>
        <w:t>政拨款收入支出决算总体情况说明</w:t>
      </w:r>
      <w:bookmarkEnd w:id="24"/>
      <w:bookmarkEnd w:id="25"/>
    </w:p>
    <w:p w14:paraId="534DA3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年度财政拨款收</w:t>
      </w:r>
      <w:r>
        <w:rPr>
          <w:rFonts w:hint="default" w:ascii="Times New Roman" w:hAnsi="Times New Roman" w:eastAsia="方正仿宋_GBK" w:cs="Times New Roman"/>
          <w:sz w:val="32"/>
          <w:szCs w:val="32"/>
          <w:lang w:eastAsia="zh-CN"/>
        </w:rPr>
        <w:t>入</w:t>
      </w:r>
      <w:r>
        <w:rPr>
          <w:rFonts w:hint="default" w:ascii="Times New Roman" w:hAnsi="Times New Roman" w:eastAsia="方正仿宋_GBK" w:cs="Times New Roman"/>
          <w:sz w:val="32"/>
          <w:szCs w:val="32"/>
        </w:rPr>
        <w:t>、支</w:t>
      </w:r>
      <w:r>
        <w:rPr>
          <w:rFonts w:hint="default" w:ascii="Times New Roman" w:hAnsi="Times New Roman" w:eastAsia="方正仿宋_GBK" w:cs="Times New Roman"/>
          <w:sz w:val="32"/>
          <w:szCs w:val="32"/>
          <w:lang w:eastAsia="zh-CN"/>
        </w:rPr>
        <w:t>出</w:t>
      </w:r>
      <w:r>
        <w:rPr>
          <w:rFonts w:hint="default" w:ascii="Times New Roman" w:hAnsi="Times New Roman" w:eastAsia="方正仿宋_GBK" w:cs="Times New Roman"/>
          <w:sz w:val="32"/>
          <w:szCs w:val="32"/>
        </w:rPr>
        <w:t>总计均为</w:t>
      </w:r>
      <w:r>
        <w:rPr>
          <w:rFonts w:hint="default" w:ascii="Times New Roman" w:hAnsi="Times New Roman" w:eastAsia="方正仿宋_GBK" w:cs="Times New Roman"/>
          <w:sz w:val="32"/>
          <w:szCs w:val="32"/>
          <w:lang w:val="en-US" w:eastAsia="zh-CN"/>
        </w:rPr>
        <w:t>831.17</w:t>
      </w:r>
      <w:r>
        <w:rPr>
          <w:rFonts w:hint="default" w:ascii="Times New Roman" w:hAnsi="Times New Roman" w:eastAsia="方正仿宋_GBK" w:cs="Times New Roman"/>
          <w:sz w:val="32"/>
          <w:szCs w:val="32"/>
        </w:rPr>
        <w:t>万元。与202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年度相比，财政拨款收</w:t>
      </w:r>
      <w:r>
        <w:rPr>
          <w:rFonts w:hint="default" w:ascii="Times New Roman" w:hAnsi="Times New Roman" w:eastAsia="方正仿宋_GBK" w:cs="Times New Roman"/>
          <w:sz w:val="32"/>
          <w:szCs w:val="32"/>
          <w:lang w:eastAsia="zh-CN"/>
        </w:rPr>
        <w:t>入</w:t>
      </w:r>
      <w:r>
        <w:rPr>
          <w:rFonts w:hint="default" w:ascii="Times New Roman" w:hAnsi="Times New Roman" w:eastAsia="方正仿宋_GBK" w:cs="Times New Roman"/>
          <w:sz w:val="32"/>
          <w:szCs w:val="32"/>
        </w:rPr>
        <w:t>、支</w:t>
      </w:r>
      <w:r>
        <w:rPr>
          <w:rFonts w:hint="default" w:ascii="Times New Roman" w:hAnsi="Times New Roman" w:eastAsia="方正仿宋_GBK" w:cs="Times New Roman"/>
          <w:sz w:val="32"/>
          <w:szCs w:val="32"/>
          <w:lang w:eastAsia="zh-CN"/>
        </w:rPr>
        <w:t>出</w:t>
      </w:r>
      <w:r>
        <w:rPr>
          <w:rFonts w:hint="default" w:ascii="Times New Roman" w:hAnsi="Times New Roman" w:eastAsia="方正仿宋_GBK" w:cs="Times New Roman"/>
          <w:sz w:val="32"/>
          <w:szCs w:val="32"/>
        </w:rPr>
        <w:t>总计各</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85.44</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下降</w:t>
      </w:r>
      <w:r>
        <w:rPr>
          <w:rFonts w:hint="default" w:ascii="Times New Roman" w:hAnsi="Times New Roman" w:eastAsia="方正仿宋_GBK" w:cs="Times New Roman"/>
          <w:sz w:val="32"/>
          <w:szCs w:val="32"/>
          <w:lang w:val="en-US" w:eastAsia="zh-CN"/>
        </w:rPr>
        <w:t>9.3</w:t>
      </w:r>
      <w:r>
        <w:rPr>
          <w:rFonts w:hint="default" w:ascii="Times New Roman" w:hAnsi="Times New Roman" w:eastAsia="方正仿宋_GBK" w:cs="Times New Roman"/>
          <w:sz w:val="32"/>
          <w:szCs w:val="32"/>
        </w:rPr>
        <w:t>%。主要变动原因是</w:t>
      </w:r>
      <w:r>
        <w:rPr>
          <w:rFonts w:hint="default" w:ascii="Times New Roman" w:hAnsi="Times New Roman" w:eastAsia="方正仿宋_GBK" w:cs="Times New Roman"/>
          <w:sz w:val="32"/>
          <w:szCs w:val="32"/>
          <w:lang w:eastAsia="zh-CN"/>
        </w:rPr>
        <w:t>项目经费减少</w:t>
      </w:r>
      <w:r>
        <w:rPr>
          <w:rFonts w:hint="default" w:ascii="Times New Roman" w:hAnsi="Times New Roman" w:eastAsia="方正仿宋_GBK" w:cs="Times New Roman"/>
          <w:sz w:val="32"/>
          <w:szCs w:val="32"/>
        </w:rPr>
        <w:t>。</w:t>
      </w:r>
    </w:p>
    <w:p w14:paraId="2526D854">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drawing>
          <wp:anchor distT="0" distB="0" distL="114300" distR="114300" simplePos="0" relativeHeight="251662336" behindDoc="0" locked="0" layoutInCell="1" allowOverlap="1">
            <wp:simplePos x="0" y="0"/>
            <wp:positionH relativeFrom="column">
              <wp:posOffset>51435</wp:posOffset>
            </wp:positionH>
            <wp:positionV relativeFrom="paragraph">
              <wp:posOffset>175895</wp:posOffset>
            </wp:positionV>
            <wp:extent cx="4851400" cy="3143250"/>
            <wp:effectExtent l="4445" t="4445" r="20955" b="1460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14:paraId="732D5A9A">
      <w:pPr>
        <w:spacing w:line="600" w:lineRule="exact"/>
        <w:ind w:firstLine="640" w:firstLineChars="200"/>
        <w:rPr>
          <w:rFonts w:hint="default" w:ascii="Times New Roman" w:hAnsi="Times New Roman" w:eastAsia="仿宋" w:cs="Times New Roman"/>
          <w:sz w:val="32"/>
          <w:szCs w:val="32"/>
        </w:rPr>
      </w:pPr>
    </w:p>
    <w:p w14:paraId="64C1708D">
      <w:pPr>
        <w:spacing w:line="600" w:lineRule="exact"/>
        <w:ind w:firstLine="640" w:firstLineChars="200"/>
        <w:rPr>
          <w:rFonts w:hint="default" w:ascii="Times New Roman" w:hAnsi="Times New Roman" w:eastAsia="仿宋" w:cs="Times New Roman"/>
          <w:sz w:val="32"/>
          <w:szCs w:val="32"/>
        </w:rPr>
      </w:pPr>
    </w:p>
    <w:p w14:paraId="1E8470B5">
      <w:pPr>
        <w:spacing w:line="600" w:lineRule="exact"/>
        <w:ind w:firstLine="640" w:firstLineChars="200"/>
        <w:rPr>
          <w:rFonts w:hint="default" w:ascii="Times New Roman" w:hAnsi="Times New Roman" w:eastAsia="仿宋" w:cs="Times New Roman"/>
          <w:sz w:val="32"/>
          <w:szCs w:val="32"/>
        </w:rPr>
      </w:pPr>
    </w:p>
    <w:p w14:paraId="2F73B8C4">
      <w:pPr>
        <w:spacing w:line="600" w:lineRule="exact"/>
        <w:ind w:firstLine="640" w:firstLineChars="200"/>
        <w:rPr>
          <w:rFonts w:hint="default" w:ascii="Times New Roman" w:hAnsi="Times New Roman" w:eastAsia="仿宋" w:cs="Times New Roman"/>
          <w:sz w:val="32"/>
          <w:szCs w:val="32"/>
        </w:rPr>
      </w:pPr>
    </w:p>
    <w:p w14:paraId="5D1DCCB8">
      <w:pPr>
        <w:spacing w:line="600" w:lineRule="exact"/>
        <w:ind w:firstLine="640" w:firstLineChars="200"/>
        <w:rPr>
          <w:rFonts w:hint="default" w:ascii="Times New Roman" w:hAnsi="Times New Roman" w:eastAsia="仿宋" w:cs="Times New Roman"/>
          <w:sz w:val="32"/>
          <w:szCs w:val="32"/>
        </w:rPr>
      </w:pPr>
    </w:p>
    <w:p w14:paraId="1D9050E4">
      <w:pPr>
        <w:spacing w:line="600" w:lineRule="exact"/>
        <w:ind w:firstLine="640" w:firstLineChars="200"/>
        <w:rPr>
          <w:rFonts w:hint="default" w:ascii="Times New Roman" w:hAnsi="Times New Roman" w:eastAsia="仿宋" w:cs="Times New Roman"/>
          <w:sz w:val="32"/>
          <w:szCs w:val="32"/>
        </w:rPr>
      </w:pPr>
    </w:p>
    <w:p w14:paraId="4D6A2018">
      <w:pPr>
        <w:pStyle w:val="6"/>
        <w:rPr>
          <w:rFonts w:hint="default" w:ascii="Times New Roman" w:hAnsi="Times New Roman" w:eastAsia="仿宋" w:cs="Times New Roman"/>
          <w:sz w:val="32"/>
          <w:szCs w:val="32"/>
        </w:rPr>
      </w:pPr>
    </w:p>
    <w:p w14:paraId="58FF541E">
      <w:pPr>
        <w:keepNext w:val="0"/>
        <w:keepLines w:val="0"/>
        <w:pageBreakBefore w:val="0"/>
        <w:widowControl w:val="0"/>
        <w:kinsoku/>
        <w:wordWrap/>
        <w:overflowPunct/>
        <w:topLinePunct w:val="0"/>
        <w:autoSpaceDE/>
        <w:autoSpaceDN/>
        <w:bidi w:val="0"/>
        <w:adjustRightInd/>
        <w:snapToGrid/>
        <w:spacing w:line="560" w:lineRule="exact"/>
        <w:ind w:firstLine="1120" w:firstLineChars="400"/>
        <w:jc w:val="left"/>
        <w:textAlignment w:val="auto"/>
        <w:rPr>
          <w:rFonts w:hint="default" w:ascii="Times New Roman" w:hAnsi="Times New Roman" w:eastAsia="方正楷体_GBK" w:cs="Times New Roman"/>
          <w:b w:val="0"/>
          <w:bCs w:val="0"/>
          <w:sz w:val="28"/>
          <w:szCs w:val="28"/>
        </w:rPr>
      </w:pPr>
    </w:p>
    <w:p w14:paraId="6D63700E">
      <w:pPr>
        <w:keepNext w:val="0"/>
        <w:keepLines w:val="0"/>
        <w:pageBreakBefore w:val="0"/>
        <w:widowControl w:val="0"/>
        <w:kinsoku/>
        <w:wordWrap/>
        <w:overflowPunct/>
        <w:topLinePunct w:val="0"/>
        <w:autoSpaceDE/>
        <w:autoSpaceDN/>
        <w:bidi w:val="0"/>
        <w:adjustRightInd/>
        <w:snapToGrid/>
        <w:spacing w:line="560" w:lineRule="exact"/>
        <w:ind w:firstLine="1120" w:firstLineChars="400"/>
        <w:jc w:val="left"/>
        <w:textAlignment w:val="auto"/>
        <w:rPr>
          <w:rFonts w:hint="default" w:ascii="Times New Roman" w:hAnsi="Times New Roman" w:eastAsia="仿宋" w:cs="Times New Roman"/>
          <w:b/>
          <w:sz w:val="32"/>
          <w:szCs w:val="32"/>
        </w:rPr>
      </w:pPr>
      <w:r>
        <w:rPr>
          <w:rFonts w:hint="default" w:ascii="Times New Roman" w:hAnsi="Times New Roman" w:eastAsia="方正楷体_GBK" w:cs="Times New Roman"/>
          <w:b w:val="0"/>
          <w:bCs w:val="0"/>
          <w:sz w:val="28"/>
          <w:szCs w:val="28"/>
        </w:rPr>
        <w:t>图4：财政拨款收、支决算总计变动情况</w:t>
      </w:r>
    </w:p>
    <w:p w14:paraId="64B4D7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1"/>
        <w:rPr>
          <w:rStyle w:val="32"/>
          <w:rFonts w:hint="default" w:ascii="Times New Roman" w:hAnsi="Times New Roman" w:eastAsia="方正黑体_GBK" w:cs="Times New Roman"/>
          <w:b w:val="0"/>
        </w:rPr>
      </w:pPr>
      <w:bookmarkStart w:id="26" w:name="_Toc15396607"/>
      <w:bookmarkStart w:id="27" w:name="_Toc15377209"/>
      <w:r>
        <w:rPr>
          <w:rFonts w:hint="default" w:ascii="Times New Roman" w:hAnsi="Times New Roman" w:eastAsia="方正黑体_GBK" w:cs="Times New Roman"/>
          <w:sz w:val="32"/>
          <w:szCs w:val="32"/>
        </w:rPr>
        <w:t>五、</w:t>
      </w:r>
      <w:r>
        <w:rPr>
          <w:rFonts w:hint="default" w:ascii="Times New Roman" w:hAnsi="Times New Roman" w:eastAsia="方正黑体_GBK" w:cs="Times New Roman"/>
          <w:b/>
          <w:sz w:val="32"/>
          <w:szCs w:val="32"/>
        </w:rPr>
        <w:t>一</w:t>
      </w:r>
      <w:r>
        <w:rPr>
          <w:rStyle w:val="32"/>
          <w:rFonts w:hint="default" w:ascii="Times New Roman" w:hAnsi="Times New Roman" w:eastAsia="方正黑体_GBK" w:cs="Times New Roman"/>
          <w:b w:val="0"/>
        </w:rPr>
        <w:t>般公共预算财政拨款支出决算情况说明</w:t>
      </w:r>
      <w:bookmarkEnd w:id="26"/>
      <w:bookmarkEnd w:id="27"/>
    </w:p>
    <w:p w14:paraId="46694A8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outlineLvl w:val="2"/>
        <w:rPr>
          <w:rFonts w:hint="default" w:ascii="Times New Roman" w:hAnsi="Times New Roman" w:eastAsia="方正楷体_GBK" w:cs="Times New Roman"/>
          <w:b/>
          <w:sz w:val="32"/>
          <w:szCs w:val="32"/>
        </w:rPr>
      </w:pPr>
      <w:bookmarkStart w:id="28" w:name="_Toc15377210"/>
      <w:r>
        <w:rPr>
          <w:rFonts w:hint="default" w:ascii="Times New Roman" w:hAnsi="Times New Roman" w:eastAsia="方正楷体_GBK" w:cs="Times New Roman"/>
          <w:b/>
          <w:sz w:val="32"/>
          <w:szCs w:val="32"/>
        </w:rPr>
        <w:t>（一）一般公共预算财政拨款支出决算总体情况</w:t>
      </w:r>
      <w:bookmarkEnd w:id="28"/>
    </w:p>
    <w:p w14:paraId="5FA5A8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年度一般公共预算财政拨款支出</w:t>
      </w:r>
      <w:r>
        <w:rPr>
          <w:rFonts w:hint="default" w:ascii="Times New Roman" w:hAnsi="Times New Roman" w:eastAsia="方正仿宋_GBK" w:cs="Times New Roman"/>
          <w:sz w:val="32"/>
          <w:szCs w:val="32"/>
          <w:lang w:val="en-US" w:eastAsia="zh-CN"/>
        </w:rPr>
        <w:t>831.17</w:t>
      </w:r>
      <w:r>
        <w:rPr>
          <w:rFonts w:hint="default" w:ascii="Times New Roman" w:hAnsi="Times New Roman" w:eastAsia="方正仿宋_GBK" w:cs="Times New Roman"/>
          <w:sz w:val="32"/>
          <w:szCs w:val="32"/>
        </w:rPr>
        <w:t>万元，占本年支出合计的100%。与202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年度相比，一般公共预算财政拨款支出</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85.44</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下降</w:t>
      </w:r>
      <w:r>
        <w:rPr>
          <w:rFonts w:hint="default" w:ascii="Times New Roman" w:hAnsi="Times New Roman" w:eastAsia="方正仿宋_GBK" w:cs="Times New Roman"/>
          <w:sz w:val="32"/>
          <w:szCs w:val="32"/>
          <w:lang w:val="en-US" w:eastAsia="zh-CN"/>
        </w:rPr>
        <w:t>9.3</w:t>
      </w:r>
      <w:r>
        <w:rPr>
          <w:rFonts w:hint="default" w:ascii="Times New Roman" w:hAnsi="Times New Roman" w:eastAsia="方正仿宋_GBK" w:cs="Times New Roman"/>
          <w:sz w:val="32"/>
          <w:szCs w:val="32"/>
        </w:rPr>
        <w:t>%。主要变动原因是</w:t>
      </w:r>
      <w:r>
        <w:rPr>
          <w:rFonts w:hint="default" w:ascii="Times New Roman" w:hAnsi="Times New Roman" w:eastAsia="方正仿宋_GBK" w:cs="Times New Roman"/>
          <w:sz w:val="32"/>
          <w:szCs w:val="32"/>
          <w:lang w:eastAsia="zh-CN"/>
        </w:rPr>
        <w:t>项目减少</w:t>
      </w:r>
      <w:r>
        <w:rPr>
          <w:rFonts w:hint="default" w:ascii="Times New Roman" w:hAnsi="Times New Roman" w:eastAsia="方正仿宋_GBK" w:cs="Times New Roman"/>
          <w:sz w:val="32"/>
          <w:szCs w:val="32"/>
        </w:rPr>
        <w:t>。</w:t>
      </w:r>
    </w:p>
    <w:p w14:paraId="132BA3AC">
      <w:pPr>
        <w:spacing w:line="600" w:lineRule="exact"/>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drawing>
          <wp:anchor distT="0" distB="0" distL="114300" distR="114300" simplePos="0" relativeHeight="251663360" behindDoc="0" locked="0" layoutInCell="1" allowOverlap="1">
            <wp:simplePos x="0" y="0"/>
            <wp:positionH relativeFrom="column">
              <wp:posOffset>442595</wp:posOffset>
            </wp:positionH>
            <wp:positionV relativeFrom="paragraph">
              <wp:posOffset>107950</wp:posOffset>
            </wp:positionV>
            <wp:extent cx="4594860" cy="2706370"/>
            <wp:effectExtent l="4445" t="4445" r="10795" b="1333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4EA64CA4">
      <w:pPr>
        <w:pStyle w:val="6"/>
        <w:rPr>
          <w:rFonts w:hint="default" w:ascii="Times New Roman" w:hAnsi="Times New Roman" w:eastAsia="仿宋" w:cs="Times New Roman"/>
          <w:sz w:val="32"/>
          <w:szCs w:val="32"/>
        </w:rPr>
      </w:pPr>
    </w:p>
    <w:p w14:paraId="681347FB">
      <w:pPr>
        <w:pStyle w:val="7"/>
        <w:rPr>
          <w:rFonts w:hint="default" w:ascii="Times New Roman" w:hAnsi="Times New Roman" w:eastAsia="仿宋" w:cs="Times New Roman"/>
          <w:sz w:val="32"/>
          <w:szCs w:val="32"/>
        </w:rPr>
      </w:pPr>
    </w:p>
    <w:p w14:paraId="5642078B">
      <w:pPr>
        <w:rPr>
          <w:rFonts w:hint="default" w:ascii="Times New Roman" w:hAnsi="Times New Roman" w:eastAsia="仿宋" w:cs="Times New Roman"/>
          <w:sz w:val="32"/>
          <w:szCs w:val="32"/>
        </w:rPr>
      </w:pPr>
    </w:p>
    <w:p w14:paraId="42A08F32">
      <w:pPr>
        <w:pStyle w:val="6"/>
        <w:rPr>
          <w:rFonts w:hint="default" w:ascii="Times New Roman" w:hAnsi="Times New Roman" w:eastAsia="仿宋" w:cs="Times New Roman"/>
          <w:sz w:val="32"/>
          <w:szCs w:val="32"/>
        </w:rPr>
      </w:pPr>
    </w:p>
    <w:p w14:paraId="1B69BA47">
      <w:pPr>
        <w:pStyle w:val="7"/>
        <w:rPr>
          <w:rFonts w:hint="default" w:ascii="Times New Roman" w:hAnsi="Times New Roman" w:eastAsia="仿宋" w:cs="Times New Roman"/>
          <w:sz w:val="32"/>
          <w:szCs w:val="32"/>
        </w:rPr>
      </w:pPr>
    </w:p>
    <w:p w14:paraId="4BC82FA4">
      <w:pPr>
        <w:rPr>
          <w:rFonts w:hint="default" w:ascii="Times New Roman" w:hAnsi="Times New Roman" w:cs="Times New Roman"/>
        </w:rPr>
      </w:pPr>
    </w:p>
    <w:p w14:paraId="602D9F58">
      <w:pPr>
        <w:keepNext w:val="0"/>
        <w:keepLines w:val="0"/>
        <w:pageBreakBefore w:val="0"/>
        <w:widowControl w:val="0"/>
        <w:kinsoku/>
        <w:wordWrap/>
        <w:overflowPunct/>
        <w:topLinePunct w:val="0"/>
        <w:autoSpaceDE/>
        <w:autoSpaceDN/>
        <w:bidi w:val="0"/>
        <w:adjustRightInd/>
        <w:snapToGrid/>
        <w:spacing w:line="540" w:lineRule="exact"/>
        <w:ind w:firstLine="1120" w:firstLineChars="400"/>
        <w:jc w:val="left"/>
        <w:textAlignment w:val="auto"/>
        <w:rPr>
          <w:rFonts w:hint="default" w:ascii="Times New Roman" w:hAnsi="Times New Roman" w:eastAsia="方正楷体_GBK" w:cs="Times New Roman"/>
          <w:b w:val="0"/>
          <w:bCs w:val="0"/>
          <w:sz w:val="28"/>
          <w:szCs w:val="28"/>
        </w:rPr>
      </w:pPr>
      <w:r>
        <w:rPr>
          <w:rFonts w:hint="default" w:ascii="Times New Roman" w:hAnsi="Times New Roman" w:eastAsia="方正楷体_GBK" w:cs="Times New Roman"/>
          <w:b w:val="0"/>
          <w:bCs w:val="0"/>
          <w:sz w:val="28"/>
          <w:szCs w:val="28"/>
        </w:rPr>
        <w:t>图5：一般公共预算财政拨款支出决算变动情况</w:t>
      </w:r>
    </w:p>
    <w:p w14:paraId="5672908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outlineLvl w:val="2"/>
        <w:rPr>
          <w:rFonts w:hint="default" w:ascii="Times New Roman" w:hAnsi="Times New Roman" w:eastAsia="方正楷体_GBK" w:cs="Times New Roman"/>
          <w:b/>
          <w:sz w:val="32"/>
          <w:szCs w:val="32"/>
        </w:rPr>
      </w:pPr>
      <w:bookmarkStart w:id="29" w:name="_Toc15377211"/>
      <w:r>
        <w:rPr>
          <w:rFonts w:hint="default" w:ascii="Times New Roman" w:hAnsi="Times New Roman" w:eastAsia="方正楷体_GBK" w:cs="Times New Roman"/>
          <w:b/>
          <w:sz w:val="32"/>
          <w:szCs w:val="32"/>
        </w:rPr>
        <w:t>（二）一般公共预算财政拨款支出决算结构情况</w:t>
      </w:r>
      <w:bookmarkEnd w:id="29"/>
    </w:p>
    <w:p w14:paraId="344A1DA7">
      <w:pPr>
        <w:spacing w:line="600" w:lineRule="exact"/>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年度一般公共预算财政拨款支出</w:t>
      </w:r>
      <w:r>
        <w:rPr>
          <w:rFonts w:hint="default" w:ascii="Times New Roman" w:hAnsi="Times New Roman" w:eastAsia="方正仿宋_GBK" w:cs="Times New Roman"/>
          <w:sz w:val="32"/>
          <w:szCs w:val="32"/>
          <w:lang w:val="en-US" w:eastAsia="zh-CN"/>
        </w:rPr>
        <w:t>831.17</w:t>
      </w:r>
      <w:r>
        <w:rPr>
          <w:rFonts w:hint="default" w:ascii="Times New Roman" w:hAnsi="Times New Roman" w:eastAsia="方正仿宋_GBK" w:cs="Times New Roman"/>
          <w:sz w:val="32"/>
          <w:szCs w:val="32"/>
        </w:rPr>
        <w:t>万元，主要用于以下方面</w:t>
      </w:r>
      <w:r>
        <w:rPr>
          <w:rFonts w:hint="eastAsia" w:eastAsia="方正仿宋_GBK" w:cs="Times New Roman"/>
          <w:sz w:val="32"/>
          <w:szCs w:val="32"/>
          <w:lang w:eastAsia="zh-CN"/>
        </w:rPr>
        <w:t>：</w:t>
      </w:r>
      <w:r>
        <w:rPr>
          <w:rFonts w:hint="default" w:ascii="Times New Roman" w:hAnsi="Times New Roman" w:eastAsia="方正仿宋_GBK" w:cs="Times New Roman"/>
          <w:b/>
          <w:sz w:val="32"/>
          <w:szCs w:val="32"/>
        </w:rPr>
        <w:t>一般公共服务</w:t>
      </w:r>
      <w:r>
        <w:rPr>
          <w:rFonts w:hint="default" w:ascii="Times New Roman" w:hAnsi="Times New Roman" w:eastAsia="方正仿宋_GBK" w:cs="Times New Roman"/>
          <w:b/>
          <w:bCs/>
          <w:sz w:val="32"/>
          <w:szCs w:val="32"/>
        </w:rPr>
        <w:t>支出</w:t>
      </w:r>
      <w:r>
        <w:rPr>
          <w:rFonts w:hint="default" w:ascii="Times New Roman" w:hAnsi="Times New Roman" w:eastAsia="方正仿宋_GBK" w:cs="Times New Roman"/>
          <w:sz w:val="32"/>
          <w:szCs w:val="32"/>
          <w:lang w:val="en-US" w:eastAsia="zh-CN"/>
        </w:rPr>
        <w:t>656.08</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78.9</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sz w:val="32"/>
          <w:szCs w:val="32"/>
        </w:rPr>
        <w:t>社会保障和就业</w:t>
      </w:r>
      <w:r>
        <w:rPr>
          <w:rFonts w:hint="default" w:ascii="Times New Roman" w:hAnsi="Times New Roman" w:eastAsia="方正仿宋_GBK" w:cs="Times New Roman"/>
          <w:b/>
          <w:bCs/>
          <w:sz w:val="32"/>
          <w:szCs w:val="32"/>
        </w:rPr>
        <w:t>支出</w:t>
      </w:r>
      <w:r>
        <w:rPr>
          <w:rFonts w:hint="default" w:ascii="Times New Roman" w:hAnsi="Times New Roman" w:eastAsia="方正仿宋_GBK" w:cs="Times New Roman"/>
          <w:sz w:val="32"/>
          <w:szCs w:val="32"/>
          <w:lang w:val="en-US" w:eastAsia="zh-CN"/>
        </w:rPr>
        <w:t>92.8</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11.2</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bCs/>
          <w:sz w:val="32"/>
          <w:szCs w:val="32"/>
        </w:rPr>
        <w:t>卫生健康支出</w:t>
      </w:r>
      <w:r>
        <w:rPr>
          <w:rFonts w:hint="default" w:ascii="Times New Roman" w:hAnsi="Times New Roman" w:eastAsia="方正仿宋_GBK" w:cs="Times New Roman"/>
          <w:sz w:val="32"/>
          <w:szCs w:val="32"/>
          <w:lang w:val="en-US" w:eastAsia="zh-CN"/>
        </w:rPr>
        <w:t>33.2</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bCs/>
          <w:sz w:val="32"/>
          <w:szCs w:val="32"/>
        </w:rPr>
        <w:t>住房保障支出</w:t>
      </w:r>
      <w:r>
        <w:rPr>
          <w:rFonts w:hint="default" w:ascii="Times New Roman" w:hAnsi="Times New Roman" w:eastAsia="方正仿宋_GBK" w:cs="Times New Roman"/>
          <w:sz w:val="32"/>
          <w:szCs w:val="32"/>
          <w:lang w:val="en-US" w:eastAsia="zh-CN"/>
        </w:rPr>
        <w:t>49.09</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5.9</w:t>
      </w:r>
      <w:r>
        <w:rPr>
          <w:rFonts w:hint="default" w:ascii="Times New Roman" w:hAnsi="Times New Roman" w:eastAsia="方正仿宋_GBK" w:cs="Times New Roman"/>
          <w:sz w:val="32"/>
          <w:szCs w:val="32"/>
        </w:rPr>
        <w:t>%。</w:t>
      </w:r>
    </w:p>
    <w:p w14:paraId="4697A85F">
      <w:pPr>
        <w:rPr>
          <w:rFonts w:hint="default" w:ascii="Times New Roman" w:hAnsi="Times New Roman" w:cs="Times New Roman"/>
        </w:rPr>
      </w:pPr>
      <w:r>
        <w:rPr>
          <w:rFonts w:hint="default" w:ascii="Times New Roman" w:hAnsi="Times New Roman" w:eastAsia="仿宋" w:cs="Times New Roman"/>
          <w:sz w:val="32"/>
          <w:szCs w:val="32"/>
          <w:lang w:eastAsia="zh-CN"/>
        </w:rPr>
        <w:drawing>
          <wp:inline distT="0" distB="0" distL="114300" distR="114300">
            <wp:extent cx="4965700" cy="2620010"/>
            <wp:effectExtent l="4445" t="4445" r="20955" b="2349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E655DC6">
      <w:pPr>
        <w:keepNext w:val="0"/>
        <w:keepLines w:val="0"/>
        <w:pageBreakBefore w:val="0"/>
        <w:widowControl w:val="0"/>
        <w:kinsoku/>
        <w:wordWrap/>
        <w:overflowPunct/>
        <w:topLinePunct w:val="0"/>
        <w:autoSpaceDE/>
        <w:autoSpaceDN/>
        <w:bidi w:val="0"/>
        <w:adjustRightInd/>
        <w:snapToGrid/>
        <w:spacing w:line="540" w:lineRule="exact"/>
        <w:ind w:firstLine="1120" w:firstLineChars="400"/>
        <w:jc w:val="left"/>
        <w:textAlignment w:val="auto"/>
        <w:rPr>
          <w:rFonts w:hint="default" w:ascii="Times New Roman" w:hAnsi="Times New Roman" w:eastAsia="方正楷体_GBK" w:cs="Times New Roman"/>
          <w:b w:val="0"/>
          <w:bCs w:val="0"/>
          <w:sz w:val="28"/>
          <w:szCs w:val="28"/>
        </w:rPr>
      </w:pPr>
      <w:r>
        <w:rPr>
          <w:rFonts w:hint="default" w:ascii="Times New Roman" w:hAnsi="Times New Roman" w:eastAsia="方正楷体_GBK" w:cs="Times New Roman"/>
          <w:b w:val="0"/>
          <w:bCs w:val="0"/>
          <w:sz w:val="28"/>
          <w:szCs w:val="28"/>
        </w:rPr>
        <w:t>图6：一般公共预算财政拨款支出决算结构</w:t>
      </w:r>
    </w:p>
    <w:p w14:paraId="0248085A">
      <w:pPr>
        <w:spacing w:line="600" w:lineRule="exact"/>
        <w:ind w:firstLine="643" w:firstLineChars="200"/>
        <w:outlineLvl w:val="2"/>
        <w:rPr>
          <w:rFonts w:hint="default" w:ascii="Times New Roman" w:hAnsi="Times New Roman" w:eastAsia="方正楷体_GBK" w:cs="Times New Roman"/>
          <w:b/>
          <w:sz w:val="32"/>
          <w:szCs w:val="32"/>
        </w:rPr>
      </w:pPr>
      <w:bookmarkStart w:id="30" w:name="_Toc15377212"/>
      <w:r>
        <w:rPr>
          <w:rFonts w:hint="default" w:ascii="Times New Roman" w:hAnsi="Times New Roman" w:eastAsia="方正楷体_GBK" w:cs="Times New Roman"/>
          <w:b/>
          <w:sz w:val="32"/>
          <w:szCs w:val="32"/>
        </w:rPr>
        <w:t>（三）一般公共预算财政拨款支出决算具体情况</w:t>
      </w:r>
      <w:bookmarkEnd w:id="30"/>
    </w:p>
    <w:p w14:paraId="091948D8">
      <w:pPr>
        <w:spacing w:line="600" w:lineRule="exact"/>
        <w:ind w:firstLine="640" w:firstLineChars="200"/>
        <w:outlineLvl w:val="2"/>
        <w:rPr>
          <w:rFonts w:hint="default" w:ascii="Times New Roman" w:hAnsi="Times New Roman" w:eastAsia="方正仿宋_GBK" w:cs="Times New Roman"/>
          <w:b w:val="0"/>
          <w:bCs/>
          <w:sz w:val="32"/>
          <w:szCs w:val="32"/>
        </w:rPr>
      </w:pPr>
      <w:bookmarkStart w:id="31" w:name="_Toc15377444"/>
      <w:bookmarkStart w:id="32" w:name="_Toc15378460"/>
      <w:bookmarkStart w:id="33" w:name="_Toc15377213"/>
      <w:r>
        <w:rPr>
          <w:rFonts w:hint="default" w:ascii="Times New Roman" w:hAnsi="Times New Roman" w:eastAsia="方正仿宋_GBK" w:cs="Times New Roman"/>
          <w:b w:val="0"/>
          <w:bCs/>
          <w:sz w:val="32"/>
          <w:szCs w:val="32"/>
        </w:rPr>
        <w:t>202</w:t>
      </w:r>
      <w:r>
        <w:rPr>
          <w:rFonts w:hint="default"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rPr>
        <w:t>年度一般公共预算</w:t>
      </w:r>
      <w:r>
        <w:rPr>
          <w:rFonts w:hint="default" w:ascii="Times New Roman" w:hAnsi="Times New Roman" w:eastAsia="方正仿宋_GBK" w:cs="Times New Roman"/>
          <w:b w:val="0"/>
          <w:bCs/>
          <w:sz w:val="32"/>
          <w:szCs w:val="32"/>
          <w:lang w:eastAsia="zh-CN"/>
        </w:rPr>
        <w:t>财政拨款</w:t>
      </w:r>
      <w:r>
        <w:rPr>
          <w:rFonts w:hint="default" w:ascii="Times New Roman" w:hAnsi="Times New Roman" w:eastAsia="方正仿宋_GBK" w:cs="Times New Roman"/>
          <w:b w:val="0"/>
          <w:bCs/>
          <w:sz w:val="32"/>
          <w:szCs w:val="32"/>
        </w:rPr>
        <w:t>支出决算数为</w:t>
      </w:r>
      <w:r>
        <w:rPr>
          <w:rFonts w:hint="default" w:ascii="Times New Roman" w:hAnsi="Times New Roman" w:eastAsia="方正仿宋_GBK" w:cs="Times New Roman"/>
          <w:b w:val="0"/>
          <w:bCs/>
          <w:sz w:val="32"/>
          <w:szCs w:val="32"/>
          <w:lang w:val="en-US" w:eastAsia="zh-CN"/>
        </w:rPr>
        <w:t>831.17万元</w:t>
      </w:r>
      <w:r>
        <w:rPr>
          <w:rFonts w:hint="default" w:ascii="Times New Roman" w:hAnsi="Times New Roman" w:eastAsia="方正仿宋_GBK" w:cs="Times New Roman"/>
          <w:b w:val="0"/>
          <w:bCs/>
          <w:sz w:val="32"/>
          <w:szCs w:val="32"/>
        </w:rPr>
        <w:t>，</w:t>
      </w:r>
      <w:r>
        <w:rPr>
          <w:rStyle w:val="20"/>
          <w:rFonts w:hint="default" w:ascii="Times New Roman" w:hAnsi="Times New Roman" w:eastAsia="方正仿宋_GBK" w:cs="Times New Roman"/>
          <w:b w:val="0"/>
          <w:bCs/>
          <w:sz w:val="32"/>
          <w:szCs w:val="32"/>
        </w:rPr>
        <w:t>完成预算</w:t>
      </w:r>
      <w:r>
        <w:rPr>
          <w:rStyle w:val="20"/>
          <w:rFonts w:hint="default" w:ascii="Times New Roman" w:hAnsi="Times New Roman" w:eastAsia="方正仿宋_GBK" w:cs="Times New Roman"/>
          <w:b w:val="0"/>
          <w:bCs/>
          <w:sz w:val="32"/>
          <w:szCs w:val="32"/>
          <w:lang w:val="en-US" w:eastAsia="zh-CN"/>
        </w:rPr>
        <w:t>100</w:t>
      </w:r>
      <w:r>
        <w:rPr>
          <w:rStyle w:val="20"/>
          <w:rFonts w:hint="default" w:ascii="Times New Roman" w:hAnsi="Times New Roman" w:eastAsia="方正仿宋_GBK" w:cs="Times New Roman"/>
          <w:b w:val="0"/>
          <w:bCs/>
          <w:sz w:val="32"/>
          <w:szCs w:val="32"/>
        </w:rPr>
        <w:t>%。其中：</w:t>
      </w:r>
      <w:bookmarkEnd w:id="31"/>
      <w:bookmarkEnd w:id="32"/>
      <w:bookmarkEnd w:id="33"/>
    </w:p>
    <w:p w14:paraId="4481BA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rPr>
      </w:pPr>
      <w:r>
        <w:rPr>
          <w:rStyle w:val="20"/>
          <w:rFonts w:hint="default" w:ascii="Times New Roman" w:hAnsi="Times New Roman" w:eastAsia="方正仿宋_GBK" w:cs="Times New Roman"/>
          <w:b w:val="0"/>
          <w:bCs/>
          <w:color w:val="auto"/>
          <w:sz w:val="32"/>
          <w:szCs w:val="32"/>
          <w:highlight w:val="none"/>
        </w:rPr>
        <w:t>1.一般公共服务</w:t>
      </w:r>
      <w:r>
        <w:rPr>
          <w:rStyle w:val="20"/>
          <w:rFonts w:hint="default" w:ascii="Times New Roman" w:hAnsi="Times New Roman" w:eastAsia="方正仿宋_GBK" w:cs="Times New Roman"/>
          <w:b w:val="0"/>
          <w:bCs/>
          <w:color w:val="auto"/>
          <w:sz w:val="32"/>
          <w:szCs w:val="32"/>
          <w:highlight w:val="none"/>
          <w:lang w:val="en-US"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党委办公厅（室）及相关机构事务</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行政运行</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380.68</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%。一般公共服务</w:t>
      </w:r>
      <w:r>
        <w:rPr>
          <w:rStyle w:val="20"/>
          <w:rFonts w:hint="default" w:ascii="Times New Roman" w:hAnsi="Times New Roman" w:eastAsia="方正仿宋_GBK" w:cs="Times New Roman"/>
          <w:b w:val="0"/>
          <w:bCs/>
          <w:color w:val="auto"/>
          <w:sz w:val="32"/>
          <w:szCs w:val="32"/>
          <w:highlight w:val="none"/>
          <w:lang w:val="en-US"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党委办公厅（室）及相关机构事务</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一般行政管理事务</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92.35</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%。一般公共服务</w:t>
      </w:r>
      <w:r>
        <w:rPr>
          <w:rStyle w:val="20"/>
          <w:rFonts w:hint="default" w:ascii="Times New Roman" w:hAnsi="Times New Roman" w:eastAsia="方正仿宋_GBK" w:cs="Times New Roman"/>
          <w:b w:val="0"/>
          <w:bCs/>
          <w:color w:val="auto"/>
          <w:sz w:val="32"/>
          <w:szCs w:val="32"/>
          <w:highlight w:val="none"/>
          <w:lang w:val="en-US"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党委办公厅（室）及相关机构事务</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事业运行</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183.06</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w:t>
      </w:r>
    </w:p>
    <w:p w14:paraId="250BE6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color w:val="auto"/>
          <w:sz w:val="32"/>
          <w:szCs w:val="32"/>
          <w:highlight w:val="none"/>
        </w:rPr>
      </w:pPr>
      <w:r>
        <w:rPr>
          <w:rStyle w:val="20"/>
          <w:rFonts w:hint="default" w:ascii="Times New Roman" w:hAnsi="Times New Roman" w:eastAsia="方正仿宋_GBK" w:cs="Times New Roman"/>
          <w:b w:val="0"/>
          <w:bCs/>
          <w:color w:val="auto"/>
          <w:sz w:val="32"/>
          <w:szCs w:val="32"/>
          <w:highlight w:val="none"/>
          <w:lang w:val="en-US" w:eastAsia="zh-CN"/>
        </w:rPr>
        <w:t>2</w:t>
      </w:r>
      <w:r>
        <w:rPr>
          <w:rStyle w:val="20"/>
          <w:rFonts w:hint="default" w:ascii="Times New Roman" w:hAnsi="Times New Roman" w:eastAsia="方正仿宋_GBK" w:cs="Times New Roman"/>
          <w:b w:val="0"/>
          <w:bCs/>
          <w:color w:val="auto"/>
          <w:sz w:val="32"/>
          <w:szCs w:val="32"/>
          <w:highlight w:val="none"/>
        </w:rPr>
        <w:t>.社会保障和就业</w:t>
      </w:r>
      <w:r>
        <w:rPr>
          <w:rStyle w:val="20"/>
          <w:rFonts w:hint="default" w:ascii="Times New Roman" w:hAnsi="Times New Roman" w:eastAsia="方正仿宋_GBK" w:cs="Times New Roman"/>
          <w:b w:val="0"/>
          <w:bCs/>
          <w:color w:val="auto"/>
          <w:sz w:val="32"/>
          <w:szCs w:val="32"/>
          <w:highlight w:val="none"/>
          <w:lang w:val="en-US"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行政事业单位养老支出</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机关事业单位基本养老保险缴费支出</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58.55</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%。社会保障和就业</w:t>
      </w:r>
      <w:r>
        <w:rPr>
          <w:rStyle w:val="20"/>
          <w:rFonts w:hint="default" w:ascii="Times New Roman" w:hAnsi="Times New Roman" w:eastAsia="方正仿宋_GBK" w:cs="Times New Roman"/>
          <w:b w:val="0"/>
          <w:bCs/>
          <w:color w:val="auto"/>
          <w:sz w:val="32"/>
          <w:szCs w:val="32"/>
          <w:highlight w:val="none"/>
          <w:lang w:val="en-US"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行政事业单位养老支出</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机关事业单位职业年金缴费支出</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29.28</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%。社会保障和就业</w:t>
      </w:r>
      <w:r>
        <w:rPr>
          <w:rStyle w:val="20"/>
          <w:rFonts w:hint="default" w:ascii="Times New Roman" w:hAnsi="Times New Roman" w:eastAsia="方正仿宋_GBK" w:cs="Times New Roman"/>
          <w:b w:val="0"/>
          <w:bCs/>
          <w:color w:val="auto"/>
          <w:sz w:val="32"/>
          <w:szCs w:val="32"/>
          <w:highlight w:val="none"/>
          <w:lang w:val="en-US"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行政事业单位养老支出</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其他行政事业单位养老支出</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4.97</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w:t>
      </w:r>
    </w:p>
    <w:p w14:paraId="3906DFF6">
      <w:pPr>
        <w:spacing w:line="600" w:lineRule="exact"/>
        <w:ind w:firstLine="640" w:firstLineChars="200"/>
        <w:rPr>
          <w:rStyle w:val="20"/>
          <w:rFonts w:hint="default" w:ascii="Times New Roman" w:hAnsi="Times New Roman" w:eastAsia="方正仿宋_GBK" w:cs="Times New Roman"/>
          <w:b w:val="0"/>
          <w:bCs/>
          <w:color w:val="auto"/>
          <w:sz w:val="32"/>
          <w:szCs w:val="32"/>
          <w:highlight w:val="none"/>
        </w:rPr>
      </w:pPr>
      <w:r>
        <w:rPr>
          <w:rStyle w:val="20"/>
          <w:rFonts w:hint="default" w:ascii="Times New Roman" w:hAnsi="Times New Roman" w:eastAsia="方正仿宋_GBK" w:cs="Times New Roman"/>
          <w:b w:val="0"/>
          <w:bCs/>
          <w:color w:val="auto"/>
          <w:sz w:val="32"/>
          <w:szCs w:val="32"/>
          <w:highlight w:val="none"/>
          <w:lang w:val="en-US" w:eastAsia="zh-CN"/>
        </w:rPr>
        <w:t>3</w:t>
      </w:r>
      <w:r>
        <w:rPr>
          <w:rStyle w:val="20"/>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b w:val="0"/>
          <w:bCs/>
          <w:color w:val="auto"/>
          <w:sz w:val="32"/>
          <w:szCs w:val="32"/>
          <w:highlight w:val="none"/>
        </w:rPr>
        <w:t>卫生健康</w:t>
      </w:r>
      <w:r>
        <w:rPr>
          <w:rFonts w:hint="default" w:ascii="Times New Roman" w:hAnsi="Times New Roman" w:eastAsia="方正仿宋_GBK" w:cs="Times New Roman"/>
          <w:b w:val="0"/>
          <w:bCs/>
          <w:color w:val="auto"/>
          <w:sz w:val="32"/>
          <w:szCs w:val="32"/>
          <w:highlight w:val="none"/>
          <w:lang w:val="en-US"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行政事业单位医疗</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行政单位医疗</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17.79</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b w:val="0"/>
          <w:bCs/>
          <w:color w:val="auto"/>
          <w:sz w:val="32"/>
          <w:szCs w:val="32"/>
          <w:highlight w:val="none"/>
        </w:rPr>
        <w:t>卫生健康</w:t>
      </w:r>
      <w:r>
        <w:rPr>
          <w:rFonts w:hint="default" w:ascii="Times New Roman" w:hAnsi="Times New Roman" w:eastAsia="方正仿宋_GBK" w:cs="Times New Roman"/>
          <w:b w:val="0"/>
          <w:bCs/>
          <w:color w:val="auto"/>
          <w:sz w:val="32"/>
          <w:szCs w:val="32"/>
          <w:highlight w:val="none"/>
          <w:lang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行政事业单位医疗</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公务员医疗补助</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3.82</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b w:val="0"/>
          <w:bCs/>
          <w:color w:val="auto"/>
          <w:sz w:val="32"/>
          <w:szCs w:val="32"/>
          <w:highlight w:val="none"/>
        </w:rPr>
        <w:t>卫生健康</w:t>
      </w:r>
      <w:r>
        <w:rPr>
          <w:rFonts w:hint="default" w:ascii="Times New Roman" w:hAnsi="Times New Roman" w:eastAsia="方正仿宋_GBK" w:cs="Times New Roman"/>
          <w:b w:val="0"/>
          <w:bCs/>
          <w:color w:val="auto"/>
          <w:sz w:val="32"/>
          <w:szCs w:val="32"/>
          <w:highlight w:val="none"/>
          <w:lang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行政事业单位医疗</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事业单位医疗</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9.83</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b w:val="0"/>
          <w:bCs/>
          <w:color w:val="auto"/>
          <w:sz w:val="32"/>
          <w:szCs w:val="32"/>
          <w:highlight w:val="none"/>
        </w:rPr>
        <w:t>卫生健康</w:t>
      </w:r>
      <w:r>
        <w:rPr>
          <w:rFonts w:hint="default" w:ascii="Times New Roman" w:hAnsi="Times New Roman" w:eastAsia="方正仿宋_GBK" w:cs="Times New Roman"/>
          <w:b w:val="0"/>
          <w:bCs/>
          <w:color w:val="auto"/>
          <w:sz w:val="32"/>
          <w:szCs w:val="32"/>
          <w:highlight w:val="none"/>
          <w:lang w:eastAsia="zh-CN"/>
        </w:rPr>
        <w:t>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行政事业单位医疗</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其他行政事业单位医疗支出</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1.76</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w:t>
      </w:r>
    </w:p>
    <w:p w14:paraId="35DD69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rPr>
      </w:pPr>
      <w:r>
        <w:rPr>
          <w:rStyle w:val="20"/>
          <w:rFonts w:hint="default" w:ascii="Times New Roman" w:hAnsi="Times New Roman" w:eastAsia="方正仿宋_GBK" w:cs="Times New Roman"/>
          <w:b w:val="0"/>
          <w:bCs/>
          <w:color w:val="auto"/>
          <w:sz w:val="32"/>
          <w:szCs w:val="32"/>
          <w:highlight w:val="none"/>
          <w:lang w:val="en-US" w:eastAsia="zh-CN"/>
        </w:rPr>
        <w:t>4</w:t>
      </w:r>
      <w:r>
        <w:rPr>
          <w:rStyle w:val="20"/>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b w:val="0"/>
          <w:bCs/>
          <w:color w:val="auto"/>
          <w:sz w:val="32"/>
          <w:szCs w:val="32"/>
          <w:highlight w:val="none"/>
          <w:lang w:val="en-US" w:eastAsia="zh-CN"/>
        </w:rPr>
        <w:t>住房保障支出</w:t>
      </w:r>
      <w:r>
        <w:rPr>
          <w:rStyle w:val="20"/>
          <w:rFonts w:hint="default" w:ascii="Times New Roman" w:hAnsi="Times New Roman" w:eastAsia="方正仿宋_GBK" w:cs="Times New Roman"/>
          <w:b w:val="0"/>
          <w:bCs/>
          <w:color w:val="auto"/>
          <w:sz w:val="32"/>
          <w:szCs w:val="32"/>
          <w:highlight w:val="none"/>
        </w:rPr>
        <w:t>（类）</w:t>
      </w:r>
      <w:r>
        <w:rPr>
          <w:rStyle w:val="20"/>
          <w:rFonts w:hint="default" w:ascii="Times New Roman" w:hAnsi="Times New Roman" w:eastAsia="方正仿宋_GBK" w:cs="Times New Roman"/>
          <w:b w:val="0"/>
          <w:bCs/>
          <w:color w:val="auto"/>
          <w:sz w:val="32"/>
          <w:szCs w:val="32"/>
          <w:highlight w:val="none"/>
          <w:lang w:val="en-US" w:eastAsia="zh-CN"/>
        </w:rPr>
        <w:t>住房改革支出</w:t>
      </w:r>
      <w:r>
        <w:rPr>
          <w:rStyle w:val="20"/>
          <w:rFonts w:hint="default" w:ascii="Times New Roman" w:hAnsi="Times New Roman" w:eastAsia="方正仿宋_GBK" w:cs="Times New Roman"/>
          <w:b w:val="0"/>
          <w:bCs/>
          <w:color w:val="auto"/>
          <w:sz w:val="32"/>
          <w:szCs w:val="32"/>
          <w:highlight w:val="none"/>
        </w:rPr>
        <w:t>（款）</w:t>
      </w:r>
      <w:r>
        <w:rPr>
          <w:rStyle w:val="20"/>
          <w:rFonts w:hint="default" w:ascii="Times New Roman" w:hAnsi="Times New Roman" w:eastAsia="方正仿宋_GBK" w:cs="Times New Roman"/>
          <w:b w:val="0"/>
          <w:bCs/>
          <w:color w:val="auto"/>
          <w:sz w:val="32"/>
          <w:szCs w:val="32"/>
          <w:highlight w:val="none"/>
          <w:lang w:val="en-US" w:eastAsia="zh-CN"/>
        </w:rPr>
        <w:t>住房公积金</w:t>
      </w:r>
      <w:r>
        <w:rPr>
          <w:rStyle w:val="20"/>
          <w:rFonts w:hint="default" w:ascii="Times New Roman" w:hAnsi="Times New Roman" w:eastAsia="方正仿宋_GBK" w:cs="Times New Roman"/>
          <w:b w:val="0"/>
          <w:bCs/>
          <w:color w:val="auto"/>
          <w:sz w:val="32"/>
          <w:szCs w:val="32"/>
          <w:highlight w:val="none"/>
        </w:rPr>
        <w:t>（项）</w:t>
      </w:r>
      <w:r>
        <w:rPr>
          <w:rStyle w:val="20"/>
          <w:rFonts w:hint="eastAsia" w:eastAsia="方正仿宋_GBK" w:cs="Times New Roman"/>
          <w:b w:val="0"/>
          <w:bCs/>
          <w:color w:val="auto"/>
          <w:sz w:val="32"/>
          <w:szCs w:val="32"/>
          <w:highlight w:val="none"/>
          <w:lang w:eastAsia="zh-CN"/>
        </w:rPr>
        <w:t>：</w:t>
      </w:r>
      <w:r>
        <w:rPr>
          <w:rStyle w:val="20"/>
          <w:rFonts w:hint="default" w:ascii="Times New Roman" w:hAnsi="Times New Roman" w:eastAsia="方正仿宋_GBK" w:cs="Times New Roman"/>
          <w:b w:val="0"/>
          <w:bCs/>
          <w:color w:val="auto"/>
          <w:sz w:val="32"/>
          <w:szCs w:val="32"/>
          <w:highlight w:val="none"/>
        </w:rPr>
        <w:t>支出决算为</w:t>
      </w:r>
      <w:r>
        <w:rPr>
          <w:rStyle w:val="20"/>
          <w:rFonts w:hint="default" w:ascii="Times New Roman" w:hAnsi="Times New Roman" w:eastAsia="方正仿宋_GBK" w:cs="Times New Roman"/>
          <w:b w:val="0"/>
          <w:bCs/>
          <w:color w:val="auto"/>
          <w:sz w:val="32"/>
          <w:szCs w:val="32"/>
          <w:highlight w:val="none"/>
          <w:lang w:val="en-US" w:eastAsia="zh-CN"/>
        </w:rPr>
        <w:t>49.09</w:t>
      </w:r>
      <w:r>
        <w:rPr>
          <w:rStyle w:val="20"/>
          <w:rFonts w:hint="default" w:ascii="Times New Roman" w:hAnsi="Times New Roman" w:eastAsia="方正仿宋_GBK" w:cs="Times New Roman"/>
          <w:b w:val="0"/>
          <w:bCs/>
          <w:color w:val="auto"/>
          <w:sz w:val="32"/>
          <w:szCs w:val="32"/>
          <w:highlight w:val="none"/>
        </w:rPr>
        <w:t>万元，完成预算</w:t>
      </w:r>
      <w:r>
        <w:rPr>
          <w:rStyle w:val="20"/>
          <w:rFonts w:hint="default" w:ascii="Times New Roman" w:hAnsi="Times New Roman" w:eastAsia="方正仿宋_GBK" w:cs="Times New Roman"/>
          <w:b w:val="0"/>
          <w:bCs/>
          <w:color w:val="auto"/>
          <w:sz w:val="32"/>
          <w:szCs w:val="32"/>
          <w:highlight w:val="none"/>
          <w:lang w:val="en-US" w:eastAsia="zh-CN"/>
        </w:rPr>
        <w:t>100</w:t>
      </w:r>
      <w:r>
        <w:rPr>
          <w:rStyle w:val="20"/>
          <w:rFonts w:hint="default" w:ascii="Times New Roman" w:hAnsi="Times New Roman" w:eastAsia="方正仿宋_GBK" w:cs="Times New Roman"/>
          <w:b w:val="0"/>
          <w:bCs/>
          <w:color w:val="auto"/>
          <w:sz w:val="32"/>
          <w:szCs w:val="32"/>
          <w:highlight w:val="none"/>
        </w:rPr>
        <w:t>%。</w:t>
      </w:r>
    </w:p>
    <w:p w14:paraId="06A18F6E">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textAlignment w:val="auto"/>
        <w:outlineLvl w:val="1"/>
        <w:rPr>
          <w:rStyle w:val="32"/>
          <w:rFonts w:hint="default" w:ascii="Times New Roman" w:hAnsi="Times New Roman" w:cs="Times New Roman"/>
        </w:rPr>
      </w:pPr>
      <w:bookmarkStart w:id="34" w:name="_Toc15377214"/>
      <w:bookmarkStart w:id="35" w:name="_Toc15396608"/>
      <w:r>
        <w:rPr>
          <w:rFonts w:hint="default" w:ascii="Times New Roman" w:hAnsi="Times New Roman" w:eastAsia="方正黑体_GBK" w:cs="Times New Roman"/>
          <w:sz w:val="32"/>
          <w:szCs w:val="32"/>
        </w:rPr>
        <w:t>六</w:t>
      </w:r>
      <w:r>
        <w:rPr>
          <w:rFonts w:hint="default" w:ascii="Times New Roman" w:hAnsi="Times New Roman" w:eastAsia="方正黑体_GBK" w:cs="Times New Roman"/>
          <w:b/>
          <w:sz w:val="32"/>
          <w:szCs w:val="32"/>
        </w:rPr>
        <w:t>、一</w:t>
      </w:r>
      <w:r>
        <w:rPr>
          <w:rStyle w:val="32"/>
          <w:rFonts w:hint="default" w:ascii="Times New Roman" w:hAnsi="Times New Roman" w:eastAsia="方正黑体_GBK" w:cs="Times New Roman"/>
          <w:b w:val="0"/>
        </w:rPr>
        <w:t>般公共预算财政拨款基本支出决算情况说明</w:t>
      </w:r>
      <w:bookmarkEnd w:id="34"/>
      <w:bookmarkEnd w:id="35"/>
      <w:r>
        <w:rPr>
          <w:rStyle w:val="32"/>
          <w:rFonts w:hint="default" w:ascii="Times New Roman" w:hAnsi="Times New Roman" w:eastAsia="黑体" w:cs="Times New Roman"/>
          <w:b w:val="0"/>
        </w:rPr>
        <w:tab/>
      </w:r>
    </w:p>
    <w:p w14:paraId="49D3A1E8">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年度一般公共预算财政拨款基本支出</w:t>
      </w:r>
      <w:r>
        <w:rPr>
          <w:rFonts w:hint="default" w:ascii="Times New Roman" w:hAnsi="Times New Roman" w:eastAsia="方正仿宋_GBK" w:cs="Times New Roman"/>
          <w:sz w:val="32"/>
          <w:szCs w:val="32"/>
          <w:lang w:val="en-US" w:eastAsia="zh-CN"/>
        </w:rPr>
        <w:t>738.82</w:t>
      </w:r>
      <w:r>
        <w:rPr>
          <w:rFonts w:hint="default" w:ascii="Times New Roman" w:hAnsi="Times New Roman" w:eastAsia="方正仿宋_GBK" w:cs="Times New Roman"/>
          <w:sz w:val="32"/>
          <w:szCs w:val="32"/>
        </w:rPr>
        <w:t>万元，其中：</w:t>
      </w:r>
    </w:p>
    <w:p w14:paraId="5A581BD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人员经费</w:t>
      </w:r>
      <w:r>
        <w:rPr>
          <w:rFonts w:hint="default" w:ascii="Times New Roman" w:hAnsi="Times New Roman" w:eastAsia="方正仿宋_GBK" w:cs="Times New Roman"/>
          <w:sz w:val="32"/>
          <w:szCs w:val="32"/>
          <w:lang w:val="en-US" w:eastAsia="zh-CN"/>
        </w:rPr>
        <w:t>669.95</w:t>
      </w:r>
      <w:r>
        <w:rPr>
          <w:rFonts w:hint="default" w:ascii="Times New Roman" w:hAnsi="Times New Roman" w:eastAsia="方正仿宋_GBK" w:cs="Times New Roman"/>
          <w:sz w:val="32"/>
          <w:szCs w:val="32"/>
        </w:rPr>
        <w:t>万元，主要包括：基本工资、津贴补贴、奖金、伙食补助费、绩效工资、机关事业单位基本养老保险缴费、职业年金缴费、</w:t>
      </w:r>
      <w:r>
        <w:rPr>
          <w:rFonts w:hint="default" w:ascii="Times New Roman" w:hAnsi="Times New Roman" w:eastAsia="方正仿宋_GBK" w:cs="Times New Roman"/>
          <w:sz w:val="32"/>
          <w:szCs w:val="32"/>
          <w:lang w:eastAsia="zh-CN"/>
        </w:rPr>
        <w:t>职工基本医疗保险缴费、公务员医疗补助缴费、</w:t>
      </w:r>
      <w:r>
        <w:rPr>
          <w:rFonts w:hint="default" w:ascii="Times New Roman" w:hAnsi="Times New Roman" w:eastAsia="方正仿宋_GBK" w:cs="Times New Roman"/>
          <w:sz w:val="32"/>
          <w:szCs w:val="32"/>
        </w:rPr>
        <w:t>其他社会保障缴费、住房公积金</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医疗费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其他工资福利支出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生活补助、奖励金等。</w:t>
      </w:r>
      <w:r>
        <w:rPr>
          <w:rFonts w:hint="default" w:ascii="Times New Roman" w:hAnsi="Times New Roman" w:eastAsia="方正仿宋_GBK" w:cs="Times New Roman"/>
          <w:sz w:val="32"/>
          <w:szCs w:val="32"/>
        </w:rPr>
        <w:br w:type="textWrapping"/>
      </w:r>
      <w:r>
        <w:rPr>
          <w:rFonts w:hint="default" w:ascii="Times New Roman" w:hAnsi="Times New Roman" w:eastAsia="方正仿宋_GBK" w:cs="Times New Roman"/>
          <w:sz w:val="32"/>
          <w:szCs w:val="32"/>
        </w:rPr>
        <w:t>　　公用经费</w:t>
      </w:r>
      <w:r>
        <w:rPr>
          <w:rFonts w:hint="default" w:ascii="Times New Roman" w:hAnsi="Times New Roman" w:eastAsia="方正仿宋_GBK" w:cs="Times New Roman"/>
          <w:sz w:val="32"/>
          <w:szCs w:val="32"/>
          <w:lang w:val="en-US" w:eastAsia="zh-CN"/>
        </w:rPr>
        <w:t>68.88</w:t>
      </w:r>
      <w:r>
        <w:rPr>
          <w:rFonts w:hint="default" w:ascii="Times New Roman" w:hAnsi="Times New Roman" w:eastAsia="方正仿宋_GBK" w:cs="Times New Roman"/>
          <w:sz w:val="32"/>
          <w:szCs w:val="32"/>
        </w:rPr>
        <w:t>万元，主要包括：办公费、水费、电费、邮电费、差旅费、维修（护）费、</w:t>
      </w:r>
      <w:r>
        <w:rPr>
          <w:rFonts w:hint="default" w:ascii="Times New Roman" w:hAnsi="Times New Roman" w:eastAsia="方正仿宋_GBK" w:cs="Times New Roman"/>
          <w:color w:val="auto"/>
          <w:sz w:val="32"/>
          <w:szCs w:val="32"/>
        </w:rPr>
        <w:t>租赁费、</w:t>
      </w:r>
      <w:r>
        <w:rPr>
          <w:rFonts w:hint="default" w:ascii="Times New Roman" w:hAnsi="Times New Roman" w:eastAsia="方正仿宋_GBK" w:cs="Times New Roman"/>
          <w:sz w:val="32"/>
          <w:szCs w:val="32"/>
        </w:rPr>
        <w:t>培训费、公务接待费、委托业务费、</w:t>
      </w:r>
      <w:r>
        <w:rPr>
          <w:rFonts w:hint="default" w:ascii="Times New Roman" w:hAnsi="Times New Roman" w:eastAsia="方正仿宋_GBK" w:cs="Times New Roman"/>
          <w:sz w:val="32"/>
          <w:szCs w:val="32"/>
          <w:lang w:eastAsia="zh-CN"/>
        </w:rPr>
        <w:t>劳务费、</w:t>
      </w:r>
      <w:r>
        <w:rPr>
          <w:rFonts w:hint="default" w:ascii="Times New Roman" w:hAnsi="Times New Roman" w:eastAsia="方正仿宋_GBK" w:cs="Times New Roman"/>
          <w:sz w:val="32"/>
          <w:szCs w:val="32"/>
        </w:rPr>
        <w:t>工会经费、福利费、公务用车运行维护费</w:t>
      </w:r>
      <w:r>
        <w:rPr>
          <w:rFonts w:hint="default" w:ascii="Times New Roman" w:hAnsi="Times New Roman" w:eastAsia="方正仿宋_GBK" w:cs="Times New Roman"/>
          <w:sz w:val="32"/>
          <w:szCs w:val="32"/>
          <w:lang w:eastAsia="zh-CN"/>
        </w:rPr>
        <w:t>、其他商品和服务支出、办公设备购置</w:t>
      </w:r>
      <w:r>
        <w:rPr>
          <w:rFonts w:hint="default" w:ascii="Times New Roman" w:hAnsi="Times New Roman" w:eastAsia="方正仿宋_GBK" w:cs="Times New Roman"/>
          <w:sz w:val="32"/>
          <w:szCs w:val="32"/>
        </w:rPr>
        <w:t>等。</w:t>
      </w:r>
    </w:p>
    <w:p w14:paraId="58D11DE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Style w:val="32"/>
          <w:rFonts w:hint="default" w:ascii="Times New Roman" w:hAnsi="Times New Roman" w:eastAsia="方正黑体_GBK" w:cs="Times New Roman"/>
          <w:b w:val="0"/>
        </w:rPr>
      </w:pPr>
      <w:bookmarkStart w:id="36" w:name="_Toc15377215"/>
      <w:bookmarkStart w:id="37" w:name="_Toc15396609"/>
      <w:r>
        <w:rPr>
          <w:rFonts w:hint="default" w:ascii="Times New Roman" w:hAnsi="Times New Roman" w:eastAsia="方正黑体_GBK" w:cs="Times New Roman"/>
          <w:sz w:val="32"/>
          <w:szCs w:val="32"/>
        </w:rPr>
        <w:t>七、</w:t>
      </w:r>
      <w:r>
        <w:rPr>
          <w:rStyle w:val="32"/>
          <w:rFonts w:hint="default" w:ascii="Times New Roman" w:hAnsi="Times New Roman" w:eastAsia="方正黑体_GBK" w:cs="Times New Roman"/>
          <w:b w:val="0"/>
        </w:rPr>
        <w:t>财政拨款</w:t>
      </w:r>
      <w:r>
        <w:rPr>
          <w:rStyle w:val="32"/>
          <w:rFonts w:hint="default" w:ascii="Times New Roman" w:hAnsi="Times New Roman" w:eastAsia="方正黑体_GBK" w:cs="Times New Roman"/>
        </w:rPr>
        <w:t>“</w:t>
      </w:r>
      <w:r>
        <w:rPr>
          <w:rStyle w:val="32"/>
          <w:rFonts w:hint="default" w:ascii="Times New Roman" w:hAnsi="Times New Roman" w:eastAsia="方正黑体_GBK" w:cs="Times New Roman"/>
          <w:b w:val="0"/>
        </w:rPr>
        <w:t>三公”经费支出决算情况说明</w:t>
      </w:r>
      <w:bookmarkEnd w:id="36"/>
      <w:bookmarkEnd w:id="37"/>
    </w:p>
    <w:p w14:paraId="00820AC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方正楷体_GBK" w:cs="Times New Roman"/>
          <w:b/>
          <w:sz w:val="32"/>
          <w:szCs w:val="32"/>
        </w:rPr>
      </w:pPr>
      <w:bookmarkStart w:id="38" w:name="_Toc15377216"/>
      <w:r>
        <w:rPr>
          <w:rFonts w:hint="default" w:ascii="Times New Roman" w:hAnsi="Times New Roman" w:eastAsia="方正楷体_GBK" w:cs="Times New Roman"/>
          <w:b/>
          <w:sz w:val="32"/>
          <w:szCs w:val="32"/>
        </w:rPr>
        <w:t>（一）“三公”经费财政拨款支出决算总体情况说明</w:t>
      </w:r>
      <w:bookmarkEnd w:id="38"/>
    </w:p>
    <w:p w14:paraId="65EE5A55">
      <w:pPr>
        <w:spacing w:line="600" w:lineRule="exact"/>
        <w:ind w:firstLine="640"/>
        <w:rPr>
          <w:rFonts w:hint="default" w:ascii="Times New Roman" w:hAnsi="Times New Roman" w:eastAsia="仿宋"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年度“三公”经费财政拨款支出决算为</w:t>
      </w:r>
      <w:r>
        <w:rPr>
          <w:rFonts w:hint="default" w:ascii="Times New Roman" w:hAnsi="Times New Roman" w:eastAsia="方正仿宋_GBK" w:cs="Times New Roman"/>
          <w:sz w:val="32"/>
          <w:szCs w:val="32"/>
          <w:lang w:val="en-US" w:eastAsia="zh-CN"/>
        </w:rPr>
        <w:t>17.43</w:t>
      </w:r>
      <w:r>
        <w:rPr>
          <w:rFonts w:hint="default" w:ascii="Times New Roman" w:hAnsi="Times New Roman" w:eastAsia="方正仿宋_GBK" w:cs="Times New Roman"/>
          <w:sz w:val="32"/>
          <w:szCs w:val="32"/>
        </w:rPr>
        <w:t>万元，完成预</w:t>
      </w:r>
      <w:r>
        <w:rPr>
          <w:rFonts w:hint="default" w:ascii="Times New Roman" w:hAnsi="Times New Roman" w:eastAsia="方正仿宋_GBK" w:cs="Times New Roman"/>
          <w:sz w:val="32"/>
          <w:szCs w:val="32"/>
          <w:highlight w:val="none"/>
        </w:rPr>
        <w:t>算</w:t>
      </w:r>
      <w:r>
        <w:rPr>
          <w:rFonts w:hint="default" w:ascii="Times New Roman" w:hAnsi="Times New Roman" w:eastAsia="方正仿宋_GBK" w:cs="Times New Roman"/>
          <w:sz w:val="32"/>
          <w:szCs w:val="32"/>
          <w:highlight w:val="none"/>
          <w:lang w:val="en-US" w:eastAsia="zh-CN"/>
        </w:rPr>
        <w:t>100</w:t>
      </w:r>
      <w:r>
        <w:rPr>
          <w:rFonts w:hint="default" w:ascii="Times New Roman" w:hAnsi="Times New Roman" w:eastAsia="方正仿宋_GBK" w:cs="Times New Roman"/>
          <w:sz w:val="32"/>
          <w:szCs w:val="32"/>
          <w:highlight w:val="none"/>
        </w:rPr>
        <w:t>%，较</w:t>
      </w:r>
      <w:r>
        <w:rPr>
          <w:rFonts w:hint="default" w:ascii="Times New Roman" w:hAnsi="Times New Roman" w:eastAsia="方正仿宋_GBK" w:cs="Times New Roman"/>
          <w:sz w:val="32"/>
          <w:szCs w:val="32"/>
        </w:rPr>
        <w:t>上年度</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3.63</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下降</w:t>
      </w:r>
      <w:r>
        <w:rPr>
          <w:rFonts w:hint="default" w:ascii="Times New Roman" w:hAnsi="Times New Roman" w:eastAsia="方正仿宋_GBK" w:cs="Times New Roman"/>
          <w:sz w:val="32"/>
          <w:szCs w:val="32"/>
          <w:lang w:val="en-US" w:eastAsia="zh-CN"/>
        </w:rPr>
        <w:t>17.2</w:t>
      </w:r>
      <w:r>
        <w:rPr>
          <w:rFonts w:hint="default" w:ascii="Times New Roman" w:hAnsi="Times New Roman" w:eastAsia="方正仿宋_GBK" w:cs="Times New Roman"/>
          <w:sz w:val="32"/>
          <w:szCs w:val="32"/>
        </w:rPr>
        <w:t>%。</w:t>
      </w:r>
      <w:r>
        <w:rPr>
          <w:rFonts w:hint="default" w:ascii="Times New Roman" w:hAnsi="Times New Roman" w:eastAsia="仿宋" w:cs="Times New Roman"/>
          <w:sz w:val="32"/>
          <w:szCs w:val="32"/>
          <w:lang w:eastAsia="zh-CN"/>
        </w:rPr>
        <w:t>严格落实习惯过紧日子要求，从严控制“三公”经费开支</w:t>
      </w:r>
      <w:r>
        <w:rPr>
          <w:rFonts w:hint="default" w:ascii="Times New Roman" w:hAnsi="Times New Roman" w:eastAsia="仿宋" w:cs="Times New Roman"/>
          <w:sz w:val="32"/>
          <w:szCs w:val="32"/>
        </w:rPr>
        <w:t>。</w:t>
      </w:r>
    </w:p>
    <w:p w14:paraId="3B1A99D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方正楷体_GBK" w:cs="Times New Roman"/>
          <w:b/>
          <w:sz w:val="32"/>
          <w:szCs w:val="32"/>
        </w:rPr>
      </w:pPr>
      <w:bookmarkStart w:id="39" w:name="_Toc15377217"/>
      <w:r>
        <w:rPr>
          <w:rFonts w:hint="default" w:ascii="Times New Roman" w:hAnsi="Times New Roman" w:eastAsia="方正楷体_GBK" w:cs="Times New Roman"/>
          <w:b/>
          <w:sz w:val="32"/>
          <w:szCs w:val="32"/>
        </w:rPr>
        <w:t>（二）“三公”经费财政拨款支出决算具体情况说明</w:t>
      </w:r>
      <w:bookmarkEnd w:id="39"/>
    </w:p>
    <w:p w14:paraId="070E787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年度“三公”经费财政拨款支出决算中，因公出国（境）费支出决算0万元，占0%；公务用车购置及运行维护费支出决算</w:t>
      </w:r>
      <w:r>
        <w:rPr>
          <w:rFonts w:hint="default" w:ascii="Times New Roman" w:hAnsi="Times New Roman" w:eastAsia="方正仿宋_GBK" w:cs="Times New Roman"/>
          <w:sz w:val="32"/>
          <w:szCs w:val="32"/>
          <w:lang w:val="en-US" w:eastAsia="zh-CN"/>
        </w:rPr>
        <w:t>17.29</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99.2</w:t>
      </w:r>
      <w:r>
        <w:rPr>
          <w:rFonts w:hint="default" w:ascii="Times New Roman" w:hAnsi="Times New Roman" w:eastAsia="方正仿宋_GBK" w:cs="Times New Roman"/>
          <w:sz w:val="32"/>
          <w:szCs w:val="32"/>
        </w:rPr>
        <w:t>%；公务接待费支出决算</w:t>
      </w:r>
      <w:r>
        <w:rPr>
          <w:rFonts w:hint="default" w:ascii="Times New Roman" w:hAnsi="Times New Roman" w:eastAsia="方正仿宋_GBK" w:cs="Times New Roman"/>
          <w:sz w:val="32"/>
          <w:szCs w:val="32"/>
          <w:lang w:val="en-US" w:eastAsia="zh-CN"/>
        </w:rPr>
        <w:t>0.15</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0.8</w:t>
      </w:r>
      <w:r>
        <w:rPr>
          <w:rFonts w:hint="default" w:ascii="Times New Roman" w:hAnsi="Times New Roman" w:eastAsia="方正仿宋_GBK" w:cs="Times New Roman"/>
          <w:sz w:val="32"/>
          <w:szCs w:val="32"/>
        </w:rPr>
        <w:t>%。具体情况如下：</w:t>
      </w:r>
    </w:p>
    <w:p w14:paraId="461B0D74">
      <w:pPr>
        <w:pStyle w:val="6"/>
        <w:rPr>
          <w:rFonts w:hint="default" w:ascii="Times New Roman" w:hAnsi="Times New Roman" w:eastAsia="方正仿宋_GBK" w:cs="Times New Roman"/>
          <w:sz w:val="32"/>
          <w:szCs w:val="32"/>
        </w:rPr>
      </w:pPr>
      <w:r>
        <w:rPr>
          <w:rFonts w:hint="default" w:ascii="Times New Roman" w:hAnsi="Times New Roman" w:eastAsia="仿宋" w:cs="Times New Roman"/>
          <w:sz w:val="32"/>
          <w:szCs w:val="32"/>
          <w:lang w:eastAsia="zh-CN"/>
        </w:rPr>
        <w:drawing>
          <wp:anchor distT="0" distB="0" distL="114300" distR="114300" simplePos="0" relativeHeight="251664384" behindDoc="0" locked="0" layoutInCell="1" allowOverlap="1">
            <wp:simplePos x="0" y="0"/>
            <wp:positionH relativeFrom="column">
              <wp:posOffset>354330</wp:posOffset>
            </wp:positionH>
            <wp:positionV relativeFrom="paragraph">
              <wp:posOffset>77470</wp:posOffset>
            </wp:positionV>
            <wp:extent cx="4889500" cy="3201035"/>
            <wp:effectExtent l="4445" t="4445" r="20955" b="13970"/>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14:paraId="5F791104">
      <w:pPr>
        <w:pStyle w:val="7"/>
        <w:rPr>
          <w:rFonts w:hint="default" w:ascii="Times New Roman" w:hAnsi="Times New Roman" w:eastAsia="方正仿宋_GBK" w:cs="Times New Roman"/>
          <w:sz w:val="32"/>
          <w:szCs w:val="32"/>
        </w:rPr>
      </w:pPr>
    </w:p>
    <w:p w14:paraId="2A1F8128">
      <w:pPr>
        <w:rPr>
          <w:rFonts w:hint="default" w:ascii="Times New Roman" w:hAnsi="Times New Roman" w:eastAsia="方正仿宋_GBK" w:cs="Times New Roman"/>
          <w:sz w:val="32"/>
          <w:szCs w:val="32"/>
        </w:rPr>
      </w:pPr>
    </w:p>
    <w:p w14:paraId="1CC355B8">
      <w:pPr>
        <w:pStyle w:val="6"/>
        <w:rPr>
          <w:rFonts w:hint="default" w:ascii="Times New Roman" w:hAnsi="Times New Roman" w:eastAsia="方正仿宋_GBK" w:cs="Times New Roman"/>
          <w:sz w:val="32"/>
          <w:szCs w:val="32"/>
        </w:rPr>
      </w:pPr>
    </w:p>
    <w:p w14:paraId="1A254E55">
      <w:pPr>
        <w:pStyle w:val="7"/>
        <w:rPr>
          <w:rFonts w:hint="default" w:ascii="Times New Roman" w:hAnsi="Times New Roman" w:eastAsia="方正仿宋_GBK" w:cs="Times New Roman"/>
          <w:sz w:val="32"/>
          <w:szCs w:val="32"/>
        </w:rPr>
      </w:pPr>
    </w:p>
    <w:p w14:paraId="4DEFF83D">
      <w:pPr>
        <w:rPr>
          <w:rFonts w:hint="default" w:ascii="Times New Roman" w:hAnsi="Times New Roman" w:eastAsia="方正仿宋_GBK" w:cs="Times New Roman"/>
          <w:sz w:val="32"/>
          <w:szCs w:val="32"/>
        </w:rPr>
      </w:pPr>
    </w:p>
    <w:p w14:paraId="31A89C97">
      <w:pPr>
        <w:pStyle w:val="6"/>
        <w:rPr>
          <w:rFonts w:hint="default" w:ascii="Times New Roman" w:hAnsi="Times New Roman" w:cs="Times New Roman"/>
        </w:rPr>
      </w:pPr>
    </w:p>
    <w:p w14:paraId="1606F1F6">
      <w:pPr>
        <w:spacing w:line="600" w:lineRule="exact"/>
        <w:ind w:firstLine="1932" w:firstLineChars="604"/>
        <w:rPr>
          <w:rFonts w:hint="default" w:ascii="Times New Roman" w:hAnsi="Times New Roman" w:eastAsia="方正楷体_GBK" w:cs="Times New Roman"/>
          <w:b w:val="0"/>
          <w:bCs w:val="0"/>
          <w:sz w:val="32"/>
          <w:szCs w:val="32"/>
        </w:rPr>
      </w:pPr>
      <w:r>
        <w:rPr>
          <w:rFonts w:hint="default" w:ascii="Times New Roman" w:hAnsi="Times New Roman" w:eastAsia="方正楷体_GBK" w:cs="Times New Roman"/>
          <w:b w:val="0"/>
          <w:bCs w:val="0"/>
          <w:sz w:val="32"/>
          <w:szCs w:val="32"/>
        </w:rPr>
        <w:t>图7：“三公”经费财政拨款支出结构</w:t>
      </w:r>
    </w:p>
    <w:p w14:paraId="089B177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sz w:val="32"/>
          <w:szCs w:val="32"/>
        </w:rPr>
      </w:pPr>
      <w:bookmarkStart w:id="40" w:name="_Toc15396610"/>
      <w:bookmarkStart w:id="41" w:name="_Toc15377218"/>
      <w:r>
        <w:rPr>
          <w:rFonts w:hint="default" w:ascii="Times New Roman" w:hAnsi="Times New Roman" w:eastAsia="方正仿宋_GBK" w:cs="Times New Roman"/>
          <w:b/>
          <w:sz w:val="32"/>
          <w:szCs w:val="32"/>
          <w:lang w:val="en-US" w:eastAsia="zh-CN"/>
        </w:rPr>
        <w:t>1.</w:t>
      </w:r>
      <w:r>
        <w:rPr>
          <w:rFonts w:hint="default" w:ascii="Times New Roman" w:hAnsi="Times New Roman" w:eastAsia="方正仿宋_GBK" w:cs="Times New Roman"/>
          <w:b/>
          <w:sz w:val="32"/>
          <w:szCs w:val="32"/>
        </w:rPr>
        <w:t>因公出国（境）经费支出0</w:t>
      </w:r>
      <w:r>
        <w:rPr>
          <w:rFonts w:hint="default" w:ascii="Times New Roman" w:hAnsi="Times New Roman" w:eastAsia="方正仿宋_GBK" w:cs="Times New Roman"/>
          <w:sz w:val="32"/>
          <w:szCs w:val="32"/>
        </w:rPr>
        <w:t>万元，</w:t>
      </w:r>
      <w:r>
        <w:rPr>
          <w:rStyle w:val="20"/>
          <w:rFonts w:hint="default" w:ascii="Times New Roman" w:hAnsi="Times New Roman" w:eastAsia="方正仿宋_GBK" w:cs="Times New Roman"/>
          <w:b w:val="0"/>
          <w:bCs/>
          <w:sz w:val="32"/>
          <w:szCs w:val="32"/>
        </w:rPr>
        <w:t>完成预算</w:t>
      </w:r>
      <w:r>
        <w:rPr>
          <w:rStyle w:val="20"/>
          <w:rFonts w:hint="default" w:ascii="Times New Roman" w:hAnsi="Times New Roman" w:eastAsia="方正仿宋_GBK" w:cs="Times New Roman"/>
          <w:bCs/>
          <w:sz w:val="32"/>
          <w:szCs w:val="32"/>
        </w:rPr>
        <w:t>0</w:t>
      </w:r>
      <w:r>
        <w:rPr>
          <w:rStyle w:val="20"/>
          <w:rFonts w:hint="default" w:ascii="Times New Roman" w:hAnsi="Times New Roman" w:eastAsia="方正仿宋_GBK" w:cs="Times New Roman"/>
          <w:b w:val="0"/>
          <w:bCs/>
          <w:sz w:val="32"/>
          <w:szCs w:val="32"/>
        </w:rPr>
        <w:t>%。</w:t>
      </w:r>
      <w:r>
        <w:rPr>
          <w:rFonts w:hint="default" w:ascii="Times New Roman" w:hAnsi="Times New Roman" w:eastAsia="方正仿宋_GBK" w:cs="Times New Roman"/>
          <w:sz w:val="32"/>
          <w:szCs w:val="32"/>
        </w:rPr>
        <w:t>全年安排因公出国（境）团组</w:t>
      </w:r>
      <w:r>
        <w:rPr>
          <w:rFonts w:hint="default" w:ascii="Times New Roman" w:hAnsi="Times New Roman" w:eastAsia="方正仿宋_GBK" w:cs="Times New Roman"/>
          <w:b/>
          <w:sz w:val="32"/>
          <w:szCs w:val="32"/>
        </w:rPr>
        <w:t>0</w:t>
      </w:r>
      <w:r>
        <w:rPr>
          <w:rFonts w:hint="default" w:ascii="Times New Roman" w:hAnsi="Times New Roman" w:eastAsia="方正仿宋_GBK" w:cs="Times New Roman"/>
          <w:sz w:val="32"/>
          <w:szCs w:val="32"/>
        </w:rPr>
        <w:t>次，出国（境）</w:t>
      </w:r>
      <w:r>
        <w:rPr>
          <w:rFonts w:hint="default" w:ascii="Times New Roman" w:hAnsi="Times New Roman" w:eastAsia="方正仿宋_GBK" w:cs="Times New Roman"/>
          <w:b/>
          <w:sz w:val="32"/>
          <w:szCs w:val="32"/>
        </w:rPr>
        <w:t>0</w:t>
      </w:r>
      <w:r>
        <w:rPr>
          <w:rFonts w:hint="default" w:ascii="Times New Roman" w:hAnsi="Times New Roman" w:eastAsia="方正仿宋_GBK" w:cs="Times New Roman"/>
          <w:sz w:val="32"/>
          <w:szCs w:val="32"/>
        </w:rPr>
        <w:t>人。</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eastAsia="zh-CN"/>
        </w:rPr>
        <w:t>我单位</w:t>
      </w:r>
      <w:r>
        <w:rPr>
          <w:rFonts w:hint="default" w:ascii="Times New Roman" w:hAnsi="Times New Roman" w:eastAsia="仿宋_GB2312" w:cs="Times New Roman"/>
          <w:sz w:val="32"/>
          <w:szCs w:val="32"/>
          <w:lang w:val="en-US" w:eastAsia="zh-CN"/>
        </w:rPr>
        <w:t>2024年和2025年均</w:t>
      </w:r>
      <w:r>
        <w:rPr>
          <w:rFonts w:hint="default" w:ascii="Times New Roman" w:hAnsi="Times New Roman" w:eastAsia="仿宋_GB2312" w:cs="Times New Roman"/>
          <w:sz w:val="32"/>
          <w:szCs w:val="32"/>
          <w:lang w:eastAsia="zh-CN"/>
        </w:rPr>
        <w:t>不涉及出国（境）业务</w:t>
      </w:r>
      <w:r>
        <w:rPr>
          <w:rFonts w:hint="default" w:ascii="Times New Roman" w:hAnsi="Times New Roman" w:eastAsia="仿宋_GB2312" w:cs="Times New Roman"/>
          <w:sz w:val="32"/>
          <w:szCs w:val="32"/>
        </w:rPr>
        <w:t>。</w:t>
      </w:r>
    </w:p>
    <w:p w14:paraId="11145DB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sz w:val="32"/>
          <w:szCs w:val="32"/>
        </w:rPr>
        <w:t>2.公务用车购置及运行维护费支出</w:t>
      </w:r>
      <w:r>
        <w:rPr>
          <w:rFonts w:hint="default" w:ascii="Times New Roman" w:hAnsi="Times New Roman" w:eastAsia="方正仿宋_GBK" w:cs="Times New Roman"/>
          <w:b/>
          <w:sz w:val="32"/>
          <w:szCs w:val="32"/>
          <w:lang w:val="en-US" w:eastAsia="zh-CN"/>
        </w:rPr>
        <w:t>17.29</w:t>
      </w:r>
      <w:r>
        <w:rPr>
          <w:rFonts w:hint="default" w:ascii="Times New Roman" w:hAnsi="Times New Roman" w:eastAsia="方正仿宋_GBK" w:cs="Times New Roman"/>
          <w:sz w:val="32"/>
          <w:szCs w:val="32"/>
        </w:rPr>
        <w:t>万元</w:t>
      </w:r>
      <w:r>
        <w:rPr>
          <w:rFonts w:hint="eastAsia" w:eastAsia="方正仿宋_GBK" w:cs="Times New Roman"/>
          <w:sz w:val="32"/>
          <w:szCs w:val="32"/>
          <w:lang w:eastAsia="zh-CN"/>
        </w:rPr>
        <w:t>，</w:t>
      </w:r>
      <w:r>
        <w:rPr>
          <w:rStyle w:val="20"/>
          <w:rFonts w:hint="default" w:ascii="Times New Roman" w:hAnsi="Times New Roman" w:eastAsia="方正仿宋_GBK" w:cs="Times New Roman"/>
          <w:b w:val="0"/>
          <w:bCs/>
          <w:sz w:val="32"/>
          <w:szCs w:val="32"/>
        </w:rPr>
        <w:t>完成预算</w:t>
      </w:r>
      <w:r>
        <w:rPr>
          <w:rStyle w:val="20"/>
          <w:rFonts w:hint="default" w:ascii="Times New Roman" w:hAnsi="Times New Roman" w:eastAsia="方正仿宋_GBK" w:cs="Times New Roman"/>
          <w:bCs/>
          <w:sz w:val="32"/>
          <w:szCs w:val="32"/>
          <w:lang w:val="en-US" w:eastAsia="zh-CN"/>
        </w:rPr>
        <w:t>100</w:t>
      </w:r>
      <w:r>
        <w:rPr>
          <w:rStyle w:val="20"/>
          <w:rFonts w:hint="default" w:ascii="Times New Roman" w:hAnsi="Times New Roman" w:eastAsia="方正仿宋_GBK" w:cs="Times New Roman"/>
          <w:b w:val="0"/>
          <w:bCs/>
          <w:sz w:val="32"/>
          <w:szCs w:val="32"/>
        </w:rPr>
        <w:t>%。</w:t>
      </w:r>
      <w:r>
        <w:rPr>
          <w:rFonts w:hint="default" w:ascii="Times New Roman" w:hAnsi="Times New Roman" w:eastAsia="方正仿宋_GBK" w:cs="Times New Roman"/>
          <w:sz w:val="32"/>
          <w:szCs w:val="32"/>
        </w:rPr>
        <w:t>公务用车购置及运行维护费支出决算比202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3.05</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下降</w:t>
      </w:r>
      <w:r>
        <w:rPr>
          <w:rFonts w:hint="default" w:ascii="Times New Roman" w:hAnsi="Times New Roman" w:eastAsia="方正仿宋_GBK" w:cs="Times New Roman"/>
          <w:sz w:val="32"/>
          <w:szCs w:val="32"/>
          <w:lang w:val="en-US" w:eastAsia="zh-CN"/>
        </w:rPr>
        <w:t>15</w:t>
      </w:r>
      <w:r>
        <w:rPr>
          <w:rFonts w:hint="default" w:ascii="Times New Roman" w:hAnsi="Times New Roman" w:eastAsia="方正仿宋_GBK" w:cs="Times New Roman"/>
          <w:sz w:val="32"/>
          <w:szCs w:val="32"/>
        </w:rPr>
        <w:t>%。主要原因是</w:t>
      </w:r>
      <w:r>
        <w:rPr>
          <w:rFonts w:hint="default" w:ascii="Times New Roman" w:hAnsi="Times New Roman" w:eastAsia="方正仿宋_GBK" w:cs="Times New Roman"/>
          <w:sz w:val="32"/>
          <w:szCs w:val="32"/>
          <w:lang w:eastAsia="zh-CN"/>
        </w:rPr>
        <w:t>专项</w:t>
      </w:r>
      <w:r>
        <w:rPr>
          <w:rFonts w:hint="default" w:ascii="Times New Roman" w:hAnsi="Times New Roman" w:eastAsia="方正仿宋_GBK" w:cs="Times New Roman"/>
          <w:b w:val="0"/>
          <w:bCs w:val="0"/>
          <w:i w:val="0"/>
          <w:iCs w:val="0"/>
          <w:caps w:val="0"/>
          <w:color w:val="000000"/>
          <w:spacing w:val="0"/>
          <w:sz w:val="32"/>
          <w:szCs w:val="32"/>
          <w:shd w:val="clear" w:color="auto" w:fill="FFFFFF"/>
          <w:lang w:val="en-US" w:eastAsia="zh-CN"/>
        </w:rPr>
        <w:t>工作结束</w:t>
      </w:r>
      <w:r>
        <w:rPr>
          <w:rFonts w:hint="default" w:ascii="Times New Roman" w:hAnsi="Times New Roman" w:eastAsia="方正仿宋_GBK" w:cs="Times New Roman"/>
          <w:b w:val="0"/>
          <w:bCs w:val="0"/>
          <w:sz w:val="32"/>
          <w:szCs w:val="32"/>
        </w:rPr>
        <w:t>。</w:t>
      </w:r>
    </w:p>
    <w:p w14:paraId="5473D7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其中：</w:t>
      </w:r>
      <w:r>
        <w:rPr>
          <w:rFonts w:hint="default" w:ascii="Times New Roman" w:hAnsi="Times New Roman" w:eastAsia="方正仿宋_GBK" w:cs="Times New Roman"/>
          <w:b/>
          <w:sz w:val="32"/>
          <w:szCs w:val="32"/>
        </w:rPr>
        <w:t>公务用车购置支出0</w:t>
      </w:r>
      <w:r>
        <w:rPr>
          <w:rFonts w:hint="default" w:ascii="Times New Roman" w:hAnsi="Times New Roman" w:eastAsia="方正仿宋_GBK" w:cs="Times New Roman"/>
          <w:sz w:val="32"/>
          <w:szCs w:val="32"/>
        </w:rPr>
        <w:t>万元。截至202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年12月31日，单位共有公务用车</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辆，其中：越野车</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辆。</w:t>
      </w:r>
    </w:p>
    <w:p w14:paraId="71708237">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公务用车运行维护费支出</w:t>
      </w:r>
      <w:r>
        <w:rPr>
          <w:rFonts w:hint="default" w:ascii="Times New Roman" w:hAnsi="Times New Roman" w:eastAsia="方正仿宋_GBK" w:cs="Times New Roman"/>
          <w:b/>
          <w:sz w:val="32"/>
          <w:szCs w:val="32"/>
          <w:lang w:val="en-US" w:eastAsia="zh-CN"/>
        </w:rPr>
        <w:t>17.29</w:t>
      </w:r>
      <w:r>
        <w:rPr>
          <w:rFonts w:hint="default" w:ascii="Times New Roman" w:hAnsi="Times New Roman" w:eastAsia="方正仿宋_GBK" w:cs="Times New Roman"/>
          <w:sz w:val="32"/>
          <w:szCs w:val="32"/>
        </w:rPr>
        <w:t>万元。主要用于</w:t>
      </w:r>
      <w:r>
        <w:rPr>
          <w:rFonts w:hint="default" w:ascii="Times New Roman" w:hAnsi="Times New Roman" w:eastAsia="方正仿宋_GBK" w:cs="Times New Roman"/>
          <w:sz w:val="32"/>
          <w:szCs w:val="32"/>
          <w:lang w:eastAsia="zh-CN"/>
        </w:rPr>
        <w:t>机构编制调研、督查等</w:t>
      </w:r>
      <w:r>
        <w:rPr>
          <w:rFonts w:hint="default" w:ascii="Times New Roman" w:hAnsi="Times New Roman" w:eastAsia="方正仿宋_GBK" w:cs="Times New Roman"/>
          <w:sz w:val="32"/>
          <w:szCs w:val="32"/>
        </w:rPr>
        <w:t>所需的公务用车燃料费、维修费、过路过桥费、保险费等支出。</w:t>
      </w:r>
    </w:p>
    <w:p w14:paraId="79505A1B">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ind w:firstLine="643"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lang w:val="en-US" w:eastAsia="zh-CN"/>
        </w:rPr>
        <w:t>3.</w:t>
      </w:r>
      <w:r>
        <w:rPr>
          <w:rFonts w:hint="default" w:ascii="Times New Roman" w:hAnsi="Times New Roman" w:eastAsia="方正仿宋_GBK" w:cs="Times New Roman"/>
          <w:b/>
          <w:sz w:val="32"/>
          <w:szCs w:val="32"/>
        </w:rPr>
        <w:t>公务接待费支出</w:t>
      </w:r>
      <w:r>
        <w:rPr>
          <w:rFonts w:hint="default" w:ascii="Times New Roman" w:hAnsi="Times New Roman" w:eastAsia="方正仿宋_GBK" w:cs="Times New Roman"/>
          <w:b/>
          <w:sz w:val="32"/>
          <w:szCs w:val="32"/>
          <w:lang w:val="en-US" w:eastAsia="zh-CN"/>
        </w:rPr>
        <w:t>0.15</w:t>
      </w:r>
      <w:r>
        <w:rPr>
          <w:rFonts w:hint="default" w:ascii="Times New Roman" w:hAnsi="Times New Roman" w:eastAsia="方正仿宋_GBK" w:cs="Times New Roman"/>
          <w:sz w:val="32"/>
          <w:szCs w:val="32"/>
        </w:rPr>
        <w:t>万元，</w:t>
      </w:r>
      <w:r>
        <w:rPr>
          <w:rStyle w:val="20"/>
          <w:rFonts w:hint="default" w:ascii="Times New Roman" w:hAnsi="Times New Roman" w:eastAsia="方正仿宋_GBK" w:cs="Times New Roman"/>
          <w:b w:val="0"/>
          <w:bCs/>
          <w:sz w:val="32"/>
          <w:szCs w:val="32"/>
        </w:rPr>
        <w:t>完成预算</w:t>
      </w:r>
      <w:r>
        <w:rPr>
          <w:rStyle w:val="20"/>
          <w:rFonts w:hint="default" w:ascii="Times New Roman" w:hAnsi="Times New Roman" w:eastAsia="方正仿宋_GBK" w:cs="Times New Roman"/>
          <w:b w:val="0"/>
          <w:bCs/>
          <w:sz w:val="32"/>
          <w:szCs w:val="32"/>
          <w:lang w:val="en-US" w:eastAsia="zh-CN"/>
        </w:rPr>
        <w:t>100</w:t>
      </w:r>
      <w:r>
        <w:rPr>
          <w:rStyle w:val="20"/>
          <w:rFonts w:hint="default" w:ascii="Times New Roman" w:hAnsi="Times New Roman" w:eastAsia="方正仿宋_GBK" w:cs="Times New Roman"/>
          <w:b w:val="0"/>
          <w:bCs/>
          <w:sz w:val="32"/>
          <w:szCs w:val="32"/>
        </w:rPr>
        <w:t>%。</w:t>
      </w:r>
      <w:r>
        <w:rPr>
          <w:rFonts w:hint="default" w:ascii="Times New Roman" w:hAnsi="Times New Roman" w:eastAsia="方正仿宋_GBK" w:cs="Times New Roman"/>
          <w:sz w:val="32"/>
          <w:szCs w:val="32"/>
        </w:rPr>
        <w:t>公务接待费支出决算比202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年度</w:t>
      </w:r>
      <w:r>
        <w:rPr>
          <w:rFonts w:hint="default" w:ascii="Times New Roman" w:hAnsi="Times New Roman" w:eastAsia="方正仿宋_GBK" w:cs="Times New Roman"/>
          <w:sz w:val="32"/>
          <w:szCs w:val="32"/>
          <w:lang w:eastAsia="zh-CN"/>
        </w:rPr>
        <w:t>减少</w:t>
      </w:r>
      <w:r>
        <w:rPr>
          <w:rFonts w:hint="default" w:ascii="Times New Roman" w:hAnsi="Times New Roman" w:eastAsia="方正仿宋_GBK" w:cs="Times New Roman"/>
          <w:sz w:val="32"/>
          <w:szCs w:val="32"/>
          <w:lang w:val="en-US" w:eastAsia="zh-CN"/>
        </w:rPr>
        <w:t>0.57</w:t>
      </w:r>
      <w:r>
        <w:rPr>
          <w:rFonts w:hint="default" w:ascii="Times New Roman" w:hAnsi="Times New Roman" w:eastAsia="方正仿宋_GBK" w:cs="Times New Roman"/>
          <w:sz w:val="32"/>
          <w:szCs w:val="32"/>
        </w:rPr>
        <w:t>万元。</w:t>
      </w:r>
      <w:r>
        <w:rPr>
          <w:rStyle w:val="20"/>
          <w:rFonts w:hint="default" w:ascii="Times New Roman" w:hAnsi="Times New Roman" w:eastAsia="方正仿宋_GBK" w:cs="Times New Roman"/>
          <w:b w:val="0"/>
          <w:bCs/>
          <w:i w:val="0"/>
          <w:iCs w:val="0"/>
          <w:caps w:val="0"/>
          <w:color w:val="000000"/>
          <w:spacing w:val="0"/>
          <w:sz w:val="32"/>
          <w:szCs w:val="32"/>
          <w:shd w:val="clear" w:color="auto" w:fill="FFFFFF"/>
        </w:rPr>
        <w:t>主要原因为</w:t>
      </w:r>
      <w:r>
        <w:rPr>
          <w:rStyle w:val="20"/>
          <w:rFonts w:hint="default" w:ascii="Times New Roman" w:hAnsi="Times New Roman" w:eastAsia="方正仿宋_GBK" w:cs="Times New Roman"/>
          <w:b w:val="0"/>
          <w:bCs/>
          <w:i w:val="0"/>
          <w:iCs w:val="0"/>
          <w:caps w:val="0"/>
          <w:color w:val="000000"/>
          <w:spacing w:val="0"/>
          <w:sz w:val="32"/>
          <w:szCs w:val="32"/>
          <w:shd w:val="clear" w:color="auto" w:fill="FFFFFF"/>
          <w:lang w:val="en-US" w:eastAsia="zh-CN"/>
        </w:rPr>
        <w:t>机构改革工作结束。</w:t>
      </w:r>
      <w:r>
        <w:rPr>
          <w:rFonts w:hint="default" w:ascii="Times New Roman" w:hAnsi="Times New Roman" w:eastAsia="方正仿宋_GBK" w:cs="Times New Roman"/>
          <w:sz w:val="32"/>
          <w:szCs w:val="32"/>
        </w:rPr>
        <w:t>其中：</w:t>
      </w:r>
    </w:p>
    <w:p w14:paraId="4B1C53AA">
      <w:pPr>
        <w:keepNext w:val="0"/>
        <w:keepLines w:val="0"/>
        <w:pageBreakBefore w:val="0"/>
        <w:widowControl w:val="0"/>
        <w:kinsoku/>
        <w:wordWrap/>
        <w:overflowPunct/>
        <w:topLinePunct w:val="0"/>
        <w:autoSpaceDE/>
        <w:autoSpaceDN/>
        <w:bidi w:val="0"/>
        <w:adjustRightInd/>
        <w:snapToGrid/>
        <w:spacing w:line="540" w:lineRule="exact"/>
        <w:ind w:firstLine="640"/>
        <w:jc w:val="left"/>
        <w:textAlignment w:val="auto"/>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国内公务接待支出</w:t>
      </w:r>
      <w:r>
        <w:rPr>
          <w:rFonts w:hint="default" w:ascii="Times New Roman" w:hAnsi="Times New Roman" w:eastAsia="方正仿宋_GBK" w:cs="Times New Roman"/>
          <w:b w:val="0"/>
          <w:bCs/>
          <w:sz w:val="32"/>
          <w:szCs w:val="32"/>
          <w:lang w:val="en-US" w:eastAsia="zh-CN"/>
        </w:rPr>
        <w:t>0.15</w:t>
      </w:r>
      <w:r>
        <w:rPr>
          <w:rFonts w:hint="default" w:ascii="Times New Roman" w:hAnsi="Times New Roman" w:eastAsia="方正仿宋_GBK" w:cs="Times New Roman"/>
          <w:b w:val="0"/>
          <w:bCs/>
          <w:sz w:val="32"/>
          <w:szCs w:val="32"/>
        </w:rPr>
        <w:t>万元，</w:t>
      </w:r>
      <w:r>
        <w:rPr>
          <w:rFonts w:hint="default" w:ascii="Times New Roman" w:hAnsi="Times New Roman" w:eastAsia="仿宋_GB2312" w:cs="Times New Roman"/>
          <w:b w:val="0"/>
          <w:bCs/>
          <w:sz w:val="32"/>
          <w:szCs w:val="32"/>
        </w:rPr>
        <w:t>主要用于</w:t>
      </w:r>
      <w:r>
        <w:rPr>
          <w:rFonts w:hint="default" w:ascii="Times New Roman" w:hAnsi="Times New Roman" w:eastAsia="仿宋_GB2312" w:cs="Times New Roman"/>
          <w:b w:val="0"/>
          <w:bCs/>
          <w:sz w:val="32"/>
          <w:szCs w:val="32"/>
          <w:lang w:eastAsia="zh-CN"/>
        </w:rPr>
        <w:t>必要的公务接待支出</w:t>
      </w:r>
      <w:r>
        <w:rPr>
          <w:rFonts w:hint="default" w:ascii="Times New Roman" w:hAnsi="Times New Roman" w:eastAsia="仿宋_GB2312" w:cs="Times New Roman"/>
          <w:b w:val="0"/>
          <w:bCs/>
          <w:sz w:val="32"/>
          <w:szCs w:val="32"/>
        </w:rPr>
        <w:t>。</w:t>
      </w:r>
      <w:r>
        <w:rPr>
          <w:rFonts w:hint="default" w:ascii="Times New Roman" w:hAnsi="Times New Roman" w:eastAsia="仿宋_GB2312" w:cs="Times New Roman"/>
          <w:b w:val="0"/>
          <w:bCs/>
          <w:sz w:val="32"/>
          <w:szCs w:val="32"/>
          <w:highlight w:val="none"/>
        </w:rPr>
        <w:t>国内公务接待</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rPr>
        <w:t>批次，</w:t>
      </w:r>
      <w:r>
        <w:rPr>
          <w:rFonts w:hint="default" w:ascii="Times New Roman" w:hAnsi="Times New Roman" w:eastAsia="仿宋_GB2312" w:cs="Times New Roman"/>
          <w:b w:val="0"/>
          <w:bCs/>
          <w:sz w:val="32"/>
          <w:szCs w:val="32"/>
          <w:highlight w:val="none"/>
          <w:lang w:val="en-US" w:eastAsia="zh-CN"/>
        </w:rPr>
        <w:t>7</w:t>
      </w:r>
      <w:r>
        <w:rPr>
          <w:rFonts w:hint="default" w:ascii="Times New Roman" w:hAnsi="Times New Roman" w:eastAsia="仿宋_GB2312" w:cs="Times New Roman"/>
          <w:b w:val="0"/>
          <w:bCs/>
          <w:sz w:val="32"/>
          <w:szCs w:val="32"/>
          <w:highlight w:val="none"/>
        </w:rPr>
        <w:t>人次（不包括陪同人员），共</w:t>
      </w:r>
      <w:r>
        <w:rPr>
          <w:rFonts w:hint="default" w:ascii="Times New Roman" w:hAnsi="Times New Roman" w:eastAsia="仿宋_GB2312" w:cs="Times New Roman"/>
          <w:b w:val="0"/>
          <w:bCs/>
          <w:sz w:val="32"/>
          <w:szCs w:val="32"/>
        </w:rPr>
        <w:t>计支出</w:t>
      </w:r>
      <w:r>
        <w:rPr>
          <w:rFonts w:hint="default" w:ascii="Times New Roman" w:hAnsi="Times New Roman" w:eastAsia="仿宋_GB2312" w:cs="Times New Roman"/>
          <w:b w:val="0"/>
          <w:bCs/>
          <w:sz w:val="32"/>
          <w:szCs w:val="32"/>
          <w:lang w:val="en-US" w:eastAsia="zh-CN"/>
        </w:rPr>
        <w:t>0.15</w:t>
      </w:r>
      <w:r>
        <w:rPr>
          <w:rFonts w:hint="default" w:ascii="Times New Roman" w:hAnsi="Times New Roman" w:eastAsia="仿宋_GB2312" w:cs="Times New Roman"/>
          <w:b w:val="0"/>
          <w:bCs/>
          <w:sz w:val="32"/>
          <w:szCs w:val="32"/>
        </w:rPr>
        <w:t>万元，具体内容包括：</w:t>
      </w:r>
      <w:r>
        <w:rPr>
          <w:rFonts w:hint="default" w:ascii="Times New Roman" w:hAnsi="Times New Roman" w:eastAsia="仿宋_GB2312" w:cs="Times New Roman"/>
          <w:b w:val="0"/>
          <w:bCs/>
          <w:sz w:val="32"/>
          <w:szCs w:val="32"/>
          <w:lang w:eastAsia="zh-CN"/>
        </w:rPr>
        <w:t>用餐费</w:t>
      </w:r>
      <w:r>
        <w:rPr>
          <w:rFonts w:hint="default" w:ascii="Times New Roman" w:hAnsi="Times New Roman" w:eastAsia="仿宋_GB2312" w:cs="Times New Roman"/>
          <w:b w:val="0"/>
          <w:bCs/>
          <w:sz w:val="32"/>
          <w:szCs w:val="32"/>
          <w:lang w:val="en-US" w:eastAsia="zh-CN"/>
        </w:rPr>
        <w:t>0.15万元</w:t>
      </w:r>
      <w:r>
        <w:rPr>
          <w:rFonts w:hint="default" w:ascii="Times New Roman" w:hAnsi="Times New Roman" w:eastAsia="仿宋_GB2312" w:cs="Times New Roman"/>
          <w:b w:val="0"/>
          <w:bCs/>
          <w:sz w:val="32"/>
          <w:szCs w:val="32"/>
        </w:rPr>
        <w:t>。</w:t>
      </w:r>
    </w:p>
    <w:p w14:paraId="59186570">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 w:cs="Times New Roman"/>
          <w:b w:val="0"/>
          <w:bCs/>
          <w:sz w:val="32"/>
          <w:szCs w:val="32"/>
        </w:rPr>
        <w:t>外事接待支出0</w:t>
      </w:r>
      <w:r>
        <w:rPr>
          <w:rFonts w:hint="default" w:ascii="Times New Roman" w:hAnsi="Times New Roman" w:eastAsia="仿宋_GB2312" w:cs="Times New Roman"/>
          <w:b w:val="0"/>
          <w:bCs/>
          <w:sz w:val="32"/>
          <w:szCs w:val="32"/>
        </w:rPr>
        <w:t>万元</w:t>
      </w:r>
      <w:r>
        <w:rPr>
          <w:rFonts w:hint="default" w:ascii="Times New Roman" w:hAnsi="Times New Roman" w:eastAsia="仿宋_GB2312" w:cs="Times New Roman"/>
          <w:b w:val="0"/>
          <w:bCs/>
          <w:sz w:val="32"/>
          <w:szCs w:val="32"/>
          <w:lang w:eastAsia="zh-CN"/>
        </w:rPr>
        <w:t>，本年度我单位无外事接待支出。</w:t>
      </w:r>
    </w:p>
    <w:p w14:paraId="75A86404">
      <w:pPr>
        <w:keepNext w:val="0"/>
        <w:keepLines w:val="0"/>
        <w:pageBreakBefore w:val="0"/>
        <w:widowControl w:val="0"/>
        <w:kinsoku/>
        <w:wordWrap/>
        <w:overflowPunct/>
        <w:topLinePunct w:val="0"/>
        <w:autoSpaceDE/>
        <w:autoSpaceDN/>
        <w:bidi w:val="0"/>
        <w:adjustRightInd/>
        <w:snapToGrid/>
        <w:spacing w:line="540" w:lineRule="exact"/>
        <w:ind w:firstLine="640"/>
        <w:jc w:val="left"/>
        <w:textAlignment w:val="auto"/>
        <w:outlineLvl w:val="1"/>
        <w:rPr>
          <w:rStyle w:val="32"/>
          <w:rFonts w:hint="default" w:ascii="Times New Roman" w:hAnsi="Times New Roman" w:eastAsia="方正黑体_GBK" w:cs="Times New Roman"/>
          <w:highlight w:val="none"/>
        </w:rPr>
      </w:pPr>
      <w:r>
        <w:rPr>
          <w:rFonts w:hint="default" w:ascii="Times New Roman" w:hAnsi="Times New Roman" w:eastAsia="方正黑体_GBK" w:cs="Times New Roman"/>
          <w:sz w:val="32"/>
          <w:szCs w:val="32"/>
          <w:highlight w:val="none"/>
        </w:rPr>
        <w:t>八、</w:t>
      </w:r>
      <w:r>
        <w:rPr>
          <w:rStyle w:val="32"/>
          <w:rFonts w:hint="default" w:ascii="Times New Roman" w:hAnsi="Times New Roman" w:eastAsia="方正黑体_GBK" w:cs="Times New Roman"/>
          <w:b w:val="0"/>
          <w:highlight w:val="none"/>
        </w:rPr>
        <w:t>政府性基金预算支出决算情况说明</w:t>
      </w:r>
      <w:bookmarkEnd w:id="40"/>
      <w:bookmarkEnd w:id="41"/>
    </w:p>
    <w:p w14:paraId="63E6B06F">
      <w:pPr>
        <w:keepNext w:val="0"/>
        <w:keepLines w:val="0"/>
        <w:pageBreakBefore w:val="0"/>
        <w:widowControl w:val="0"/>
        <w:kinsoku/>
        <w:wordWrap/>
        <w:overflowPunct/>
        <w:topLinePunct w:val="0"/>
        <w:autoSpaceDE/>
        <w:autoSpaceDN/>
        <w:bidi w:val="0"/>
        <w:adjustRightInd/>
        <w:snapToGrid/>
        <w:spacing w:line="540" w:lineRule="exact"/>
        <w:ind w:firstLine="640"/>
        <w:jc w:val="left"/>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2025年度</w:t>
      </w:r>
      <w:r>
        <w:rPr>
          <w:rFonts w:hint="default" w:ascii="Times New Roman" w:hAnsi="Times New Roman" w:eastAsia="方正仿宋_GBK" w:cs="Times New Roman"/>
          <w:sz w:val="32"/>
          <w:szCs w:val="32"/>
          <w:highlight w:val="none"/>
          <w:lang w:eastAsia="zh-CN"/>
        </w:rPr>
        <w:t>本部门无</w:t>
      </w:r>
      <w:r>
        <w:rPr>
          <w:rFonts w:hint="default" w:ascii="Times New Roman" w:hAnsi="Times New Roman" w:eastAsia="方正仿宋_GBK" w:cs="Times New Roman"/>
          <w:sz w:val="32"/>
          <w:szCs w:val="32"/>
          <w:highlight w:val="none"/>
        </w:rPr>
        <w:t>政府性基金预算财政拨款支出。</w:t>
      </w:r>
    </w:p>
    <w:p w14:paraId="1A69F39C">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640"/>
        <w:jc w:val="left"/>
        <w:textAlignment w:val="auto"/>
        <w:outlineLvl w:val="1"/>
        <w:rPr>
          <w:rStyle w:val="32"/>
          <w:rFonts w:hint="default" w:ascii="Times New Roman" w:hAnsi="Times New Roman" w:eastAsia="方正黑体_GBK" w:cs="Times New Roman"/>
          <w:b w:val="0"/>
          <w:highlight w:val="none"/>
        </w:rPr>
      </w:pPr>
      <w:bookmarkStart w:id="42" w:name="_Toc15396611"/>
      <w:bookmarkStart w:id="43" w:name="_Toc15377219"/>
      <w:r>
        <w:rPr>
          <w:rStyle w:val="32"/>
          <w:rFonts w:hint="default" w:ascii="Times New Roman" w:hAnsi="Times New Roman" w:eastAsia="方正黑体_GBK" w:cs="Times New Roman"/>
          <w:b w:val="0"/>
          <w:highlight w:val="none"/>
        </w:rPr>
        <w:t>国有资本经营预算支出决算情况说明</w:t>
      </w:r>
      <w:bookmarkEnd w:id="42"/>
      <w:bookmarkEnd w:id="43"/>
    </w:p>
    <w:p w14:paraId="5B97417A">
      <w:pPr>
        <w:keepNext w:val="0"/>
        <w:keepLines w:val="0"/>
        <w:pageBreakBefore w:val="0"/>
        <w:widowControl w:val="0"/>
        <w:kinsoku/>
        <w:wordWrap/>
        <w:overflowPunct/>
        <w:topLinePunct w:val="0"/>
        <w:autoSpaceDE/>
        <w:autoSpaceDN/>
        <w:bidi w:val="0"/>
        <w:adjustRightInd/>
        <w:snapToGrid/>
        <w:spacing w:line="540" w:lineRule="exact"/>
        <w:ind w:firstLine="640"/>
        <w:jc w:val="left"/>
        <w:textAlignment w:val="auto"/>
        <w:rPr>
          <w:rFonts w:hint="default" w:ascii="Times New Roman" w:hAnsi="Times New Roman" w:eastAsia="方正仿宋_GBK" w:cs="Times New Roman"/>
          <w:sz w:val="44"/>
          <w:szCs w:val="44"/>
          <w:highlight w:val="none"/>
        </w:rPr>
      </w:pPr>
      <w:r>
        <w:rPr>
          <w:rFonts w:hint="default" w:ascii="Times New Roman" w:hAnsi="Times New Roman" w:eastAsia="方正仿宋_GBK" w:cs="Times New Roman"/>
          <w:sz w:val="32"/>
          <w:szCs w:val="32"/>
          <w:highlight w:val="none"/>
          <w:lang w:val="en-US" w:eastAsia="zh-CN"/>
        </w:rPr>
        <w:t>2025年度</w:t>
      </w:r>
      <w:r>
        <w:rPr>
          <w:rFonts w:hint="default" w:ascii="Times New Roman" w:hAnsi="Times New Roman" w:eastAsia="方正仿宋_GBK" w:cs="Times New Roman"/>
          <w:sz w:val="32"/>
          <w:szCs w:val="32"/>
          <w:highlight w:val="none"/>
          <w:lang w:eastAsia="zh-CN"/>
        </w:rPr>
        <w:t>本部门无</w:t>
      </w:r>
      <w:r>
        <w:rPr>
          <w:rFonts w:hint="default" w:ascii="Times New Roman" w:hAnsi="Times New Roman" w:eastAsia="方正仿宋_GBK" w:cs="Times New Roman"/>
          <w:sz w:val="32"/>
          <w:szCs w:val="32"/>
          <w:highlight w:val="none"/>
          <w:lang w:val="en-US" w:eastAsia="zh-CN"/>
        </w:rPr>
        <w:t>国有资本经营预算</w:t>
      </w:r>
      <w:r>
        <w:rPr>
          <w:rFonts w:hint="default" w:ascii="Times New Roman" w:hAnsi="Times New Roman" w:eastAsia="方正仿宋_GBK" w:cs="Times New Roman"/>
          <w:sz w:val="32"/>
          <w:szCs w:val="32"/>
          <w:highlight w:val="none"/>
        </w:rPr>
        <w:t>财政拨款</w:t>
      </w:r>
      <w:r>
        <w:rPr>
          <w:rFonts w:hint="default" w:ascii="Times New Roman" w:hAnsi="Times New Roman" w:eastAsia="方正仿宋_GBK" w:cs="Times New Roman"/>
          <w:sz w:val="32"/>
          <w:szCs w:val="32"/>
          <w:highlight w:val="none"/>
          <w:lang w:val="en-US" w:eastAsia="zh-CN"/>
        </w:rPr>
        <w:t>支出</w:t>
      </w:r>
      <w:r>
        <w:rPr>
          <w:rFonts w:hint="default" w:ascii="Times New Roman" w:hAnsi="Times New Roman" w:eastAsia="方正仿宋_GBK" w:cs="Times New Roman"/>
          <w:sz w:val="32"/>
          <w:szCs w:val="32"/>
          <w:highlight w:val="none"/>
        </w:rPr>
        <w:t>。</w:t>
      </w:r>
    </w:p>
    <w:p w14:paraId="1ABD5323">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640"/>
        <w:jc w:val="left"/>
        <w:textAlignment w:val="auto"/>
        <w:outlineLvl w:val="1"/>
        <w:rPr>
          <w:rStyle w:val="32"/>
          <w:rFonts w:hint="default" w:ascii="Times New Roman" w:hAnsi="Times New Roman" w:eastAsia="方正黑体_GBK" w:cs="Times New Roman"/>
          <w:b w:val="0"/>
          <w:highlight w:val="none"/>
        </w:rPr>
      </w:pPr>
      <w:bookmarkStart w:id="44" w:name="_Toc15377221"/>
      <w:bookmarkStart w:id="45" w:name="_Toc15396612"/>
      <w:r>
        <w:rPr>
          <w:rStyle w:val="32"/>
          <w:rFonts w:hint="default" w:ascii="Times New Roman" w:hAnsi="Times New Roman" w:eastAsia="方正黑体_GBK" w:cs="Times New Roman"/>
          <w:b w:val="0"/>
          <w:highlight w:val="none"/>
        </w:rPr>
        <w:t>其他重要事项的情况说明</w:t>
      </w:r>
      <w:bookmarkEnd w:id="44"/>
      <w:bookmarkEnd w:id="45"/>
    </w:p>
    <w:p w14:paraId="3E6683AB">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outlineLvl w:val="2"/>
        <w:rPr>
          <w:rFonts w:hint="default" w:ascii="Times New Roman" w:hAnsi="Times New Roman" w:eastAsia="方正楷体_GBK" w:cs="Times New Roman"/>
          <w:sz w:val="32"/>
          <w:szCs w:val="32"/>
          <w:highlight w:val="none"/>
        </w:rPr>
      </w:pPr>
      <w:bookmarkStart w:id="46" w:name="_Toc15377222"/>
      <w:r>
        <w:rPr>
          <w:rFonts w:hint="default" w:ascii="Times New Roman" w:hAnsi="Times New Roman" w:eastAsia="方正楷体_GBK" w:cs="Times New Roman"/>
          <w:b/>
          <w:sz w:val="32"/>
          <w:szCs w:val="32"/>
          <w:highlight w:val="none"/>
        </w:rPr>
        <w:t>（一）机关运行经费支出情况</w:t>
      </w:r>
      <w:bookmarkEnd w:id="46"/>
    </w:p>
    <w:p w14:paraId="6A50AF71">
      <w:pPr>
        <w:keepNext w:val="0"/>
        <w:keepLines w:val="0"/>
        <w:pageBreakBefore w:val="0"/>
        <w:widowControl w:val="0"/>
        <w:kinsoku/>
        <w:wordWrap/>
        <w:overflowPunct/>
        <w:topLinePunct w:val="0"/>
        <w:bidi w:val="0"/>
        <w:snapToGrid/>
        <w:spacing w:line="54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年度，中共阿坝州委机构编制委员会办公室机关运行经费支出</w:t>
      </w:r>
      <w:r>
        <w:rPr>
          <w:rFonts w:hint="default" w:ascii="Times New Roman" w:hAnsi="Times New Roman" w:eastAsia="方正仿宋_GBK" w:cs="Times New Roman"/>
          <w:color w:val="auto"/>
          <w:sz w:val="32"/>
          <w:szCs w:val="32"/>
          <w:highlight w:val="none"/>
          <w:lang w:val="en-US" w:eastAsia="zh-CN"/>
        </w:rPr>
        <w:t>47.27</w:t>
      </w:r>
      <w:r>
        <w:rPr>
          <w:rFonts w:hint="default" w:ascii="Times New Roman" w:hAnsi="Times New Roman" w:eastAsia="方正仿宋_GBK" w:cs="Times New Roman"/>
          <w:color w:val="auto"/>
          <w:sz w:val="32"/>
          <w:szCs w:val="32"/>
          <w:highlight w:val="none"/>
        </w:rPr>
        <w:t>万元，比202</w:t>
      </w: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年度</w:t>
      </w:r>
      <w:r>
        <w:rPr>
          <w:rFonts w:hint="default" w:ascii="Times New Roman" w:hAnsi="Times New Roman" w:eastAsia="方正仿宋_GBK" w:cs="Times New Roman"/>
          <w:color w:val="auto"/>
          <w:sz w:val="32"/>
          <w:szCs w:val="32"/>
          <w:highlight w:val="none"/>
          <w:lang w:eastAsia="zh-CN"/>
        </w:rPr>
        <w:t>减少</w:t>
      </w:r>
      <w:r>
        <w:rPr>
          <w:rFonts w:hint="default" w:ascii="Times New Roman" w:hAnsi="Times New Roman" w:eastAsia="方正仿宋_GBK" w:cs="Times New Roman"/>
          <w:color w:val="auto"/>
          <w:sz w:val="32"/>
          <w:szCs w:val="32"/>
          <w:highlight w:val="none"/>
          <w:lang w:val="en-US" w:eastAsia="zh-CN"/>
        </w:rPr>
        <w:t>16.28</w:t>
      </w:r>
      <w:r>
        <w:rPr>
          <w:rFonts w:hint="default" w:ascii="Times New Roman" w:hAnsi="Times New Roman" w:eastAsia="方正仿宋_GBK" w:cs="Times New Roman"/>
          <w:color w:val="auto"/>
          <w:sz w:val="32"/>
          <w:szCs w:val="32"/>
          <w:highlight w:val="none"/>
        </w:rPr>
        <w:t>万元，</w:t>
      </w:r>
      <w:r>
        <w:rPr>
          <w:rFonts w:hint="default" w:ascii="Times New Roman" w:hAnsi="Times New Roman" w:eastAsia="方正仿宋_GBK" w:cs="Times New Roman"/>
          <w:color w:val="auto"/>
          <w:sz w:val="32"/>
          <w:szCs w:val="32"/>
          <w:highlight w:val="none"/>
          <w:lang w:eastAsia="zh-CN"/>
        </w:rPr>
        <w:t>下降</w:t>
      </w:r>
      <w:r>
        <w:rPr>
          <w:rFonts w:hint="default" w:ascii="Times New Roman" w:hAnsi="Times New Roman" w:eastAsia="方正仿宋_GBK" w:cs="Times New Roman"/>
          <w:color w:val="auto"/>
          <w:sz w:val="32"/>
          <w:szCs w:val="32"/>
          <w:highlight w:val="none"/>
          <w:lang w:val="en-US" w:eastAsia="zh-CN"/>
        </w:rPr>
        <w:t>25.6</w:t>
      </w:r>
      <w:r>
        <w:rPr>
          <w:rFonts w:hint="default" w:ascii="Times New Roman" w:hAnsi="Times New Roman" w:eastAsia="方正仿宋_GBK" w:cs="Times New Roman"/>
          <w:color w:val="auto"/>
          <w:sz w:val="32"/>
          <w:szCs w:val="32"/>
          <w:highlight w:val="none"/>
        </w:rPr>
        <w:t>%。</w:t>
      </w:r>
      <w:r>
        <w:rPr>
          <w:rFonts w:hint="default" w:ascii="Times New Roman" w:hAnsi="Times New Roman" w:eastAsia="仿宋_GB2312" w:cs="Times New Roman"/>
          <w:color w:val="auto"/>
          <w:sz w:val="32"/>
          <w:szCs w:val="32"/>
          <w:highlight w:val="none"/>
        </w:rPr>
        <w:t>主要原因是</w:t>
      </w:r>
      <w:r>
        <w:rPr>
          <w:rFonts w:hint="default" w:ascii="Times New Roman" w:hAnsi="Times New Roman" w:eastAsia="仿宋_GB2312" w:cs="Times New Roman"/>
          <w:color w:val="auto"/>
          <w:sz w:val="32"/>
          <w:szCs w:val="32"/>
          <w:highlight w:val="none"/>
          <w:lang w:eastAsia="zh-CN"/>
        </w:rPr>
        <w:t>专项工作结束</w:t>
      </w:r>
      <w:r>
        <w:rPr>
          <w:rFonts w:hint="default" w:ascii="Times New Roman" w:hAnsi="Times New Roman" w:eastAsia="仿宋_GB2312" w:cs="Times New Roman"/>
          <w:color w:val="auto"/>
          <w:sz w:val="32"/>
          <w:szCs w:val="32"/>
          <w:highlight w:val="none"/>
        </w:rPr>
        <w:t>。</w:t>
      </w:r>
    </w:p>
    <w:p w14:paraId="0038665D">
      <w:pPr>
        <w:keepNext w:val="0"/>
        <w:keepLines w:val="0"/>
        <w:pageBreakBefore w:val="0"/>
        <w:widowControl w:val="0"/>
        <w:kinsoku/>
        <w:wordWrap/>
        <w:overflowPunct/>
        <w:topLinePunct w:val="0"/>
        <w:bidi w:val="0"/>
        <w:snapToGrid/>
        <w:spacing w:line="520" w:lineRule="exact"/>
        <w:ind w:firstLine="643" w:firstLineChars="200"/>
        <w:jc w:val="left"/>
        <w:textAlignment w:val="auto"/>
        <w:outlineLvl w:val="2"/>
        <w:rPr>
          <w:rFonts w:hint="default" w:ascii="Times New Roman" w:hAnsi="Times New Roman" w:eastAsia="方正楷体_GBK" w:cs="Times New Roman"/>
          <w:b/>
          <w:sz w:val="32"/>
          <w:szCs w:val="32"/>
          <w:highlight w:val="none"/>
        </w:rPr>
      </w:pPr>
      <w:bookmarkStart w:id="47" w:name="_Toc15377223"/>
      <w:r>
        <w:rPr>
          <w:rFonts w:hint="default" w:ascii="Times New Roman" w:hAnsi="Times New Roman" w:eastAsia="方正楷体_GBK" w:cs="Times New Roman"/>
          <w:b/>
          <w:sz w:val="32"/>
          <w:szCs w:val="32"/>
          <w:highlight w:val="none"/>
        </w:rPr>
        <w:t>（二）政府采购支出情况</w:t>
      </w:r>
      <w:bookmarkEnd w:id="47"/>
    </w:p>
    <w:p w14:paraId="11155275">
      <w:pPr>
        <w:keepNext w:val="0"/>
        <w:keepLines w:val="0"/>
        <w:pageBreakBefore w:val="0"/>
        <w:widowControl w:val="0"/>
        <w:kinsoku/>
        <w:wordWrap/>
        <w:overflowPunct/>
        <w:topLinePunct w:val="0"/>
        <w:bidi w:val="0"/>
        <w:snapToGrid/>
        <w:spacing w:line="520" w:lineRule="exact"/>
        <w:ind w:firstLine="640" w:firstLineChars="200"/>
        <w:jc w:val="left"/>
        <w:textAlignment w:val="auto"/>
        <w:outlineLvl w:val="2"/>
        <w:rPr>
          <w:rFonts w:hint="default" w:ascii="Times New Roman" w:hAnsi="Times New Roman" w:eastAsia="方正仿宋_GBK" w:cs="Times New Roman"/>
          <w:sz w:val="32"/>
          <w:szCs w:val="32"/>
          <w:highlight w:val="none"/>
        </w:rPr>
      </w:pPr>
      <w:bookmarkStart w:id="48" w:name="_Toc15377224"/>
      <w:r>
        <w:rPr>
          <w:rFonts w:hint="default" w:ascii="Times New Roman" w:hAnsi="Times New Roman" w:eastAsia="方正仿宋_GBK" w:cs="Times New Roman"/>
          <w:sz w:val="32"/>
          <w:szCs w:val="32"/>
          <w:highlight w:val="none"/>
        </w:rPr>
        <w:t>202</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年度，中共阿坝州委机构编制委员会办公室政府采购支出总额</w:t>
      </w:r>
      <w:r>
        <w:rPr>
          <w:rFonts w:hint="default" w:ascii="Times New Roman" w:hAnsi="Times New Roman" w:eastAsia="方正仿宋_GBK" w:cs="Times New Roman"/>
          <w:sz w:val="32"/>
          <w:szCs w:val="32"/>
          <w:highlight w:val="none"/>
          <w:lang w:val="en-US" w:eastAsia="zh-CN"/>
        </w:rPr>
        <w:t>1.94</w:t>
      </w:r>
      <w:r>
        <w:rPr>
          <w:rFonts w:hint="default" w:ascii="Times New Roman" w:hAnsi="Times New Roman" w:eastAsia="方正仿宋_GBK" w:cs="Times New Roman"/>
          <w:sz w:val="32"/>
          <w:szCs w:val="32"/>
          <w:highlight w:val="none"/>
        </w:rPr>
        <w:t>万元，其中：政府采购货物支出</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rPr>
        <w:t>万元、政府采购工程支出0万元、政府采购服务支出</w:t>
      </w:r>
      <w:r>
        <w:rPr>
          <w:rFonts w:hint="default" w:ascii="Times New Roman" w:hAnsi="Times New Roman" w:eastAsia="方正仿宋_GBK" w:cs="Times New Roman"/>
          <w:sz w:val="32"/>
          <w:szCs w:val="32"/>
          <w:highlight w:val="none"/>
          <w:lang w:val="en-US" w:eastAsia="zh-CN"/>
        </w:rPr>
        <w:t>1.94</w:t>
      </w:r>
      <w:r>
        <w:rPr>
          <w:rFonts w:hint="default" w:ascii="Times New Roman" w:hAnsi="Times New Roman" w:eastAsia="方正仿宋_GBK" w:cs="Times New Roman"/>
          <w:sz w:val="32"/>
          <w:szCs w:val="32"/>
          <w:highlight w:val="none"/>
        </w:rPr>
        <w:t>万元。主要用于</w:t>
      </w:r>
      <w:r>
        <w:rPr>
          <w:rFonts w:hint="default" w:ascii="Times New Roman" w:hAnsi="Times New Roman" w:eastAsia="方正仿宋_GBK" w:cs="Times New Roman"/>
          <w:sz w:val="32"/>
          <w:szCs w:val="32"/>
          <w:highlight w:val="none"/>
          <w:lang w:eastAsia="zh-CN"/>
        </w:rPr>
        <w:t>购买公务用车车辆保险</w:t>
      </w:r>
      <w:r>
        <w:rPr>
          <w:rFonts w:hint="default" w:ascii="Times New Roman" w:hAnsi="Times New Roman" w:eastAsia="方正仿宋_GBK" w:cs="Times New Roman"/>
          <w:sz w:val="32"/>
          <w:szCs w:val="32"/>
          <w:highlight w:val="none"/>
        </w:rPr>
        <w:t>。授予中小企业合同金额</w:t>
      </w:r>
      <w:r>
        <w:rPr>
          <w:rFonts w:hint="default" w:ascii="Times New Roman" w:hAnsi="Times New Roman" w:eastAsia="方正仿宋_GBK" w:cs="Times New Roman"/>
          <w:sz w:val="32"/>
          <w:szCs w:val="32"/>
          <w:highlight w:val="none"/>
          <w:lang w:val="en-US" w:eastAsia="zh-CN"/>
        </w:rPr>
        <w:t>1.94</w:t>
      </w:r>
      <w:r>
        <w:rPr>
          <w:rFonts w:hint="default" w:ascii="Times New Roman" w:hAnsi="Times New Roman" w:eastAsia="方正仿宋_GBK" w:cs="Times New Roman"/>
          <w:sz w:val="32"/>
          <w:szCs w:val="32"/>
          <w:highlight w:val="none"/>
        </w:rPr>
        <w:t>万元，占政府采购支出总额的</w:t>
      </w:r>
      <w:r>
        <w:rPr>
          <w:rFonts w:hint="default" w:ascii="Times New Roman" w:hAnsi="Times New Roman" w:eastAsia="方正仿宋_GBK" w:cs="Times New Roman"/>
          <w:sz w:val="32"/>
          <w:szCs w:val="32"/>
          <w:highlight w:val="none"/>
          <w:lang w:val="en-US" w:eastAsia="zh-CN"/>
        </w:rPr>
        <w:t>100</w:t>
      </w:r>
      <w:r>
        <w:rPr>
          <w:rFonts w:hint="default" w:ascii="Times New Roman" w:hAnsi="Times New Roman" w:eastAsia="方正仿宋_GBK" w:cs="Times New Roman"/>
          <w:sz w:val="32"/>
          <w:szCs w:val="32"/>
          <w:highlight w:val="none"/>
        </w:rPr>
        <w:t>%。</w:t>
      </w:r>
    </w:p>
    <w:p w14:paraId="7B3638EB">
      <w:pPr>
        <w:keepNext w:val="0"/>
        <w:keepLines w:val="0"/>
        <w:pageBreakBefore w:val="0"/>
        <w:widowControl w:val="0"/>
        <w:kinsoku/>
        <w:wordWrap/>
        <w:overflowPunct/>
        <w:topLinePunct w:val="0"/>
        <w:bidi w:val="0"/>
        <w:snapToGrid/>
        <w:spacing w:line="520" w:lineRule="exact"/>
        <w:ind w:firstLine="643" w:firstLineChars="200"/>
        <w:jc w:val="left"/>
        <w:textAlignment w:val="auto"/>
        <w:outlineLvl w:val="2"/>
        <w:rPr>
          <w:rFonts w:hint="default" w:ascii="Times New Roman" w:hAnsi="Times New Roman" w:eastAsia="方正楷体_GBK" w:cs="Times New Roman"/>
          <w:b/>
          <w:sz w:val="32"/>
          <w:szCs w:val="32"/>
          <w:highlight w:val="none"/>
        </w:rPr>
      </w:pPr>
      <w:r>
        <w:rPr>
          <w:rFonts w:hint="default" w:ascii="Times New Roman" w:hAnsi="Times New Roman" w:eastAsia="方正楷体_GBK" w:cs="Times New Roman"/>
          <w:b/>
          <w:sz w:val="32"/>
          <w:szCs w:val="32"/>
          <w:highlight w:val="none"/>
        </w:rPr>
        <w:t>（三）国有资产占有使用情况</w:t>
      </w:r>
      <w:bookmarkEnd w:id="48"/>
    </w:p>
    <w:p w14:paraId="02B78C70">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截至202</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年12月31日，</w:t>
      </w:r>
      <w:r>
        <w:rPr>
          <w:rFonts w:hint="default" w:ascii="Times New Roman" w:hAnsi="Times New Roman" w:eastAsia="方正仿宋_GBK" w:cs="Times New Roman"/>
          <w:b/>
          <w:sz w:val="32"/>
          <w:szCs w:val="32"/>
          <w:highlight w:val="none"/>
        </w:rPr>
        <w:t>中共阿坝州委机构编制委员会办公室</w:t>
      </w:r>
      <w:r>
        <w:rPr>
          <w:rFonts w:hint="default" w:ascii="Times New Roman" w:hAnsi="Times New Roman" w:eastAsia="方正仿宋_GBK" w:cs="Times New Roman"/>
          <w:sz w:val="32"/>
          <w:szCs w:val="32"/>
          <w:highlight w:val="none"/>
        </w:rPr>
        <w:t>共有车辆</w:t>
      </w:r>
      <w:r>
        <w:rPr>
          <w:rFonts w:hint="default" w:ascii="Times New Roman" w:hAnsi="Times New Roman" w:eastAsia="方正仿宋_GBK" w:cs="Times New Roman"/>
          <w:b/>
          <w:sz w:val="32"/>
          <w:szCs w:val="32"/>
          <w:highlight w:val="none"/>
        </w:rPr>
        <w:t>2</w:t>
      </w:r>
      <w:r>
        <w:rPr>
          <w:rFonts w:hint="default" w:ascii="Times New Roman" w:hAnsi="Times New Roman" w:eastAsia="方正仿宋_GBK" w:cs="Times New Roman"/>
          <w:sz w:val="32"/>
          <w:szCs w:val="32"/>
          <w:highlight w:val="none"/>
        </w:rPr>
        <w:t>辆，其中：主要领导干部用车</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rPr>
        <w:t>辆、机要通信用车</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rPr>
        <w:t>辆、应急保障用车</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辆、其他用车</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rPr>
        <w:t>辆。单价100万元以上设备（不含车辆）</w:t>
      </w:r>
      <w:r>
        <w:rPr>
          <w:rFonts w:hint="default" w:ascii="Times New Roman" w:hAnsi="Times New Roman" w:eastAsia="方正仿宋_GBK" w:cs="Times New Roman"/>
          <w:b/>
          <w:sz w:val="32"/>
          <w:szCs w:val="32"/>
          <w:highlight w:val="none"/>
        </w:rPr>
        <w:t>0</w:t>
      </w:r>
      <w:r>
        <w:rPr>
          <w:rFonts w:hint="default" w:ascii="Times New Roman" w:hAnsi="Times New Roman" w:eastAsia="方正仿宋_GBK" w:cs="Times New Roman"/>
          <w:sz w:val="32"/>
          <w:szCs w:val="32"/>
          <w:highlight w:val="none"/>
        </w:rPr>
        <w:t>台（套）。</w:t>
      </w:r>
    </w:p>
    <w:p w14:paraId="4D9F7BD6">
      <w:pPr>
        <w:keepNext w:val="0"/>
        <w:keepLines w:val="0"/>
        <w:pageBreakBefore w:val="0"/>
        <w:widowControl w:val="0"/>
        <w:kinsoku/>
        <w:wordWrap/>
        <w:overflowPunct/>
        <w:topLinePunct w:val="0"/>
        <w:bidi w:val="0"/>
        <w:snapToGrid/>
        <w:spacing w:line="520" w:lineRule="exact"/>
        <w:ind w:firstLine="643" w:firstLineChars="200"/>
        <w:jc w:val="left"/>
        <w:textAlignment w:val="auto"/>
        <w:outlineLvl w:val="2"/>
        <w:rPr>
          <w:rFonts w:hint="default" w:ascii="Times New Roman" w:hAnsi="Times New Roman" w:eastAsia="方正楷体_GBK" w:cs="Times New Roman"/>
          <w:b/>
          <w:sz w:val="32"/>
          <w:szCs w:val="32"/>
          <w:highlight w:val="none"/>
        </w:rPr>
      </w:pPr>
      <w:r>
        <w:rPr>
          <w:rFonts w:hint="default" w:ascii="Times New Roman" w:hAnsi="Times New Roman" w:eastAsia="方正楷体_GBK" w:cs="Times New Roman"/>
          <w:b/>
          <w:sz w:val="32"/>
          <w:szCs w:val="32"/>
          <w:highlight w:val="none"/>
        </w:rPr>
        <w:t>（四）预算绩效管理情况</w:t>
      </w:r>
    </w:p>
    <w:p w14:paraId="1EC1E22F">
      <w:pPr>
        <w:keepNext w:val="0"/>
        <w:keepLines w:val="0"/>
        <w:pageBreakBefore w:val="0"/>
        <w:widowControl w:val="0"/>
        <w:kinsoku/>
        <w:wordWrap/>
        <w:overflowPunct/>
        <w:topLinePunct w:val="0"/>
        <w:bidi w:val="0"/>
        <w:snapToGrid/>
        <w:spacing w:line="52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根据预算绩效管理要求，本</w:t>
      </w:r>
      <w:r>
        <w:rPr>
          <w:rFonts w:hint="default" w:ascii="Times New Roman" w:hAnsi="Times New Roman" w:eastAsia="方正仿宋_GBK" w:cs="Times New Roman"/>
          <w:sz w:val="32"/>
          <w:szCs w:val="32"/>
          <w:lang w:eastAsia="zh-CN"/>
        </w:rPr>
        <w:t>部门</w:t>
      </w:r>
      <w:r>
        <w:rPr>
          <w:rFonts w:hint="default" w:ascii="Times New Roman" w:hAnsi="Times New Roman" w:eastAsia="方正仿宋_GBK" w:cs="Times New Roman"/>
          <w:sz w:val="32"/>
          <w:szCs w:val="32"/>
        </w:rPr>
        <w:t>在202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年度预算编制阶段，组织对</w:t>
      </w:r>
      <w:r>
        <w:rPr>
          <w:rFonts w:hint="default" w:ascii="Times New Roman" w:hAnsi="Times New Roman" w:eastAsia="方正仿宋_GBK" w:cs="Times New Roman"/>
          <w:sz w:val="32"/>
          <w:szCs w:val="32"/>
          <w:lang w:val="en-US" w:eastAsia="zh-CN"/>
        </w:rPr>
        <w:t>机构编制专项经费、机构编制调研经费、机构编制督查经费</w:t>
      </w:r>
      <w:r>
        <w:rPr>
          <w:rFonts w:hint="eastAsia" w:eastAsia="方正仿宋_GBK" w:cs="Times New Roman"/>
          <w:sz w:val="32"/>
          <w:szCs w:val="32"/>
          <w:lang w:val="en-US" w:eastAsia="zh-CN"/>
        </w:rPr>
        <w:t>等8</w:t>
      </w:r>
      <w:r>
        <w:rPr>
          <w:rFonts w:hint="default" w:ascii="Times New Roman" w:hAnsi="Times New Roman" w:eastAsia="方正仿宋_GBK" w:cs="Times New Roman"/>
          <w:sz w:val="32"/>
          <w:szCs w:val="32"/>
        </w:rPr>
        <w:t>个项目</w:t>
      </w:r>
      <w:r>
        <w:rPr>
          <w:rFonts w:hint="eastAsia" w:eastAsia="方正仿宋_GBK" w:cs="Times New Roman"/>
          <w:sz w:val="32"/>
          <w:szCs w:val="32"/>
          <w:lang w:val="en-US" w:eastAsia="zh-CN"/>
        </w:rPr>
        <w:t>开展了事前绩效评估，</w:t>
      </w:r>
      <w:r>
        <w:rPr>
          <w:rFonts w:hint="default" w:ascii="Times New Roman" w:hAnsi="Times New Roman" w:eastAsia="方正仿宋_GBK" w:cs="Times New Roman"/>
          <w:sz w:val="32"/>
          <w:szCs w:val="32"/>
        </w:rPr>
        <w:t>编制了绩效目标，预算执行过程中，</w:t>
      </w:r>
      <w:r>
        <w:rPr>
          <w:rFonts w:hint="default" w:ascii="Times New Roman" w:hAnsi="Times New Roman" w:eastAsia="方正仿宋_GBK" w:cs="Times New Roman"/>
          <w:sz w:val="32"/>
          <w:szCs w:val="32"/>
          <w:lang w:eastAsia="zh-CN"/>
        </w:rPr>
        <w:t>按要求对</w:t>
      </w:r>
      <w:r>
        <w:rPr>
          <w:rFonts w:hint="eastAsia" w:eastAsia="方正仿宋_GBK" w:cs="Times New Roman"/>
          <w:sz w:val="32"/>
          <w:szCs w:val="32"/>
          <w:lang w:val="en-US" w:eastAsia="zh-CN"/>
        </w:rPr>
        <w:t>7</w:t>
      </w:r>
      <w:bookmarkStart w:id="49" w:name="_GoBack"/>
      <w:bookmarkEnd w:id="49"/>
      <w:r>
        <w:rPr>
          <w:rFonts w:hint="eastAsia" w:eastAsia="方正仿宋_GBK" w:cs="Times New Roman"/>
          <w:sz w:val="32"/>
          <w:szCs w:val="32"/>
          <w:lang w:val="en-US" w:eastAsia="zh-CN"/>
        </w:rPr>
        <w:t>个</w:t>
      </w:r>
      <w:r>
        <w:rPr>
          <w:rFonts w:hint="default" w:ascii="Times New Roman" w:hAnsi="Times New Roman" w:eastAsia="方正仿宋_GBK" w:cs="Times New Roman"/>
          <w:sz w:val="32"/>
          <w:szCs w:val="32"/>
          <w:lang w:eastAsia="zh-CN"/>
        </w:rPr>
        <w:t>项目</w:t>
      </w:r>
      <w:r>
        <w:rPr>
          <w:rFonts w:hint="default" w:ascii="Times New Roman" w:hAnsi="Times New Roman" w:eastAsia="方正仿宋_GBK" w:cs="Times New Roman"/>
          <w:sz w:val="32"/>
          <w:szCs w:val="32"/>
        </w:rPr>
        <w:t>开展绩效监控。</w:t>
      </w:r>
    </w:p>
    <w:p w14:paraId="38CDA6FC">
      <w:pPr>
        <w:keepNext w:val="0"/>
        <w:keepLines w:val="0"/>
        <w:pageBreakBefore w:val="0"/>
        <w:widowControl w:val="0"/>
        <w:numPr>
          <w:ilvl w:val="0"/>
          <w:numId w:val="0"/>
        </w:numPr>
        <w:pBdr>
          <w:bottom w:val="single" w:color="FFFFFF" w:sz="4" w:space="28"/>
        </w:pBdr>
        <w:tabs>
          <w:tab w:val="left" w:pos="1440"/>
        </w:tabs>
        <w:kinsoku/>
        <w:wordWrap/>
        <w:overflowPunct/>
        <w:topLinePunct w:val="0"/>
        <w:autoSpaceDE/>
        <w:autoSpaceDN/>
        <w:bidi w:val="0"/>
        <w:adjustRightInd/>
        <w:snapToGrid/>
        <w:spacing w:line="520" w:lineRule="exact"/>
        <w:ind w:firstLine="640" w:firstLineChars="200"/>
        <w:jc w:val="left"/>
        <w:textAlignment w:val="auto"/>
        <w:rPr>
          <w:rFonts w:hint="default"/>
        </w:rPr>
      </w:pPr>
      <w:r>
        <w:rPr>
          <w:rFonts w:hint="default" w:ascii="Times New Roman" w:hAnsi="Times New Roman" w:eastAsia="方正仿宋_GBK" w:cs="Times New Roman"/>
          <w:sz w:val="32"/>
          <w:szCs w:val="32"/>
          <w:lang w:eastAsia="zh-CN"/>
        </w:rPr>
        <w:t>认真全面开展</w:t>
      </w:r>
      <w:r>
        <w:rPr>
          <w:rFonts w:hint="default"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年度一般公共预算</w:t>
      </w:r>
      <w:r>
        <w:rPr>
          <w:rFonts w:hint="default" w:ascii="Times New Roman" w:hAnsi="Times New Roman" w:eastAsia="方正仿宋_GBK" w:cs="Times New Roman"/>
          <w:sz w:val="32"/>
          <w:szCs w:val="32"/>
          <w:lang w:eastAsia="zh-CN"/>
        </w:rPr>
        <w:t>以及</w:t>
      </w:r>
      <w:r>
        <w:rPr>
          <w:rFonts w:hint="default" w:ascii="Times New Roman" w:hAnsi="Times New Roman" w:eastAsia="方正仿宋_GBK" w:cs="Times New Roman"/>
          <w:sz w:val="32"/>
          <w:szCs w:val="32"/>
        </w:rPr>
        <w:t>资产绩效自评，形成</w:t>
      </w:r>
      <w:r>
        <w:rPr>
          <w:rFonts w:hint="default" w:ascii="Times New Roman" w:hAnsi="Times New Roman" w:eastAsia="方正仿宋_GBK" w:cs="Times New Roman"/>
          <w:sz w:val="32"/>
          <w:szCs w:val="32"/>
          <w:lang w:eastAsia="zh-CN"/>
        </w:rPr>
        <w:t>州委编办</w:t>
      </w:r>
      <w:r>
        <w:rPr>
          <w:rFonts w:hint="default" w:ascii="Times New Roman" w:hAnsi="Times New Roman" w:eastAsia="方正仿宋_GBK" w:cs="Times New Roman"/>
          <w:sz w:val="32"/>
          <w:szCs w:val="32"/>
        </w:rPr>
        <w:t>部门整体绩效自评报告，部门整体（含部门预算项目）绩效自评得分为</w:t>
      </w:r>
      <w:r>
        <w:rPr>
          <w:rFonts w:hint="eastAsia" w:eastAsia="方正仿宋_GBK" w:cs="Times New Roman"/>
          <w:sz w:val="32"/>
          <w:szCs w:val="32"/>
          <w:lang w:val="en-US" w:eastAsia="zh-CN"/>
        </w:rPr>
        <w:t>92.28</w:t>
      </w:r>
      <w:r>
        <w:rPr>
          <w:rFonts w:hint="default" w:ascii="Times New Roman" w:hAnsi="Times New Roman" w:eastAsia="方正仿宋_GBK" w:cs="Times New Roman"/>
          <w:sz w:val="32"/>
          <w:szCs w:val="32"/>
        </w:rPr>
        <w:t>分，</w:t>
      </w:r>
      <w:r>
        <w:rPr>
          <w:rFonts w:hint="eastAsia" w:eastAsia="方正仿宋_GBK" w:cs="Times New Roman"/>
          <w:sz w:val="32"/>
          <w:szCs w:val="32"/>
          <w:lang w:eastAsia="zh-CN"/>
        </w:rPr>
        <w:t>绩效自评报告详见附件。</w:t>
      </w:r>
    </w:p>
    <w:p w14:paraId="11232F9B">
      <w:pPr>
        <w:pStyle w:val="3"/>
        <w:pageBreakBefore w:val="0"/>
        <w:widowControl w:val="0"/>
        <w:kinsoku/>
        <w:wordWrap/>
        <w:overflowPunct/>
        <w:topLinePunct w:val="0"/>
        <w:bidi w:val="0"/>
        <w:snapToGrid/>
        <w:spacing w:before="0" w:after="0" w:line="560" w:lineRule="exact"/>
        <w:jc w:val="center"/>
        <w:textAlignment w:val="auto"/>
        <w:rPr>
          <w:rFonts w:hint="default" w:ascii="Times New Roman" w:hAnsi="Times New Roman" w:eastAsia="方正小标宋简体" w:cs="Times New Roman"/>
          <w:b w:val="0"/>
          <w:bCs w:val="0"/>
        </w:rPr>
      </w:pPr>
    </w:p>
    <w:p w14:paraId="2533C61F">
      <w:pPr>
        <w:rPr>
          <w:rFonts w:hint="default"/>
        </w:rPr>
      </w:pPr>
    </w:p>
    <w:p w14:paraId="0CA50832">
      <w:pPr>
        <w:rPr>
          <w:rFonts w:hint="default" w:ascii="Times New Roman" w:hAnsi="Times New Roman" w:eastAsia="方正小标宋简体" w:cs="Times New Roman"/>
          <w:b w:val="0"/>
          <w:bCs w:val="0"/>
        </w:rPr>
      </w:pPr>
    </w:p>
    <w:p w14:paraId="1E01D8FE">
      <w:pPr>
        <w:pStyle w:val="14"/>
        <w:rPr>
          <w:rFonts w:hint="default" w:ascii="Times New Roman" w:hAnsi="Times New Roman" w:eastAsia="方正小标宋简体" w:cs="Times New Roman"/>
          <w:b w:val="0"/>
          <w:bCs w:val="0"/>
        </w:rPr>
      </w:pPr>
    </w:p>
    <w:p w14:paraId="1D29170D">
      <w:pPr>
        <w:rPr>
          <w:rFonts w:hint="default"/>
        </w:rPr>
      </w:pPr>
    </w:p>
    <w:p w14:paraId="01B41124">
      <w:pPr>
        <w:pStyle w:val="3"/>
        <w:pageBreakBefore w:val="0"/>
        <w:widowControl w:val="0"/>
        <w:kinsoku/>
        <w:wordWrap/>
        <w:overflowPunct/>
        <w:topLinePunct w:val="0"/>
        <w:bidi w:val="0"/>
        <w:snapToGrid/>
        <w:spacing w:before="0" w:after="0" w:line="560" w:lineRule="exact"/>
        <w:jc w:val="center"/>
        <w:textAlignment w:val="auto"/>
        <w:rPr>
          <w:rFonts w:hint="default" w:ascii="Times New Roman" w:hAnsi="Times New Roman" w:eastAsia="方正小标宋简体" w:cs="Times New Roman"/>
          <w:b w:val="0"/>
          <w:bCs w:val="0"/>
        </w:rPr>
      </w:pPr>
      <w:r>
        <w:rPr>
          <w:rFonts w:hint="default" w:ascii="Times New Roman" w:hAnsi="Times New Roman" w:eastAsia="方正小标宋简体" w:cs="Times New Roman"/>
          <w:b w:val="0"/>
          <w:bCs w:val="0"/>
        </w:rPr>
        <w:t>第三部分 名词解释</w:t>
      </w:r>
    </w:p>
    <w:p w14:paraId="7C5D8FF1">
      <w:pPr>
        <w:pageBreakBefore w:val="0"/>
        <w:widowControl w:val="0"/>
        <w:kinsoku/>
        <w:wordWrap/>
        <w:overflowPunct/>
        <w:topLinePunct w:val="0"/>
        <w:bidi w:val="0"/>
        <w:snapToGrid/>
        <w:spacing w:line="560" w:lineRule="exact"/>
        <w:textAlignment w:val="auto"/>
        <w:rPr>
          <w:rFonts w:hint="default" w:ascii="Times New Roman" w:hAnsi="Times New Roman" w:cs="Times New Roman"/>
        </w:rPr>
      </w:pPr>
    </w:p>
    <w:p w14:paraId="133D4471">
      <w:pPr>
        <w:pStyle w:val="29"/>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1.财政拨款收入：指单位从同级财政部门取得的财政预算资金。</w:t>
      </w:r>
    </w:p>
    <w:p w14:paraId="68F6D24B">
      <w:pPr>
        <w:pStyle w:val="29"/>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2.事业收入：指事业单位开展专业业务活动及辅助活动取得的收入。</w:t>
      </w:r>
    </w:p>
    <w:p w14:paraId="2B573C08">
      <w:pPr>
        <w:pStyle w:val="29"/>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3.经营收入：指事业单位在专业业务活动及其辅助活动之外开展非独立核算经营活动取得的收入。</w:t>
      </w:r>
    </w:p>
    <w:p w14:paraId="7E635DDB">
      <w:pPr>
        <w:pStyle w:val="29"/>
        <w:spacing w:line="560" w:lineRule="exact"/>
        <w:ind w:left="638" w:leftChars="304" w:firstLine="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4.其他收入：指单位取得的除上述收入以外的各项</w:t>
      </w:r>
      <w:r>
        <w:rPr>
          <w:rFonts w:hint="eastAsia" w:ascii="Times New Roman" w:hAnsi="Times New Roman" w:eastAsia="方正仿宋_GBK" w:cs="Times New Roman"/>
          <w:color w:val="auto"/>
          <w:sz w:val="32"/>
          <w:szCs w:val="32"/>
          <w:highlight w:val="none"/>
          <w:lang w:eastAsia="zh-CN"/>
        </w:rPr>
        <w:t>收入</w:t>
      </w:r>
    </w:p>
    <w:p w14:paraId="594787D4">
      <w:pPr>
        <w:pStyle w:val="29"/>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5.</w:t>
      </w:r>
      <w:r>
        <w:rPr>
          <w:rFonts w:hint="default" w:ascii="Times New Roman" w:hAnsi="Times New Roman" w:eastAsia="方正仿宋_GBK" w:cs="Times New Roman"/>
          <w:color w:val="auto"/>
          <w:sz w:val="32"/>
          <w:szCs w:val="32"/>
          <w:highlight w:val="none"/>
          <w:lang w:eastAsia="zh-CN"/>
        </w:rPr>
        <w:t>使用非财政拨款结余</w:t>
      </w:r>
      <w:r>
        <w:rPr>
          <w:rFonts w:hint="default" w:ascii="Times New Roman" w:hAnsi="Times New Roman" w:eastAsia="方正仿宋_GBK" w:cs="Times New Roman"/>
          <w:color w:val="auto"/>
          <w:sz w:val="32"/>
          <w:szCs w:val="32"/>
          <w:highlight w:val="none"/>
        </w:rPr>
        <w:t>：指事业单位</w:t>
      </w:r>
      <w:r>
        <w:rPr>
          <w:rFonts w:hint="default" w:ascii="Times New Roman" w:hAnsi="Times New Roman" w:eastAsia="方正仿宋_GBK" w:cs="Times New Roman"/>
          <w:color w:val="auto"/>
          <w:sz w:val="32"/>
          <w:szCs w:val="32"/>
          <w:highlight w:val="none"/>
          <w:lang w:eastAsia="zh-CN"/>
        </w:rPr>
        <w:t>使用以前年度积累的非财政拨款结余弥补当年收支差额的金额。</w:t>
      </w:r>
    </w:p>
    <w:p w14:paraId="6FEEFDBA">
      <w:pPr>
        <w:pStyle w:val="29"/>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6.年初结转和结余：指以前年度尚未完成、结转到本年按有关规定继续使用的资金。 </w:t>
      </w:r>
    </w:p>
    <w:p w14:paraId="5EC77976">
      <w:pPr>
        <w:pStyle w:val="29"/>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7.结余分配：指事业单位按照会计制度规定</w:t>
      </w:r>
      <w:r>
        <w:rPr>
          <w:rFonts w:hint="default" w:ascii="Times New Roman" w:hAnsi="Times New Roman" w:eastAsia="方正仿宋_GBK" w:cs="Times New Roman"/>
          <w:color w:val="auto"/>
          <w:sz w:val="32"/>
          <w:szCs w:val="32"/>
          <w:highlight w:val="none"/>
          <w:lang w:eastAsia="zh-CN"/>
        </w:rPr>
        <w:t>缴纳的所得税、提取的专用结余以及转入非财政拨款结余的金额</w:t>
      </w:r>
      <w:r>
        <w:rPr>
          <w:rFonts w:hint="default" w:ascii="Times New Roman" w:hAnsi="Times New Roman" w:eastAsia="方正仿宋_GBK" w:cs="Times New Roman"/>
          <w:color w:val="auto"/>
          <w:sz w:val="32"/>
          <w:szCs w:val="32"/>
          <w:highlight w:val="none"/>
        </w:rPr>
        <w:t>等。</w:t>
      </w:r>
    </w:p>
    <w:p w14:paraId="7F06EB02">
      <w:pPr>
        <w:pStyle w:val="29"/>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8</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年末结转和结余：指单位按有关规定结转到下年或以后年度继续使用的资金。</w:t>
      </w:r>
    </w:p>
    <w:p w14:paraId="6C3E9DE1">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rPr>
      </w:pPr>
      <w:r>
        <w:rPr>
          <w:rFonts w:hint="default" w:ascii="Times New Roman" w:hAnsi="Times New Roman" w:eastAsia="方正仿宋_GBK" w:cs="Times New Roman"/>
          <w:color w:val="auto"/>
          <w:kern w:val="0"/>
          <w:sz w:val="32"/>
          <w:szCs w:val="32"/>
          <w:highlight w:val="none"/>
          <w:lang w:val="en-US" w:eastAsia="zh-CN" w:bidi="ar-SA"/>
        </w:rPr>
        <w:t>9.一般公共服务（类）党委办公厅（室）及相关机构事务（款）行政运行（项）</w:t>
      </w:r>
      <w:r>
        <w:rPr>
          <w:rFonts w:hint="eastAsia" w:eastAsia="方正仿宋_GBK" w:cs="Times New Roman"/>
          <w:color w:val="auto"/>
          <w:kern w:val="0"/>
          <w:sz w:val="32"/>
          <w:szCs w:val="32"/>
          <w:highlight w:val="none"/>
          <w:lang w:val="en-US" w:eastAsia="zh-CN" w:bidi="ar-SA"/>
        </w:rPr>
        <w:t>：</w:t>
      </w:r>
      <w:r>
        <w:rPr>
          <w:rFonts w:hint="default" w:ascii="Times New Roman" w:hAnsi="Times New Roman" w:eastAsia="方正仿宋_GBK" w:cs="Times New Roman"/>
          <w:color w:val="auto"/>
          <w:kern w:val="0"/>
          <w:sz w:val="32"/>
          <w:szCs w:val="32"/>
          <w:highlight w:val="none"/>
          <w:lang w:val="en-US" w:eastAsia="zh-CN" w:bidi="ar-SA"/>
        </w:rPr>
        <w:t>指行政单位（包括实行公务员管理的事业单位）的基本支出。</w:t>
      </w:r>
    </w:p>
    <w:p w14:paraId="5958AFB0">
      <w:pPr>
        <w:ind w:firstLine="640" w:firstLineChars="200"/>
        <w:rPr>
          <w:rFonts w:hint="default" w:ascii="Times New Roman" w:hAnsi="Times New Roman" w:eastAsia="方正仿宋_GBK" w:cs="Times New Roman"/>
          <w:color w:val="auto"/>
          <w:kern w:val="0"/>
          <w:sz w:val="32"/>
          <w:szCs w:val="32"/>
          <w:highlight w:val="none"/>
          <w:lang w:val="en-US" w:eastAsia="zh-CN" w:bidi="ar-SA"/>
        </w:rPr>
      </w:pPr>
      <w:r>
        <w:rPr>
          <w:rFonts w:hint="default" w:ascii="Times New Roman" w:hAnsi="Times New Roman" w:eastAsia="方正仿宋_GBK" w:cs="Times New Roman"/>
          <w:color w:val="auto"/>
          <w:sz w:val="32"/>
          <w:szCs w:val="32"/>
          <w:highlight w:val="none"/>
        </w:rPr>
        <w:t>10.</w:t>
      </w:r>
      <w:r>
        <w:rPr>
          <w:rFonts w:hint="default" w:ascii="Times New Roman" w:hAnsi="Times New Roman" w:eastAsia="方正仿宋_GBK" w:cs="Times New Roman"/>
          <w:color w:val="auto"/>
          <w:kern w:val="0"/>
          <w:sz w:val="32"/>
          <w:szCs w:val="32"/>
          <w:highlight w:val="none"/>
          <w:lang w:val="en-US" w:eastAsia="zh-CN" w:bidi="ar-SA"/>
        </w:rPr>
        <w:t>社会保障和就业（类）行政事业单位养老支出（款）机关事业单位基本养老保险缴费支出（项）</w:t>
      </w:r>
      <w:r>
        <w:rPr>
          <w:rFonts w:hint="eastAsia" w:eastAsia="方正仿宋_GBK" w:cs="Times New Roman"/>
          <w:color w:val="auto"/>
          <w:kern w:val="0"/>
          <w:sz w:val="32"/>
          <w:szCs w:val="32"/>
          <w:highlight w:val="none"/>
          <w:lang w:val="en-US" w:eastAsia="zh-CN" w:bidi="ar-SA"/>
        </w:rPr>
        <w:t>：</w:t>
      </w:r>
      <w:r>
        <w:rPr>
          <w:rFonts w:hint="default" w:ascii="Times New Roman" w:hAnsi="Times New Roman" w:eastAsia="方正仿宋_GBK" w:cs="Times New Roman"/>
          <w:i w:val="0"/>
          <w:iCs w:val="0"/>
          <w:caps w:val="0"/>
          <w:smallCaps w:val="0"/>
          <w:color w:val="000000"/>
          <w:spacing w:val="0"/>
          <w:sz w:val="32"/>
          <w:szCs w:val="32"/>
          <w:shd w:val="clear" w:color="auto" w:fill="FFFFFF"/>
        </w:rPr>
        <w:t>指机关事业单位实施养老保险制度由单位缴纳的基本养老保险费支出。</w:t>
      </w:r>
    </w:p>
    <w:p w14:paraId="558E0476">
      <w:pPr>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0"/>
          <w:sz w:val="32"/>
          <w:szCs w:val="32"/>
          <w:highlight w:val="none"/>
          <w:lang w:val="en-US" w:eastAsia="zh-CN" w:bidi="ar-SA"/>
        </w:rPr>
        <w:t>1</w:t>
      </w: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kern w:val="0"/>
          <w:sz w:val="32"/>
          <w:szCs w:val="32"/>
          <w:highlight w:val="none"/>
          <w:lang w:val="en-US" w:eastAsia="zh-CN" w:bidi="ar-SA"/>
        </w:rPr>
        <w:t>社会保障和就业（类）行政事业单位养老支出（款）机关事业单位职业年金缴费支出（项）</w:t>
      </w:r>
      <w:r>
        <w:rPr>
          <w:rFonts w:hint="eastAsia" w:eastAsia="方正仿宋_GBK" w:cs="Times New Roman"/>
          <w:color w:val="auto"/>
          <w:kern w:val="0"/>
          <w:sz w:val="32"/>
          <w:szCs w:val="32"/>
          <w:highlight w:val="none"/>
          <w:lang w:val="en-US" w:eastAsia="zh-CN" w:bidi="ar-SA"/>
        </w:rPr>
        <w:t>：</w:t>
      </w:r>
      <w:r>
        <w:rPr>
          <w:rFonts w:hint="default" w:ascii="Times New Roman" w:hAnsi="Times New Roman" w:eastAsia="方正仿宋_GBK" w:cs="Times New Roman"/>
          <w:i w:val="0"/>
          <w:iCs w:val="0"/>
          <w:caps w:val="0"/>
          <w:smallCaps w:val="0"/>
          <w:color w:val="000000"/>
          <w:spacing w:val="0"/>
          <w:sz w:val="32"/>
          <w:szCs w:val="32"/>
          <w:shd w:val="clear" w:color="auto" w:fill="FFFFFF"/>
        </w:rPr>
        <w:t>指机关事业单位实施养老保险制度由单位</w:t>
      </w:r>
      <w:r>
        <w:rPr>
          <w:rFonts w:hint="default" w:ascii="Times New Roman" w:hAnsi="Times New Roman" w:eastAsia="方正仿宋_GBK" w:cs="Times New Roman"/>
          <w:i w:val="0"/>
          <w:iCs w:val="0"/>
          <w:caps w:val="0"/>
          <w:smallCaps w:val="0"/>
          <w:color w:val="000000"/>
          <w:spacing w:val="0"/>
          <w:sz w:val="32"/>
          <w:szCs w:val="32"/>
          <w:shd w:val="clear" w:color="auto" w:fill="FFFFFF"/>
          <w:lang w:val="en-US" w:eastAsia="zh-CN"/>
        </w:rPr>
        <w:t>实际</w:t>
      </w:r>
      <w:r>
        <w:rPr>
          <w:rFonts w:hint="default" w:ascii="Times New Roman" w:hAnsi="Times New Roman" w:eastAsia="方正仿宋_GBK" w:cs="Times New Roman"/>
          <w:i w:val="0"/>
          <w:iCs w:val="0"/>
          <w:caps w:val="0"/>
          <w:smallCaps w:val="0"/>
          <w:color w:val="000000"/>
          <w:spacing w:val="0"/>
          <w:sz w:val="32"/>
          <w:szCs w:val="32"/>
          <w:shd w:val="clear" w:color="auto" w:fill="FFFFFF"/>
        </w:rPr>
        <w:t>缴纳的职业年金支出。</w:t>
      </w:r>
    </w:p>
    <w:p w14:paraId="1CC99990">
      <w:pPr>
        <w:ind w:firstLine="640" w:firstLineChars="200"/>
        <w:rPr>
          <w:rFonts w:hint="default" w:ascii="Times New Roman" w:hAnsi="Times New Roman" w:eastAsia="方正仿宋_GBK" w:cs="Times New Roman"/>
          <w:i w:val="0"/>
          <w:iCs w:val="0"/>
          <w:caps w:val="0"/>
          <w:smallCaps w:val="0"/>
          <w:color w:val="000000"/>
          <w:spacing w:val="0"/>
          <w:sz w:val="32"/>
          <w:szCs w:val="32"/>
          <w:shd w:val="clear" w:color="auto" w:fill="FFFFFF"/>
        </w:rPr>
      </w:pPr>
      <w:r>
        <w:rPr>
          <w:rFonts w:hint="default" w:ascii="Times New Roman" w:hAnsi="Times New Roman" w:eastAsia="方正仿宋_GBK" w:cs="Times New Roman"/>
          <w:color w:val="auto"/>
          <w:sz w:val="32"/>
          <w:szCs w:val="32"/>
          <w:highlight w:val="none"/>
        </w:rPr>
        <w:t>12.</w:t>
      </w:r>
      <w:r>
        <w:rPr>
          <w:rFonts w:hint="default" w:ascii="Times New Roman" w:hAnsi="Times New Roman" w:eastAsia="方正仿宋_GBK" w:cs="Times New Roman"/>
          <w:color w:val="auto"/>
          <w:kern w:val="0"/>
          <w:sz w:val="32"/>
          <w:szCs w:val="32"/>
          <w:highlight w:val="none"/>
          <w:lang w:val="en-US" w:eastAsia="zh-CN" w:bidi="ar-SA"/>
        </w:rPr>
        <w:t>卫生健康（类）行政事业单位医疗（款）行政单位医疗（项）：</w:t>
      </w:r>
      <w:r>
        <w:rPr>
          <w:rFonts w:hint="default" w:ascii="Times New Roman" w:hAnsi="Times New Roman" w:eastAsia="方正仿宋_GBK" w:cs="Times New Roman"/>
          <w:i w:val="0"/>
          <w:iCs w:val="0"/>
          <w:caps w:val="0"/>
          <w:smallCaps w:val="0"/>
          <w:color w:val="000000"/>
          <w:spacing w:val="0"/>
          <w:sz w:val="32"/>
          <w:szCs w:val="32"/>
          <w:shd w:val="clear" w:color="auto" w:fill="FFFFFF"/>
        </w:rPr>
        <w:t>指财政部门安排的行政单位基本医疗保险缴费经费，未参加医疗保险的行政单位的公费医疗经费，按国家规定享受离休人员、红军老战士待遇人员的医疗经费。</w:t>
      </w:r>
    </w:p>
    <w:p w14:paraId="08BB7EBE">
      <w:pPr>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13.</w:t>
      </w:r>
      <w:r>
        <w:rPr>
          <w:rFonts w:hint="default" w:ascii="Times New Roman" w:hAnsi="Times New Roman" w:eastAsia="方正仿宋_GBK" w:cs="Times New Roman"/>
          <w:i w:val="0"/>
          <w:iCs w:val="0"/>
          <w:caps w:val="0"/>
          <w:smallCaps w:val="0"/>
          <w:color w:val="000000"/>
          <w:spacing w:val="0"/>
          <w:sz w:val="32"/>
          <w:szCs w:val="32"/>
          <w:shd w:val="clear" w:color="auto" w:fill="FFFFFF"/>
        </w:rPr>
        <w:t>卫生健康（类）</w:t>
      </w:r>
      <w:r>
        <w:rPr>
          <w:rFonts w:hint="default" w:ascii="Times New Roman" w:hAnsi="Times New Roman" w:eastAsia="方正仿宋_GBK" w:cs="Times New Roman"/>
          <w:i w:val="0"/>
          <w:iCs w:val="0"/>
          <w:caps w:val="0"/>
          <w:smallCaps w:val="0"/>
          <w:color w:val="000000"/>
          <w:spacing w:val="0"/>
          <w:sz w:val="32"/>
          <w:szCs w:val="32"/>
          <w:shd w:val="clear" w:color="auto" w:fill="FFFFFF"/>
          <w:lang w:val="en-US" w:eastAsia="zh-CN"/>
        </w:rPr>
        <w:t>行政事业单位医疗</w:t>
      </w:r>
      <w:r>
        <w:rPr>
          <w:rFonts w:hint="default" w:ascii="Times New Roman" w:hAnsi="Times New Roman" w:eastAsia="方正仿宋_GBK" w:cs="Times New Roman"/>
          <w:i w:val="0"/>
          <w:iCs w:val="0"/>
          <w:caps w:val="0"/>
          <w:smallCaps w:val="0"/>
          <w:color w:val="000000"/>
          <w:spacing w:val="0"/>
          <w:sz w:val="32"/>
          <w:szCs w:val="32"/>
          <w:shd w:val="clear" w:color="auto" w:fill="FFFFFF"/>
        </w:rPr>
        <w:t>（款）</w:t>
      </w:r>
      <w:r>
        <w:rPr>
          <w:rFonts w:hint="default" w:ascii="Times New Roman" w:hAnsi="Times New Roman" w:eastAsia="方正仿宋_GBK" w:cs="Times New Roman"/>
          <w:i w:val="0"/>
          <w:iCs w:val="0"/>
          <w:caps w:val="0"/>
          <w:smallCaps w:val="0"/>
          <w:color w:val="000000"/>
          <w:spacing w:val="0"/>
          <w:sz w:val="32"/>
          <w:szCs w:val="32"/>
          <w:shd w:val="clear" w:color="auto" w:fill="FFFFFF"/>
          <w:lang w:val="en-US" w:eastAsia="zh-CN"/>
        </w:rPr>
        <w:t>公务员医疗补助</w:t>
      </w:r>
      <w:r>
        <w:rPr>
          <w:rFonts w:hint="default" w:ascii="Times New Roman" w:hAnsi="Times New Roman" w:eastAsia="方正仿宋_GBK" w:cs="Times New Roman"/>
          <w:i w:val="0"/>
          <w:iCs w:val="0"/>
          <w:caps w:val="0"/>
          <w:smallCaps w:val="0"/>
          <w:color w:val="000000"/>
          <w:spacing w:val="0"/>
          <w:sz w:val="32"/>
          <w:szCs w:val="32"/>
          <w:shd w:val="clear" w:color="auto" w:fill="FFFFFF"/>
        </w:rPr>
        <w:t>（项）</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i w:val="0"/>
          <w:iCs w:val="0"/>
          <w:caps w:val="0"/>
          <w:smallCaps w:val="0"/>
          <w:color w:val="000000"/>
          <w:spacing w:val="0"/>
          <w:sz w:val="32"/>
          <w:szCs w:val="32"/>
          <w:shd w:val="clear" w:color="auto" w:fill="FFFFFF"/>
        </w:rPr>
        <w:t>财政部门集中安排的公务员医疗补助经费。</w:t>
      </w:r>
    </w:p>
    <w:p w14:paraId="04899EEB">
      <w:pPr>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14.</w:t>
      </w:r>
      <w:r>
        <w:rPr>
          <w:rFonts w:hint="default" w:ascii="Times New Roman" w:hAnsi="Times New Roman" w:eastAsia="方正仿宋_GBK" w:cs="Times New Roman"/>
          <w:i w:val="0"/>
          <w:iCs w:val="0"/>
          <w:caps w:val="0"/>
          <w:smallCaps w:val="0"/>
          <w:color w:val="000000"/>
          <w:spacing w:val="0"/>
          <w:sz w:val="32"/>
          <w:szCs w:val="32"/>
          <w:shd w:val="clear" w:color="auto" w:fill="FFFFFF"/>
          <w:lang w:val="en-US" w:eastAsia="zh-CN"/>
        </w:rPr>
        <w:t>住房保障支出（类）住房改革支出（款）住房公积金（项）</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i w:val="0"/>
          <w:iCs w:val="0"/>
          <w:caps w:val="0"/>
          <w:smallCaps w:val="0"/>
          <w:color w:val="000000"/>
          <w:spacing w:val="0"/>
          <w:sz w:val="32"/>
          <w:szCs w:val="32"/>
          <w:shd w:val="clear" w:color="auto" w:fill="FFFFFF"/>
        </w:rPr>
        <w:t>行政事业单位按人力资源和社会保障部、财政部规定的基本工资和津贴补贴以及规定比例为职工缴纳的住房公积金。</w:t>
      </w:r>
    </w:p>
    <w:p w14:paraId="7BA93E1B">
      <w:pPr>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15</w:t>
      </w:r>
      <w:r>
        <w:rPr>
          <w:rFonts w:hint="default" w:ascii="Times New Roman" w:hAnsi="Times New Roman" w:eastAsia="方正仿宋_GBK" w:cs="Times New Roman"/>
          <w:color w:val="auto"/>
          <w:sz w:val="32"/>
          <w:szCs w:val="32"/>
          <w:highlight w:val="none"/>
        </w:rPr>
        <w:t>.基本支出：指为保障机构正常运转、完成日常工作任务而发生的人员支出和公用支出。</w:t>
      </w:r>
    </w:p>
    <w:p w14:paraId="486D6D15">
      <w:pPr>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16</w:t>
      </w:r>
      <w:r>
        <w:rPr>
          <w:rFonts w:hint="default" w:ascii="Times New Roman" w:hAnsi="Times New Roman" w:eastAsia="方正仿宋_GBK" w:cs="Times New Roman"/>
          <w:color w:val="auto"/>
          <w:sz w:val="32"/>
          <w:szCs w:val="32"/>
          <w:highlight w:val="none"/>
        </w:rPr>
        <w:t xml:space="preserve">.项目支出：指在基本支出之外为完成特定行政任务和事业发展目标所发生的支出。 </w:t>
      </w:r>
    </w:p>
    <w:p w14:paraId="2CC2DD4E">
      <w:pPr>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17</w:t>
      </w:r>
      <w:r>
        <w:rPr>
          <w:rFonts w:hint="default" w:ascii="Times New Roman" w:hAnsi="Times New Roman" w:eastAsia="方正仿宋_GBK" w:cs="Times New Roman"/>
          <w:color w:val="auto"/>
          <w:sz w:val="32"/>
          <w:szCs w:val="32"/>
          <w:highlight w:val="none"/>
        </w:rPr>
        <w:t>.经营支出：指事业单位在专业业务活动及其辅助活动之外开展非独立核算经营活动发生的支出。</w:t>
      </w:r>
    </w:p>
    <w:p w14:paraId="409BB0C9">
      <w:pPr>
        <w:pStyle w:val="29"/>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18</w:t>
      </w:r>
      <w:r>
        <w:rPr>
          <w:rFonts w:hint="default" w:ascii="Times New Roman" w:hAnsi="Times New Roman" w:eastAsia="方正仿宋_GBK" w:cs="Times New Roman"/>
          <w:color w:val="auto"/>
          <w:sz w:val="32"/>
          <w:szCs w:val="32"/>
          <w:highlight w:val="none"/>
        </w:rPr>
        <w:t>.“三公”经费：指</w:t>
      </w:r>
      <w:r>
        <w:rPr>
          <w:rFonts w:hint="default" w:ascii="Times New Roman" w:hAnsi="Times New Roman" w:eastAsia="方正仿宋_GBK" w:cs="Times New Roman"/>
          <w:color w:val="auto"/>
          <w:sz w:val="32"/>
          <w:szCs w:val="32"/>
          <w:highlight w:val="none"/>
          <w:lang w:eastAsia="zh-CN"/>
        </w:rPr>
        <w:t>单位</w:t>
      </w:r>
      <w:r>
        <w:rPr>
          <w:rFonts w:hint="default" w:ascii="Times New Roman" w:hAnsi="Times New Roman" w:eastAsia="方正仿宋_GBK" w:cs="Times New Roman"/>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DDBC93A">
      <w:pPr>
        <w:pStyle w:val="29"/>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19</w:t>
      </w:r>
      <w:r>
        <w:rPr>
          <w:rFonts w:hint="default" w:ascii="Times New Roman" w:hAnsi="Times New Roman" w:eastAsia="方正仿宋_GBK" w:cs="Times New Roman"/>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D55097">
      <w:pPr>
        <w:pStyle w:val="29"/>
        <w:spacing w:line="560" w:lineRule="exact"/>
        <w:ind w:firstLine="640" w:firstLineChars="200"/>
        <w:rPr>
          <w:rFonts w:hint="default" w:ascii="Times New Roman" w:hAnsi="Times New Roman" w:eastAsia="方正仿宋_GBK" w:cs="Times New Roman"/>
          <w:color w:val="auto"/>
          <w:sz w:val="32"/>
          <w:szCs w:val="32"/>
          <w:highlight w:val="none"/>
        </w:rPr>
        <w:sectPr>
          <w:footerReference r:id="rId10" w:type="default"/>
          <w:pgSz w:w="11906" w:h="16838"/>
          <w:pgMar w:top="2098" w:right="1474" w:bottom="1984" w:left="1587" w:header="851" w:footer="992" w:gutter="0"/>
          <w:pgNumType w:fmt="decimal" w:start="3"/>
          <w:cols w:space="425" w:num="1"/>
          <w:docGrid w:type="lines" w:linePitch="312" w:charSpace="0"/>
        </w:sectPr>
      </w:pPr>
    </w:p>
    <w:p w14:paraId="3A95D270">
      <w:pPr>
        <w:pStyle w:val="3"/>
        <w:pageBreakBefore w:val="0"/>
        <w:numPr>
          <w:ilvl w:val="0"/>
          <w:numId w:val="0"/>
        </w:numPr>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b w:val="0"/>
        </w:rPr>
      </w:pPr>
      <w:r>
        <w:rPr>
          <w:rFonts w:hint="default" w:ascii="Times New Roman" w:hAnsi="Times New Roman" w:eastAsia="方正小标宋简体" w:cs="Times New Roman"/>
          <w:b w:val="0"/>
          <w:lang w:eastAsia="zh-CN"/>
        </w:rPr>
        <w:t>第四部分</w:t>
      </w:r>
      <w:r>
        <w:rPr>
          <w:rFonts w:hint="default" w:ascii="Times New Roman" w:hAnsi="Times New Roman" w:eastAsia="方正小标宋简体" w:cs="Times New Roman"/>
          <w:b w:val="0"/>
          <w:lang w:val="en-US" w:eastAsia="zh-CN"/>
        </w:rPr>
        <w:t xml:space="preserve">  </w:t>
      </w:r>
      <w:r>
        <w:rPr>
          <w:rFonts w:hint="default" w:ascii="Times New Roman" w:hAnsi="Times New Roman" w:eastAsia="方正小标宋简体" w:cs="Times New Roman"/>
          <w:b w:val="0"/>
        </w:rPr>
        <w:t>附件</w:t>
      </w:r>
    </w:p>
    <w:p w14:paraId="5E4F2445">
      <w:pPr>
        <w:keepNext w:val="0"/>
        <w:keepLines w:val="0"/>
        <w:pageBreakBefore w:val="0"/>
        <w:widowControl w:val="0"/>
        <w:kinsoku/>
        <w:wordWrap/>
        <w:overflowPunct/>
        <w:topLinePunct w:val="0"/>
        <w:autoSpaceDE/>
        <w:autoSpaceDN/>
        <w:bidi w:val="0"/>
        <w:adjustRightInd/>
        <w:snapToGrid/>
        <w:spacing w:line="552" w:lineRule="exact"/>
        <w:ind w:right="0" w:rightChars="0"/>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2025年度州委编办部门预算绩效评价报告</w:t>
      </w:r>
    </w:p>
    <w:p w14:paraId="06FD4A34">
      <w:pPr>
        <w:keepNext w:val="0"/>
        <w:keepLines w:val="0"/>
        <w:pageBreakBefore w:val="0"/>
        <w:widowControl w:val="0"/>
        <w:kinsoku/>
        <w:wordWrap/>
        <w:overflowPunct/>
        <w:topLinePunct w:val="0"/>
        <w:autoSpaceDE/>
        <w:autoSpaceDN/>
        <w:bidi w:val="0"/>
        <w:adjustRightInd/>
        <w:snapToGrid/>
        <w:spacing w:line="552" w:lineRule="exact"/>
        <w:jc w:val="both"/>
        <w:textAlignment w:val="auto"/>
        <w:rPr>
          <w:rFonts w:hint="default" w:ascii="Times New Roman" w:hAnsi="Times New Roman" w:cs="Times New Roman"/>
        </w:rPr>
      </w:pPr>
    </w:p>
    <w:p w14:paraId="080BBFF6">
      <w:pPr>
        <w:pStyle w:val="30"/>
        <w:keepNext w:val="0"/>
        <w:keepLines w:val="0"/>
        <w:pageBreakBefore w:val="0"/>
        <w:kinsoku/>
        <w:wordWrap/>
        <w:overflowPunct/>
        <w:topLinePunct w:val="0"/>
        <w:autoSpaceDE/>
        <w:autoSpaceDN/>
        <w:bidi w:val="0"/>
        <w:spacing w:line="560" w:lineRule="exact"/>
        <w:ind w:left="420" w:firstLine="320" w:firstLineChars="100"/>
        <w:jc w:val="both"/>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一、部门</w:t>
      </w:r>
      <w:r>
        <w:rPr>
          <w:rFonts w:hint="default" w:ascii="Times New Roman" w:hAnsi="Times New Roman" w:eastAsia="方正黑体_GBK" w:cs="Times New Roman"/>
          <w:color w:val="auto"/>
          <w:sz w:val="32"/>
          <w:szCs w:val="32"/>
          <w:highlight w:val="none"/>
          <w:lang w:eastAsia="zh-CN"/>
        </w:rPr>
        <w:t>基本</w:t>
      </w:r>
      <w:r>
        <w:rPr>
          <w:rFonts w:hint="default" w:ascii="Times New Roman" w:hAnsi="Times New Roman" w:eastAsia="方正黑体_GBK" w:cs="Times New Roman"/>
          <w:color w:val="auto"/>
          <w:sz w:val="32"/>
          <w:szCs w:val="32"/>
          <w:highlight w:val="none"/>
        </w:rPr>
        <w:t>概况</w:t>
      </w:r>
    </w:p>
    <w:p w14:paraId="15D628BD">
      <w:pPr>
        <w:keepNext w:val="0"/>
        <w:keepLines w:val="0"/>
        <w:pageBreakBefore w:val="0"/>
        <w:kinsoku/>
        <w:wordWrap/>
        <w:overflowPunct/>
        <w:topLinePunct w:val="0"/>
        <w:autoSpaceDE/>
        <w:autoSpaceDN/>
        <w:bidi w:val="0"/>
        <w:spacing w:line="560" w:lineRule="exact"/>
        <w:ind w:firstLine="643"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b/>
          <w:bCs/>
          <w:color w:val="auto"/>
          <w:kern w:val="0"/>
          <w:sz w:val="32"/>
          <w:szCs w:val="32"/>
          <w:highlight w:val="none"/>
          <w:lang w:val="zh-CN"/>
        </w:rPr>
        <w:t>（一）机构组成。</w:t>
      </w:r>
      <w:r>
        <w:rPr>
          <w:rFonts w:hint="default" w:ascii="Times New Roman" w:hAnsi="Times New Roman" w:eastAsia="方正仿宋_GBK" w:cs="Times New Roman"/>
          <w:color w:val="auto"/>
          <w:sz w:val="32"/>
          <w:szCs w:val="32"/>
          <w:highlight w:val="none"/>
        </w:rPr>
        <w:t>我办为</w:t>
      </w:r>
      <w:r>
        <w:rPr>
          <w:rFonts w:hint="default" w:ascii="Times New Roman" w:hAnsi="Times New Roman" w:eastAsia="方正仿宋_GBK" w:cs="Times New Roman"/>
          <w:color w:val="auto"/>
          <w:sz w:val="32"/>
          <w:szCs w:val="32"/>
          <w:highlight w:val="none"/>
          <w:lang w:eastAsia="zh-CN"/>
        </w:rPr>
        <w:t>全额拨款的行政单位，</w:t>
      </w:r>
      <w:r>
        <w:rPr>
          <w:rFonts w:hint="default" w:ascii="Times New Roman" w:hAnsi="Times New Roman" w:eastAsia="方正仿宋_GBK" w:cs="Times New Roman"/>
          <w:color w:val="auto"/>
          <w:sz w:val="32"/>
          <w:szCs w:val="32"/>
          <w:highlight w:val="none"/>
        </w:rPr>
        <w:t>属</w:t>
      </w:r>
      <w:r>
        <w:rPr>
          <w:rFonts w:hint="default" w:ascii="Times New Roman" w:hAnsi="Times New Roman" w:eastAsia="方正仿宋_GBK" w:cs="Times New Roman"/>
          <w:color w:val="auto"/>
          <w:sz w:val="32"/>
          <w:szCs w:val="32"/>
          <w:highlight w:val="none"/>
          <w:lang w:val="en-US" w:eastAsia="zh-CN"/>
        </w:rPr>
        <w:t>一</w:t>
      </w:r>
      <w:r>
        <w:rPr>
          <w:rFonts w:hint="default" w:ascii="Times New Roman" w:hAnsi="Times New Roman" w:eastAsia="方正仿宋_GBK" w:cs="Times New Roman"/>
          <w:color w:val="auto"/>
          <w:sz w:val="32"/>
          <w:szCs w:val="32"/>
          <w:highlight w:val="none"/>
        </w:rPr>
        <w:t>级</w:t>
      </w:r>
      <w:r>
        <w:rPr>
          <w:rFonts w:hint="default" w:ascii="Times New Roman" w:hAnsi="Times New Roman" w:eastAsia="方正仿宋_GBK" w:cs="Times New Roman"/>
          <w:color w:val="auto"/>
          <w:sz w:val="32"/>
          <w:szCs w:val="32"/>
          <w:highlight w:val="none"/>
          <w:lang w:eastAsia="zh-CN"/>
        </w:rPr>
        <w:t>预算</w:t>
      </w:r>
      <w:r>
        <w:rPr>
          <w:rFonts w:hint="default" w:ascii="Times New Roman" w:hAnsi="Times New Roman" w:eastAsia="方正仿宋_GBK" w:cs="Times New Roman"/>
          <w:color w:val="auto"/>
          <w:sz w:val="32"/>
          <w:szCs w:val="32"/>
          <w:highlight w:val="none"/>
        </w:rPr>
        <w:t>单位</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执行</w:t>
      </w:r>
      <w:r>
        <w:rPr>
          <w:rFonts w:hint="default" w:ascii="Times New Roman" w:hAnsi="Times New Roman" w:eastAsia="方正仿宋_GBK" w:cs="Times New Roman"/>
          <w:color w:val="auto"/>
          <w:sz w:val="32"/>
          <w:szCs w:val="32"/>
          <w:highlight w:val="none"/>
          <w:lang w:val="en-US" w:eastAsia="zh-CN"/>
        </w:rPr>
        <w:t>行政</w:t>
      </w:r>
      <w:r>
        <w:rPr>
          <w:rFonts w:hint="default" w:ascii="Times New Roman" w:hAnsi="Times New Roman" w:eastAsia="方正仿宋_GBK" w:cs="Times New Roman"/>
          <w:color w:val="auto"/>
          <w:sz w:val="32"/>
          <w:szCs w:val="32"/>
          <w:highlight w:val="none"/>
        </w:rPr>
        <w:t>单位会计制度。</w:t>
      </w:r>
      <w:r>
        <w:rPr>
          <w:rFonts w:hint="default" w:ascii="Times New Roman" w:hAnsi="Times New Roman" w:eastAsia="方正仿宋_GBK" w:cs="Times New Roman"/>
          <w:color w:val="auto"/>
          <w:sz w:val="32"/>
          <w:szCs w:val="32"/>
          <w:highlight w:val="none"/>
          <w:lang w:eastAsia="zh-CN"/>
        </w:rPr>
        <w:t>所属正科级事业单位</w:t>
      </w:r>
      <w:r>
        <w:rPr>
          <w:rFonts w:hint="default" w:ascii="Times New Roman" w:hAnsi="Times New Roman" w:eastAsia="方正仿宋_GBK" w:cs="Times New Roman"/>
          <w:color w:val="auto"/>
          <w:sz w:val="32"/>
          <w:szCs w:val="32"/>
          <w:highlight w:val="none"/>
          <w:lang w:val="en-US" w:eastAsia="zh-CN"/>
        </w:rPr>
        <w:t>2家，分别是州机构编制信息服务中心、州机构编制政策研究中心。</w:t>
      </w:r>
    </w:p>
    <w:p w14:paraId="0D17D21C">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楷体_GBK" w:cs="Times New Roman"/>
          <w:b/>
          <w:bCs/>
          <w:color w:val="auto"/>
          <w:kern w:val="0"/>
          <w:sz w:val="32"/>
          <w:szCs w:val="32"/>
          <w:highlight w:val="none"/>
          <w:lang w:val="zh-CN"/>
        </w:rPr>
        <w:t>（二）机构职能。</w:t>
      </w:r>
      <w:r>
        <w:rPr>
          <w:rFonts w:hint="default" w:ascii="Times New Roman" w:hAnsi="Times New Roman" w:eastAsia="方正仿宋_GBK" w:cs="Times New Roman"/>
          <w:color w:val="auto"/>
          <w:sz w:val="32"/>
          <w:szCs w:val="32"/>
          <w:highlight w:val="none"/>
        </w:rPr>
        <w:t>州委编办为正县级行政机构。主要职责是研究拟定全州行政管理体制和机构改革以及机构编制管理的政策、法规草案，统一管理全州各级党委、人大、政府、政协、法院、检察院机关及人民团体机关的机构编制工作；研究拟定全州行政管理体制和机构改革的总体方案，审核州委、州政府各部门和县机构改革方案，指导、协调县、乡（镇）行政管理体制和机构改革以及机关编制管理工作等。</w:t>
      </w:r>
    </w:p>
    <w:p w14:paraId="2BD4593E">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宋体" w:cs="Times New Roman"/>
          <w:b/>
          <w:sz w:val="44"/>
          <w:szCs w:val="44"/>
          <w:highlight w:val="none"/>
          <w:shd w:val="clear" w:color="auto" w:fill="FFFFFF"/>
        </w:rPr>
      </w:pPr>
      <w:r>
        <w:rPr>
          <w:rFonts w:hint="default" w:ascii="Times New Roman" w:hAnsi="Times New Roman" w:eastAsia="方正楷体_GBK" w:cs="Times New Roman"/>
          <w:b/>
          <w:bCs/>
          <w:color w:val="auto"/>
          <w:kern w:val="0"/>
          <w:sz w:val="32"/>
          <w:szCs w:val="32"/>
          <w:highlight w:val="none"/>
          <w:lang w:val="zh-CN" w:eastAsia="zh-CN"/>
        </w:rPr>
        <w:t>（</w:t>
      </w:r>
      <w:r>
        <w:rPr>
          <w:rFonts w:hint="default" w:ascii="Times New Roman" w:hAnsi="Times New Roman" w:eastAsia="方正楷体_GBK" w:cs="Times New Roman"/>
          <w:b/>
          <w:bCs/>
          <w:color w:val="auto"/>
          <w:kern w:val="0"/>
          <w:sz w:val="32"/>
          <w:szCs w:val="32"/>
          <w:highlight w:val="none"/>
          <w:lang w:val="en-US" w:eastAsia="zh-CN"/>
        </w:rPr>
        <w:t>三</w:t>
      </w:r>
      <w:r>
        <w:rPr>
          <w:rFonts w:hint="default" w:ascii="Times New Roman" w:hAnsi="Times New Roman" w:eastAsia="方正楷体_GBK" w:cs="Times New Roman"/>
          <w:b/>
          <w:bCs/>
          <w:color w:val="auto"/>
          <w:kern w:val="0"/>
          <w:sz w:val="32"/>
          <w:szCs w:val="32"/>
          <w:highlight w:val="none"/>
          <w:lang w:val="zh-CN" w:eastAsia="zh-CN"/>
        </w:rPr>
        <w:t>）</w:t>
      </w:r>
      <w:r>
        <w:rPr>
          <w:rFonts w:hint="default" w:ascii="Times New Roman" w:hAnsi="Times New Roman" w:eastAsia="方正楷体_GBK" w:cs="Times New Roman"/>
          <w:b/>
          <w:bCs/>
          <w:color w:val="auto"/>
          <w:kern w:val="0"/>
          <w:sz w:val="32"/>
          <w:szCs w:val="32"/>
          <w:highlight w:val="none"/>
          <w:lang w:val="zh-CN"/>
        </w:rPr>
        <w:t>人员概况。</w:t>
      </w:r>
      <w:r>
        <w:rPr>
          <w:rFonts w:hint="default" w:ascii="Times New Roman" w:hAnsi="Times New Roman" w:eastAsia="方正仿宋_GBK" w:cs="Times New Roman"/>
          <w:color w:val="auto"/>
          <w:sz w:val="32"/>
          <w:szCs w:val="32"/>
          <w:highlight w:val="none"/>
          <w:lang w:val="zh-CN"/>
        </w:rPr>
        <w:t>截至</w:t>
      </w:r>
      <w:r>
        <w:rPr>
          <w:rFonts w:hint="default" w:ascii="Times New Roman" w:hAnsi="Times New Roman" w:eastAsia="方正仿宋_GBK" w:cs="Times New Roman"/>
          <w:color w:val="auto"/>
          <w:sz w:val="32"/>
          <w:szCs w:val="32"/>
          <w:highlight w:val="none"/>
          <w:lang w:val="en-US" w:eastAsia="zh-CN"/>
        </w:rPr>
        <w:t>2025年末，我办及所属事业单位在职人员28人</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仿宋_GB2312" w:cs="Times New Roman"/>
          <w:color w:val="000000"/>
          <w:kern w:val="0"/>
          <w:sz w:val="31"/>
          <w:szCs w:val="31"/>
          <w:highlight w:val="none"/>
          <w:lang w:val="en-US" w:eastAsia="zh-CN" w:bidi="ar"/>
        </w:rPr>
        <w:t xml:space="preserve">其中，行政人员 </w:t>
      </w:r>
      <w:r>
        <w:rPr>
          <w:rFonts w:hint="default" w:ascii="Times New Roman" w:hAnsi="Times New Roman" w:eastAsia="Times New Roman Bold Italic" w:cs="Times New Roman"/>
          <w:color w:val="000000"/>
          <w:kern w:val="0"/>
          <w:sz w:val="31"/>
          <w:szCs w:val="31"/>
          <w:highlight w:val="none"/>
          <w:lang w:val="en-US" w:eastAsia="zh-CN" w:bidi="ar"/>
        </w:rPr>
        <w:t>14</w:t>
      </w:r>
      <w:r>
        <w:rPr>
          <w:rFonts w:hint="default" w:ascii="Times New Roman" w:hAnsi="Times New Roman" w:eastAsia="仿宋_GB2312" w:cs="Times New Roman"/>
          <w:color w:val="000000"/>
          <w:kern w:val="0"/>
          <w:sz w:val="31"/>
          <w:szCs w:val="31"/>
          <w:highlight w:val="none"/>
          <w:lang w:val="en-US" w:eastAsia="zh-CN" w:bidi="ar"/>
        </w:rPr>
        <w:t>人，机关工勤2</w:t>
      </w:r>
      <w:r>
        <w:rPr>
          <w:rFonts w:hint="default" w:ascii="Times New Roman" w:hAnsi="Times New Roman" w:eastAsia="Times New Roman Bold Italic" w:cs="Times New Roman"/>
          <w:color w:val="000000"/>
          <w:kern w:val="0"/>
          <w:sz w:val="31"/>
          <w:szCs w:val="31"/>
          <w:highlight w:val="none"/>
          <w:lang w:val="en-US" w:eastAsia="zh-CN" w:bidi="ar"/>
        </w:rPr>
        <w:t xml:space="preserve"> </w:t>
      </w:r>
      <w:r>
        <w:rPr>
          <w:rFonts w:hint="default" w:ascii="Times New Roman" w:hAnsi="Times New Roman" w:eastAsia="仿宋_GB2312" w:cs="Times New Roman"/>
          <w:color w:val="000000"/>
          <w:kern w:val="0"/>
          <w:sz w:val="31"/>
          <w:szCs w:val="31"/>
          <w:highlight w:val="none"/>
          <w:lang w:val="en-US" w:eastAsia="zh-CN" w:bidi="ar"/>
        </w:rPr>
        <w:t xml:space="preserve">人，事业人员 </w:t>
      </w:r>
      <w:r>
        <w:rPr>
          <w:rFonts w:hint="default" w:ascii="Times New Roman" w:hAnsi="Times New Roman" w:eastAsia="Times New Roman Bold Italic" w:cs="Times New Roman"/>
          <w:color w:val="000000"/>
          <w:kern w:val="0"/>
          <w:sz w:val="31"/>
          <w:szCs w:val="31"/>
          <w:highlight w:val="none"/>
          <w:lang w:val="en-US" w:eastAsia="zh-CN" w:bidi="ar"/>
        </w:rPr>
        <w:t>12</w:t>
      </w:r>
      <w:r>
        <w:rPr>
          <w:rFonts w:hint="default" w:ascii="Times New Roman" w:hAnsi="Times New Roman" w:eastAsia="仿宋_GB2312" w:cs="Times New Roman"/>
          <w:color w:val="000000"/>
          <w:kern w:val="0"/>
          <w:sz w:val="31"/>
          <w:szCs w:val="31"/>
          <w:highlight w:val="none"/>
          <w:lang w:val="en-US" w:eastAsia="zh-CN" w:bidi="ar"/>
        </w:rPr>
        <w:t>人。</w:t>
      </w:r>
    </w:p>
    <w:p w14:paraId="014CF187">
      <w:pPr>
        <w:pStyle w:val="30"/>
        <w:keepNext w:val="0"/>
        <w:keepLines w:val="0"/>
        <w:pageBreakBefore w:val="0"/>
        <w:kinsoku/>
        <w:wordWrap/>
        <w:overflowPunct/>
        <w:topLinePunct w:val="0"/>
        <w:autoSpaceDE/>
        <w:autoSpaceDN/>
        <w:bidi w:val="0"/>
        <w:spacing w:line="560" w:lineRule="exact"/>
        <w:ind w:left="420" w:firstLine="320" w:firstLineChars="100"/>
        <w:jc w:val="both"/>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二、</w:t>
      </w:r>
      <w:r>
        <w:rPr>
          <w:rFonts w:hint="default" w:ascii="Times New Roman" w:hAnsi="Times New Roman" w:eastAsia="方正黑体_GBK" w:cs="Times New Roman"/>
          <w:color w:val="auto"/>
          <w:sz w:val="32"/>
          <w:szCs w:val="32"/>
          <w:highlight w:val="none"/>
          <w:lang w:eastAsia="zh-CN"/>
        </w:rPr>
        <w:t>部门</w:t>
      </w:r>
      <w:r>
        <w:rPr>
          <w:rFonts w:hint="default" w:ascii="Times New Roman" w:hAnsi="Times New Roman" w:eastAsia="方正黑体_GBK" w:cs="Times New Roman"/>
          <w:color w:val="auto"/>
          <w:sz w:val="32"/>
          <w:szCs w:val="32"/>
          <w:highlight w:val="none"/>
        </w:rPr>
        <w:t>资金收支情况</w:t>
      </w:r>
    </w:p>
    <w:p w14:paraId="4B068117">
      <w:pPr>
        <w:pStyle w:val="30"/>
        <w:keepNext w:val="0"/>
        <w:keepLines w:val="0"/>
        <w:pageBreakBefore w:val="0"/>
        <w:kinsoku/>
        <w:wordWrap/>
        <w:overflowPunct/>
        <w:topLinePunct w:val="0"/>
        <w:autoSpaceDE/>
        <w:autoSpaceDN/>
        <w:bidi w:val="0"/>
        <w:spacing w:line="560" w:lineRule="exact"/>
        <w:ind w:left="0" w:leftChars="0"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方正楷体_GBK" w:cs="Times New Roman"/>
          <w:b/>
          <w:bCs/>
          <w:color w:val="auto"/>
          <w:kern w:val="0"/>
          <w:sz w:val="32"/>
          <w:szCs w:val="32"/>
          <w:highlight w:val="none"/>
          <w:lang w:val="zh-CN" w:eastAsia="zh-CN" w:bidi="ar-SA"/>
        </w:rPr>
        <w:t>（一）收入情况。</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方正仿宋_GBK" w:cs="Times New Roman"/>
          <w:color w:val="auto"/>
          <w:kern w:val="2"/>
          <w:sz w:val="32"/>
          <w:szCs w:val="32"/>
          <w:highlight w:val="none"/>
          <w:lang w:val="en-US" w:eastAsia="zh-CN" w:bidi="ar-SA"/>
        </w:rPr>
        <w:t>025年年初收入预算数为721.51万元，收入决算数为831.17万元，其中一般公共预算财政拨款收入831.17万元，占比100%。</w:t>
      </w:r>
    </w:p>
    <w:p w14:paraId="2CD24429">
      <w:pPr>
        <w:pStyle w:val="30"/>
        <w:keepNext w:val="0"/>
        <w:keepLines w:val="0"/>
        <w:pageBreakBefore w:val="0"/>
        <w:kinsoku/>
        <w:wordWrap/>
        <w:overflowPunct/>
        <w:topLinePunct w:val="0"/>
        <w:autoSpaceDE/>
        <w:autoSpaceDN/>
        <w:bidi w:val="0"/>
        <w:spacing w:line="560" w:lineRule="exact"/>
        <w:ind w:left="0" w:leftChars="0"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方正楷体_GBK" w:cs="Times New Roman"/>
          <w:b/>
          <w:bCs/>
          <w:color w:val="auto"/>
          <w:kern w:val="0"/>
          <w:sz w:val="32"/>
          <w:szCs w:val="32"/>
          <w:highlight w:val="none"/>
          <w:lang w:val="zh-CN" w:eastAsia="zh-CN" w:bidi="ar-SA"/>
        </w:rPr>
        <w:t>（二）支出情况。</w:t>
      </w:r>
      <w:r>
        <w:rPr>
          <w:rFonts w:hint="default" w:ascii="Times New Roman" w:hAnsi="Times New Roman" w:eastAsia="方正仿宋_GBK" w:cs="Times New Roman"/>
          <w:color w:val="auto"/>
          <w:sz w:val="32"/>
          <w:szCs w:val="32"/>
          <w:highlight w:val="none"/>
          <w:lang w:val="en-US" w:eastAsia="zh-CN"/>
        </w:rPr>
        <w:t>2025年年初支出预算数为</w:t>
      </w:r>
      <w:r>
        <w:rPr>
          <w:rFonts w:hint="default" w:ascii="Times New Roman" w:hAnsi="Times New Roman" w:eastAsia="方正仿宋_GBK" w:cs="Times New Roman"/>
          <w:color w:val="auto"/>
          <w:kern w:val="2"/>
          <w:sz w:val="32"/>
          <w:szCs w:val="32"/>
          <w:highlight w:val="none"/>
          <w:lang w:val="en-US" w:eastAsia="zh-CN" w:bidi="ar-SA"/>
        </w:rPr>
        <w:t>721.51</w:t>
      </w:r>
      <w:r>
        <w:rPr>
          <w:rFonts w:hint="default" w:ascii="Times New Roman" w:hAnsi="Times New Roman" w:eastAsia="方正仿宋_GBK" w:cs="Times New Roman"/>
          <w:color w:val="auto"/>
          <w:sz w:val="32"/>
          <w:szCs w:val="32"/>
          <w:highlight w:val="none"/>
          <w:lang w:val="en-US" w:eastAsia="zh-CN"/>
        </w:rPr>
        <w:t>万元，支出决算数为</w:t>
      </w:r>
      <w:r>
        <w:rPr>
          <w:rFonts w:hint="default" w:ascii="Times New Roman" w:hAnsi="Times New Roman" w:eastAsia="方正仿宋_GBK" w:cs="Times New Roman"/>
          <w:color w:val="auto"/>
          <w:kern w:val="2"/>
          <w:sz w:val="32"/>
          <w:szCs w:val="32"/>
          <w:highlight w:val="none"/>
          <w:lang w:val="en-US" w:eastAsia="zh-CN" w:bidi="ar-SA"/>
        </w:rPr>
        <w:t>831.17</w:t>
      </w:r>
      <w:r>
        <w:rPr>
          <w:rFonts w:hint="default" w:ascii="Times New Roman" w:hAnsi="Times New Roman" w:eastAsia="方正仿宋_GBK" w:cs="Times New Roman"/>
          <w:color w:val="auto"/>
          <w:sz w:val="32"/>
          <w:szCs w:val="32"/>
          <w:highlight w:val="none"/>
          <w:lang w:val="en-US" w:eastAsia="zh-CN"/>
        </w:rPr>
        <w:t>万元，其中</w:t>
      </w:r>
      <w:r>
        <w:rPr>
          <w:rFonts w:hint="default" w:ascii="Times New Roman" w:hAnsi="Times New Roman" w:eastAsia="方正仿宋_GBK" w:cs="Times New Roman"/>
          <w:color w:val="auto"/>
          <w:sz w:val="32"/>
          <w:szCs w:val="32"/>
          <w:highlight w:val="none"/>
        </w:rPr>
        <w:t>一般公共服务支出</w:t>
      </w:r>
      <w:r>
        <w:rPr>
          <w:rFonts w:hint="default" w:ascii="Times New Roman" w:hAnsi="Times New Roman" w:eastAsia="仿宋_GB2312" w:cs="Times New Roman"/>
          <w:sz w:val="32"/>
          <w:szCs w:val="32"/>
          <w:highlight w:val="none"/>
          <w:lang w:val="en-US" w:eastAsia="zh-CN"/>
        </w:rPr>
        <w:t>656.08</w:t>
      </w:r>
      <w:r>
        <w:rPr>
          <w:rFonts w:hint="default" w:ascii="Times New Roman" w:hAnsi="Times New Roman" w:eastAsia="方正仿宋_GBK" w:cs="Times New Roman"/>
          <w:color w:val="auto"/>
          <w:sz w:val="32"/>
          <w:szCs w:val="32"/>
          <w:highlight w:val="none"/>
          <w:lang w:val="en-US" w:eastAsia="zh-CN"/>
        </w:rPr>
        <w:t>万</w:t>
      </w:r>
      <w:r>
        <w:rPr>
          <w:rFonts w:hint="default" w:ascii="Times New Roman" w:hAnsi="Times New Roman" w:eastAsia="方正仿宋_GBK" w:cs="Times New Roman"/>
          <w:color w:val="auto"/>
          <w:sz w:val="32"/>
          <w:szCs w:val="32"/>
          <w:highlight w:val="none"/>
        </w:rPr>
        <w:t>元，占总</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的</w:t>
      </w:r>
      <w:r>
        <w:rPr>
          <w:rFonts w:hint="default" w:ascii="Times New Roman" w:hAnsi="Times New Roman" w:eastAsia="仿宋_GB2312" w:cs="Times New Roman"/>
          <w:sz w:val="32"/>
          <w:szCs w:val="32"/>
          <w:highlight w:val="none"/>
          <w:lang w:val="en-US" w:eastAsia="zh-CN"/>
        </w:rPr>
        <w:t>78.93%</w:t>
      </w:r>
      <w:r>
        <w:rPr>
          <w:rFonts w:hint="default" w:ascii="Times New Roman" w:hAnsi="Times New Roman" w:eastAsia="方正仿宋_GBK" w:cs="Times New Roman"/>
          <w:color w:val="auto"/>
          <w:sz w:val="32"/>
          <w:szCs w:val="32"/>
          <w:highlight w:val="none"/>
        </w:rPr>
        <w:t>；社会保障和就业支出</w:t>
      </w:r>
      <w:r>
        <w:rPr>
          <w:rFonts w:hint="default" w:ascii="Times New Roman" w:hAnsi="Times New Roman" w:eastAsia="仿宋_GB2312" w:cs="Times New Roman"/>
          <w:sz w:val="32"/>
          <w:szCs w:val="32"/>
          <w:highlight w:val="none"/>
          <w:lang w:val="en-US" w:eastAsia="zh-CN"/>
        </w:rPr>
        <w:t>92.8</w:t>
      </w:r>
      <w:r>
        <w:rPr>
          <w:rFonts w:hint="default" w:ascii="Times New Roman" w:hAnsi="Times New Roman" w:eastAsia="方正仿宋_GBK" w:cs="Times New Roman"/>
          <w:color w:val="auto"/>
          <w:sz w:val="32"/>
          <w:szCs w:val="32"/>
          <w:highlight w:val="none"/>
          <w:lang w:val="en-US" w:eastAsia="zh-CN"/>
        </w:rPr>
        <w:t>万</w:t>
      </w:r>
      <w:r>
        <w:rPr>
          <w:rFonts w:hint="default" w:ascii="Times New Roman" w:hAnsi="Times New Roman" w:eastAsia="方正仿宋_GBK" w:cs="Times New Roman"/>
          <w:color w:val="auto"/>
          <w:sz w:val="32"/>
          <w:szCs w:val="32"/>
          <w:highlight w:val="none"/>
        </w:rPr>
        <w:t>元，占总</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的</w:t>
      </w:r>
      <w:r>
        <w:rPr>
          <w:rFonts w:hint="default" w:ascii="Times New Roman" w:hAnsi="Times New Roman" w:eastAsia="方正仿宋_GBK" w:cs="Times New Roman"/>
          <w:color w:val="auto"/>
          <w:sz w:val="32"/>
          <w:szCs w:val="32"/>
          <w:highlight w:val="none"/>
          <w:lang w:val="en-US" w:eastAsia="zh-CN"/>
        </w:rPr>
        <w:t>11.16</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卫生健康支出</w:t>
      </w:r>
      <w:r>
        <w:rPr>
          <w:rFonts w:hint="default" w:ascii="Times New Roman" w:hAnsi="Times New Roman" w:eastAsia="仿宋_GB2312" w:cs="Times New Roman"/>
          <w:sz w:val="32"/>
          <w:szCs w:val="32"/>
          <w:highlight w:val="none"/>
          <w:lang w:val="en-US" w:eastAsia="zh-CN"/>
        </w:rPr>
        <w:t>33.2</w:t>
      </w:r>
      <w:r>
        <w:rPr>
          <w:rFonts w:hint="default" w:ascii="Times New Roman" w:hAnsi="Times New Roman" w:eastAsia="方正仿宋_GBK" w:cs="Times New Roman"/>
          <w:color w:val="auto"/>
          <w:sz w:val="32"/>
          <w:szCs w:val="32"/>
          <w:highlight w:val="none"/>
          <w:lang w:val="en-US" w:eastAsia="zh-CN"/>
        </w:rPr>
        <w:t>万元，</w:t>
      </w:r>
      <w:r>
        <w:rPr>
          <w:rFonts w:hint="default" w:ascii="Times New Roman" w:hAnsi="Times New Roman" w:eastAsia="方正仿宋_GBK" w:cs="Times New Roman"/>
          <w:color w:val="auto"/>
          <w:sz w:val="32"/>
          <w:szCs w:val="32"/>
          <w:highlight w:val="none"/>
        </w:rPr>
        <w:t>占总</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的</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方正仿宋_GBK" w:cs="Times New Roman"/>
          <w:color w:val="auto"/>
          <w:sz w:val="32"/>
          <w:szCs w:val="32"/>
          <w:highlight w:val="none"/>
        </w:rPr>
        <w:t>；住房保障支出</w:t>
      </w:r>
      <w:r>
        <w:rPr>
          <w:rFonts w:hint="default" w:ascii="Times New Roman" w:hAnsi="Times New Roman" w:eastAsia="仿宋_GB2312" w:cs="Times New Roman"/>
          <w:sz w:val="32"/>
          <w:szCs w:val="32"/>
          <w:highlight w:val="none"/>
          <w:lang w:val="en-US" w:eastAsia="zh-CN"/>
        </w:rPr>
        <w:t>49.09</w:t>
      </w:r>
      <w:r>
        <w:rPr>
          <w:rFonts w:hint="default" w:ascii="Times New Roman" w:hAnsi="Times New Roman" w:eastAsia="方正仿宋_GBK" w:cs="Times New Roman"/>
          <w:color w:val="auto"/>
          <w:sz w:val="32"/>
          <w:szCs w:val="32"/>
          <w:highlight w:val="none"/>
          <w:lang w:val="en-US" w:eastAsia="zh-CN"/>
        </w:rPr>
        <w:t>万</w:t>
      </w:r>
      <w:r>
        <w:rPr>
          <w:rFonts w:hint="default" w:ascii="Times New Roman" w:hAnsi="Times New Roman" w:eastAsia="方正仿宋_GBK" w:cs="Times New Roman"/>
          <w:color w:val="auto"/>
          <w:sz w:val="32"/>
          <w:szCs w:val="32"/>
          <w:highlight w:val="none"/>
        </w:rPr>
        <w:t>元，占总</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的</w:t>
      </w:r>
      <w:r>
        <w:rPr>
          <w:rFonts w:hint="default" w:ascii="Times New Roman" w:hAnsi="Times New Roman" w:eastAsia="仿宋_GB2312" w:cs="Times New Roman"/>
          <w:sz w:val="32"/>
          <w:szCs w:val="32"/>
          <w:highlight w:val="none"/>
          <w:lang w:val="en-US" w:eastAsia="zh-CN"/>
        </w:rPr>
        <w:t>5.91%</w:t>
      </w:r>
      <w:r>
        <w:rPr>
          <w:rFonts w:hint="default" w:ascii="Times New Roman" w:hAnsi="Times New Roman" w:eastAsia="方正仿宋_GBK" w:cs="Times New Roman"/>
          <w:color w:val="auto"/>
          <w:sz w:val="32"/>
          <w:szCs w:val="32"/>
          <w:highlight w:val="none"/>
        </w:rPr>
        <w:t>。</w:t>
      </w:r>
    </w:p>
    <w:p w14:paraId="17BF0CDB">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color w:val="auto"/>
          <w:kern w:val="2"/>
          <w:sz w:val="32"/>
          <w:szCs w:val="32"/>
          <w:highlight w:val="none"/>
          <w:lang w:val="zh-CN" w:eastAsia="zh-CN" w:bidi="ar-SA"/>
        </w:rPr>
      </w:pPr>
      <w:r>
        <w:rPr>
          <w:rFonts w:hint="default" w:ascii="Times New Roman" w:hAnsi="Times New Roman" w:eastAsia="方正楷体_GBK" w:cs="Times New Roman"/>
          <w:b/>
          <w:bCs/>
          <w:color w:val="auto"/>
          <w:kern w:val="0"/>
          <w:sz w:val="32"/>
          <w:szCs w:val="32"/>
          <w:highlight w:val="none"/>
          <w:lang w:val="zh-CN" w:eastAsia="zh-CN" w:bidi="ar-SA"/>
        </w:rPr>
        <w:t>（三）结余分配和结转结余情况。</w:t>
      </w:r>
      <w:r>
        <w:rPr>
          <w:rFonts w:hint="default" w:ascii="Times New Roman" w:hAnsi="Times New Roman" w:eastAsia="方正仿宋_GBK" w:cs="Times New Roman"/>
          <w:color w:val="auto"/>
          <w:kern w:val="2"/>
          <w:sz w:val="32"/>
          <w:szCs w:val="32"/>
          <w:highlight w:val="none"/>
          <w:lang w:val="en-US" w:eastAsia="zh-CN" w:bidi="ar-SA"/>
        </w:rPr>
        <w:t>2025年决算报表中无结转结余情况。</w:t>
      </w:r>
    </w:p>
    <w:p w14:paraId="41E6B843">
      <w:pPr>
        <w:pStyle w:val="30"/>
        <w:keepNext w:val="0"/>
        <w:keepLines w:val="0"/>
        <w:pageBreakBefore w:val="0"/>
        <w:kinsoku/>
        <w:wordWrap/>
        <w:overflowPunct/>
        <w:topLinePunct w:val="0"/>
        <w:autoSpaceDE/>
        <w:autoSpaceDN/>
        <w:bidi w:val="0"/>
        <w:spacing w:line="560" w:lineRule="exact"/>
        <w:ind w:left="420" w:firstLine="320" w:firstLineChars="100"/>
        <w:jc w:val="both"/>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三、部门</w:t>
      </w:r>
      <w:r>
        <w:rPr>
          <w:rFonts w:hint="default" w:ascii="Times New Roman" w:hAnsi="Times New Roman" w:eastAsia="方正黑体_GBK" w:cs="Times New Roman"/>
          <w:color w:val="auto"/>
          <w:sz w:val="32"/>
          <w:szCs w:val="32"/>
          <w:highlight w:val="none"/>
          <w:lang w:eastAsia="zh-CN"/>
        </w:rPr>
        <w:t>预算</w:t>
      </w:r>
      <w:r>
        <w:rPr>
          <w:rFonts w:hint="default" w:ascii="Times New Roman" w:hAnsi="Times New Roman" w:eastAsia="方正黑体_GBK" w:cs="Times New Roman"/>
          <w:color w:val="auto"/>
          <w:sz w:val="32"/>
          <w:szCs w:val="32"/>
          <w:highlight w:val="none"/>
        </w:rPr>
        <w:t>绩效</w:t>
      </w:r>
      <w:r>
        <w:rPr>
          <w:rFonts w:hint="default" w:ascii="Times New Roman" w:hAnsi="Times New Roman" w:eastAsia="方正黑体_GBK" w:cs="Times New Roman"/>
          <w:color w:val="auto"/>
          <w:sz w:val="32"/>
          <w:szCs w:val="32"/>
          <w:highlight w:val="none"/>
          <w:lang w:eastAsia="zh-CN"/>
        </w:rPr>
        <w:t>分析</w:t>
      </w:r>
    </w:p>
    <w:p w14:paraId="47174B7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楷体_GBK" w:cs="Times New Roman"/>
          <w:b/>
          <w:bCs/>
          <w:color w:val="auto"/>
          <w:kern w:val="0"/>
          <w:sz w:val="32"/>
          <w:szCs w:val="32"/>
          <w:highlight w:val="none"/>
          <w:lang w:val="zh-CN" w:eastAsia="zh-CN" w:bidi="ar-SA"/>
        </w:rPr>
        <w:t>（一）部门预算总体绩效分析。</w:t>
      </w:r>
    </w:p>
    <w:p w14:paraId="0D476480">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3" w:firstLineChars="200"/>
        <w:jc w:val="left"/>
        <w:textAlignment w:val="auto"/>
        <w:outlineLvl w:val="9"/>
        <w:rPr>
          <w:rFonts w:hint="default" w:ascii="Times New Roman" w:hAnsi="Times New Roman" w:eastAsia="方正仿宋_GBK" w:cs="Times New Roman"/>
          <w:b/>
          <w:bCs/>
          <w:color w:val="000000"/>
          <w:kern w:val="0"/>
          <w:sz w:val="32"/>
          <w:szCs w:val="32"/>
          <w:highlight w:val="none"/>
          <w:shd w:val="clear" w:color="auto" w:fill="FFFFFF"/>
          <w:lang w:val="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1.</w:t>
      </w:r>
      <w:r>
        <w:rPr>
          <w:rFonts w:hint="default" w:ascii="Times New Roman" w:hAnsi="Times New Roman" w:eastAsia="方正仿宋_GBK" w:cs="Times New Roman"/>
          <w:b/>
          <w:bCs/>
          <w:color w:val="000000"/>
          <w:kern w:val="0"/>
          <w:sz w:val="32"/>
          <w:szCs w:val="32"/>
          <w:highlight w:val="none"/>
          <w:shd w:val="clear" w:color="auto" w:fill="FFFFFF"/>
          <w:lang w:val="zh-CN"/>
        </w:rPr>
        <w:t>履职效能。（</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15分</w:t>
      </w:r>
      <w:r>
        <w:rPr>
          <w:rFonts w:hint="default" w:ascii="Times New Roman" w:hAnsi="Times New Roman" w:eastAsia="方正仿宋_GBK" w:cs="Times New Roman"/>
          <w:b/>
          <w:bCs/>
          <w:color w:val="000000"/>
          <w:kern w:val="0"/>
          <w:sz w:val="32"/>
          <w:szCs w:val="32"/>
          <w:highlight w:val="none"/>
          <w:shd w:val="clear" w:color="auto" w:fill="FFFFFF"/>
          <w:lang w:val="zh-CN"/>
        </w:rPr>
        <w:t>）</w:t>
      </w:r>
    </w:p>
    <w:p w14:paraId="058C11F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3" w:firstLineChars="200"/>
        <w:jc w:val="left"/>
        <w:textAlignment w:val="auto"/>
        <w:outlineLvl w:val="9"/>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方正楷体_GBK" w:cs="Times New Roman"/>
          <w:b/>
          <w:bCs/>
          <w:color w:val="auto"/>
          <w:sz w:val="32"/>
          <w:szCs w:val="32"/>
          <w:highlight w:val="none"/>
          <w:lang w:eastAsia="zh-CN"/>
        </w:rPr>
        <w:t>（一）</w:t>
      </w:r>
      <w:r>
        <w:rPr>
          <w:rFonts w:hint="default" w:ascii="Times New Roman" w:hAnsi="Times New Roman" w:eastAsia="方正楷体_GBK" w:cs="Times New Roman"/>
          <w:b/>
          <w:bCs/>
          <w:color w:val="auto"/>
          <w:sz w:val="32"/>
          <w:szCs w:val="32"/>
          <w:highlight w:val="none"/>
        </w:rPr>
        <w:t>围绕中心工作，</w:t>
      </w:r>
      <w:r>
        <w:rPr>
          <w:rFonts w:hint="default" w:ascii="Times New Roman" w:hAnsi="Times New Roman" w:eastAsia="方正楷体_GBK" w:cs="Times New Roman"/>
          <w:b/>
          <w:bCs/>
          <w:color w:val="auto"/>
          <w:sz w:val="32"/>
          <w:szCs w:val="32"/>
          <w:highlight w:val="none"/>
          <w:lang w:eastAsia="zh-CN"/>
        </w:rPr>
        <w:t>精准服务保障职能配置体系</w:t>
      </w:r>
      <w:r>
        <w:rPr>
          <w:rFonts w:hint="default" w:ascii="Times New Roman" w:hAnsi="Times New Roman" w:eastAsia="方正楷体_GBK" w:cs="Times New Roman"/>
          <w:b/>
          <w:bCs/>
          <w:color w:val="auto"/>
          <w:sz w:val="32"/>
          <w:szCs w:val="32"/>
          <w:highlight w:val="none"/>
        </w:rPr>
        <w:t>。</w:t>
      </w:r>
      <w:r>
        <w:rPr>
          <w:rFonts w:hint="default" w:ascii="Times New Roman" w:hAnsi="Times New Roman" w:eastAsia="方正仿宋_GBK" w:cs="Times New Roman"/>
          <w:color w:val="auto"/>
          <w:sz w:val="32"/>
          <w:szCs w:val="32"/>
          <w:highlight w:val="none"/>
        </w:rPr>
        <w:t>始终围绕服务中心工作，坚持讲政治、抓发展、惠民生、保安全，</w:t>
      </w:r>
      <w:r>
        <w:rPr>
          <w:rFonts w:hint="default" w:ascii="Times New Roman" w:hAnsi="Times New Roman" w:eastAsia="方正仿宋_GBK" w:cs="Times New Roman"/>
          <w:color w:val="auto"/>
          <w:sz w:val="32"/>
          <w:szCs w:val="32"/>
          <w:highlight w:val="none"/>
          <w:lang w:eastAsia="zh-CN"/>
        </w:rPr>
        <w:t>优化部门职能配置，构建支撑高质量发展的职能体系</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楷体_GBK" w:cs="Times New Roman"/>
          <w:b/>
          <w:bCs/>
          <w:color w:val="auto"/>
          <w:kern w:val="2"/>
          <w:sz w:val="32"/>
          <w:szCs w:val="32"/>
          <w:highlight w:val="none"/>
          <w:lang w:val="en-US" w:eastAsia="zh-CN" w:bidi="ar-SA"/>
        </w:rPr>
        <w:t>一是强化理论学习凝心铸魂</w:t>
      </w:r>
      <w:r>
        <w:rPr>
          <w:rFonts w:hint="default" w:ascii="Times New Roman" w:hAnsi="Times New Roman" w:eastAsia="方正楷体_GBK" w:cs="Times New Roman"/>
          <w:b/>
          <w:bCs/>
          <w:sz w:val="32"/>
          <w:szCs w:val="32"/>
          <w:highlight w:val="none"/>
          <w:lang w:eastAsia="zh-CN"/>
        </w:rPr>
        <w:t>。</w:t>
      </w:r>
      <w:r>
        <w:rPr>
          <w:rFonts w:hint="default" w:ascii="Times New Roman" w:hAnsi="Times New Roman" w:eastAsia="方正仿宋_GBK" w:cs="Times New Roman"/>
          <w:b w:val="0"/>
          <w:bCs w:val="0"/>
          <w:color w:val="000000"/>
          <w:kern w:val="2"/>
          <w:sz w:val="32"/>
          <w:szCs w:val="32"/>
          <w:highlight w:val="none"/>
          <w:lang w:val="en-US" w:eastAsia="zh-CN" w:bidi="ar-SA"/>
        </w:rPr>
        <w:t>持续巩固“红色先锋·精编赋能”机关党建品牌创建成果，相关工作案例，先后在全省机构编制工作会、全州党建引领基层治理推进会等会议上交流发言。</w:t>
      </w:r>
      <w:r>
        <w:rPr>
          <w:rFonts w:hint="default" w:ascii="Times New Roman" w:hAnsi="Times New Roman" w:eastAsia="方正楷体_GBK" w:cs="Times New Roman"/>
          <w:b/>
          <w:bCs/>
          <w:color w:val="auto"/>
          <w:kern w:val="2"/>
          <w:sz w:val="32"/>
          <w:szCs w:val="32"/>
          <w:highlight w:val="none"/>
          <w:lang w:val="en-US" w:eastAsia="zh-CN" w:bidi="ar-SA"/>
        </w:rPr>
        <w:t>二是强化重点行业资源调配</w:t>
      </w:r>
      <w:r>
        <w:rPr>
          <w:rFonts w:hint="default" w:ascii="Times New Roman" w:hAnsi="Times New Roman" w:eastAsia="方正楷体_GBK" w:cs="Times New Roman"/>
          <w:b w:val="0"/>
          <w:bCs w:val="0"/>
          <w:color w:val="auto"/>
          <w:kern w:val="2"/>
          <w:sz w:val="32"/>
          <w:szCs w:val="32"/>
          <w:highlight w:val="none"/>
          <w:lang w:val="en-US" w:eastAsia="zh-CN" w:bidi="ar-SA"/>
        </w:rPr>
        <w:t>。</w:t>
      </w:r>
      <w:r>
        <w:rPr>
          <w:rFonts w:hint="default" w:ascii="Times New Roman" w:hAnsi="Times New Roman" w:eastAsia="方正仿宋_GBK" w:cs="Times New Roman"/>
          <w:b w:val="0"/>
          <w:bCs w:val="0"/>
          <w:color w:val="000000"/>
          <w:kern w:val="2"/>
          <w:sz w:val="32"/>
          <w:szCs w:val="32"/>
          <w:highlight w:val="none"/>
          <w:lang w:val="en-US" w:eastAsia="zh-CN" w:bidi="ar-SA"/>
        </w:rPr>
        <w:t>进一步加强教育、卫生领域机构编制优化调整，动态调整教职工编制，制定印发《全州中小学教职工编制周转池管理办法（试行）》；印发《加强全州预防保健服务体系建设方案》，组建阿坝州预防保健服务中心、阿坝州120紧急医疗救援指挥中心，调整优化州人民医院内设机构。组建阿坝州生态保护和发展研究院、阿坝州农业科学研究院，并制定印发“三定”规定。印发 《关于调整优化州工业园区管理机构的方案》，理顺园区与属地政府及其职能部门职能职责。</w:t>
      </w:r>
      <w:r>
        <w:rPr>
          <w:rFonts w:hint="default" w:ascii="Times New Roman" w:hAnsi="Times New Roman" w:eastAsia="方正楷体_GBK" w:cs="Times New Roman"/>
          <w:b/>
          <w:bCs/>
          <w:color w:val="auto"/>
          <w:kern w:val="2"/>
          <w:sz w:val="32"/>
          <w:szCs w:val="32"/>
          <w:highlight w:val="none"/>
          <w:lang w:val="en-US" w:eastAsia="zh-CN" w:bidi="ar-SA"/>
        </w:rPr>
        <w:t>三是持续深化实名制管理工作。</w:t>
      </w:r>
      <w:r>
        <w:rPr>
          <w:rFonts w:hint="default" w:ascii="Times New Roman" w:hAnsi="Times New Roman" w:eastAsia="仿宋_GB2312" w:cs="Times New Roman"/>
          <w:b w:val="0"/>
          <w:bCs w:val="0"/>
          <w:sz w:val="32"/>
          <w:szCs w:val="32"/>
          <w:highlight w:val="none"/>
          <w:lang w:val="en-US" w:eastAsia="zh-CN"/>
        </w:rPr>
        <w:t>持续在州公路局推行不见面上下编工作模式，不断优化上下编流程，全年共办理上下编1100余人次。切实加强实名制系统管理，做好数据日常维护，确保数据全面真实准确。</w:t>
      </w:r>
    </w:p>
    <w:p w14:paraId="340DC36D">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color w:val="000000"/>
          <w:kern w:val="0"/>
          <w:sz w:val="32"/>
          <w:szCs w:val="32"/>
          <w:highlight w:val="none"/>
          <w:shd w:val="clear" w:color="auto" w:fill="FFFFFF"/>
          <w:lang w:val="en-US" w:eastAsia="zh-CN"/>
        </w:rPr>
      </w:pPr>
      <w:r>
        <w:rPr>
          <w:rFonts w:hint="default" w:ascii="Times New Roman" w:hAnsi="Times New Roman" w:eastAsia="方正楷体_GBK" w:cs="Times New Roman"/>
          <w:b/>
          <w:bCs/>
          <w:color w:val="auto"/>
          <w:sz w:val="32"/>
          <w:szCs w:val="32"/>
          <w:highlight w:val="none"/>
        </w:rPr>
        <w:t>（</w:t>
      </w:r>
      <w:r>
        <w:rPr>
          <w:rFonts w:hint="default" w:ascii="Times New Roman" w:hAnsi="Times New Roman" w:eastAsia="方正楷体_GBK" w:cs="Times New Roman"/>
          <w:b/>
          <w:bCs/>
          <w:color w:val="auto"/>
          <w:sz w:val="32"/>
          <w:szCs w:val="32"/>
          <w:highlight w:val="none"/>
          <w:lang w:val="en-US" w:eastAsia="zh-CN"/>
        </w:rPr>
        <w:t>二</w:t>
      </w:r>
      <w:r>
        <w:rPr>
          <w:rFonts w:hint="default" w:ascii="Times New Roman" w:hAnsi="Times New Roman" w:eastAsia="方正楷体_GBK" w:cs="Times New Roman"/>
          <w:b/>
          <w:bCs/>
          <w:color w:val="auto"/>
          <w:sz w:val="32"/>
          <w:szCs w:val="32"/>
          <w:highlight w:val="none"/>
        </w:rPr>
        <w:t>）围绕机构编制管理，</w:t>
      </w:r>
      <w:r>
        <w:rPr>
          <w:rFonts w:hint="default" w:ascii="Times New Roman" w:hAnsi="Times New Roman" w:eastAsia="方正楷体_GBK" w:cs="Times New Roman"/>
          <w:b/>
          <w:bCs/>
          <w:color w:val="auto"/>
          <w:sz w:val="32"/>
          <w:szCs w:val="32"/>
          <w:highlight w:val="none"/>
          <w:lang w:eastAsia="zh-CN"/>
        </w:rPr>
        <w:t>深化督查问效提升资源使用效益</w:t>
      </w:r>
      <w:r>
        <w:rPr>
          <w:rFonts w:hint="default" w:ascii="Times New Roman" w:hAnsi="Times New Roman" w:eastAsia="方正楷体_GBK" w:cs="Times New Roman"/>
          <w:b/>
          <w:bCs/>
          <w:color w:val="auto"/>
          <w:sz w:val="32"/>
          <w:szCs w:val="32"/>
          <w:highlight w:val="none"/>
        </w:rPr>
        <w:t>。</w:t>
      </w:r>
      <w:r>
        <w:rPr>
          <w:rFonts w:hint="default" w:ascii="Times New Roman" w:hAnsi="Times New Roman" w:eastAsia="方正仿宋_GBK" w:cs="Times New Roman"/>
          <w:color w:val="auto"/>
          <w:sz w:val="32"/>
          <w:szCs w:val="32"/>
          <w:highlight w:val="none"/>
        </w:rPr>
        <w:t>坚持依法管理刚性约束，突出法治在机构编制工作中的引领和推动</w:t>
      </w:r>
      <w:r>
        <w:rPr>
          <w:rFonts w:hint="default" w:ascii="Times New Roman" w:hAnsi="Times New Roman" w:eastAsia="方正仿宋_GBK" w:cs="Times New Roman"/>
          <w:color w:val="auto"/>
          <w:sz w:val="32"/>
          <w:szCs w:val="32"/>
          <w:highlight w:val="none"/>
          <w:lang w:eastAsia="zh-CN"/>
        </w:rPr>
        <w:t>，实现编制资源效用最大化</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楷体_GBK" w:cs="Times New Roman"/>
          <w:b/>
          <w:bCs/>
          <w:color w:val="auto"/>
          <w:kern w:val="2"/>
          <w:sz w:val="32"/>
          <w:szCs w:val="32"/>
          <w:highlight w:val="none"/>
          <w:lang w:val="en-US" w:eastAsia="zh-CN" w:bidi="ar-SA"/>
        </w:rPr>
        <w:t>一是</w:t>
      </w:r>
      <w:r>
        <w:rPr>
          <w:rFonts w:hint="default" w:ascii="Times New Roman" w:hAnsi="Times New Roman" w:eastAsia="方正楷体_GBK" w:cs="Times New Roman"/>
          <w:b/>
          <w:bCs/>
          <w:sz w:val="32"/>
          <w:szCs w:val="32"/>
          <w:highlight w:val="none"/>
        </w:rPr>
        <w:t>持续强化机构编制</w:t>
      </w:r>
      <w:r>
        <w:rPr>
          <w:rFonts w:hint="default" w:ascii="Times New Roman" w:hAnsi="Times New Roman" w:eastAsia="方正楷体_GBK" w:cs="Times New Roman"/>
          <w:b/>
          <w:bCs/>
          <w:sz w:val="32"/>
          <w:szCs w:val="32"/>
          <w:highlight w:val="none"/>
          <w:lang w:eastAsia="zh-CN"/>
        </w:rPr>
        <w:t>领域监督</w:t>
      </w:r>
      <w:r>
        <w:rPr>
          <w:rFonts w:hint="default" w:ascii="Times New Roman" w:hAnsi="Times New Roman" w:eastAsia="方正楷体_GBK" w:cs="Times New Roman"/>
          <w:b/>
          <w:bCs/>
          <w:sz w:val="32"/>
          <w:szCs w:val="32"/>
          <w:highlight w:val="none"/>
        </w:rPr>
        <w:t>督查</w:t>
      </w:r>
      <w:r>
        <w:rPr>
          <w:rFonts w:hint="default" w:ascii="Times New Roman" w:hAnsi="Times New Roman" w:eastAsia="方正楷体_GBK" w:cs="Times New Roman"/>
          <w:b/>
          <w:bCs/>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创新采用“漫画+法规”的可视化宣传形式，联合州纪委监委机关印制2000份《机构编制监督检查宣传手册》，并第一时间下发至各县（市）、州级各部门，构建起“齐学、同用、共守”机构编制政策法规的局面。</w:t>
      </w:r>
      <w:r>
        <w:rPr>
          <w:rFonts w:hint="default" w:ascii="Times New Roman" w:hAnsi="Times New Roman" w:eastAsia="方正楷体_GBK" w:cs="Times New Roman"/>
          <w:b/>
          <w:bCs/>
          <w:sz w:val="32"/>
          <w:szCs w:val="32"/>
          <w:highlight w:val="none"/>
          <w:lang w:val="en-US" w:eastAsia="zh-CN"/>
        </w:rPr>
        <w:t>二</w:t>
      </w:r>
      <w:r>
        <w:rPr>
          <w:rFonts w:hint="default" w:ascii="Times New Roman" w:hAnsi="Times New Roman" w:eastAsia="方正楷体_GBK" w:cs="Times New Roman"/>
          <w:b/>
          <w:bCs/>
          <w:sz w:val="32"/>
          <w:szCs w:val="32"/>
          <w:highlight w:val="none"/>
        </w:rPr>
        <w:t>是</w:t>
      </w:r>
      <w:r>
        <w:rPr>
          <w:rFonts w:hint="default" w:ascii="Times New Roman" w:hAnsi="Times New Roman" w:eastAsia="方正楷体_GBK" w:cs="Times New Roman"/>
          <w:b/>
          <w:bCs/>
          <w:sz w:val="32"/>
          <w:szCs w:val="32"/>
          <w:highlight w:val="none"/>
          <w:lang w:val="en-US" w:eastAsia="zh-CN"/>
        </w:rPr>
        <w:t>开展专项自查</w:t>
      </w:r>
      <w:r>
        <w:rPr>
          <w:rFonts w:hint="default" w:ascii="Times New Roman" w:hAnsi="Times New Roman" w:eastAsia="方正楷体_GBK" w:cs="Times New Roman"/>
          <w:b/>
          <w:bCs/>
          <w:sz w:val="32"/>
          <w:szCs w:val="32"/>
          <w:highlight w:val="none"/>
        </w:rPr>
        <w:t>。</w:t>
      </w:r>
      <w:r>
        <w:rPr>
          <w:rFonts w:hint="default" w:ascii="Times New Roman" w:hAnsi="Times New Roman" w:eastAsia="方正仿宋_GBK" w:cs="Times New Roman"/>
          <w:color w:val="auto"/>
          <w:sz w:val="32"/>
          <w:szCs w:val="32"/>
          <w:highlight w:val="none"/>
          <w:lang w:val="en-US" w:eastAsia="zh-CN"/>
        </w:rPr>
        <w:t>开展机构编制纪律执行情况自查，针对未严格执行“三定”规定、干预下级部门（单位）机构设置等突出问题开展自查，及时掌握各部门遵守机构编制纪律情况。持续巩固议事协调机构优化调整成果，严格对议事协调机构实行限额管理。</w:t>
      </w:r>
      <w:r>
        <w:rPr>
          <w:rFonts w:hint="default" w:ascii="Times New Roman" w:hAnsi="Times New Roman" w:eastAsia="方正仿宋_GBK" w:cs="Times New Roman"/>
          <w:color w:val="000000"/>
          <w:kern w:val="0"/>
          <w:sz w:val="32"/>
          <w:szCs w:val="32"/>
          <w:highlight w:val="none"/>
          <w:shd w:val="clear" w:color="auto" w:fill="FFFFFF"/>
          <w:lang w:val="en-US" w:eastAsia="zh-CN"/>
        </w:rPr>
        <w:t>自评得分15分。</w:t>
      </w:r>
    </w:p>
    <w:p w14:paraId="7351A7B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kern w:val="0"/>
          <w:sz w:val="32"/>
          <w:szCs w:val="32"/>
          <w:highlight w:val="none"/>
          <w:shd w:val="clear" w:color="auto" w:fill="FFFFFF"/>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2.</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预算管理。（</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23.78</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分）</w:t>
      </w:r>
    </w:p>
    <w:p w14:paraId="26BDACC3">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1</w:t>
      </w:r>
      <w:r>
        <w:rPr>
          <w:rFonts w:hint="default" w:ascii="Times New Roman" w:hAnsi="Times New Roman" w:eastAsia="方正仿宋_GBK" w:cs="Times New Roman"/>
          <w:b/>
          <w:bCs/>
          <w:sz w:val="32"/>
          <w:szCs w:val="32"/>
          <w:highlight w:val="none"/>
          <w:lang w:val="zh-CN" w:eastAsia="zh-CN"/>
        </w:rPr>
        <w:t>）预算编制质量。</w:t>
      </w:r>
      <w:r>
        <w:rPr>
          <w:rFonts w:hint="default" w:ascii="Times New Roman" w:hAnsi="Times New Roman" w:eastAsia="Times New Roman Bold Italic" w:cs="Times New Roman"/>
          <w:color w:val="000000"/>
          <w:kern w:val="0"/>
          <w:sz w:val="31"/>
          <w:szCs w:val="31"/>
          <w:highlight w:val="none"/>
          <w:lang w:val="en-US" w:eastAsia="zh-CN" w:bidi="ar"/>
        </w:rPr>
        <w:t>2</w:t>
      </w:r>
      <w:r>
        <w:rPr>
          <w:rFonts w:hint="default" w:ascii="Times New Roman" w:hAnsi="Times New Roman" w:eastAsia="方正仿宋_GBK" w:cs="Times New Roman"/>
          <w:color w:val="auto"/>
          <w:sz w:val="32"/>
          <w:szCs w:val="32"/>
          <w:highlight w:val="none"/>
          <w:lang w:val="en-US" w:eastAsia="zh-CN"/>
        </w:rPr>
        <w:t xml:space="preserve">025年初预算收入721.51万元，预算 </w:t>
      </w:r>
    </w:p>
    <w:p w14:paraId="049BE9B8">
      <w:pPr>
        <w:keepNext w:val="0"/>
        <w:keepLines w:val="0"/>
        <w:pageBreakBefore w:val="0"/>
        <w:widowControl/>
        <w:suppressLineNumbers w:val="0"/>
        <w:kinsoku/>
        <w:wordWrap/>
        <w:overflowPunct/>
        <w:topLinePunct w:val="0"/>
        <w:autoSpaceDE/>
        <w:autoSpaceDN/>
        <w:bidi w:val="0"/>
        <w:spacing w:line="560" w:lineRule="exact"/>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执行数831.17万元，偏离度15.19% ；资产配置年初预算数3.8万元，预算执行数3.8万元，偏离度0% ；政府采购年初预算数1.94万元，预算执行数1.94万元，偏离度0%。自评得分11.35分。</w:t>
      </w:r>
    </w:p>
    <w:p w14:paraId="40305CE9">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2</w:t>
      </w:r>
      <w:r>
        <w:rPr>
          <w:rFonts w:hint="default" w:ascii="Times New Roman" w:hAnsi="Times New Roman" w:eastAsia="方正仿宋_GBK" w:cs="Times New Roman"/>
          <w:b/>
          <w:bCs/>
          <w:sz w:val="32"/>
          <w:szCs w:val="32"/>
          <w:highlight w:val="none"/>
          <w:lang w:val="zh-CN" w:eastAsia="zh-CN"/>
        </w:rPr>
        <w:t>）单位收入统筹。</w:t>
      </w:r>
      <w:r>
        <w:rPr>
          <w:rFonts w:hint="default" w:ascii="Times New Roman" w:hAnsi="Times New Roman" w:eastAsia="方正仿宋_GBK" w:cs="Times New Roman"/>
          <w:color w:val="auto"/>
          <w:sz w:val="32"/>
          <w:szCs w:val="32"/>
          <w:highlight w:val="none"/>
          <w:lang w:val="zh-CN" w:eastAsia="zh-CN"/>
        </w:rPr>
        <w:t>此项我办不涉及，分值已调整至预算编制质量指标。</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3</w:t>
      </w:r>
      <w:r>
        <w:rPr>
          <w:rFonts w:hint="default" w:ascii="Times New Roman" w:hAnsi="Times New Roman" w:eastAsia="方正仿宋_GBK" w:cs="Times New Roman"/>
          <w:b/>
          <w:bCs/>
          <w:sz w:val="32"/>
          <w:szCs w:val="32"/>
          <w:highlight w:val="none"/>
          <w:lang w:val="zh-CN" w:eastAsia="zh-CN"/>
        </w:rPr>
        <w:t>）支出执行进度。</w:t>
      </w:r>
      <w:r>
        <w:rPr>
          <w:rFonts w:hint="default" w:ascii="Times New Roman" w:hAnsi="Times New Roman" w:eastAsia="仿宋_GB2312" w:cs="Times New Roman"/>
          <w:color w:val="000000"/>
          <w:kern w:val="0"/>
          <w:sz w:val="31"/>
          <w:szCs w:val="31"/>
          <w:highlight w:val="none"/>
          <w:lang w:val="en-US" w:eastAsia="zh-CN" w:bidi="ar"/>
        </w:rPr>
        <w:t>2</w:t>
      </w:r>
      <w:r>
        <w:rPr>
          <w:rFonts w:hint="default" w:ascii="Times New Roman" w:hAnsi="Times New Roman" w:eastAsia="方正仿宋_GBK" w:cs="Times New Roman"/>
          <w:color w:val="auto"/>
          <w:sz w:val="32"/>
          <w:szCs w:val="32"/>
          <w:highlight w:val="none"/>
          <w:lang w:val="en-US" w:eastAsia="zh-CN"/>
        </w:rPr>
        <w:t>025年1-6月部门预算执行 465万元，无违规支出；2025年1-10月部门预算执行 718.11万元，无违规支出。自评得分5.77分。</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4</w:t>
      </w:r>
      <w:r>
        <w:rPr>
          <w:rFonts w:hint="default" w:ascii="Times New Roman" w:hAnsi="Times New Roman" w:eastAsia="方正仿宋_GBK" w:cs="Times New Roman"/>
          <w:b/>
          <w:bCs/>
          <w:sz w:val="32"/>
          <w:szCs w:val="32"/>
          <w:highlight w:val="none"/>
          <w:lang w:val="zh-CN" w:eastAsia="zh-CN"/>
        </w:rPr>
        <w:t>）预算年终结余。</w:t>
      </w:r>
      <w:r>
        <w:rPr>
          <w:rFonts w:hint="default" w:ascii="Times New Roman" w:hAnsi="Times New Roman" w:eastAsia="方正仿宋_GBK" w:cs="Times New Roman"/>
          <w:color w:val="auto"/>
          <w:sz w:val="32"/>
          <w:szCs w:val="32"/>
          <w:highlight w:val="none"/>
          <w:lang w:val="en-US" w:eastAsia="zh-CN"/>
        </w:rPr>
        <w:t>2025年年终部门财政拨款预算注销金额169.2万元，结转金额0元，部门预算总金额1008万元，部门预算结余率为 16.78%。自评得分1.66分。</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5</w:t>
      </w:r>
      <w:r>
        <w:rPr>
          <w:rFonts w:hint="default" w:ascii="Times New Roman" w:hAnsi="Times New Roman" w:eastAsia="方正仿宋_GBK" w:cs="Times New Roman"/>
          <w:b/>
          <w:bCs/>
          <w:sz w:val="32"/>
          <w:szCs w:val="32"/>
          <w:highlight w:val="none"/>
          <w:lang w:val="zh-CN" w:eastAsia="zh-CN"/>
        </w:rPr>
        <w:t>）严控一般性支出。</w:t>
      </w:r>
      <w:r>
        <w:rPr>
          <w:rFonts w:hint="default" w:ascii="Times New Roman" w:hAnsi="Times New Roman" w:eastAsia="方正仿宋_GBK" w:cs="Times New Roman"/>
          <w:color w:val="auto"/>
          <w:sz w:val="32"/>
          <w:szCs w:val="32"/>
          <w:highlight w:val="none"/>
          <w:lang w:val="en-US" w:eastAsia="zh-CN"/>
        </w:rPr>
        <w:t>我办一般性支出财政拨款年初预算数116.84万元较上年280.56万元压减了58.35%；一般性支出财政拨款预算执行数88.49万元较上年224.72万元压减60.62%。自评得分5分。</w:t>
      </w:r>
    </w:p>
    <w:p w14:paraId="657469F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b/>
          <w:bCs/>
          <w:color w:val="000000"/>
          <w:kern w:val="0"/>
          <w:sz w:val="32"/>
          <w:szCs w:val="32"/>
          <w:highlight w:val="none"/>
          <w:shd w:val="clear" w:color="auto" w:fill="FFFFFF"/>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3.</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财务管理。（</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10</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分）</w:t>
      </w:r>
    </w:p>
    <w:p w14:paraId="20533C33">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color w:val="000000"/>
          <w:kern w:val="0"/>
          <w:sz w:val="32"/>
          <w:szCs w:val="32"/>
          <w:highlight w:val="none"/>
          <w:shd w:val="clear" w:color="auto" w:fill="FFFFFF"/>
          <w:lang w:val="en-US" w:eastAsia="zh-CN"/>
        </w:rPr>
      </w:pP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1</w:t>
      </w:r>
      <w:r>
        <w:rPr>
          <w:rFonts w:hint="default" w:ascii="Times New Roman" w:hAnsi="Times New Roman" w:eastAsia="方正仿宋_GBK" w:cs="Times New Roman"/>
          <w:b/>
          <w:bCs/>
          <w:sz w:val="32"/>
          <w:szCs w:val="32"/>
          <w:highlight w:val="none"/>
          <w:lang w:val="zh-CN" w:eastAsia="zh-CN"/>
        </w:rPr>
        <w:t>）财务管理制度。</w:t>
      </w:r>
      <w:r>
        <w:rPr>
          <w:rFonts w:hint="default" w:ascii="Times New Roman" w:hAnsi="Times New Roman" w:eastAsia="方正仿宋_GBK" w:cs="Times New Roman"/>
          <w:sz w:val="32"/>
          <w:szCs w:val="32"/>
          <w:highlight w:val="none"/>
          <w:lang w:val="en-US" w:eastAsia="zh-CN"/>
        </w:rPr>
        <w:t>我办严格落实财务管理法律法规和州财政局相关规定，结合工作实际对《州委编办财务管理办法》进行了修订，并严格按照财务管理制度执行。</w:t>
      </w:r>
      <w:r>
        <w:rPr>
          <w:rFonts w:hint="default" w:ascii="Times New Roman" w:hAnsi="Times New Roman" w:eastAsia="方正仿宋_GBK" w:cs="Times New Roman"/>
          <w:color w:val="000000"/>
          <w:kern w:val="0"/>
          <w:sz w:val="32"/>
          <w:szCs w:val="32"/>
          <w:highlight w:val="none"/>
          <w:shd w:val="clear" w:color="auto" w:fill="FFFFFF"/>
          <w:lang w:val="en-US" w:eastAsia="zh-CN"/>
        </w:rPr>
        <w:t>自评得分2分。</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2</w:t>
      </w:r>
      <w:r>
        <w:rPr>
          <w:rFonts w:hint="default" w:ascii="Times New Roman" w:hAnsi="Times New Roman" w:eastAsia="方正仿宋_GBK" w:cs="Times New Roman"/>
          <w:b/>
          <w:bCs/>
          <w:sz w:val="32"/>
          <w:szCs w:val="32"/>
          <w:highlight w:val="none"/>
          <w:lang w:val="zh-CN" w:eastAsia="zh-CN"/>
        </w:rPr>
        <w:t>）财务岗位设置。</w:t>
      </w:r>
      <w:r>
        <w:rPr>
          <w:rFonts w:hint="default" w:ascii="Times New Roman" w:hAnsi="Times New Roman" w:eastAsia="方正仿宋_GBK" w:cs="Times New Roman"/>
          <w:color w:val="000000"/>
          <w:kern w:val="0"/>
          <w:sz w:val="32"/>
          <w:szCs w:val="32"/>
          <w:highlight w:val="none"/>
          <w:shd w:val="clear" w:color="auto" w:fill="FFFFFF"/>
          <w:lang w:val="en-US" w:eastAsia="zh-CN"/>
        </w:rPr>
        <w:t>我办</w:t>
      </w:r>
      <w:r>
        <w:rPr>
          <w:rFonts w:hint="default" w:ascii="Times New Roman" w:hAnsi="Times New Roman" w:eastAsia="方正仿宋_GBK" w:cs="Times New Roman"/>
          <w:color w:val="000000"/>
          <w:kern w:val="0"/>
          <w:sz w:val="32"/>
          <w:szCs w:val="32"/>
          <w:highlight w:val="none"/>
          <w:shd w:val="clear" w:color="auto" w:fill="FFFFFF"/>
          <w:lang w:val="zh-CN" w:eastAsia="zh-CN"/>
        </w:rPr>
        <w:t>财务岗位设置符合相关财务管理制度</w:t>
      </w:r>
      <w:r>
        <w:rPr>
          <w:rFonts w:hint="default" w:ascii="Times New Roman" w:hAnsi="Times New Roman" w:eastAsia="方正仿宋_GBK" w:cs="Times New Roman"/>
          <w:color w:val="000000"/>
          <w:kern w:val="0"/>
          <w:sz w:val="32"/>
          <w:szCs w:val="32"/>
          <w:highlight w:val="none"/>
          <w:shd w:val="clear" w:color="auto" w:fill="FFFFFF"/>
          <w:lang w:val="en-US" w:eastAsia="zh-CN"/>
        </w:rPr>
        <w:t>的</w:t>
      </w:r>
      <w:r>
        <w:rPr>
          <w:rFonts w:hint="default" w:ascii="Times New Roman" w:hAnsi="Times New Roman" w:eastAsia="方正仿宋_GBK" w:cs="Times New Roman"/>
          <w:color w:val="000000"/>
          <w:kern w:val="0"/>
          <w:sz w:val="32"/>
          <w:szCs w:val="32"/>
          <w:highlight w:val="none"/>
          <w:shd w:val="clear" w:color="auto" w:fill="FFFFFF"/>
          <w:lang w:val="zh-CN" w:eastAsia="zh-CN"/>
        </w:rPr>
        <w:t>要求，</w:t>
      </w:r>
      <w:r>
        <w:rPr>
          <w:rFonts w:hint="default" w:ascii="Times New Roman" w:hAnsi="Times New Roman" w:eastAsia="方正仿宋_GBK" w:cs="Times New Roman"/>
          <w:color w:val="000000"/>
          <w:kern w:val="0"/>
          <w:sz w:val="32"/>
          <w:szCs w:val="32"/>
          <w:highlight w:val="none"/>
          <w:shd w:val="clear" w:color="auto" w:fill="FFFFFF"/>
          <w:lang w:val="en-US" w:eastAsia="zh-CN"/>
        </w:rPr>
        <w:t>不存在未设置财务工作岗位的现象，各岗位的职责权限清晰明确，并且严格实行了</w:t>
      </w:r>
      <w:r>
        <w:rPr>
          <w:rFonts w:hint="default" w:ascii="Times New Roman" w:hAnsi="Times New Roman" w:eastAsia="方正仿宋_GBK" w:cs="Times New Roman"/>
          <w:color w:val="000000"/>
          <w:kern w:val="0"/>
          <w:sz w:val="32"/>
          <w:szCs w:val="32"/>
          <w:highlight w:val="none"/>
          <w:shd w:val="clear" w:color="auto" w:fill="FFFFFF"/>
          <w:lang w:val="zh-CN" w:eastAsia="zh-CN"/>
        </w:rPr>
        <w:t>不相容岗位分离</w:t>
      </w:r>
      <w:r>
        <w:rPr>
          <w:rFonts w:hint="default" w:ascii="Times New Roman" w:hAnsi="Times New Roman" w:eastAsia="方正仿宋_GBK" w:cs="Times New Roman"/>
          <w:color w:val="000000"/>
          <w:kern w:val="0"/>
          <w:sz w:val="32"/>
          <w:szCs w:val="32"/>
          <w:highlight w:val="none"/>
          <w:shd w:val="clear" w:color="auto" w:fill="FFFFFF"/>
          <w:lang w:val="en-US" w:eastAsia="zh-CN"/>
        </w:rPr>
        <w:t>。自评得分2分。</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3</w:t>
      </w:r>
      <w:r>
        <w:rPr>
          <w:rFonts w:hint="default" w:ascii="Times New Roman" w:hAnsi="Times New Roman" w:eastAsia="方正仿宋_GBK" w:cs="Times New Roman"/>
          <w:b/>
          <w:bCs/>
          <w:sz w:val="32"/>
          <w:szCs w:val="32"/>
          <w:highlight w:val="none"/>
          <w:lang w:val="zh-CN" w:eastAsia="zh-CN"/>
        </w:rPr>
        <w:t>）资金使用规范。</w:t>
      </w:r>
      <w:r>
        <w:rPr>
          <w:rFonts w:hint="default" w:ascii="Times New Roman" w:hAnsi="Times New Roman" w:eastAsia="方正仿宋_GBK" w:cs="Times New Roman"/>
          <w:color w:val="000000"/>
          <w:kern w:val="0"/>
          <w:sz w:val="32"/>
          <w:szCs w:val="32"/>
          <w:highlight w:val="none"/>
          <w:shd w:val="clear" w:color="auto" w:fill="FFFFFF"/>
          <w:lang w:val="en-US" w:eastAsia="zh-CN"/>
        </w:rPr>
        <w:t>在资金使用方面，严格按照相关财务管理制度规定，不存在超预算或无预算安排的情况，所有支出均在预算范围内进行；也不存在虚列支出的问题，每一笔支出都真实且有实际依据；经费使用严格按照规定范围和标准执行，未出现超范围、超标准的现象。自评得分4分。</w:t>
      </w:r>
    </w:p>
    <w:p w14:paraId="77E2D2E7">
      <w:pPr>
        <w:keepNext w:val="0"/>
        <w:keepLines w:val="0"/>
        <w:pageBreakBefore w:val="0"/>
        <w:kinsoku/>
        <w:wordWrap/>
        <w:overflowPunct/>
        <w:topLinePunct w:val="0"/>
        <w:autoSpaceDE/>
        <w:autoSpaceDN/>
        <w:bidi w:val="0"/>
        <w:spacing w:line="560" w:lineRule="exact"/>
        <w:ind w:firstLine="643" w:firstLineChars="200"/>
        <w:textAlignment w:val="auto"/>
        <w:rPr>
          <w:rFonts w:hint="default" w:ascii="Times New Roman" w:hAnsi="Times New Roman" w:eastAsia="方正仿宋_GBK" w:cs="Times New Roman"/>
          <w:b/>
          <w:bCs/>
          <w:color w:val="000000"/>
          <w:kern w:val="0"/>
          <w:sz w:val="32"/>
          <w:szCs w:val="32"/>
          <w:highlight w:val="none"/>
          <w:shd w:val="clear" w:color="auto" w:fill="FFFFFF"/>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4.</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资产管理。（</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5.1</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分）</w:t>
      </w:r>
    </w:p>
    <w:p w14:paraId="74405AA8">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color w:val="auto"/>
          <w:kern w:val="0"/>
          <w:sz w:val="32"/>
          <w:szCs w:val="32"/>
          <w:highlight w:val="none"/>
          <w:shd w:val="clear" w:color="auto" w:fill="FFFFFF"/>
          <w:lang w:val="zh-CN" w:eastAsia="zh-CN"/>
        </w:rPr>
      </w:pP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1</w:t>
      </w:r>
      <w:r>
        <w:rPr>
          <w:rFonts w:hint="default" w:ascii="Times New Roman" w:hAnsi="Times New Roman" w:eastAsia="方正仿宋_GBK" w:cs="Times New Roman"/>
          <w:b/>
          <w:bCs/>
          <w:sz w:val="32"/>
          <w:szCs w:val="32"/>
          <w:highlight w:val="none"/>
          <w:lang w:val="zh-CN" w:eastAsia="zh-CN"/>
        </w:rPr>
        <w:t>）人均资产变化率。</w:t>
      </w:r>
      <w:r>
        <w:rPr>
          <w:rFonts w:hint="default" w:ascii="Times New Roman" w:hAnsi="Times New Roman" w:eastAsia="方正仿宋_GBK" w:cs="Times New Roman"/>
          <w:color w:val="auto"/>
          <w:kern w:val="0"/>
          <w:sz w:val="32"/>
          <w:szCs w:val="32"/>
          <w:highlight w:val="none"/>
          <w:shd w:val="clear" w:color="auto" w:fill="FFFFFF"/>
          <w:lang w:val="en-US" w:eastAsia="zh-CN"/>
        </w:rPr>
        <w:t>我办</w:t>
      </w:r>
      <w:r>
        <w:rPr>
          <w:rFonts w:hint="default" w:ascii="Times New Roman" w:hAnsi="Times New Roman" w:eastAsia="方正仿宋_GBK" w:cs="Times New Roman"/>
          <w:color w:val="auto"/>
          <w:kern w:val="0"/>
          <w:sz w:val="32"/>
          <w:szCs w:val="32"/>
          <w:highlight w:val="none"/>
          <w:shd w:val="clear" w:color="auto" w:fill="FFFFFF"/>
          <w:lang w:val="zh-CN" w:eastAsia="zh-CN"/>
        </w:rPr>
        <w:t>202</w:t>
      </w:r>
      <w:r>
        <w:rPr>
          <w:rFonts w:hint="default" w:ascii="Times New Roman" w:hAnsi="Times New Roman" w:eastAsia="方正仿宋_GBK" w:cs="Times New Roman"/>
          <w:color w:val="auto"/>
          <w:kern w:val="0"/>
          <w:sz w:val="32"/>
          <w:szCs w:val="32"/>
          <w:highlight w:val="none"/>
          <w:shd w:val="clear" w:color="auto" w:fill="FFFFFF"/>
          <w:lang w:val="en-US" w:eastAsia="zh-CN"/>
        </w:rPr>
        <w:t>5</w:t>
      </w:r>
      <w:r>
        <w:rPr>
          <w:rFonts w:hint="default" w:ascii="Times New Roman" w:hAnsi="Times New Roman" w:eastAsia="方正仿宋_GBK" w:cs="Times New Roman"/>
          <w:color w:val="auto"/>
          <w:kern w:val="0"/>
          <w:sz w:val="32"/>
          <w:szCs w:val="32"/>
          <w:highlight w:val="none"/>
          <w:shd w:val="clear" w:color="auto" w:fill="FFFFFF"/>
          <w:lang w:val="zh-CN" w:eastAsia="zh-CN"/>
        </w:rPr>
        <w:t>年末实有人数为</w:t>
      </w:r>
      <w:r>
        <w:rPr>
          <w:rFonts w:hint="default" w:ascii="Times New Roman" w:hAnsi="Times New Roman" w:eastAsia="方正仿宋_GBK" w:cs="Times New Roman"/>
          <w:color w:val="auto"/>
          <w:kern w:val="0"/>
          <w:sz w:val="32"/>
          <w:szCs w:val="32"/>
          <w:highlight w:val="none"/>
          <w:shd w:val="clear" w:color="auto" w:fill="FFFFFF"/>
          <w:lang w:val="en-US" w:eastAsia="zh-CN"/>
        </w:rPr>
        <w:t>28</w:t>
      </w:r>
      <w:r>
        <w:rPr>
          <w:rFonts w:hint="default" w:ascii="Times New Roman" w:hAnsi="Times New Roman" w:eastAsia="方正仿宋_GBK" w:cs="Times New Roman"/>
          <w:color w:val="auto"/>
          <w:kern w:val="0"/>
          <w:sz w:val="32"/>
          <w:szCs w:val="32"/>
          <w:highlight w:val="none"/>
          <w:shd w:val="clear" w:color="auto" w:fill="FFFFFF"/>
          <w:lang w:val="zh-CN" w:eastAsia="zh-CN"/>
        </w:rPr>
        <w:t>人，资产净值合计</w:t>
      </w:r>
      <w:r>
        <w:rPr>
          <w:rFonts w:hint="default" w:ascii="Times New Roman" w:hAnsi="Times New Roman" w:eastAsia="方正仿宋_GBK" w:cs="Times New Roman"/>
          <w:color w:val="auto"/>
          <w:kern w:val="0"/>
          <w:sz w:val="32"/>
          <w:szCs w:val="32"/>
          <w:highlight w:val="none"/>
          <w:shd w:val="clear" w:color="auto" w:fill="FFFFFF"/>
          <w:lang w:val="en-US" w:eastAsia="zh-CN"/>
        </w:rPr>
        <w:t>194.15万</w:t>
      </w:r>
      <w:r>
        <w:rPr>
          <w:rFonts w:hint="default" w:ascii="Times New Roman" w:hAnsi="Times New Roman" w:eastAsia="方正仿宋_GBK" w:cs="Times New Roman"/>
          <w:color w:val="auto"/>
          <w:kern w:val="0"/>
          <w:sz w:val="32"/>
          <w:szCs w:val="32"/>
          <w:highlight w:val="none"/>
          <w:shd w:val="clear" w:color="auto" w:fill="FFFFFF"/>
          <w:lang w:val="zh-CN" w:eastAsia="zh-CN"/>
        </w:rPr>
        <w:t>元；202</w:t>
      </w:r>
      <w:r>
        <w:rPr>
          <w:rFonts w:hint="default" w:ascii="Times New Roman" w:hAnsi="Times New Roman" w:eastAsia="方正仿宋_GBK" w:cs="Times New Roman"/>
          <w:color w:val="auto"/>
          <w:kern w:val="0"/>
          <w:sz w:val="32"/>
          <w:szCs w:val="32"/>
          <w:highlight w:val="none"/>
          <w:shd w:val="clear" w:color="auto" w:fill="FFFFFF"/>
          <w:lang w:val="en-US" w:eastAsia="zh-CN"/>
        </w:rPr>
        <w:t>4</w:t>
      </w:r>
      <w:r>
        <w:rPr>
          <w:rFonts w:hint="default" w:ascii="Times New Roman" w:hAnsi="Times New Roman" w:eastAsia="方正仿宋_GBK" w:cs="Times New Roman"/>
          <w:color w:val="auto"/>
          <w:kern w:val="0"/>
          <w:sz w:val="32"/>
          <w:szCs w:val="32"/>
          <w:highlight w:val="none"/>
          <w:shd w:val="clear" w:color="auto" w:fill="FFFFFF"/>
          <w:lang w:val="zh-CN" w:eastAsia="zh-CN"/>
        </w:rPr>
        <w:t>年末实有人数为</w:t>
      </w:r>
      <w:r>
        <w:rPr>
          <w:rFonts w:hint="default" w:ascii="Times New Roman" w:hAnsi="Times New Roman" w:eastAsia="方正仿宋_GBK" w:cs="Times New Roman"/>
          <w:color w:val="auto"/>
          <w:kern w:val="0"/>
          <w:sz w:val="32"/>
          <w:szCs w:val="32"/>
          <w:highlight w:val="none"/>
          <w:shd w:val="clear" w:color="auto" w:fill="FFFFFF"/>
          <w:lang w:val="en-US" w:eastAsia="zh-CN"/>
        </w:rPr>
        <w:t>24</w:t>
      </w:r>
      <w:r>
        <w:rPr>
          <w:rFonts w:hint="default" w:ascii="Times New Roman" w:hAnsi="Times New Roman" w:eastAsia="方正仿宋_GBK" w:cs="Times New Roman"/>
          <w:color w:val="auto"/>
          <w:kern w:val="0"/>
          <w:sz w:val="32"/>
          <w:szCs w:val="32"/>
          <w:highlight w:val="none"/>
          <w:shd w:val="clear" w:color="auto" w:fill="FFFFFF"/>
          <w:lang w:val="zh-CN" w:eastAsia="zh-CN"/>
        </w:rPr>
        <w:t>人，资产净值合计</w:t>
      </w:r>
      <w:r>
        <w:rPr>
          <w:rFonts w:hint="default" w:ascii="Times New Roman" w:hAnsi="Times New Roman" w:eastAsia="方正仿宋_GBK" w:cs="Times New Roman"/>
          <w:color w:val="auto"/>
          <w:kern w:val="0"/>
          <w:sz w:val="32"/>
          <w:szCs w:val="32"/>
          <w:highlight w:val="none"/>
          <w:shd w:val="clear" w:color="auto" w:fill="FFFFFF"/>
          <w:lang w:val="en-US" w:eastAsia="zh-CN"/>
        </w:rPr>
        <w:t>70.88万</w:t>
      </w:r>
      <w:r>
        <w:rPr>
          <w:rFonts w:hint="default" w:ascii="Times New Roman" w:hAnsi="Times New Roman" w:eastAsia="方正仿宋_GBK" w:cs="Times New Roman"/>
          <w:color w:val="auto"/>
          <w:kern w:val="0"/>
          <w:sz w:val="32"/>
          <w:szCs w:val="32"/>
          <w:highlight w:val="none"/>
          <w:shd w:val="clear" w:color="auto" w:fill="FFFFFF"/>
          <w:lang w:val="zh-CN" w:eastAsia="zh-CN"/>
        </w:rPr>
        <w:t>元。经计算</w:t>
      </w:r>
      <w:r>
        <w:rPr>
          <w:rFonts w:hint="default" w:ascii="Times New Roman" w:hAnsi="Times New Roman" w:eastAsia="方正仿宋_GBK" w:cs="Times New Roman"/>
          <w:color w:val="auto"/>
          <w:kern w:val="0"/>
          <w:sz w:val="32"/>
          <w:szCs w:val="32"/>
          <w:highlight w:val="none"/>
          <w:shd w:val="clear" w:color="auto" w:fill="FFFFFF"/>
          <w:lang w:val="en-US" w:eastAsia="zh-CN"/>
        </w:rPr>
        <w:t>2025年我办人均资产变化率134%，2025年州直行政事业单位人均资产变化率-3.49%，同期州级财政收入增长率为17.1%，我办人均资产变化率大于州直行政事业单位人均资产变化率和州级财政收入增长率，自评得分0.3分。</w:t>
      </w:r>
      <w:r>
        <w:rPr>
          <w:rFonts w:hint="default" w:ascii="Times New Roman" w:hAnsi="Times New Roman" w:eastAsia="方正仿宋_GBK" w:cs="Times New Roman"/>
          <w:b/>
          <w:bCs/>
          <w:color w:val="auto"/>
          <w:sz w:val="32"/>
          <w:szCs w:val="32"/>
          <w:highlight w:val="none"/>
          <w:lang w:val="zh-CN" w:eastAsia="zh-CN"/>
        </w:rPr>
        <w:t>（</w:t>
      </w:r>
      <w:r>
        <w:rPr>
          <w:rFonts w:hint="default" w:ascii="Times New Roman" w:hAnsi="Times New Roman" w:eastAsia="方正仿宋_GBK" w:cs="Times New Roman"/>
          <w:b/>
          <w:bCs/>
          <w:color w:val="auto"/>
          <w:sz w:val="32"/>
          <w:szCs w:val="32"/>
          <w:highlight w:val="none"/>
          <w:lang w:val="en-US" w:eastAsia="zh-CN"/>
        </w:rPr>
        <w:t>2</w:t>
      </w:r>
      <w:r>
        <w:rPr>
          <w:rFonts w:hint="default" w:ascii="Times New Roman" w:hAnsi="Times New Roman" w:eastAsia="方正仿宋_GBK" w:cs="Times New Roman"/>
          <w:b/>
          <w:bCs/>
          <w:color w:val="auto"/>
          <w:sz w:val="32"/>
          <w:szCs w:val="32"/>
          <w:highlight w:val="none"/>
          <w:lang w:val="zh-CN" w:eastAsia="zh-CN"/>
        </w:rPr>
        <w:t>）资产利用率。</w:t>
      </w:r>
      <w:r>
        <w:rPr>
          <w:rFonts w:hint="default" w:ascii="Times New Roman" w:hAnsi="Times New Roman" w:eastAsia="方正仿宋_GBK" w:cs="Times New Roman"/>
          <w:color w:val="auto"/>
          <w:kern w:val="0"/>
          <w:sz w:val="32"/>
          <w:szCs w:val="32"/>
          <w:highlight w:val="none"/>
          <w:shd w:val="clear" w:color="auto" w:fill="FFFFFF"/>
          <w:lang w:val="en-US" w:eastAsia="zh-CN"/>
        </w:rPr>
        <w:t>2025年</w:t>
      </w:r>
      <w:r>
        <w:rPr>
          <w:rFonts w:hint="default" w:ascii="Times New Roman" w:hAnsi="Times New Roman" w:eastAsia="方正仿宋_GBK" w:cs="Times New Roman"/>
          <w:color w:val="auto"/>
          <w:kern w:val="0"/>
          <w:sz w:val="32"/>
          <w:szCs w:val="32"/>
          <w:highlight w:val="none"/>
          <w:shd w:val="clear" w:color="auto" w:fill="FFFFFF"/>
          <w:lang w:val="zh-CN" w:eastAsia="zh-CN"/>
        </w:rPr>
        <w:t>我办办公家具账面价值为</w:t>
      </w:r>
      <w:r>
        <w:rPr>
          <w:rFonts w:hint="default" w:ascii="Times New Roman" w:hAnsi="Times New Roman" w:eastAsia="方正仿宋_GBK" w:cs="Times New Roman"/>
          <w:color w:val="auto"/>
          <w:kern w:val="0"/>
          <w:sz w:val="32"/>
          <w:szCs w:val="32"/>
          <w:highlight w:val="none"/>
          <w:shd w:val="clear" w:color="auto" w:fill="FFFFFF"/>
          <w:lang w:val="en-US" w:eastAsia="zh-CN"/>
        </w:rPr>
        <w:t>25.93万元，超最低使用年限的办公家具账面价值为0万元，</w:t>
      </w:r>
      <w:r>
        <w:rPr>
          <w:rFonts w:hint="default" w:ascii="Times New Roman" w:hAnsi="Times New Roman" w:eastAsia="方正仿宋_GBK" w:cs="Times New Roman"/>
          <w:color w:val="auto"/>
          <w:kern w:val="0"/>
          <w:sz w:val="32"/>
          <w:szCs w:val="32"/>
          <w:highlight w:val="none"/>
          <w:shd w:val="clear" w:color="auto" w:fill="FFFFFF"/>
          <w:lang w:val="zh-CN" w:eastAsia="zh-CN"/>
        </w:rPr>
        <w:t>经计算我单位办公家具超最低使用年限资产利用率为</w:t>
      </w:r>
      <w:r>
        <w:rPr>
          <w:rFonts w:hint="default" w:ascii="Times New Roman" w:hAnsi="Times New Roman" w:eastAsia="方正仿宋_GBK" w:cs="Times New Roman"/>
          <w:color w:val="auto"/>
          <w:kern w:val="0"/>
          <w:sz w:val="32"/>
          <w:szCs w:val="32"/>
          <w:highlight w:val="none"/>
          <w:shd w:val="clear" w:color="auto" w:fill="FFFFFF"/>
          <w:lang w:val="en-US" w:eastAsia="zh-CN"/>
        </w:rPr>
        <w:t>0%，</w:t>
      </w:r>
      <w:r>
        <w:rPr>
          <w:rFonts w:hint="default" w:ascii="Times New Roman" w:hAnsi="Times New Roman" w:eastAsia="方正仿宋_GBK" w:cs="Times New Roman"/>
          <w:color w:val="auto"/>
          <w:kern w:val="0"/>
          <w:sz w:val="32"/>
          <w:szCs w:val="32"/>
          <w:highlight w:val="none"/>
          <w:shd w:val="clear" w:color="auto" w:fill="FFFFFF"/>
          <w:lang w:val="zh-CN" w:eastAsia="zh-CN"/>
        </w:rPr>
        <w:t>办公家具州直行政事业单位平均值为</w:t>
      </w:r>
      <w:r>
        <w:rPr>
          <w:rFonts w:hint="default" w:ascii="Times New Roman" w:hAnsi="Times New Roman" w:eastAsia="方正仿宋_GBK" w:cs="Times New Roman"/>
          <w:color w:val="auto"/>
          <w:kern w:val="0"/>
          <w:sz w:val="32"/>
          <w:szCs w:val="32"/>
          <w:highlight w:val="none"/>
          <w:shd w:val="clear" w:color="auto" w:fill="FFFFFF"/>
          <w:lang w:val="en-US" w:eastAsia="zh-CN"/>
        </w:rPr>
        <w:t>12.93%，</w:t>
      </w:r>
      <w:r>
        <w:rPr>
          <w:rFonts w:hint="default" w:ascii="Times New Roman" w:hAnsi="Times New Roman" w:eastAsia="方正仿宋_GBK" w:cs="Times New Roman"/>
          <w:color w:val="auto"/>
          <w:kern w:val="0"/>
          <w:sz w:val="32"/>
          <w:szCs w:val="32"/>
          <w:highlight w:val="none"/>
          <w:shd w:val="clear" w:color="auto" w:fill="FFFFFF"/>
          <w:lang w:val="zh-CN" w:eastAsia="zh-CN"/>
        </w:rPr>
        <w:t>办公家具超最低使用年限资产利用率小于办公家具州直行政事业单位平均值，自评得分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0.3分；2025年</w:t>
      </w:r>
      <w:r>
        <w:rPr>
          <w:rFonts w:hint="default" w:ascii="Times New Roman" w:hAnsi="Times New Roman" w:eastAsia="仿宋_GB2312" w:cs="Times New Roman"/>
          <w:color w:val="auto"/>
          <w:sz w:val="32"/>
          <w:szCs w:val="32"/>
          <w:highlight w:val="none"/>
          <w:lang w:val="en-US" w:eastAsia="zh-CN" w:bidi="ar-SA"/>
        </w:rPr>
        <w:t>办公设备账面价值为229.48万元，超最低使用年限的办公设备账面价值为128.88万元，经计算我单位</w:t>
      </w:r>
      <w:r>
        <w:rPr>
          <w:rFonts w:hint="default" w:ascii="Times New Roman" w:hAnsi="Times New Roman" w:eastAsia="方正仿宋_GBK" w:cs="Times New Roman"/>
          <w:color w:val="auto"/>
          <w:kern w:val="0"/>
          <w:sz w:val="32"/>
          <w:szCs w:val="32"/>
          <w:highlight w:val="none"/>
          <w:shd w:val="clear" w:color="auto" w:fill="FFFFFF"/>
          <w:lang w:val="zh-CN" w:eastAsia="zh-CN"/>
        </w:rPr>
        <w:t>办公设备超最低使用年限资产利用率为</w:t>
      </w:r>
      <w:r>
        <w:rPr>
          <w:rFonts w:hint="default" w:ascii="Times New Roman" w:hAnsi="Times New Roman" w:eastAsia="方正仿宋_GBK" w:cs="Times New Roman"/>
          <w:color w:val="auto"/>
          <w:kern w:val="0"/>
          <w:sz w:val="32"/>
          <w:szCs w:val="32"/>
          <w:highlight w:val="none"/>
          <w:shd w:val="clear" w:color="auto" w:fill="FFFFFF"/>
          <w:lang w:val="en-US" w:eastAsia="zh-CN"/>
        </w:rPr>
        <w:t>56.16%，</w:t>
      </w:r>
      <w:r>
        <w:rPr>
          <w:rFonts w:hint="default" w:ascii="Times New Roman" w:hAnsi="Times New Roman" w:eastAsia="方正仿宋_GBK" w:cs="Times New Roman"/>
          <w:color w:val="auto"/>
          <w:kern w:val="0"/>
          <w:sz w:val="32"/>
          <w:szCs w:val="32"/>
          <w:highlight w:val="none"/>
          <w:shd w:val="clear" w:color="auto" w:fill="FFFFFF"/>
          <w:lang w:val="zh-CN" w:eastAsia="zh-CN"/>
        </w:rPr>
        <w:t>办公设备州直行政事业单位平均值为</w:t>
      </w:r>
      <w:r>
        <w:rPr>
          <w:rFonts w:hint="default" w:ascii="Times New Roman" w:hAnsi="Times New Roman" w:eastAsia="方正仿宋_GBK" w:cs="Times New Roman"/>
          <w:color w:val="auto"/>
          <w:kern w:val="0"/>
          <w:sz w:val="32"/>
          <w:szCs w:val="32"/>
          <w:highlight w:val="none"/>
          <w:shd w:val="clear" w:color="auto" w:fill="FFFFFF"/>
          <w:lang w:val="en-US" w:eastAsia="zh-CN"/>
        </w:rPr>
        <w:t>53.14%，</w:t>
      </w:r>
      <w:r>
        <w:rPr>
          <w:rFonts w:hint="default" w:ascii="Times New Roman" w:hAnsi="Times New Roman" w:eastAsia="方正仿宋_GBK" w:cs="Times New Roman"/>
          <w:color w:val="auto"/>
          <w:kern w:val="0"/>
          <w:sz w:val="32"/>
          <w:szCs w:val="32"/>
          <w:highlight w:val="none"/>
          <w:shd w:val="clear" w:color="auto" w:fill="FFFFFF"/>
          <w:lang w:val="zh-CN" w:eastAsia="zh-CN"/>
        </w:rPr>
        <w:t>办公设备超最低使用年限资产利用率大于办公设备州直行政事业单位平均值，自评得分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1.5分</w:t>
      </w:r>
      <w:r>
        <w:rPr>
          <w:rFonts w:hint="default" w:ascii="Times New Roman" w:hAnsi="Times New Roman" w:eastAsia="方正仿宋_GBK" w:cs="Times New Roman"/>
          <w:color w:val="auto"/>
          <w:kern w:val="0"/>
          <w:sz w:val="32"/>
          <w:szCs w:val="32"/>
          <w:highlight w:val="none"/>
          <w:shd w:val="clear" w:color="auto" w:fill="FFFFFF"/>
          <w:lang w:val="zh-CN" w:eastAsia="zh-CN"/>
        </w:rPr>
        <w:t>。</w:t>
      </w:r>
      <w:r>
        <w:rPr>
          <w:rFonts w:hint="default" w:ascii="Times New Roman" w:hAnsi="Times New Roman" w:eastAsia="方正仿宋_GBK" w:cs="Times New Roman"/>
          <w:b/>
          <w:bCs/>
          <w:color w:val="auto"/>
          <w:sz w:val="32"/>
          <w:szCs w:val="32"/>
          <w:highlight w:val="none"/>
          <w:lang w:val="zh-CN" w:eastAsia="zh-CN"/>
        </w:rPr>
        <w:t>（</w:t>
      </w:r>
      <w:r>
        <w:rPr>
          <w:rFonts w:hint="default" w:ascii="Times New Roman" w:hAnsi="Times New Roman" w:eastAsia="方正仿宋_GBK" w:cs="Times New Roman"/>
          <w:b/>
          <w:bCs/>
          <w:color w:val="auto"/>
          <w:sz w:val="32"/>
          <w:szCs w:val="32"/>
          <w:highlight w:val="none"/>
          <w:lang w:val="en-US" w:eastAsia="zh-CN"/>
        </w:rPr>
        <w:t>3</w:t>
      </w:r>
      <w:r>
        <w:rPr>
          <w:rFonts w:hint="default" w:ascii="Times New Roman" w:hAnsi="Times New Roman" w:eastAsia="方正仿宋_GBK" w:cs="Times New Roman"/>
          <w:b/>
          <w:bCs/>
          <w:color w:val="auto"/>
          <w:sz w:val="32"/>
          <w:szCs w:val="32"/>
          <w:highlight w:val="none"/>
          <w:lang w:val="zh-CN" w:eastAsia="zh-CN"/>
        </w:rPr>
        <w:t>）</w:t>
      </w:r>
      <w:r>
        <w:rPr>
          <w:rFonts w:hint="default" w:ascii="Times New Roman" w:hAnsi="Times New Roman" w:eastAsia="方正仿宋_GBK" w:cs="Times New Roman"/>
          <w:b/>
          <w:bCs/>
          <w:color w:val="auto"/>
          <w:kern w:val="0"/>
          <w:sz w:val="32"/>
          <w:szCs w:val="32"/>
          <w:highlight w:val="none"/>
          <w:shd w:val="clear" w:color="auto" w:fill="FFFFFF"/>
          <w:lang w:val="zh-CN"/>
        </w:rPr>
        <w:t>资产盘活率</w:t>
      </w:r>
      <w:r>
        <w:rPr>
          <w:rFonts w:hint="default" w:ascii="Times New Roman" w:hAnsi="Times New Roman" w:eastAsia="方正仿宋_GBK" w:cs="Times New Roman"/>
          <w:b/>
          <w:bCs/>
          <w:color w:val="auto"/>
          <w:kern w:val="0"/>
          <w:sz w:val="32"/>
          <w:szCs w:val="32"/>
          <w:highlight w:val="none"/>
          <w:shd w:val="clear" w:color="auto" w:fill="FFFFFF"/>
          <w:lang w:val="zh-CN" w:eastAsia="zh-CN"/>
        </w:rPr>
        <w:t>。</w:t>
      </w:r>
      <w:r>
        <w:rPr>
          <w:rFonts w:hint="default" w:ascii="Times New Roman" w:hAnsi="Times New Roman" w:eastAsia="方正仿宋_GBK" w:cs="Times New Roman"/>
          <w:color w:val="auto"/>
          <w:kern w:val="0"/>
          <w:sz w:val="32"/>
          <w:szCs w:val="32"/>
          <w:highlight w:val="none"/>
          <w:shd w:val="clear" w:color="auto" w:fill="FFFFFF"/>
          <w:lang w:val="en-US" w:eastAsia="zh-CN"/>
        </w:rPr>
        <w:t>2025年我办</w:t>
      </w:r>
      <w:r>
        <w:rPr>
          <w:rFonts w:hint="default" w:ascii="Times New Roman" w:hAnsi="Times New Roman" w:eastAsia="方正仿宋_GBK" w:cs="Times New Roman"/>
          <w:color w:val="auto"/>
          <w:kern w:val="0"/>
          <w:sz w:val="32"/>
          <w:szCs w:val="32"/>
          <w:highlight w:val="none"/>
          <w:shd w:val="clear" w:color="auto" w:fill="FFFFFF"/>
          <w:lang w:val="zh-CN" w:eastAsia="zh-CN"/>
        </w:rPr>
        <w:t>无闲置资产，自评得分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3分</w:t>
      </w:r>
      <w:r>
        <w:rPr>
          <w:rFonts w:hint="default" w:ascii="Times New Roman" w:hAnsi="Times New Roman" w:eastAsia="方正仿宋_GBK" w:cs="Times New Roman"/>
          <w:color w:val="auto"/>
          <w:kern w:val="0"/>
          <w:sz w:val="32"/>
          <w:szCs w:val="32"/>
          <w:highlight w:val="none"/>
          <w:shd w:val="clear" w:color="auto" w:fill="FFFFFF"/>
          <w:lang w:val="zh-CN" w:eastAsia="zh-CN"/>
        </w:rPr>
        <w:t>。</w:t>
      </w:r>
    </w:p>
    <w:p w14:paraId="63CA4912">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b/>
          <w:bCs/>
          <w:color w:val="000000"/>
          <w:kern w:val="0"/>
          <w:sz w:val="32"/>
          <w:szCs w:val="32"/>
          <w:highlight w:val="none"/>
          <w:shd w:val="clear" w:color="auto" w:fill="FFFFFF"/>
          <w:lang w:val="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5.</w:t>
      </w:r>
      <w:r>
        <w:rPr>
          <w:rFonts w:hint="default" w:ascii="Times New Roman" w:hAnsi="Times New Roman" w:eastAsia="方正仿宋_GBK" w:cs="Times New Roman"/>
          <w:b/>
          <w:bCs/>
          <w:color w:val="000000"/>
          <w:kern w:val="0"/>
          <w:sz w:val="32"/>
          <w:szCs w:val="32"/>
          <w:highlight w:val="none"/>
          <w:shd w:val="clear" w:color="auto" w:fill="FFFFFF"/>
          <w:lang w:val="zh-CN"/>
        </w:rPr>
        <w:t>采购管理。（</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6分</w:t>
      </w:r>
      <w:r>
        <w:rPr>
          <w:rFonts w:hint="default" w:ascii="Times New Roman" w:hAnsi="Times New Roman" w:eastAsia="方正仿宋_GBK" w:cs="Times New Roman"/>
          <w:b/>
          <w:bCs/>
          <w:color w:val="000000"/>
          <w:kern w:val="0"/>
          <w:sz w:val="32"/>
          <w:szCs w:val="32"/>
          <w:highlight w:val="none"/>
          <w:shd w:val="clear" w:color="auto" w:fill="FFFFFF"/>
          <w:lang w:val="zh-CN"/>
        </w:rPr>
        <w:t>）</w:t>
      </w:r>
    </w:p>
    <w:p w14:paraId="01D3AF25">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cs="Times New Roman"/>
          <w:color w:val="auto"/>
          <w:sz w:val="32"/>
          <w:szCs w:val="32"/>
          <w:highlight w:val="none"/>
          <w:lang w:val="en-US" w:eastAsia="zh-CN" w:bidi="ar-SA"/>
        </w:rPr>
      </w:pP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color w:val="auto"/>
          <w:sz w:val="32"/>
          <w:szCs w:val="32"/>
          <w:highlight w:val="none"/>
          <w:lang w:val="en-US" w:eastAsia="zh-CN"/>
        </w:rPr>
        <w:t>1</w:t>
      </w:r>
      <w:r>
        <w:rPr>
          <w:rFonts w:hint="default" w:ascii="Times New Roman" w:hAnsi="Times New Roman" w:eastAsia="方正仿宋_GBK" w:cs="Times New Roman"/>
          <w:b/>
          <w:bCs/>
          <w:color w:val="auto"/>
          <w:sz w:val="32"/>
          <w:szCs w:val="32"/>
          <w:highlight w:val="none"/>
          <w:lang w:val="zh-CN" w:eastAsia="zh-CN"/>
        </w:rPr>
        <w:t>）支持中小企业发展。</w:t>
      </w:r>
      <w:r>
        <w:rPr>
          <w:rFonts w:hint="default" w:ascii="Times New Roman" w:hAnsi="Times New Roman" w:eastAsia="方正仿宋_GBK" w:cs="Times New Roman"/>
          <w:color w:val="auto"/>
          <w:kern w:val="0"/>
          <w:sz w:val="32"/>
          <w:szCs w:val="32"/>
          <w:highlight w:val="none"/>
          <w:shd w:val="clear" w:color="auto" w:fill="FFFFFF"/>
          <w:lang w:val="zh-CN"/>
        </w:rPr>
        <w:t>我办严格执行政府采购促进中小企业发展相关管理办法，对</w:t>
      </w:r>
      <w:r>
        <w:rPr>
          <w:rFonts w:hint="default" w:ascii="Times New Roman" w:hAnsi="Times New Roman" w:eastAsia="仿宋_GB2312" w:cs="Times New Roman"/>
          <w:b w:val="0"/>
          <w:bCs w:val="0"/>
          <w:color w:val="000000"/>
          <w:kern w:val="0"/>
          <w:sz w:val="32"/>
          <w:szCs w:val="32"/>
          <w:highlight w:val="none"/>
          <w:lang w:val="zh-CN" w:eastAsia="zh-CN" w:bidi="ar"/>
        </w:rPr>
        <w:t>适宜由中小企业提供的采购项目和采购包，预留采购份额专门面向中小企业采购，并在采购预算中单独列示，</w:t>
      </w:r>
      <w:r>
        <w:rPr>
          <w:rFonts w:hint="default" w:ascii="Times New Roman" w:hAnsi="Times New Roman" w:eastAsia="方正仿宋_GBK" w:cs="Times New Roman"/>
          <w:color w:val="auto"/>
          <w:kern w:val="0"/>
          <w:sz w:val="32"/>
          <w:szCs w:val="32"/>
          <w:highlight w:val="none"/>
          <w:shd w:val="clear" w:color="auto" w:fill="FFFFFF"/>
          <w:lang w:val="zh-CN"/>
        </w:rPr>
        <w:t>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3分。</w:t>
      </w:r>
      <w:r>
        <w:rPr>
          <w:rFonts w:hint="default" w:ascii="Times New Roman" w:hAnsi="Times New Roman" w:eastAsia="方正仿宋_GBK" w:cs="Times New Roman"/>
          <w:b/>
          <w:bCs/>
          <w:color w:val="auto"/>
          <w:sz w:val="32"/>
          <w:szCs w:val="32"/>
          <w:highlight w:val="none"/>
          <w:lang w:val="zh-CN" w:eastAsia="zh-CN"/>
        </w:rPr>
        <w:t>（</w:t>
      </w:r>
      <w:r>
        <w:rPr>
          <w:rFonts w:hint="default" w:ascii="Times New Roman" w:hAnsi="Times New Roman" w:eastAsia="方正仿宋_GBK" w:cs="Times New Roman"/>
          <w:b/>
          <w:bCs/>
          <w:color w:val="auto"/>
          <w:sz w:val="32"/>
          <w:szCs w:val="32"/>
          <w:highlight w:val="none"/>
          <w:lang w:val="en-US" w:eastAsia="zh-CN"/>
        </w:rPr>
        <w:t>2</w:t>
      </w:r>
      <w:r>
        <w:rPr>
          <w:rFonts w:hint="default" w:ascii="Times New Roman" w:hAnsi="Times New Roman" w:eastAsia="方正仿宋_GBK" w:cs="Times New Roman"/>
          <w:b/>
          <w:bCs/>
          <w:color w:val="auto"/>
          <w:sz w:val="32"/>
          <w:szCs w:val="32"/>
          <w:highlight w:val="none"/>
          <w:lang w:val="zh-CN" w:eastAsia="zh-CN"/>
        </w:rPr>
        <w:t>）采购执行率。</w:t>
      </w:r>
      <w:r>
        <w:rPr>
          <w:rFonts w:hint="default" w:ascii="Times New Roman" w:hAnsi="Times New Roman" w:eastAsia="方正仿宋_GBK" w:cs="Times New Roman"/>
          <w:color w:val="auto"/>
          <w:kern w:val="0"/>
          <w:sz w:val="32"/>
          <w:szCs w:val="32"/>
          <w:highlight w:val="none"/>
          <w:shd w:val="clear" w:color="auto" w:fill="FFFFFF"/>
          <w:lang w:val="en-US" w:eastAsia="zh-CN"/>
        </w:rPr>
        <w:t>我办2025年度政府采购总预算数1.94万元，主要用于公务车</w:t>
      </w:r>
      <w:r>
        <w:rPr>
          <w:rFonts w:hint="default" w:ascii="Times New Roman" w:hAnsi="Times New Roman" w:eastAsia="仿宋_GB2312" w:cs="Times New Roman"/>
          <w:color w:val="auto"/>
          <w:sz w:val="32"/>
          <w:szCs w:val="32"/>
          <w:highlight w:val="none"/>
          <w:lang w:val="zh-CN" w:eastAsia="zh-CN" w:bidi="ar-SA"/>
        </w:rPr>
        <w:t>日常维修保养、车辆保险，</w:t>
      </w:r>
      <w:r>
        <w:rPr>
          <w:rFonts w:hint="default" w:ascii="Times New Roman" w:hAnsi="Times New Roman" w:eastAsia="方正仿宋_GBK" w:cs="Times New Roman"/>
          <w:color w:val="auto"/>
          <w:kern w:val="0"/>
          <w:sz w:val="32"/>
          <w:szCs w:val="32"/>
          <w:highlight w:val="none"/>
          <w:shd w:val="clear" w:color="auto" w:fill="FFFFFF"/>
          <w:lang w:val="en-US" w:eastAsia="zh-CN"/>
        </w:rPr>
        <w:t>当年政府采购实际支付数1.94万元，采购执行率为100%，</w:t>
      </w:r>
      <w:r>
        <w:rPr>
          <w:rFonts w:hint="default" w:ascii="Times New Roman" w:hAnsi="Times New Roman" w:eastAsia="方正仿宋_GBK" w:cs="Times New Roman"/>
          <w:color w:val="auto"/>
          <w:kern w:val="0"/>
          <w:sz w:val="32"/>
          <w:szCs w:val="32"/>
          <w:highlight w:val="none"/>
          <w:shd w:val="clear" w:color="auto" w:fill="FFFFFF"/>
          <w:lang w:val="zh-CN"/>
        </w:rPr>
        <w:t>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3分。</w:t>
      </w:r>
    </w:p>
    <w:p w14:paraId="361BEFFA">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en-US" w:eastAsia="zh-CN"/>
        </w:rPr>
      </w:pPr>
      <w:r>
        <w:rPr>
          <w:rFonts w:hint="default" w:ascii="Times New Roman" w:hAnsi="Times New Roman" w:eastAsia="方正楷体_GBK" w:cs="Times New Roman"/>
          <w:b/>
          <w:bCs/>
          <w:color w:val="auto"/>
          <w:kern w:val="0"/>
          <w:sz w:val="32"/>
          <w:szCs w:val="32"/>
          <w:highlight w:val="none"/>
          <w:lang w:val="zh-CN" w:eastAsia="zh-CN" w:bidi="ar-SA"/>
        </w:rPr>
        <w:t>（二）部门预算项目绩效分析。</w:t>
      </w:r>
    </w:p>
    <w:p w14:paraId="2C5E67D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常年项目绩效分析。</w:t>
      </w:r>
      <w:r>
        <w:rPr>
          <w:rFonts w:hint="default" w:ascii="Times New Roman" w:hAnsi="Times New Roman" w:eastAsia="方正仿宋_GBK" w:cs="Times New Roman"/>
          <w:color w:val="000000"/>
          <w:kern w:val="0"/>
          <w:sz w:val="32"/>
          <w:szCs w:val="32"/>
          <w:highlight w:val="none"/>
          <w:shd w:val="clear" w:color="auto" w:fill="FFFFFF"/>
          <w:lang w:val="zh-CN" w:eastAsia="zh-CN"/>
        </w:rPr>
        <w:t>该类项目总数</w:t>
      </w:r>
      <w:r>
        <w:rPr>
          <w:rFonts w:hint="default" w:ascii="Times New Roman" w:hAnsi="Times New Roman" w:eastAsia="方正仿宋_GBK" w:cs="Times New Roman"/>
          <w:color w:val="000000"/>
          <w:kern w:val="0"/>
          <w:sz w:val="32"/>
          <w:szCs w:val="32"/>
          <w:highlight w:val="none"/>
          <w:shd w:val="clear" w:color="auto" w:fill="FFFFFF"/>
          <w:lang w:val="en-US" w:eastAsia="zh-CN"/>
        </w:rPr>
        <w:t>3</w:t>
      </w:r>
      <w:r>
        <w:rPr>
          <w:rFonts w:hint="default" w:ascii="Times New Roman" w:hAnsi="Times New Roman" w:eastAsia="方正仿宋_GBK"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方正仿宋_GBK" w:cs="Times New Roman"/>
          <w:color w:val="000000"/>
          <w:kern w:val="0"/>
          <w:sz w:val="32"/>
          <w:szCs w:val="32"/>
          <w:highlight w:val="none"/>
          <w:shd w:val="clear" w:color="auto" w:fill="FFFFFF"/>
          <w:lang w:val="en-US" w:eastAsia="zh-CN"/>
        </w:rPr>
        <w:t xml:space="preserve">   24</w:t>
      </w:r>
      <w:r>
        <w:rPr>
          <w:rFonts w:hint="default" w:ascii="Times New Roman" w:hAnsi="Times New Roman" w:eastAsia="方正仿宋_GBK" w:cs="Times New Roman"/>
          <w:color w:val="000000"/>
          <w:kern w:val="0"/>
          <w:sz w:val="32"/>
          <w:szCs w:val="32"/>
          <w:highlight w:val="none"/>
          <w:shd w:val="clear" w:color="auto" w:fill="FFFFFF"/>
          <w:lang w:val="zh-CN" w:eastAsia="zh-CN"/>
        </w:rPr>
        <w:t>万元，</w:t>
      </w:r>
      <w:r>
        <w:rPr>
          <w:rFonts w:hint="default" w:ascii="Times New Roman" w:hAnsi="Times New Roman" w:eastAsia="方正仿宋_GBK" w:cs="Times New Roman"/>
          <w:color w:val="000000"/>
          <w:kern w:val="0"/>
          <w:sz w:val="32"/>
          <w:szCs w:val="32"/>
          <w:highlight w:val="none"/>
          <w:shd w:val="clear" w:color="auto" w:fill="FFFFFF"/>
          <w:lang w:val="zh-CN"/>
        </w:rPr>
        <w:t>1</w:t>
      </w:r>
      <w:r>
        <w:rPr>
          <w:rFonts w:hint="default" w:ascii="Times New Roman" w:hAnsi="Times New Roman" w:eastAsia="方正仿宋_GBK" w:cs="Times New Roman"/>
          <w:color w:val="000000"/>
          <w:kern w:val="0"/>
          <w:sz w:val="32"/>
          <w:szCs w:val="32"/>
          <w:highlight w:val="none"/>
          <w:shd w:val="clear" w:color="auto" w:fill="FFFFFF"/>
          <w:lang w:val="zh-CN" w:eastAsia="zh-CN"/>
        </w:rPr>
        <w:t>—</w:t>
      </w:r>
      <w:r>
        <w:rPr>
          <w:rFonts w:hint="default" w:ascii="Times New Roman" w:hAnsi="Times New Roman" w:eastAsia="方正仿宋_GBK" w:cs="Times New Roman"/>
          <w:color w:val="000000"/>
          <w:kern w:val="0"/>
          <w:sz w:val="32"/>
          <w:szCs w:val="32"/>
          <w:highlight w:val="none"/>
          <w:shd w:val="clear" w:color="auto" w:fill="FFFFFF"/>
          <w:lang w:val="zh-CN"/>
        </w:rPr>
        <w:t>1</w:t>
      </w:r>
      <w:r>
        <w:rPr>
          <w:rFonts w:hint="default" w:ascii="Times New Roman" w:hAnsi="Times New Roman" w:eastAsia="方正仿宋_GBK" w:cs="Times New Roman"/>
          <w:color w:val="000000"/>
          <w:kern w:val="0"/>
          <w:sz w:val="32"/>
          <w:szCs w:val="32"/>
          <w:highlight w:val="none"/>
          <w:shd w:val="clear" w:color="auto" w:fill="FFFFFF"/>
          <w:lang w:val="en-US" w:eastAsia="zh-CN"/>
        </w:rPr>
        <w:t>2</w:t>
      </w:r>
      <w:r>
        <w:rPr>
          <w:rFonts w:hint="default" w:ascii="Times New Roman" w:hAnsi="Times New Roman" w:eastAsia="方正仿宋_GBK" w:cs="Times New Roman"/>
          <w:color w:val="000000"/>
          <w:kern w:val="0"/>
          <w:sz w:val="32"/>
          <w:szCs w:val="32"/>
          <w:highlight w:val="none"/>
          <w:shd w:val="clear" w:color="auto" w:fill="FFFFFF"/>
          <w:lang w:val="zh-CN"/>
        </w:rPr>
        <w:t>月预算执行总体进度为</w:t>
      </w:r>
      <w:r>
        <w:rPr>
          <w:rFonts w:hint="default" w:ascii="Times New Roman" w:hAnsi="Times New Roman" w:eastAsia="方正仿宋_GBK" w:cs="Times New Roman"/>
          <w:color w:val="000000"/>
          <w:kern w:val="0"/>
          <w:sz w:val="32"/>
          <w:szCs w:val="32"/>
          <w:highlight w:val="none"/>
          <w:shd w:val="clear" w:color="auto" w:fill="FFFFFF"/>
          <w:lang w:val="en-US" w:eastAsia="zh-CN"/>
        </w:rPr>
        <w:t>71.63</w:t>
      </w:r>
      <w:r>
        <w:rPr>
          <w:rFonts w:hint="default" w:ascii="Times New Roman" w:hAnsi="Times New Roman" w:eastAsia="方正仿宋_GBK" w:cs="Times New Roman"/>
          <w:color w:val="000000"/>
          <w:kern w:val="0"/>
          <w:sz w:val="32"/>
          <w:szCs w:val="32"/>
          <w:highlight w:val="none"/>
          <w:shd w:val="clear" w:color="auto" w:fill="FFFFFF"/>
          <w:lang w:val="zh-CN"/>
        </w:rPr>
        <w:t>%，其中：</w:t>
      </w:r>
      <w:r>
        <w:rPr>
          <w:rFonts w:hint="default" w:ascii="Times New Roman" w:hAnsi="Times New Roman" w:eastAsia="方正仿宋_GBK" w:cs="Times New Roman"/>
          <w:color w:val="000000"/>
          <w:kern w:val="0"/>
          <w:sz w:val="32"/>
          <w:szCs w:val="32"/>
          <w:highlight w:val="none"/>
          <w:shd w:val="clear" w:color="auto" w:fill="FFFFFF"/>
          <w:lang w:val="zh-CN" w:eastAsia="zh-CN"/>
        </w:rPr>
        <w:t>预算结余率大于</w:t>
      </w:r>
      <w:r>
        <w:rPr>
          <w:rFonts w:hint="default" w:ascii="Times New Roman" w:hAnsi="Times New Roman" w:eastAsia="方正仿宋_GBK" w:cs="Times New Roman"/>
          <w:color w:val="000000"/>
          <w:kern w:val="0"/>
          <w:sz w:val="32"/>
          <w:szCs w:val="32"/>
          <w:highlight w:val="none"/>
          <w:shd w:val="clear" w:color="auto" w:fill="FFFFFF"/>
          <w:lang w:val="en-US" w:eastAsia="zh-CN"/>
        </w:rPr>
        <w:t>10%</w:t>
      </w:r>
      <w:r>
        <w:rPr>
          <w:rFonts w:hint="default" w:ascii="Times New Roman" w:hAnsi="Times New Roman" w:eastAsia="方正仿宋_GBK" w:cs="Times New Roman"/>
          <w:color w:val="000000"/>
          <w:kern w:val="0"/>
          <w:sz w:val="32"/>
          <w:szCs w:val="32"/>
          <w:highlight w:val="none"/>
          <w:shd w:val="clear" w:color="auto" w:fill="FFFFFF"/>
          <w:lang w:val="zh-CN" w:eastAsia="zh-CN"/>
        </w:rPr>
        <w:t>的项目共计</w:t>
      </w:r>
      <w:r>
        <w:rPr>
          <w:rFonts w:hint="default" w:ascii="Times New Roman" w:hAnsi="Times New Roman" w:eastAsia="方正仿宋_GBK" w:cs="Times New Roman"/>
          <w:color w:val="000000"/>
          <w:kern w:val="0"/>
          <w:sz w:val="32"/>
          <w:szCs w:val="32"/>
          <w:highlight w:val="none"/>
          <w:shd w:val="clear" w:color="auto" w:fill="FFFFFF"/>
          <w:lang w:val="en-US" w:eastAsia="zh-CN"/>
        </w:rPr>
        <w:t>1</w:t>
      </w:r>
      <w:r>
        <w:rPr>
          <w:rFonts w:hint="default" w:ascii="Times New Roman" w:hAnsi="Times New Roman" w:eastAsia="方正仿宋_GBK" w:cs="Times New Roman"/>
          <w:color w:val="000000"/>
          <w:kern w:val="0"/>
          <w:sz w:val="32"/>
          <w:szCs w:val="32"/>
          <w:highlight w:val="none"/>
          <w:shd w:val="clear" w:color="auto" w:fill="FFFFFF"/>
          <w:lang w:val="zh-CN" w:eastAsia="zh-CN"/>
        </w:rPr>
        <w:t>个。</w:t>
      </w:r>
    </w:p>
    <w:p w14:paraId="08453DC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阶段（一次性）项目绩效分析。</w:t>
      </w:r>
      <w:r>
        <w:rPr>
          <w:rFonts w:hint="default" w:ascii="Times New Roman" w:hAnsi="Times New Roman" w:eastAsia="方正仿宋_GBK" w:cs="Times New Roman"/>
          <w:color w:val="000000"/>
          <w:kern w:val="0"/>
          <w:sz w:val="32"/>
          <w:szCs w:val="32"/>
          <w:highlight w:val="none"/>
          <w:shd w:val="clear" w:color="auto" w:fill="FFFFFF"/>
          <w:lang w:val="zh-CN" w:eastAsia="zh-CN"/>
        </w:rPr>
        <w:t>该类项目总数</w:t>
      </w:r>
      <w:r>
        <w:rPr>
          <w:rFonts w:hint="default" w:ascii="Times New Roman" w:hAnsi="Times New Roman" w:eastAsia="方正仿宋_GBK" w:cs="Times New Roman"/>
          <w:color w:val="000000"/>
          <w:kern w:val="0"/>
          <w:sz w:val="32"/>
          <w:szCs w:val="32"/>
          <w:highlight w:val="none"/>
          <w:shd w:val="clear" w:color="auto" w:fill="FFFFFF"/>
          <w:lang w:val="en-US" w:eastAsia="zh-CN"/>
        </w:rPr>
        <w:t>4</w:t>
      </w:r>
      <w:r>
        <w:rPr>
          <w:rFonts w:hint="default" w:ascii="Times New Roman" w:hAnsi="Times New Roman" w:eastAsia="方正仿宋_GBK"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方正仿宋_GBK" w:cs="Times New Roman"/>
          <w:color w:val="000000"/>
          <w:kern w:val="0"/>
          <w:sz w:val="32"/>
          <w:szCs w:val="32"/>
          <w:highlight w:val="none"/>
          <w:shd w:val="clear" w:color="auto" w:fill="FFFFFF"/>
          <w:lang w:val="en-US" w:eastAsia="zh-CN"/>
        </w:rPr>
        <w:t>48</w:t>
      </w:r>
      <w:r>
        <w:rPr>
          <w:rFonts w:hint="default" w:ascii="Times New Roman" w:hAnsi="Times New Roman" w:eastAsia="方正仿宋_GBK" w:cs="Times New Roman"/>
          <w:color w:val="000000"/>
          <w:kern w:val="0"/>
          <w:sz w:val="32"/>
          <w:szCs w:val="32"/>
          <w:highlight w:val="none"/>
          <w:shd w:val="clear" w:color="auto" w:fill="FFFFFF"/>
          <w:lang w:val="zh-CN" w:eastAsia="zh-CN"/>
        </w:rPr>
        <w:t>万元，</w:t>
      </w:r>
      <w:r>
        <w:rPr>
          <w:rFonts w:hint="default" w:ascii="Times New Roman" w:hAnsi="Times New Roman" w:eastAsia="方正仿宋_GBK" w:cs="Times New Roman"/>
          <w:color w:val="000000"/>
          <w:kern w:val="0"/>
          <w:sz w:val="32"/>
          <w:szCs w:val="32"/>
          <w:highlight w:val="none"/>
          <w:shd w:val="clear" w:color="auto" w:fill="FFFFFF"/>
          <w:lang w:val="zh-CN"/>
        </w:rPr>
        <w:t>1</w:t>
      </w:r>
      <w:r>
        <w:rPr>
          <w:rFonts w:hint="default" w:ascii="Times New Roman" w:hAnsi="Times New Roman" w:eastAsia="方正仿宋_GBK" w:cs="Times New Roman"/>
          <w:color w:val="000000"/>
          <w:kern w:val="0"/>
          <w:sz w:val="32"/>
          <w:szCs w:val="32"/>
          <w:highlight w:val="none"/>
          <w:shd w:val="clear" w:color="auto" w:fill="FFFFFF"/>
          <w:lang w:val="zh-CN" w:eastAsia="zh-CN"/>
        </w:rPr>
        <w:t>—</w:t>
      </w:r>
      <w:r>
        <w:rPr>
          <w:rFonts w:hint="default" w:ascii="Times New Roman" w:hAnsi="Times New Roman" w:eastAsia="方正仿宋_GBK" w:cs="Times New Roman"/>
          <w:color w:val="000000"/>
          <w:kern w:val="0"/>
          <w:sz w:val="32"/>
          <w:szCs w:val="32"/>
          <w:highlight w:val="none"/>
          <w:shd w:val="clear" w:color="auto" w:fill="FFFFFF"/>
          <w:lang w:val="zh-CN"/>
        </w:rPr>
        <w:t>1</w:t>
      </w:r>
      <w:r>
        <w:rPr>
          <w:rFonts w:hint="default" w:ascii="Times New Roman" w:hAnsi="Times New Roman" w:eastAsia="方正仿宋_GBK" w:cs="Times New Roman"/>
          <w:color w:val="000000"/>
          <w:kern w:val="0"/>
          <w:sz w:val="32"/>
          <w:szCs w:val="32"/>
          <w:highlight w:val="none"/>
          <w:shd w:val="clear" w:color="auto" w:fill="FFFFFF"/>
          <w:lang w:val="en-US" w:eastAsia="zh-CN"/>
        </w:rPr>
        <w:t>2</w:t>
      </w:r>
      <w:r>
        <w:rPr>
          <w:rFonts w:hint="default" w:ascii="Times New Roman" w:hAnsi="Times New Roman" w:eastAsia="方正仿宋_GBK" w:cs="Times New Roman"/>
          <w:color w:val="000000"/>
          <w:kern w:val="0"/>
          <w:sz w:val="32"/>
          <w:szCs w:val="32"/>
          <w:highlight w:val="none"/>
          <w:shd w:val="clear" w:color="auto" w:fill="FFFFFF"/>
          <w:lang w:val="zh-CN"/>
        </w:rPr>
        <w:t>月预算执行总体进度为</w:t>
      </w:r>
      <w:r>
        <w:rPr>
          <w:rFonts w:hint="default" w:ascii="Times New Roman" w:hAnsi="Times New Roman" w:eastAsia="方正仿宋_GBK" w:cs="Times New Roman"/>
          <w:color w:val="000000"/>
          <w:kern w:val="0"/>
          <w:sz w:val="32"/>
          <w:szCs w:val="32"/>
          <w:highlight w:val="none"/>
          <w:shd w:val="clear" w:color="auto" w:fill="FFFFFF"/>
          <w:lang w:val="en-US" w:eastAsia="zh-CN"/>
        </w:rPr>
        <w:t>96.12</w:t>
      </w:r>
      <w:r>
        <w:rPr>
          <w:rFonts w:hint="default" w:ascii="Times New Roman" w:hAnsi="Times New Roman" w:eastAsia="方正仿宋_GBK" w:cs="Times New Roman"/>
          <w:color w:val="000000"/>
          <w:kern w:val="0"/>
          <w:sz w:val="32"/>
          <w:szCs w:val="32"/>
          <w:highlight w:val="none"/>
          <w:shd w:val="clear" w:color="auto" w:fill="FFFFFF"/>
          <w:lang w:val="zh-CN"/>
        </w:rPr>
        <w:t>%，其中：</w:t>
      </w:r>
      <w:r>
        <w:rPr>
          <w:rFonts w:hint="default" w:ascii="Times New Roman" w:hAnsi="Times New Roman" w:eastAsia="方正仿宋_GBK" w:cs="Times New Roman"/>
          <w:color w:val="000000"/>
          <w:kern w:val="0"/>
          <w:sz w:val="32"/>
          <w:szCs w:val="32"/>
          <w:highlight w:val="none"/>
          <w:shd w:val="clear" w:color="auto" w:fill="FFFFFF"/>
          <w:lang w:val="zh-CN" w:eastAsia="zh-CN"/>
        </w:rPr>
        <w:t>预算结余率大于</w:t>
      </w:r>
      <w:r>
        <w:rPr>
          <w:rFonts w:hint="default" w:ascii="Times New Roman" w:hAnsi="Times New Roman" w:eastAsia="方正仿宋_GBK" w:cs="Times New Roman"/>
          <w:color w:val="000000"/>
          <w:kern w:val="0"/>
          <w:sz w:val="32"/>
          <w:szCs w:val="32"/>
          <w:highlight w:val="none"/>
          <w:shd w:val="clear" w:color="auto" w:fill="FFFFFF"/>
          <w:lang w:val="en-US" w:eastAsia="zh-CN"/>
        </w:rPr>
        <w:t>10%</w:t>
      </w:r>
      <w:r>
        <w:rPr>
          <w:rFonts w:hint="default" w:ascii="Times New Roman" w:hAnsi="Times New Roman" w:eastAsia="方正仿宋_GBK" w:cs="Times New Roman"/>
          <w:color w:val="000000"/>
          <w:kern w:val="0"/>
          <w:sz w:val="32"/>
          <w:szCs w:val="32"/>
          <w:highlight w:val="none"/>
          <w:shd w:val="clear" w:color="auto" w:fill="FFFFFF"/>
          <w:lang w:val="zh-CN" w:eastAsia="zh-CN"/>
        </w:rPr>
        <w:t>的项目共计</w:t>
      </w:r>
      <w:r>
        <w:rPr>
          <w:rFonts w:hint="default" w:ascii="Times New Roman" w:hAnsi="Times New Roman" w:eastAsia="方正仿宋_GBK" w:cs="Times New Roman"/>
          <w:color w:val="000000"/>
          <w:kern w:val="0"/>
          <w:sz w:val="32"/>
          <w:szCs w:val="32"/>
          <w:highlight w:val="none"/>
          <w:shd w:val="clear" w:color="auto" w:fill="FFFFFF"/>
          <w:lang w:val="en-US" w:eastAsia="zh-CN"/>
        </w:rPr>
        <w:t>0</w:t>
      </w:r>
      <w:r>
        <w:rPr>
          <w:rFonts w:hint="default" w:ascii="Times New Roman" w:hAnsi="Times New Roman" w:eastAsia="方正仿宋_GBK" w:cs="Times New Roman"/>
          <w:color w:val="000000"/>
          <w:kern w:val="0"/>
          <w:sz w:val="32"/>
          <w:szCs w:val="32"/>
          <w:highlight w:val="none"/>
          <w:shd w:val="clear" w:color="auto" w:fill="FFFFFF"/>
          <w:lang w:val="zh-CN" w:eastAsia="zh-CN"/>
        </w:rPr>
        <w:t>个。</w:t>
      </w:r>
    </w:p>
    <w:p w14:paraId="3BB65CBB">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b/>
          <w:bCs/>
          <w:color w:val="000000"/>
          <w:kern w:val="0"/>
          <w:sz w:val="32"/>
          <w:szCs w:val="32"/>
          <w:highlight w:val="none"/>
          <w:shd w:val="clear" w:color="auto" w:fill="FFFFFF"/>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1.</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项目决策。（</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12</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分）</w:t>
      </w:r>
    </w:p>
    <w:p w14:paraId="40E92F92">
      <w:pPr>
        <w:keepNext w:val="0"/>
        <w:keepLines w:val="0"/>
        <w:pageBreakBefore w:val="0"/>
        <w:widowControl/>
        <w:numPr>
          <w:ilvl w:val="0"/>
          <w:numId w:val="0"/>
        </w:numPr>
        <w:suppressLineNumbers w:val="0"/>
        <w:kinsoku/>
        <w:wordWrap/>
        <w:overflowPunct/>
        <w:topLinePunct w:val="0"/>
        <w:autoSpaceDE/>
        <w:autoSpaceDN/>
        <w:bidi w:val="0"/>
        <w:spacing w:line="560" w:lineRule="exact"/>
        <w:ind w:firstLine="643" w:firstLineChars="200"/>
        <w:jc w:val="left"/>
        <w:textAlignment w:val="auto"/>
        <w:rPr>
          <w:rFonts w:hint="default" w:ascii="Times New Roman" w:hAnsi="Times New Roman" w:eastAsia="方正仿宋_GBK" w:cs="Times New Roman"/>
          <w:color w:val="000000"/>
          <w:kern w:val="0"/>
          <w:sz w:val="32"/>
          <w:szCs w:val="32"/>
          <w:highlight w:val="none"/>
          <w:shd w:val="clear" w:color="auto" w:fill="FFFFFF"/>
          <w:lang w:val="en-US" w:eastAsia="zh-CN"/>
        </w:rPr>
      </w:pP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1</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color w:val="000000"/>
          <w:kern w:val="0"/>
          <w:sz w:val="32"/>
          <w:szCs w:val="32"/>
          <w:highlight w:val="none"/>
          <w:shd w:val="clear" w:color="auto" w:fill="FFFFFF"/>
          <w:lang w:val="zh-CN"/>
        </w:rPr>
        <w:t>决策程序</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我办预算项目的设立严格按照规定履行评估论证、申报程序，</w:t>
      </w:r>
      <w:r>
        <w:rPr>
          <w:rFonts w:hint="default" w:ascii="Times New Roman" w:hAnsi="Times New Roman" w:eastAsia="方正仿宋_GBK" w:cs="Times New Roman"/>
          <w:color w:val="auto"/>
          <w:kern w:val="0"/>
          <w:sz w:val="32"/>
          <w:szCs w:val="32"/>
          <w:highlight w:val="none"/>
          <w:shd w:val="clear" w:color="auto" w:fill="FFFFFF"/>
          <w:lang w:val="zh-CN"/>
        </w:rPr>
        <w:t>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4分。</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2</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color w:val="000000"/>
          <w:kern w:val="0"/>
          <w:sz w:val="32"/>
          <w:szCs w:val="32"/>
          <w:highlight w:val="none"/>
          <w:shd w:val="clear" w:color="auto" w:fill="FFFFFF"/>
          <w:lang w:val="zh-CN"/>
        </w:rPr>
        <w:t>目标设置</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我办</w:t>
      </w:r>
      <w:r>
        <w:rPr>
          <w:rFonts w:hint="default" w:ascii="Times New Roman" w:hAnsi="Times New Roman" w:eastAsia="方正仿宋_GBK" w:cs="Times New Roman"/>
          <w:color w:val="000000"/>
          <w:kern w:val="0"/>
          <w:sz w:val="32"/>
          <w:szCs w:val="32"/>
          <w:highlight w:val="none"/>
          <w:shd w:val="clear" w:color="auto" w:fill="FFFFFF"/>
          <w:lang w:val="zh-CN" w:eastAsia="zh-CN"/>
        </w:rPr>
        <w:t>预算项目绩效目标与计划期内的任务量、预算安排的资金量相匹配，</w:t>
      </w:r>
      <w:r>
        <w:rPr>
          <w:rFonts w:hint="default" w:ascii="Times New Roman" w:hAnsi="Times New Roman" w:eastAsia="方正仿宋_GBK" w:cs="Times New Roman"/>
          <w:color w:val="000000"/>
          <w:kern w:val="0"/>
          <w:sz w:val="32"/>
          <w:szCs w:val="32"/>
          <w:highlight w:val="none"/>
          <w:shd w:val="clear" w:color="auto" w:fill="FFFFFF"/>
          <w:lang w:val="en-US" w:eastAsia="zh-CN"/>
        </w:rPr>
        <w:t>绩效目标的设置科学合理、规范完整、量化细化、与预算匹配，</w:t>
      </w:r>
      <w:r>
        <w:rPr>
          <w:rFonts w:hint="default" w:ascii="Times New Roman" w:hAnsi="Times New Roman" w:eastAsia="方正仿宋_GBK" w:cs="Times New Roman"/>
          <w:color w:val="auto"/>
          <w:kern w:val="0"/>
          <w:sz w:val="32"/>
          <w:szCs w:val="32"/>
          <w:highlight w:val="none"/>
          <w:shd w:val="clear" w:color="auto" w:fill="FFFFFF"/>
          <w:lang w:val="zh-CN"/>
        </w:rPr>
        <w:t>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4分。</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3</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color w:val="000000"/>
          <w:kern w:val="0"/>
          <w:sz w:val="32"/>
          <w:szCs w:val="32"/>
          <w:highlight w:val="none"/>
          <w:shd w:val="clear" w:color="auto" w:fill="FFFFFF"/>
          <w:lang w:val="zh-CN"/>
        </w:rPr>
        <w:t>项目入库</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我办2025年所有项目均严格按要求在规定时间内完成了项目入库，</w:t>
      </w:r>
      <w:r>
        <w:rPr>
          <w:rFonts w:hint="default" w:ascii="Times New Roman" w:hAnsi="Times New Roman" w:eastAsia="方正仿宋_GBK" w:cs="Times New Roman"/>
          <w:color w:val="auto"/>
          <w:kern w:val="0"/>
          <w:sz w:val="32"/>
          <w:szCs w:val="32"/>
          <w:highlight w:val="none"/>
          <w:shd w:val="clear" w:color="auto" w:fill="FFFFFF"/>
          <w:lang w:val="zh-CN"/>
        </w:rPr>
        <w:t>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4分。</w:t>
      </w:r>
    </w:p>
    <w:p w14:paraId="13F2314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b/>
          <w:bCs/>
          <w:color w:val="000000"/>
          <w:kern w:val="0"/>
          <w:sz w:val="32"/>
          <w:szCs w:val="32"/>
          <w:highlight w:val="none"/>
          <w:shd w:val="clear" w:color="auto" w:fill="FFFFFF"/>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2.项目执行</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10.27</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分）</w:t>
      </w:r>
    </w:p>
    <w:p w14:paraId="5341A0D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kern w:val="0"/>
          <w:sz w:val="32"/>
          <w:szCs w:val="32"/>
          <w:highlight w:val="none"/>
          <w:shd w:val="clear" w:color="auto" w:fill="FFFFFF"/>
          <w:lang w:val="en-US"/>
        </w:rPr>
      </w:pPr>
      <w:r>
        <w:rPr>
          <w:rFonts w:hint="default" w:ascii="Times New Roman" w:hAnsi="Times New Roman" w:eastAsia="方正仿宋_GBK" w:cs="Times New Roman"/>
          <w:b/>
          <w:bCs/>
          <w:color w:val="000000"/>
          <w:kern w:val="0"/>
          <w:sz w:val="32"/>
          <w:szCs w:val="32"/>
          <w:highlight w:val="none"/>
          <w:shd w:val="clear" w:color="auto" w:fill="FFFFFF"/>
          <w:lang w:val="zh-CN" w:eastAsia="zh-CN"/>
        </w:rPr>
        <w:t>（</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1</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w:t>
      </w:r>
      <w:r>
        <w:rPr>
          <w:rFonts w:hint="default" w:ascii="Times New Roman" w:hAnsi="Times New Roman" w:eastAsia="方正仿宋_GBK" w:cs="Times New Roman"/>
          <w:b/>
          <w:bCs/>
          <w:color w:val="000000"/>
          <w:kern w:val="0"/>
          <w:sz w:val="32"/>
          <w:szCs w:val="32"/>
          <w:highlight w:val="none"/>
          <w:shd w:val="clear" w:color="auto" w:fill="FFFFFF"/>
          <w:lang w:val="zh-CN"/>
        </w:rPr>
        <w:t>执行同向</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w:t>
      </w:r>
      <w:r>
        <w:rPr>
          <w:rFonts w:hint="default" w:ascii="Times New Roman" w:hAnsi="Times New Roman" w:eastAsia="方正仿宋_GBK" w:cs="Times New Roman"/>
          <w:color w:val="000000"/>
          <w:kern w:val="0"/>
          <w:sz w:val="32"/>
          <w:szCs w:val="32"/>
          <w:highlight w:val="none"/>
          <w:shd w:val="clear" w:color="auto" w:fill="FFFFFF"/>
          <w:lang w:val="zh-CN" w:eastAsia="zh-CN"/>
        </w:rPr>
        <w:t>我办</w:t>
      </w:r>
      <w:r>
        <w:rPr>
          <w:rFonts w:hint="default" w:ascii="Times New Roman" w:hAnsi="Times New Roman" w:eastAsia="方正仿宋_GBK" w:cs="Times New Roman"/>
          <w:color w:val="000000"/>
          <w:kern w:val="0"/>
          <w:sz w:val="32"/>
          <w:szCs w:val="32"/>
          <w:highlight w:val="none"/>
          <w:shd w:val="clear" w:color="auto" w:fill="FFFFFF"/>
          <w:lang w:val="en-US" w:eastAsia="zh-CN"/>
        </w:rPr>
        <w:t>严格按照部门预算项目批复内容实施项目，</w:t>
      </w:r>
      <w:r>
        <w:rPr>
          <w:rFonts w:hint="default" w:ascii="Times New Roman" w:hAnsi="Times New Roman" w:eastAsia="方正仿宋_GBK" w:cs="Times New Roman"/>
          <w:color w:val="000000"/>
          <w:kern w:val="0"/>
          <w:sz w:val="32"/>
          <w:szCs w:val="32"/>
          <w:highlight w:val="none"/>
          <w:shd w:val="clear" w:color="auto" w:fill="FFFFFF"/>
          <w:lang w:val="zh-CN" w:eastAsia="zh-CN"/>
        </w:rPr>
        <w:t>预算项目实际列支内容与绩效目标设置方向相符。</w:t>
      </w:r>
      <w:r>
        <w:rPr>
          <w:rFonts w:hint="default" w:ascii="Times New Roman" w:hAnsi="Times New Roman" w:eastAsia="方正仿宋_GBK" w:cs="Times New Roman"/>
          <w:color w:val="auto"/>
          <w:kern w:val="0"/>
          <w:sz w:val="32"/>
          <w:szCs w:val="32"/>
          <w:highlight w:val="none"/>
          <w:shd w:val="clear" w:color="auto" w:fill="FFFFFF"/>
          <w:lang w:val="zh-CN"/>
        </w:rPr>
        <w:t>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4分。</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2</w:t>
      </w:r>
      <w:r>
        <w:rPr>
          <w:rFonts w:hint="default" w:ascii="Times New Roman" w:hAnsi="Times New Roman" w:eastAsia="方正仿宋_GBK" w:cs="Times New Roman"/>
          <w:b/>
          <w:bCs/>
          <w:sz w:val="32"/>
          <w:szCs w:val="32"/>
          <w:highlight w:val="none"/>
          <w:lang w:val="zh-CN" w:eastAsia="zh-CN"/>
        </w:rPr>
        <w:t>）项目调整。</w:t>
      </w:r>
      <w:r>
        <w:rPr>
          <w:rFonts w:hint="default" w:ascii="Times New Roman" w:hAnsi="Times New Roman" w:eastAsia="方正仿宋_GBK" w:cs="Times New Roman"/>
          <w:color w:val="auto"/>
          <w:sz w:val="32"/>
          <w:szCs w:val="32"/>
          <w:highlight w:val="none"/>
          <w:lang w:val="en-US" w:eastAsia="zh-CN"/>
        </w:rPr>
        <w:t>我办严格按照项目预算对项目进行实施，全年共实施项目8个，由于我办机构编制培训</w:t>
      </w:r>
      <w:r>
        <w:rPr>
          <w:rFonts w:hint="default" w:ascii="Times New Roman" w:hAnsi="Times New Roman" w:eastAsia="方正仿宋_GBK" w:cs="Times New Roman"/>
          <w:b w:val="0"/>
          <w:bCs w:val="0"/>
          <w:sz w:val="32"/>
          <w:szCs w:val="32"/>
          <w:highlight w:val="none"/>
          <w:lang w:eastAsia="zh-CN"/>
        </w:rPr>
        <w:t>未被列入教育培训项目计划，导致原培训项目无法按计划实施，</w:t>
      </w:r>
      <w:r>
        <w:rPr>
          <w:rFonts w:hint="default" w:ascii="Times New Roman" w:hAnsi="Times New Roman" w:eastAsia="方正仿宋_GBK" w:cs="Times New Roman"/>
          <w:color w:val="auto"/>
          <w:sz w:val="32"/>
          <w:szCs w:val="32"/>
          <w:highlight w:val="none"/>
          <w:lang w:val="en-US" w:eastAsia="zh-CN"/>
        </w:rPr>
        <w:t>财政收回机构编制培训经费预算25万元，</w:t>
      </w:r>
      <w:r>
        <w:rPr>
          <w:rFonts w:hint="default" w:ascii="Times New Roman" w:hAnsi="Times New Roman" w:eastAsia="方正仿宋_GBK" w:cs="Times New Roman"/>
          <w:color w:val="auto"/>
          <w:kern w:val="0"/>
          <w:sz w:val="32"/>
          <w:szCs w:val="32"/>
          <w:highlight w:val="none"/>
          <w:shd w:val="clear" w:color="auto" w:fill="FFFFFF"/>
          <w:lang w:val="zh-CN"/>
        </w:rPr>
        <w:t>自评得分</w:t>
      </w:r>
      <w:r>
        <w:rPr>
          <w:rFonts w:hint="default" w:ascii="Times New Roman" w:hAnsi="Times New Roman" w:eastAsia="方正仿宋_GBK" w:cs="Times New Roman"/>
          <w:color w:val="auto"/>
          <w:kern w:val="0"/>
          <w:sz w:val="32"/>
          <w:szCs w:val="32"/>
          <w:highlight w:val="none"/>
          <w:shd w:val="clear" w:color="auto" w:fill="FFFFFF"/>
          <w:lang w:val="en-US" w:eastAsia="zh-CN"/>
        </w:rPr>
        <w:t>4分。</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3</w:t>
      </w:r>
      <w:r>
        <w:rPr>
          <w:rFonts w:hint="default" w:ascii="Times New Roman" w:hAnsi="Times New Roman" w:eastAsia="方正仿宋_GBK" w:cs="Times New Roman"/>
          <w:b/>
          <w:bCs/>
          <w:sz w:val="32"/>
          <w:szCs w:val="32"/>
          <w:highlight w:val="none"/>
          <w:lang w:val="zh-CN" w:eastAsia="zh-CN"/>
        </w:rPr>
        <w:t>）执行结果。</w:t>
      </w:r>
      <w:r>
        <w:rPr>
          <w:rFonts w:hint="default" w:ascii="Times New Roman" w:hAnsi="Times New Roman" w:eastAsia="方正仿宋_GBK" w:cs="Times New Roman"/>
          <w:color w:val="000000"/>
          <w:kern w:val="0"/>
          <w:sz w:val="32"/>
          <w:szCs w:val="32"/>
          <w:highlight w:val="none"/>
          <w:shd w:val="clear" w:color="auto" w:fill="FFFFFF"/>
          <w:lang w:val="en-US" w:eastAsia="zh-CN"/>
        </w:rPr>
        <w:t>我办2025年部门预算常年项目总数为3个，预算结余率小于10%的常年项目数量为1个；部门预算一次性项目总数为5个，预算结余率小于10%的一次性项目数量为4个，经计算该项指标得分2.27分。</w:t>
      </w:r>
    </w:p>
    <w:p w14:paraId="1DF887C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b/>
          <w:bCs/>
          <w:color w:val="000000"/>
          <w:kern w:val="0"/>
          <w:sz w:val="32"/>
          <w:szCs w:val="32"/>
          <w:highlight w:val="none"/>
          <w:shd w:val="clear" w:color="auto" w:fill="FFFFFF"/>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3.</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目标实现。（</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10.13</w:t>
      </w:r>
      <w:r>
        <w:rPr>
          <w:rFonts w:hint="default" w:ascii="Times New Roman" w:hAnsi="Times New Roman" w:eastAsia="方正仿宋_GBK" w:cs="Times New Roman"/>
          <w:b/>
          <w:bCs/>
          <w:color w:val="000000"/>
          <w:kern w:val="0"/>
          <w:sz w:val="32"/>
          <w:szCs w:val="32"/>
          <w:highlight w:val="none"/>
          <w:shd w:val="clear" w:color="auto" w:fill="FFFFFF"/>
          <w:lang w:val="zh-CN" w:eastAsia="zh-CN"/>
        </w:rPr>
        <w:t>分）</w:t>
      </w:r>
    </w:p>
    <w:p w14:paraId="754ADD56">
      <w:pPr>
        <w:keepNext w:val="0"/>
        <w:keepLines w:val="0"/>
        <w:pageBreakBefore w:val="0"/>
        <w:kinsoku/>
        <w:wordWrap/>
        <w:overflowPunct/>
        <w:topLinePunct w:val="0"/>
        <w:autoSpaceDE/>
        <w:autoSpaceDN/>
        <w:bidi w:val="0"/>
        <w:spacing w:line="560" w:lineRule="exact"/>
        <w:ind w:firstLine="643" w:firstLineChars="200"/>
        <w:textAlignment w:val="auto"/>
        <w:rPr>
          <w:rFonts w:hint="default" w:ascii="Times New Roman" w:hAnsi="Times New Roman" w:eastAsia="方正仿宋_GBK" w:cs="Times New Roman"/>
          <w:sz w:val="32"/>
          <w:szCs w:val="32"/>
          <w:highlight w:val="none"/>
          <w:u w:val="none"/>
          <w:lang w:val="en-US" w:eastAsia="zh-CN"/>
        </w:rPr>
      </w:pPr>
      <w:r>
        <w:rPr>
          <w:rFonts w:hint="default" w:ascii="Times New Roman" w:hAnsi="Times New Roman" w:eastAsia="方正仿宋_GBK" w:cs="Times New Roman"/>
          <w:b/>
          <w:bCs/>
          <w:color w:val="auto"/>
          <w:kern w:val="0"/>
          <w:sz w:val="32"/>
          <w:szCs w:val="32"/>
          <w:highlight w:val="none"/>
          <w:shd w:val="clear" w:color="auto" w:fill="FFFFFF"/>
          <w:lang w:val="zh-CN" w:eastAsia="zh-CN"/>
        </w:rPr>
        <w:t>（</w:t>
      </w:r>
      <w:r>
        <w:rPr>
          <w:rFonts w:hint="default" w:ascii="Times New Roman" w:hAnsi="Times New Roman" w:eastAsia="方正仿宋_GBK" w:cs="Times New Roman"/>
          <w:b/>
          <w:bCs/>
          <w:color w:val="auto"/>
          <w:kern w:val="0"/>
          <w:sz w:val="32"/>
          <w:szCs w:val="32"/>
          <w:highlight w:val="none"/>
          <w:shd w:val="clear" w:color="auto" w:fill="FFFFFF"/>
          <w:lang w:val="en-US" w:eastAsia="zh-CN"/>
        </w:rPr>
        <w:t>1</w:t>
      </w:r>
      <w:r>
        <w:rPr>
          <w:rFonts w:hint="default" w:ascii="Times New Roman" w:hAnsi="Times New Roman" w:eastAsia="方正仿宋_GBK" w:cs="Times New Roman"/>
          <w:b/>
          <w:bCs/>
          <w:color w:val="auto"/>
          <w:kern w:val="0"/>
          <w:sz w:val="32"/>
          <w:szCs w:val="32"/>
          <w:highlight w:val="none"/>
          <w:shd w:val="clear" w:color="auto" w:fill="FFFFFF"/>
          <w:lang w:val="zh-CN" w:eastAsia="zh-CN"/>
        </w:rPr>
        <w:t>）</w:t>
      </w:r>
      <w:r>
        <w:rPr>
          <w:rFonts w:hint="default" w:ascii="Times New Roman" w:hAnsi="Times New Roman" w:eastAsia="方正仿宋_GBK" w:cs="Times New Roman"/>
          <w:b/>
          <w:bCs/>
          <w:color w:val="auto"/>
          <w:kern w:val="0"/>
          <w:sz w:val="32"/>
          <w:szCs w:val="32"/>
          <w:highlight w:val="none"/>
          <w:shd w:val="clear" w:color="auto" w:fill="FFFFFF"/>
          <w:lang w:val="zh-CN"/>
        </w:rPr>
        <w:t>目标完成</w:t>
      </w:r>
      <w:r>
        <w:rPr>
          <w:rFonts w:hint="default" w:ascii="Times New Roman" w:hAnsi="Times New Roman" w:eastAsia="方正仿宋_GBK" w:cs="Times New Roman"/>
          <w:b/>
          <w:bCs/>
          <w:color w:val="auto"/>
          <w:kern w:val="0"/>
          <w:sz w:val="32"/>
          <w:szCs w:val="32"/>
          <w:highlight w:val="none"/>
          <w:shd w:val="clear" w:color="auto" w:fill="FFFFFF"/>
          <w:lang w:val="zh-CN" w:eastAsia="zh-CN"/>
        </w:rPr>
        <w:t>。</w:t>
      </w:r>
      <w:r>
        <w:rPr>
          <w:rFonts w:hint="default" w:ascii="Times New Roman" w:hAnsi="Times New Roman" w:eastAsia="方正仿宋_GBK" w:cs="Times New Roman"/>
          <w:color w:val="auto"/>
          <w:kern w:val="0"/>
          <w:sz w:val="32"/>
          <w:szCs w:val="32"/>
          <w:highlight w:val="none"/>
          <w:shd w:val="clear" w:color="auto" w:fill="FFFFFF"/>
          <w:lang w:val="en-US" w:eastAsia="zh-CN"/>
        </w:rPr>
        <w:t>预算项目绩效目标各项具体指标按计划稳步推进，实际完成值与设定目标值相符，</w:t>
      </w:r>
      <w:r>
        <w:rPr>
          <w:rFonts w:hint="default" w:ascii="Times New Roman" w:hAnsi="Times New Roman" w:eastAsia="方正仿宋_GBK" w:cs="Times New Roman"/>
          <w:color w:val="auto"/>
          <w:kern w:val="0"/>
          <w:sz w:val="32"/>
          <w:szCs w:val="32"/>
          <w:highlight w:val="none"/>
          <w:shd w:val="clear" w:color="auto" w:fill="FFFFFF"/>
          <w:lang w:val="zh-CN" w:eastAsia="zh-CN"/>
        </w:rPr>
        <w:t>项目绩效目标完成情况总体较好。</w:t>
      </w:r>
      <w:r>
        <w:rPr>
          <w:rFonts w:hint="default" w:ascii="Times New Roman" w:hAnsi="Times New Roman" w:eastAsia="方正仿宋_GBK" w:cs="Times New Roman"/>
          <w:color w:val="auto"/>
          <w:kern w:val="0"/>
          <w:sz w:val="32"/>
          <w:szCs w:val="32"/>
          <w:highlight w:val="none"/>
          <w:shd w:val="clear" w:color="auto" w:fill="FFFFFF"/>
          <w:lang w:val="en-US" w:eastAsia="zh-CN"/>
        </w:rPr>
        <w:t>我办8个预算项目均设置了数量指标，其中7个项目设置的数量指标均已完成。自评得分3.5分。</w:t>
      </w:r>
      <w:r>
        <w:rPr>
          <w:rFonts w:hint="default" w:ascii="Times New Roman" w:hAnsi="Times New Roman" w:eastAsia="方正仿宋_GBK" w:cs="Times New Roman"/>
          <w:b/>
          <w:bCs/>
          <w:color w:val="auto"/>
          <w:sz w:val="32"/>
          <w:szCs w:val="32"/>
          <w:highlight w:val="none"/>
          <w:lang w:val="zh-CN" w:eastAsia="zh-CN"/>
        </w:rPr>
        <w:t>（</w:t>
      </w:r>
      <w:r>
        <w:rPr>
          <w:rFonts w:hint="default" w:ascii="Times New Roman" w:hAnsi="Times New Roman" w:eastAsia="方正仿宋_GBK" w:cs="Times New Roman"/>
          <w:b/>
          <w:bCs/>
          <w:color w:val="auto"/>
          <w:sz w:val="32"/>
          <w:szCs w:val="32"/>
          <w:highlight w:val="none"/>
          <w:lang w:val="en-US" w:eastAsia="zh-CN"/>
        </w:rPr>
        <w:t>2</w:t>
      </w:r>
      <w:r>
        <w:rPr>
          <w:rFonts w:hint="default" w:ascii="Times New Roman" w:hAnsi="Times New Roman" w:eastAsia="方正仿宋_GBK" w:cs="Times New Roman"/>
          <w:b/>
          <w:bCs/>
          <w:color w:val="auto"/>
          <w:sz w:val="32"/>
          <w:szCs w:val="32"/>
          <w:highlight w:val="none"/>
          <w:lang w:val="zh-CN" w:eastAsia="zh-CN"/>
        </w:rPr>
        <w:t>）目标偏离。</w:t>
      </w:r>
      <w:r>
        <w:rPr>
          <w:rFonts w:hint="default" w:ascii="Times New Roman" w:hAnsi="Times New Roman" w:eastAsia="方正仿宋_GBK" w:cs="Times New Roman"/>
          <w:color w:val="auto"/>
          <w:kern w:val="0"/>
          <w:sz w:val="32"/>
          <w:szCs w:val="32"/>
          <w:highlight w:val="none"/>
          <w:shd w:val="clear" w:color="auto" w:fill="FFFFFF"/>
          <w:lang w:val="en-US" w:eastAsia="zh-CN"/>
        </w:rPr>
        <w:t>我办8个预算项目共涉及12个数量指标、7个成本指标，根据评价情况，7个完成了年初设定的目标值，1个未完成年初设定的目标值，预算项目绩效目标数量指标实现程度与预期目标的偏离度均在30%以内。自评得分4分。</w:t>
      </w:r>
      <w:r>
        <w:rPr>
          <w:rFonts w:hint="default" w:ascii="Times New Roman" w:hAnsi="Times New Roman" w:eastAsia="方正仿宋_GBK" w:cs="Times New Roman"/>
          <w:b/>
          <w:bCs/>
          <w:sz w:val="32"/>
          <w:szCs w:val="32"/>
          <w:highlight w:val="none"/>
          <w:lang w:val="zh-CN" w:eastAsia="zh-CN"/>
        </w:rPr>
        <w:t>（</w:t>
      </w:r>
      <w:r>
        <w:rPr>
          <w:rFonts w:hint="default" w:ascii="Times New Roman" w:hAnsi="Times New Roman" w:eastAsia="方正仿宋_GBK" w:cs="Times New Roman"/>
          <w:b/>
          <w:bCs/>
          <w:sz w:val="32"/>
          <w:szCs w:val="32"/>
          <w:highlight w:val="none"/>
          <w:lang w:val="en-US" w:eastAsia="zh-CN"/>
        </w:rPr>
        <w:t>3</w:t>
      </w:r>
      <w:r>
        <w:rPr>
          <w:rFonts w:hint="default" w:ascii="Times New Roman" w:hAnsi="Times New Roman" w:eastAsia="方正仿宋_GBK" w:cs="Times New Roman"/>
          <w:b/>
          <w:bCs/>
          <w:sz w:val="32"/>
          <w:szCs w:val="32"/>
          <w:highlight w:val="none"/>
          <w:lang w:val="zh-CN" w:eastAsia="zh-CN"/>
        </w:rPr>
        <w:t>）实现效果。</w:t>
      </w:r>
      <w:r>
        <w:rPr>
          <w:rFonts w:hint="default" w:ascii="Times New Roman" w:hAnsi="Times New Roman" w:eastAsia="方正仿宋_GBK" w:cs="Times New Roman"/>
          <w:color w:val="auto"/>
          <w:kern w:val="0"/>
          <w:sz w:val="32"/>
          <w:szCs w:val="32"/>
          <w:highlight w:val="none"/>
          <w:shd w:val="clear" w:color="auto" w:fill="FFFFFF"/>
          <w:lang w:val="en-US" w:eastAsia="zh-CN"/>
        </w:rPr>
        <w:t>我办完成绩效目标效益指标的部门预算阶段项目（含一次性项目）数量7个，部门预算阶段项目（含一次性项目）总数8个，经计算该项指标得分2.63分。</w:t>
      </w:r>
    </w:p>
    <w:p w14:paraId="0333E2C4">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color w:val="auto"/>
          <w:kern w:val="0"/>
          <w:sz w:val="32"/>
          <w:szCs w:val="32"/>
          <w:highlight w:val="none"/>
          <w:shd w:val="clear" w:color="auto" w:fill="FFFFFF"/>
          <w:lang w:val="zh-CN" w:eastAsia="zh-CN"/>
        </w:rPr>
      </w:pPr>
      <w:r>
        <w:rPr>
          <w:rFonts w:hint="default" w:ascii="Times New Roman" w:hAnsi="Times New Roman" w:eastAsia="方正楷体_GBK" w:cs="Times New Roman"/>
          <w:b/>
          <w:bCs/>
          <w:color w:val="auto"/>
          <w:kern w:val="0"/>
          <w:sz w:val="32"/>
          <w:szCs w:val="32"/>
          <w:highlight w:val="none"/>
          <w:lang w:val="zh-CN" w:eastAsia="zh-CN" w:bidi="ar-SA"/>
        </w:rPr>
        <w:t>（三）绩效结果应用情况。</w:t>
      </w:r>
      <w:r>
        <w:rPr>
          <w:rFonts w:hint="default" w:ascii="Times New Roman" w:hAnsi="Times New Roman" w:eastAsia="方正仿宋_GBK" w:cs="Times New Roman"/>
          <w:color w:val="auto"/>
          <w:kern w:val="0"/>
          <w:sz w:val="32"/>
          <w:szCs w:val="32"/>
          <w:highlight w:val="none"/>
          <w:shd w:val="clear" w:color="auto" w:fill="FFFFFF"/>
          <w:lang w:val="zh-CN" w:eastAsia="zh-CN"/>
        </w:rPr>
        <w:t>202</w:t>
      </w:r>
      <w:r>
        <w:rPr>
          <w:rFonts w:hint="default" w:ascii="Times New Roman" w:hAnsi="Times New Roman" w:eastAsia="方正仿宋_GBK" w:cs="Times New Roman"/>
          <w:color w:val="auto"/>
          <w:kern w:val="0"/>
          <w:sz w:val="32"/>
          <w:szCs w:val="32"/>
          <w:highlight w:val="none"/>
          <w:shd w:val="clear" w:color="auto" w:fill="FFFFFF"/>
          <w:lang w:val="en-US" w:eastAsia="zh-CN"/>
        </w:rPr>
        <w:t>5</w:t>
      </w:r>
      <w:r>
        <w:rPr>
          <w:rFonts w:hint="default" w:ascii="Times New Roman" w:hAnsi="Times New Roman" w:eastAsia="方正仿宋_GBK" w:cs="Times New Roman"/>
          <w:color w:val="auto"/>
          <w:kern w:val="0"/>
          <w:sz w:val="32"/>
          <w:szCs w:val="32"/>
          <w:highlight w:val="none"/>
          <w:shd w:val="clear" w:color="auto" w:fill="FFFFFF"/>
          <w:lang w:val="zh-CN" w:eastAsia="zh-CN"/>
        </w:rPr>
        <w:t>年我办将所有项目纳入了绩效运行监控范围，对所有预算项目开展了全面、系统、详尽绩效自评工作，本次绩效自评结果将直接应用于下一年度预算编制工作。作为项目入库、预算安排、资金调整、新增立项及存量优化的重要依据，切实强化预算约束、优化资源配置，推动预算管理与绩效评价深度融合，不断提升财政资金使用精准度和管理科学化水平。</w:t>
      </w:r>
    </w:p>
    <w:p w14:paraId="46DACB4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方正黑体_GBK" w:cs="Times New Roman"/>
          <w:color w:val="000000"/>
          <w:kern w:val="0"/>
          <w:sz w:val="32"/>
          <w:szCs w:val="32"/>
          <w:highlight w:val="none"/>
          <w:shd w:val="clear" w:color="auto" w:fill="FFFFFF"/>
        </w:rPr>
      </w:pPr>
      <w:r>
        <w:rPr>
          <w:rFonts w:hint="default" w:ascii="Times New Roman" w:hAnsi="Times New Roman" w:eastAsia="方正黑体_GBK" w:cs="Times New Roman"/>
          <w:color w:val="000000"/>
          <w:kern w:val="0"/>
          <w:sz w:val="32"/>
          <w:szCs w:val="32"/>
          <w:highlight w:val="none"/>
          <w:shd w:val="clear" w:color="auto" w:fill="FFFFFF"/>
          <w:lang w:eastAsia="zh-CN"/>
        </w:rPr>
        <w:t>四、</w:t>
      </w:r>
      <w:r>
        <w:rPr>
          <w:rFonts w:hint="default" w:ascii="Times New Roman" w:hAnsi="Times New Roman" w:eastAsia="方正黑体_GBK" w:cs="Times New Roman"/>
          <w:color w:val="000000"/>
          <w:kern w:val="0"/>
          <w:sz w:val="32"/>
          <w:szCs w:val="32"/>
          <w:highlight w:val="none"/>
          <w:shd w:val="clear" w:color="auto" w:fill="FFFFFF"/>
        </w:rPr>
        <w:t>评价结论及建议</w:t>
      </w:r>
    </w:p>
    <w:p w14:paraId="4B9F906E">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color w:val="auto"/>
          <w:kern w:val="0"/>
          <w:sz w:val="32"/>
          <w:szCs w:val="32"/>
          <w:highlight w:val="none"/>
          <w:shd w:val="clear" w:color="auto" w:fill="FFFFFF"/>
          <w:lang w:val="en-US" w:eastAsia="zh-CN"/>
        </w:rPr>
      </w:pPr>
      <w:r>
        <w:rPr>
          <w:rFonts w:hint="default" w:ascii="Times New Roman" w:hAnsi="Times New Roman" w:eastAsia="方正楷体_GBK" w:cs="Times New Roman"/>
          <w:b/>
          <w:bCs/>
          <w:color w:val="auto"/>
          <w:kern w:val="0"/>
          <w:sz w:val="32"/>
          <w:szCs w:val="32"/>
          <w:highlight w:val="none"/>
          <w:lang w:val="zh-CN" w:eastAsia="zh-CN" w:bidi="ar-SA"/>
        </w:rPr>
        <w:t>（一）评价结论。</w:t>
      </w:r>
      <w:r>
        <w:rPr>
          <w:rFonts w:hint="default"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kern w:val="0"/>
          <w:sz w:val="32"/>
          <w:szCs w:val="32"/>
          <w:highlight w:val="none"/>
          <w:shd w:val="clear" w:color="auto" w:fill="FFFFFF"/>
          <w:lang w:val="en-US" w:eastAsia="zh-CN"/>
        </w:rPr>
        <w:t>025年度，我办预算执行总体情况良好，各项重点工作任务基本完成，资金使用效益较为明显。根据部门预算绩效评价指标体系综合评分，自评得分为：92.28分，绩效目标总体完成情况较好。</w:t>
      </w:r>
    </w:p>
    <w:p w14:paraId="62AA4649">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color w:val="auto"/>
          <w:kern w:val="0"/>
          <w:sz w:val="32"/>
          <w:szCs w:val="32"/>
          <w:highlight w:val="none"/>
          <w:shd w:val="clear" w:color="auto" w:fill="FFFFFF"/>
          <w:lang w:val="en-US" w:eastAsia="zh-CN"/>
        </w:rPr>
      </w:pPr>
      <w:r>
        <w:rPr>
          <w:rFonts w:hint="default" w:ascii="Times New Roman" w:hAnsi="Times New Roman" w:eastAsia="方正楷体_GBK" w:cs="Times New Roman"/>
          <w:b/>
          <w:bCs/>
          <w:color w:val="auto"/>
          <w:kern w:val="0"/>
          <w:sz w:val="32"/>
          <w:szCs w:val="32"/>
          <w:highlight w:val="none"/>
          <w:lang w:val="zh-CN" w:eastAsia="zh-CN" w:bidi="ar-SA"/>
        </w:rPr>
        <w:t>（二）存在问题。</w:t>
      </w:r>
      <w:r>
        <w:rPr>
          <w:rFonts w:hint="default" w:ascii="Times New Roman" w:hAnsi="Times New Roman" w:eastAsia="方正仿宋_GBK" w:cs="Times New Roman"/>
          <w:b/>
          <w:bCs/>
          <w:color w:val="auto"/>
          <w:kern w:val="0"/>
          <w:sz w:val="32"/>
          <w:szCs w:val="32"/>
          <w:highlight w:val="none"/>
          <w:shd w:val="clear" w:color="auto" w:fill="FFFFFF"/>
          <w:lang w:val="en-US" w:eastAsia="zh-CN"/>
        </w:rPr>
        <w:t>一是预算编制精准度有待提升。</w:t>
      </w:r>
      <w:r>
        <w:rPr>
          <w:rFonts w:hint="default" w:ascii="Times New Roman" w:hAnsi="Times New Roman" w:eastAsia="方正仿宋_GBK" w:cs="Times New Roman"/>
          <w:color w:val="auto"/>
          <w:kern w:val="0"/>
          <w:sz w:val="32"/>
          <w:szCs w:val="32"/>
          <w:highlight w:val="none"/>
          <w:shd w:val="clear" w:color="auto" w:fill="FFFFFF"/>
          <w:lang w:val="en-US" w:eastAsia="zh-CN"/>
        </w:rPr>
        <w:t>部分项目年初预算与实际执行偏差较大，导致年末结转结余率偏高。</w:t>
      </w:r>
      <w:r>
        <w:rPr>
          <w:rFonts w:hint="default" w:ascii="Times New Roman" w:hAnsi="Times New Roman" w:eastAsia="方正仿宋_GBK" w:cs="Times New Roman"/>
          <w:b/>
          <w:bCs/>
          <w:color w:val="auto"/>
          <w:kern w:val="0"/>
          <w:sz w:val="32"/>
          <w:szCs w:val="32"/>
          <w:highlight w:val="none"/>
          <w:shd w:val="clear" w:color="auto" w:fill="FFFFFF"/>
          <w:lang w:val="en-US" w:eastAsia="zh-CN"/>
        </w:rPr>
        <w:t>二是绩效指标设置质量不高。</w:t>
      </w:r>
      <w:r>
        <w:rPr>
          <w:rFonts w:hint="default" w:ascii="Times New Roman" w:hAnsi="Times New Roman" w:eastAsia="方正仿宋_GBK" w:cs="Times New Roman"/>
          <w:color w:val="auto"/>
          <w:kern w:val="0"/>
          <w:sz w:val="32"/>
          <w:szCs w:val="32"/>
          <w:highlight w:val="none"/>
          <w:shd w:val="clear" w:color="auto" w:fill="FFFFFF"/>
          <w:lang w:val="en-US" w:eastAsia="zh-CN"/>
        </w:rPr>
        <w:t>个别项目绩效指标存在定性指标过多、量化指标不足的情况，难以准确衡量产出效益。</w:t>
      </w:r>
      <w:r>
        <w:rPr>
          <w:rFonts w:hint="default" w:ascii="Times New Roman" w:hAnsi="Times New Roman" w:eastAsia="方正仿宋_GBK" w:cs="Times New Roman"/>
          <w:b/>
          <w:bCs/>
          <w:color w:val="auto"/>
          <w:kern w:val="0"/>
          <w:sz w:val="32"/>
          <w:szCs w:val="32"/>
          <w:highlight w:val="none"/>
          <w:shd w:val="clear" w:color="auto" w:fill="FFFFFF"/>
          <w:lang w:val="en-US" w:eastAsia="zh-CN"/>
        </w:rPr>
        <w:t>三是项目执行进度不均衡。</w:t>
      </w:r>
      <w:r>
        <w:rPr>
          <w:rFonts w:hint="default" w:ascii="Times New Roman" w:hAnsi="Times New Roman" w:eastAsia="方正仿宋_GBK" w:cs="Times New Roman"/>
          <w:color w:val="auto"/>
          <w:kern w:val="0"/>
          <w:sz w:val="32"/>
          <w:szCs w:val="32"/>
          <w:highlight w:val="none"/>
          <w:shd w:val="clear" w:color="auto" w:fill="FFFFFF"/>
          <w:lang w:val="en-US" w:eastAsia="zh-CN"/>
        </w:rPr>
        <w:t>部分项目实施前期准备不充分，存在“上半年慢、下半年赶”的现象，影响资金使用效率。</w:t>
      </w:r>
    </w:p>
    <w:p w14:paraId="5C183046">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方正仿宋_GBK" w:cs="Times New Roman"/>
          <w:color w:val="auto"/>
          <w:kern w:val="0"/>
          <w:sz w:val="32"/>
          <w:szCs w:val="32"/>
          <w:highlight w:val="none"/>
          <w:shd w:val="clear" w:color="auto" w:fill="FFFFFF"/>
          <w:lang w:val="zh-CN" w:eastAsia="zh-CN"/>
        </w:rPr>
      </w:pPr>
      <w:r>
        <w:rPr>
          <w:rFonts w:hint="default" w:ascii="Times New Roman" w:hAnsi="Times New Roman" w:eastAsia="方正楷体_GBK" w:cs="Times New Roman"/>
          <w:b/>
          <w:bCs/>
          <w:color w:val="auto"/>
          <w:kern w:val="0"/>
          <w:sz w:val="32"/>
          <w:szCs w:val="32"/>
          <w:highlight w:val="none"/>
          <w:shd w:val="clear" w:color="auto" w:fill="FFFFFF"/>
          <w:lang w:val="zh-CN" w:eastAsia="zh-CN"/>
        </w:rPr>
        <w:t>（三）改进建议。</w:t>
      </w:r>
      <w:r>
        <w:rPr>
          <w:rFonts w:hint="default" w:ascii="Times New Roman" w:hAnsi="Times New Roman" w:eastAsia="方正仿宋_GBK" w:cs="Times New Roman"/>
          <w:b/>
          <w:bCs/>
          <w:color w:val="auto"/>
          <w:kern w:val="0"/>
          <w:sz w:val="32"/>
          <w:szCs w:val="32"/>
          <w:highlight w:val="none"/>
          <w:shd w:val="clear" w:color="auto" w:fill="FFFFFF"/>
          <w:lang w:val="zh-CN" w:eastAsia="zh-CN"/>
        </w:rPr>
        <w:t>一是</w:t>
      </w:r>
      <w:r>
        <w:rPr>
          <w:rFonts w:hint="default" w:ascii="Times New Roman" w:hAnsi="Times New Roman" w:eastAsia="方正仿宋_GBK" w:cs="Times New Roman"/>
          <w:color w:val="auto"/>
          <w:kern w:val="0"/>
          <w:sz w:val="32"/>
          <w:szCs w:val="32"/>
          <w:highlight w:val="none"/>
          <w:shd w:val="clear" w:color="auto" w:fill="FFFFFF"/>
          <w:lang w:val="zh-CN" w:eastAsia="zh-CN"/>
        </w:rPr>
        <w:t>做实项目前期论证，结合上一年度执行情况科学测算需求，从严控制预算调剂，努力降低年末结转结余规模。</w:t>
      </w:r>
      <w:r>
        <w:rPr>
          <w:rFonts w:hint="default" w:ascii="Times New Roman" w:hAnsi="Times New Roman" w:eastAsia="方正仿宋_GBK" w:cs="Times New Roman"/>
          <w:b/>
          <w:bCs/>
          <w:color w:val="auto"/>
          <w:kern w:val="0"/>
          <w:sz w:val="32"/>
          <w:szCs w:val="32"/>
          <w:highlight w:val="none"/>
          <w:shd w:val="clear" w:color="auto" w:fill="FFFFFF"/>
          <w:lang w:val="zh-CN" w:eastAsia="zh-CN"/>
        </w:rPr>
        <w:t>二是</w:t>
      </w:r>
      <w:r>
        <w:rPr>
          <w:rFonts w:hint="default" w:ascii="Times New Roman" w:hAnsi="Times New Roman" w:eastAsia="方正仿宋_GBK" w:cs="Times New Roman"/>
          <w:color w:val="auto"/>
          <w:kern w:val="0"/>
          <w:sz w:val="32"/>
          <w:szCs w:val="32"/>
          <w:highlight w:val="none"/>
          <w:shd w:val="clear" w:color="auto" w:fill="FFFFFF"/>
          <w:lang w:val="zh-CN" w:eastAsia="zh-CN"/>
        </w:rPr>
        <w:t>加强绩效目标编报培训，指导业务科室将工作任务分解为可量化、可考核的产出指标和效益指标，提升指标设置的规范性。</w:t>
      </w:r>
      <w:r>
        <w:rPr>
          <w:rFonts w:hint="default" w:ascii="Times New Roman" w:hAnsi="Times New Roman" w:eastAsia="方正仿宋_GBK" w:cs="Times New Roman"/>
          <w:b/>
          <w:bCs/>
          <w:color w:val="auto"/>
          <w:kern w:val="0"/>
          <w:sz w:val="32"/>
          <w:szCs w:val="32"/>
          <w:highlight w:val="none"/>
          <w:shd w:val="clear" w:color="auto" w:fill="FFFFFF"/>
          <w:lang w:val="zh-CN" w:eastAsia="zh-CN"/>
        </w:rPr>
        <w:t>三是</w:t>
      </w:r>
      <w:r>
        <w:rPr>
          <w:rFonts w:hint="default" w:ascii="Times New Roman" w:hAnsi="Times New Roman" w:eastAsia="方正仿宋_GBK" w:cs="Times New Roman"/>
          <w:color w:val="auto"/>
          <w:kern w:val="0"/>
          <w:sz w:val="32"/>
          <w:szCs w:val="32"/>
          <w:highlight w:val="none"/>
          <w:shd w:val="clear" w:color="auto" w:fill="FFFFFF"/>
          <w:lang w:val="zh-CN" w:eastAsia="zh-CN"/>
        </w:rPr>
        <w:t>督促项目科室提前谋划，倒排工期，建立预算执行月度监控机制，及时解决项目推进中的堵点难点，确保资金按序时进度支付。</w:t>
      </w:r>
    </w:p>
    <w:p w14:paraId="20DC9100">
      <w:pPr>
        <w:rPr>
          <w:rFonts w:hint="default" w:ascii="Times New Roman" w:hAnsi="Times New Roman" w:cs="Times New Roman"/>
          <w:lang w:val="en-US" w:eastAsia="zh-CN"/>
        </w:rPr>
        <w:sectPr>
          <w:headerReference r:id="rId11" w:type="default"/>
          <w:footerReference r:id="rId12" w:type="default"/>
          <w:pgSz w:w="11906" w:h="16838"/>
          <w:pgMar w:top="2098" w:right="1474" w:bottom="1985" w:left="1588" w:header="851" w:footer="992" w:gutter="0"/>
          <w:pgNumType w:fmt="decimal"/>
          <w:cols w:space="720" w:num="1"/>
          <w:docGrid w:type="lines" w:linePitch="312" w:charSpace="0"/>
        </w:sectPr>
      </w:pPr>
    </w:p>
    <w:p w14:paraId="576BAAB7">
      <w:pPr>
        <w:jc w:val="both"/>
        <w:rPr>
          <w:rFonts w:hint="default" w:ascii="Times New Roman" w:hAnsi="Times New Roman" w:cs="Times New Roman"/>
        </w:rPr>
      </w:pPr>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0"/>
        <w:gridCol w:w="1788"/>
        <w:gridCol w:w="1538"/>
        <w:gridCol w:w="1971"/>
        <w:gridCol w:w="454"/>
        <w:gridCol w:w="1455"/>
        <w:gridCol w:w="454"/>
        <w:gridCol w:w="1312"/>
        <w:gridCol w:w="558"/>
        <w:gridCol w:w="621"/>
        <w:gridCol w:w="2236"/>
      </w:tblGrid>
      <w:tr w14:paraId="0721D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4E2AEC2E">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5C47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04EE959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2E4FFC3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51320021T000000169708-机构编制专项经费</w:t>
            </w:r>
          </w:p>
        </w:tc>
      </w:tr>
      <w:tr w14:paraId="637FB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7CE6942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F2A66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69CF4FAF">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580603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4FDB5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6D84FAA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04BF63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3185F5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6C4315F5">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18F8A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04D973">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34EA5F">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34364EA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完成行政事业单位机构改革和各类专项改革，州委编办、实名制管理、网上登记管理、政务和中文域名管理、网络标识管理等专项工作，提升机构编制管理水平，提高行政效率。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32BC82E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保障了机构编制专项业务开展，扎实推动工作任务落地落实。</w:t>
            </w:r>
          </w:p>
        </w:tc>
      </w:tr>
      <w:tr w14:paraId="71E4C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953312">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565FB6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7AF4FF3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完成重点部门机构编制管理改革任务，修订“三定”规定，进一步规范和优化机构编制事项，构建职能科学、事权清晰、指挥顺畅、运行高效的职能体系。</w:t>
            </w:r>
          </w:p>
        </w:tc>
      </w:tr>
      <w:tr w14:paraId="44EB5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14B2DF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70EEE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7CABE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B3B37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145F5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21265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6B823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6854F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A8D4E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E1DB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17741A">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67234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60BF8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8BC60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3775EE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A29FB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99.33%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7CD33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C7A50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9.93</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56844B24">
            <w:pPr>
              <w:rPr>
                <w:rFonts w:hint="default" w:ascii="Times New Roman" w:hAnsi="Times New Roman" w:eastAsia="simhei" w:cs="Times New Roman"/>
                <w:i/>
                <w:iCs/>
                <w:color w:val="000000"/>
                <w:sz w:val="18"/>
                <w:szCs w:val="18"/>
                <w:u w:val="none"/>
              </w:rPr>
            </w:pPr>
          </w:p>
        </w:tc>
      </w:tr>
      <w:tr w14:paraId="72355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038919">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2FB1C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B8091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FBC8D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048FD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807A1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CE3FE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BB7E6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D209F4">
            <w:pPr>
              <w:rPr>
                <w:rFonts w:hint="default" w:ascii="Times New Roman" w:hAnsi="Times New Roman" w:eastAsia="simhei" w:cs="Times New Roman"/>
                <w:i/>
                <w:iCs/>
                <w:color w:val="000000"/>
                <w:sz w:val="18"/>
                <w:szCs w:val="18"/>
                <w:u w:val="none"/>
              </w:rPr>
            </w:pPr>
          </w:p>
        </w:tc>
      </w:tr>
      <w:tr w14:paraId="39AB5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84E069">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1051B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67CE2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34BB9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24D6B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51E21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36620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5C13E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111734">
            <w:pPr>
              <w:rPr>
                <w:rFonts w:hint="default" w:ascii="Times New Roman" w:hAnsi="Times New Roman" w:eastAsia="simhei" w:cs="Times New Roman"/>
                <w:i/>
                <w:iCs/>
                <w:color w:val="000000"/>
                <w:sz w:val="18"/>
                <w:szCs w:val="18"/>
                <w:u w:val="none"/>
              </w:rPr>
            </w:pPr>
          </w:p>
        </w:tc>
      </w:tr>
      <w:tr w14:paraId="6C2B3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924BF0">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05C8C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801E0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05AE0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A7B61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6F108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71B6B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236CD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DDA04C">
            <w:pPr>
              <w:rPr>
                <w:rFonts w:hint="default" w:ascii="Times New Roman" w:hAnsi="Times New Roman" w:eastAsia="simhei" w:cs="Times New Roman"/>
                <w:i/>
                <w:iCs/>
                <w:color w:val="000000"/>
                <w:sz w:val="18"/>
                <w:szCs w:val="18"/>
                <w:u w:val="none"/>
              </w:rPr>
            </w:pPr>
          </w:p>
        </w:tc>
      </w:tr>
      <w:tr w14:paraId="7A731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36ADF5">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6A4A4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5452327">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8B8732D">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E381D5C">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4AB7ED9">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E2852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EE485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24DED">
            <w:pPr>
              <w:rPr>
                <w:rFonts w:hint="default" w:ascii="Times New Roman" w:hAnsi="Times New Roman" w:eastAsia="simhei" w:cs="Times New Roman"/>
                <w:i/>
                <w:iCs/>
                <w:color w:val="000000"/>
                <w:sz w:val="18"/>
                <w:szCs w:val="18"/>
                <w:u w:val="none"/>
              </w:rPr>
            </w:pPr>
          </w:p>
        </w:tc>
      </w:tr>
      <w:tr w14:paraId="4C2CF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7F5254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5E577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6A56D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E3F12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601DE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F659D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A8AD9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A8017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8E9F5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CE7B5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CD3E9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7147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D19715">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C1D8F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10E3D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73F05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专项工作完成率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26D33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D9DF1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996CD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DF344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262F7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61C62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F0829E8">
            <w:pPr>
              <w:jc w:val="center"/>
              <w:rPr>
                <w:rFonts w:hint="default" w:ascii="Times New Roman" w:hAnsi="Times New Roman" w:eastAsia="微软雅黑" w:cs="Times New Roman"/>
                <w:i/>
                <w:iCs/>
                <w:color w:val="000000"/>
                <w:sz w:val="16"/>
                <w:szCs w:val="16"/>
                <w:u w:val="none"/>
              </w:rPr>
            </w:pPr>
          </w:p>
        </w:tc>
      </w:tr>
      <w:tr w14:paraId="60E51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2D7061">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A596C5">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24173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F0FE4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完成专项工作质量合格率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3575F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7B155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4C392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E10AF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871B8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818D5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8F524DF">
            <w:pPr>
              <w:jc w:val="center"/>
              <w:rPr>
                <w:rFonts w:hint="default" w:ascii="Times New Roman" w:hAnsi="Times New Roman" w:eastAsia="微软雅黑" w:cs="Times New Roman"/>
                <w:i/>
                <w:iCs/>
                <w:color w:val="000000"/>
                <w:sz w:val="16"/>
                <w:szCs w:val="16"/>
                <w:u w:val="none"/>
              </w:rPr>
            </w:pPr>
          </w:p>
        </w:tc>
      </w:tr>
      <w:tr w14:paraId="4D143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D98630">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AA9D1F">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0FF74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9806F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完成专项工作时限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877D4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20E18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如期完成专项工作</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522648A">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A6090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如期完成专项工作</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8C58C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90BE3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4FD7968">
            <w:pPr>
              <w:jc w:val="center"/>
              <w:rPr>
                <w:rFonts w:hint="default" w:ascii="Times New Roman" w:hAnsi="Times New Roman" w:eastAsia="微软雅黑" w:cs="Times New Roman"/>
                <w:i/>
                <w:iCs/>
                <w:color w:val="000000"/>
                <w:sz w:val="16"/>
                <w:szCs w:val="16"/>
                <w:u w:val="none"/>
              </w:rPr>
            </w:pPr>
          </w:p>
        </w:tc>
      </w:tr>
      <w:tr w14:paraId="5299A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C82DBA">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ED9D8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3E9629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C87D8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确保机构编制重大决策落实到位</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E6694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6E8CF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F48801B">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40382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9429A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0E896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BD997C5">
            <w:pPr>
              <w:jc w:val="center"/>
              <w:rPr>
                <w:rFonts w:hint="default" w:ascii="Times New Roman" w:hAnsi="Times New Roman" w:eastAsia="微软雅黑" w:cs="Times New Roman"/>
                <w:i/>
                <w:iCs/>
                <w:color w:val="000000"/>
                <w:sz w:val="16"/>
                <w:szCs w:val="16"/>
                <w:u w:val="none"/>
              </w:rPr>
            </w:pPr>
          </w:p>
        </w:tc>
      </w:tr>
      <w:tr w14:paraId="68197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180BC7">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7FB836">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B8BF0E">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91660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行政效率提升率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34E65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74D3F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80EE5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48AD4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8B251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8CB54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D07A941">
            <w:pPr>
              <w:jc w:val="center"/>
              <w:rPr>
                <w:rFonts w:hint="default" w:ascii="Times New Roman" w:hAnsi="Times New Roman" w:eastAsia="微软雅黑" w:cs="Times New Roman"/>
                <w:i/>
                <w:iCs/>
                <w:color w:val="000000"/>
                <w:sz w:val="16"/>
                <w:szCs w:val="16"/>
                <w:u w:val="none"/>
              </w:rPr>
            </w:pPr>
          </w:p>
        </w:tc>
      </w:tr>
      <w:tr w14:paraId="2B33C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A09416">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AD28BE">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71870">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5035E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完成专项工作反馈</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CF7AE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0313C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顺利完成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27A5F3E">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CE8E5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顺利完成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B1B09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47113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4C8F2C2">
            <w:pPr>
              <w:jc w:val="center"/>
              <w:rPr>
                <w:rFonts w:hint="default" w:ascii="Times New Roman" w:hAnsi="Times New Roman" w:eastAsia="微软雅黑" w:cs="Times New Roman"/>
                <w:i/>
                <w:iCs/>
                <w:color w:val="000000"/>
                <w:sz w:val="16"/>
                <w:szCs w:val="16"/>
                <w:u w:val="none"/>
              </w:rPr>
            </w:pPr>
          </w:p>
        </w:tc>
      </w:tr>
      <w:tr w14:paraId="08B00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5985E6">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E266D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439CF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8C791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行政事业单位人员满意度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35067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EF77D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09579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706E0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881CB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A8E4D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DE0FC36">
            <w:pPr>
              <w:jc w:val="center"/>
              <w:rPr>
                <w:rFonts w:hint="default" w:ascii="Times New Roman" w:hAnsi="Times New Roman" w:eastAsia="微软雅黑" w:cs="Times New Roman"/>
                <w:i/>
                <w:iCs/>
                <w:color w:val="000000"/>
                <w:sz w:val="16"/>
                <w:szCs w:val="16"/>
                <w:u w:val="none"/>
              </w:rPr>
            </w:pPr>
          </w:p>
        </w:tc>
      </w:tr>
      <w:tr w14:paraId="69CC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EA4DAA">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5E19F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E0BF1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E7622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机构编制专项工作经费</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6124E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A483D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CCC1E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A6F97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48D2E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45F58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19.86 </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56F9E33">
            <w:pPr>
              <w:jc w:val="center"/>
              <w:rPr>
                <w:rFonts w:hint="default" w:ascii="Times New Roman" w:hAnsi="Times New Roman" w:eastAsia="微软雅黑" w:cs="Times New Roman"/>
                <w:i/>
                <w:iCs/>
                <w:color w:val="000000"/>
                <w:sz w:val="16"/>
                <w:szCs w:val="16"/>
                <w:u w:val="none"/>
              </w:rPr>
            </w:pPr>
          </w:p>
        </w:tc>
      </w:tr>
      <w:tr w14:paraId="10749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6DEEF4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997BB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52BD3F7">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99.79</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9D044F0">
            <w:pPr>
              <w:rPr>
                <w:rFonts w:hint="default" w:ascii="Times New Roman" w:hAnsi="Times New Roman" w:eastAsia="宋体" w:cs="Times New Roman"/>
                <w:i w:val="0"/>
                <w:iCs w:val="0"/>
                <w:color w:val="000000"/>
                <w:sz w:val="18"/>
                <w:szCs w:val="18"/>
                <w:u w:val="none"/>
              </w:rPr>
            </w:pPr>
          </w:p>
        </w:tc>
      </w:tr>
      <w:tr w14:paraId="6BB66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5C570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45A42E1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评得分99.79分，完成目标情况较好。机构编制专项经费使用合理高效，预算执行到位。有力保障了机构编制工作的开展，各项任务高质量完成，达成了预期目标。并为机构编制工作的发展提供了有力支持，充分发挥了专项经费的作用，取得了显著的成效。</w:t>
            </w:r>
          </w:p>
        </w:tc>
      </w:tr>
      <w:tr w14:paraId="29466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629F89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C32F98E">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601F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23AD9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A9913CE">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6E115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08D56231">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23E21FBD">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6B10A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00BF0023">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3F8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06C8091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38D4E70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51320021T000000169733-机构编制调研经费</w:t>
            </w:r>
          </w:p>
        </w:tc>
      </w:tr>
      <w:tr w14:paraId="2DC5A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2D528B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A26C42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16396B31">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2A77D2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4907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44B81C8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9F4328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41AEA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124D6159">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0B456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3C1A06">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EDA170">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2F05B1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完成全州机构编制重大调研工作，确保</w:t>
            </w:r>
            <w:r>
              <w:rPr>
                <w:rFonts w:hint="eastAsia" w:cs="Times New Roman"/>
                <w:i w:val="0"/>
                <w:iCs w:val="0"/>
                <w:color w:val="000000"/>
                <w:kern w:val="0"/>
                <w:sz w:val="18"/>
                <w:szCs w:val="18"/>
                <w:u w:val="none"/>
                <w:lang w:val="en-US" w:eastAsia="zh-CN" w:bidi="ar"/>
              </w:rPr>
              <w:t>州委、州政府</w:t>
            </w:r>
            <w:r>
              <w:rPr>
                <w:rFonts w:hint="default" w:ascii="Times New Roman" w:hAnsi="Times New Roman" w:eastAsia="宋体" w:cs="Times New Roman"/>
                <w:i w:val="0"/>
                <w:iCs w:val="0"/>
                <w:color w:val="000000"/>
                <w:kern w:val="0"/>
                <w:sz w:val="18"/>
                <w:szCs w:val="18"/>
                <w:u w:val="none"/>
                <w:lang w:val="en-US" w:eastAsia="zh-CN" w:bidi="ar"/>
              </w:rPr>
              <w:t>相关机构编制重大决策落实到位</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72EBA75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保障了机构编制调研工作开展，扎实推动工作任务落地落实。</w:t>
            </w:r>
          </w:p>
        </w:tc>
      </w:tr>
      <w:tr w14:paraId="3EDC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203123">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866BDB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1DED91E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完成理县、黑水县人口小县机构改革自查评估工作。深化重点领域体制机制改革，厘清职责定位，拟定景区、园区、科研相关改革方案，及时调整机构编制事项，着力构建适应阿坝高质量发展的职能体系。</w:t>
            </w:r>
          </w:p>
        </w:tc>
      </w:tr>
      <w:tr w14:paraId="07BC3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49F8A0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95F94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7B0E8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AC98A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1C556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6A80B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6F1AA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3B28E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E98CE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97CB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9FBA1C">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822C2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10F3A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23B4D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43516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B2B14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6843F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E379F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6F0E2E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前期工作任务繁忙，只完成了1项调研工作。其他调研未完成。</w:t>
            </w:r>
          </w:p>
        </w:tc>
      </w:tr>
      <w:tr w14:paraId="33954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0880DD">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3A496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14E77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3EAD2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2352B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322CD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90043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B49FE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7915AB">
            <w:pPr>
              <w:jc w:val="center"/>
              <w:rPr>
                <w:rFonts w:hint="default" w:ascii="Times New Roman" w:hAnsi="Times New Roman" w:eastAsia="宋体" w:cs="Times New Roman"/>
                <w:i w:val="0"/>
                <w:iCs w:val="0"/>
                <w:color w:val="000000"/>
                <w:sz w:val="18"/>
                <w:szCs w:val="18"/>
                <w:u w:val="none"/>
              </w:rPr>
            </w:pPr>
          </w:p>
        </w:tc>
      </w:tr>
      <w:tr w14:paraId="1D062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B4D6BE">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247A6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0FC4C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24356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CC48E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8178B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C1DAA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F0C37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437988">
            <w:pPr>
              <w:jc w:val="center"/>
              <w:rPr>
                <w:rFonts w:hint="default" w:ascii="Times New Roman" w:hAnsi="Times New Roman" w:eastAsia="宋体" w:cs="Times New Roman"/>
                <w:i w:val="0"/>
                <w:iCs w:val="0"/>
                <w:color w:val="000000"/>
                <w:sz w:val="18"/>
                <w:szCs w:val="18"/>
                <w:u w:val="none"/>
              </w:rPr>
            </w:pPr>
          </w:p>
        </w:tc>
      </w:tr>
      <w:tr w14:paraId="58063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F82908">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B8A61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5C704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657E3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7B4A1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3594B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72078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71797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6BF4CE">
            <w:pPr>
              <w:jc w:val="center"/>
              <w:rPr>
                <w:rFonts w:hint="default" w:ascii="Times New Roman" w:hAnsi="Times New Roman" w:eastAsia="宋体" w:cs="Times New Roman"/>
                <w:i w:val="0"/>
                <w:iCs w:val="0"/>
                <w:color w:val="000000"/>
                <w:sz w:val="18"/>
                <w:szCs w:val="18"/>
                <w:u w:val="none"/>
              </w:rPr>
            </w:pPr>
          </w:p>
        </w:tc>
      </w:tr>
      <w:tr w14:paraId="0442A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1CFCDB">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039E2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67D651D">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66DFC41">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B75B7E4">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DB5DDC3">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25D89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74397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31B751">
            <w:pPr>
              <w:jc w:val="center"/>
              <w:rPr>
                <w:rFonts w:hint="default" w:ascii="Times New Roman" w:hAnsi="Times New Roman" w:eastAsia="宋体" w:cs="Times New Roman"/>
                <w:i w:val="0"/>
                <w:iCs w:val="0"/>
                <w:color w:val="000000"/>
                <w:sz w:val="18"/>
                <w:szCs w:val="18"/>
                <w:u w:val="none"/>
              </w:rPr>
            </w:pPr>
          </w:p>
        </w:tc>
      </w:tr>
      <w:tr w14:paraId="747D8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137584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070F9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E98A2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2073B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4ADA8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C7144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8F963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B2858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6C1AA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C0664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E6C1A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6646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6B4D8">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D17EB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7E911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79A62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调研次数</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04F26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68396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62A0A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AF6A9A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2D7CC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7253F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D330E53">
            <w:pPr>
              <w:jc w:val="center"/>
              <w:rPr>
                <w:rFonts w:hint="default" w:ascii="Times New Roman" w:hAnsi="Times New Roman" w:eastAsia="微软雅黑" w:cs="Times New Roman"/>
                <w:i/>
                <w:iCs/>
                <w:color w:val="000000"/>
                <w:sz w:val="16"/>
                <w:szCs w:val="16"/>
                <w:u w:val="none"/>
              </w:rPr>
            </w:pPr>
          </w:p>
        </w:tc>
      </w:tr>
      <w:tr w14:paraId="37F43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1142F3">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F772D8">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C7758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5FAF8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调研报告验收合格率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2EEA0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9C484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CF50C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DC7DF8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93EA0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B529F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2177842">
            <w:pPr>
              <w:jc w:val="center"/>
              <w:rPr>
                <w:rFonts w:hint="default" w:ascii="Times New Roman" w:hAnsi="Times New Roman" w:eastAsia="微软雅黑" w:cs="Times New Roman"/>
                <w:i/>
                <w:iCs/>
                <w:color w:val="000000"/>
                <w:sz w:val="16"/>
                <w:szCs w:val="16"/>
                <w:u w:val="none"/>
              </w:rPr>
            </w:pPr>
          </w:p>
        </w:tc>
      </w:tr>
      <w:tr w14:paraId="14BC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027629">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FD2387">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C5B93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4707C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57A7F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62DEF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907C910">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86FB50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完成1次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CC1A1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9863D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18B7564">
            <w:pPr>
              <w:jc w:val="center"/>
              <w:rPr>
                <w:rFonts w:hint="default" w:ascii="Times New Roman" w:hAnsi="Times New Roman" w:eastAsia="微软雅黑" w:cs="Times New Roman"/>
                <w:i/>
                <w:iCs/>
                <w:color w:val="000000"/>
                <w:sz w:val="16"/>
                <w:szCs w:val="16"/>
                <w:u w:val="none"/>
              </w:rPr>
            </w:pPr>
          </w:p>
        </w:tc>
      </w:tr>
      <w:tr w14:paraId="1781D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54529F">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BBC16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4E95F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3D945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调研成果采纳率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DB5EA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E55FE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AF8FF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BEE8BC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A428E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84126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C6D834F">
            <w:pPr>
              <w:jc w:val="center"/>
              <w:rPr>
                <w:rFonts w:hint="default" w:ascii="Times New Roman" w:hAnsi="Times New Roman" w:eastAsia="微软雅黑" w:cs="Times New Roman"/>
                <w:i/>
                <w:iCs/>
                <w:color w:val="000000"/>
                <w:sz w:val="16"/>
                <w:szCs w:val="16"/>
                <w:u w:val="none"/>
              </w:rPr>
            </w:pPr>
          </w:p>
        </w:tc>
      </w:tr>
      <w:tr w14:paraId="64A62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AEB2D0">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A52DBF">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C636C1">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3CF15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机构编制决策落实情况</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A03AC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01320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有效确保</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E58F513">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9EA8D8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有效确保</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F11CE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79F7B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6716B6F">
            <w:pPr>
              <w:jc w:val="center"/>
              <w:rPr>
                <w:rFonts w:hint="default" w:ascii="Times New Roman" w:hAnsi="Times New Roman" w:eastAsia="微软雅黑" w:cs="Times New Roman"/>
                <w:i/>
                <w:iCs/>
                <w:color w:val="000000"/>
                <w:sz w:val="16"/>
                <w:szCs w:val="16"/>
                <w:u w:val="none"/>
              </w:rPr>
            </w:pPr>
          </w:p>
        </w:tc>
      </w:tr>
      <w:tr w14:paraId="470CA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3D5A43">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C6DE5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D0614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B74B6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18"/>
                <w:szCs w:val="18"/>
                <w:u w:val="none"/>
                <w:lang w:val="en-US" w:eastAsia="zh-CN" w:bidi="ar"/>
              </w:rPr>
              <w:t>州委、州政府</w:t>
            </w:r>
            <w:r>
              <w:rPr>
                <w:rFonts w:hint="default" w:ascii="Times New Roman" w:hAnsi="Times New Roman" w:eastAsia="宋体" w:cs="Times New Roman"/>
                <w:i w:val="0"/>
                <w:iCs w:val="0"/>
                <w:color w:val="000000"/>
                <w:kern w:val="0"/>
                <w:sz w:val="18"/>
                <w:szCs w:val="18"/>
                <w:u w:val="none"/>
                <w:lang w:val="en-US" w:eastAsia="zh-CN" w:bidi="ar"/>
              </w:rPr>
              <w:t>对调研结果的满意度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C8DAD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CC281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FC9EC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65906E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527C6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21CE1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276B332">
            <w:pPr>
              <w:jc w:val="center"/>
              <w:rPr>
                <w:rFonts w:hint="default" w:ascii="Times New Roman" w:hAnsi="Times New Roman" w:eastAsia="微软雅黑" w:cs="Times New Roman"/>
                <w:i/>
                <w:iCs/>
                <w:color w:val="000000"/>
                <w:sz w:val="16"/>
                <w:szCs w:val="16"/>
                <w:u w:val="none"/>
              </w:rPr>
            </w:pPr>
          </w:p>
        </w:tc>
      </w:tr>
      <w:tr w14:paraId="645A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679FA5">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7A0A1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CDE54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FB8FA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调研经费</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F5F22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209AC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50305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B60D8C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0.69</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8BB43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AACA0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82449EE">
            <w:pPr>
              <w:jc w:val="center"/>
              <w:rPr>
                <w:rFonts w:hint="default" w:ascii="Times New Roman" w:hAnsi="Times New Roman" w:eastAsia="微软雅黑" w:cs="Times New Roman"/>
                <w:i/>
                <w:iCs/>
                <w:color w:val="000000"/>
                <w:sz w:val="16"/>
                <w:szCs w:val="16"/>
                <w:u w:val="none"/>
              </w:rPr>
            </w:pPr>
          </w:p>
        </w:tc>
      </w:tr>
      <w:tr w14:paraId="3CFC4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4B2300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99E5C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EAC6890">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56.75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2E1F441">
            <w:pPr>
              <w:rPr>
                <w:rFonts w:hint="default" w:ascii="Times New Roman" w:hAnsi="Times New Roman" w:eastAsia="宋体" w:cs="Times New Roman"/>
                <w:i w:val="0"/>
                <w:iCs w:val="0"/>
                <w:color w:val="000000"/>
                <w:sz w:val="18"/>
                <w:szCs w:val="18"/>
                <w:u w:val="none"/>
              </w:rPr>
            </w:pPr>
          </w:p>
        </w:tc>
      </w:tr>
      <w:tr w14:paraId="3136F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22B60F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6C2B0F0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自评得分56.75分。为机构编制调整提供决策依据，提升管理效能。</w:t>
            </w:r>
          </w:p>
        </w:tc>
      </w:tr>
      <w:tr w14:paraId="486F9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5FDDF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75E17B6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前期工作任务繁忙，其他调研未完成</w:t>
            </w:r>
          </w:p>
        </w:tc>
      </w:tr>
      <w:tr w14:paraId="758A8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728763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713C128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合理安排工作任务。</w:t>
            </w:r>
          </w:p>
        </w:tc>
      </w:tr>
      <w:tr w14:paraId="6C3F9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6162C30B">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707BFFE9">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3E9F0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CFF0A08">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BCF2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292A1E7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421A9C0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51320021T000000169773-机构编制督查经费</w:t>
            </w:r>
          </w:p>
        </w:tc>
      </w:tr>
      <w:tr w14:paraId="66132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03EC2B7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69185D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236347BA">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0AF27C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427C3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7595AE4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E2ACF0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2CBCDB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5DD9748E">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69C5C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C2A319">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8EA7BC">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4AF77BA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通过机构编制督查，确保省委编委、州委编委相关机构编制重大决策部署落实到位，无违反机构编制纪律情况，维护机构编制工作的严肃性和权威性，提升机构编制管理水平。</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71157A5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完成了</w:t>
            </w:r>
            <w:r>
              <w:rPr>
                <w:rFonts w:hint="eastAsia" w:cs="Times New Roman"/>
                <w:i w:val="0"/>
                <w:iCs w:val="0"/>
                <w:color w:val="000000"/>
                <w:kern w:val="0"/>
                <w:sz w:val="18"/>
                <w:szCs w:val="18"/>
                <w:u w:val="none"/>
                <w:lang w:val="en-US" w:eastAsia="zh-CN" w:bidi="ar"/>
              </w:rPr>
              <w:t>州委、州政府</w:t>
            </w:r>
            <w:r>
              <w:rPr>
                <w:rFonts w:hint="default" w:ascii="Times New Roman" w:hAnsi="Times New Roman" w:eastAsia="宋体" w:cs="Times New Roman"/>
                <w:i w:val="0"/>
                <w:iCs w:val="0"/>
                <w:color w:val="000000"/>
                <w:kern w:val="0"/>
                <w:sz w:val="18"/>
                <w:szCs w:val="18"/>
                <w:u w:val="none"/>
                <w:lang w:val="en-US" w:eastAsia="zh-CN" w:bidi="ar"/>
              </w:rPr>
              <w:t xml:space="preserve">相关机构编制重大决策部署和省委编委、州委编委涉及机构编制的评估工作。   </w:t>
            </w:r>
          </w:p>
        </w:tc>
      </w:tr>
      <w:tr w14:paraId="7C37C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AAE065">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D874B9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5D76151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创新采用“漫画+法规”的可视化宣传形式，联合州纪委监委机关印制2000份《机构编制监督检查宣传手册》，下发各县（市）、州级各部门，构建起“齐学、同用、共守”机构编制政策法规的局面；开展机构编制纪律执行情况自查，针对未严格执行“三定”规定、干预下级部门（单位）机构设置等突出问题开展自查，及时掌握各部门遵守机构编制纪律情况。</w:t>
            </w:r>
          </w:p>
        </w:tc>
      </w:tr>
      <w:tr w14:paraId="4B159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27A8E1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CB77D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06D20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2C097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3A915A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BF7B7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F9994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E3E91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95410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D8E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8D9443">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0A866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33D92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640E7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B59D8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E7482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807C6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DCC0D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766DE057">
            <w:pPr>
              <w:rPr>
                <w:rFonts w:hint="default" w:ascii="Times New Roman" w:hAnsi="Times New Roman" w:eastAsia="simhei" w:cs="Times New Roman"/>
                <w:i/>
                <w:iCs/>
                <w:color w:val="000000"/>
                <w:sz w:val="18"/>
                <w:szCs w:val="18"/>
                <w:u w:val="none"/>
              </w:rPr>
            </w:pPr>
          </w:p>
        </w:tc>
      </w:tr>
      <w:tr w14:paraId="1FF3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18CA8">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90F1C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9DA18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87155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151D1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B943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2AD37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F868B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158D94">
            <w:pPr>
              <w:rPr>
                <w:rFonts w:hint="default" w:ascii="Times New Roman" w:hAnsi="Times New Roman" w:eastAsia="simhei" w:cs="Times New Roman"/>
                <w:i/>
                <w:iCs/>
                <w:color w:val="000000"/>
                <w:sz w:val="18"/>
                <w:szCs w:val="18"/>
                <w:u w:val="none"/>
              </w:rPr>
            </w:pPr>
          </w:p>
        </w:tc>
      </w:tr>
      <w:tr w14:paraId="4A623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8711CF">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A82C8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4A80F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20D04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B7903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68F72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7007C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225AC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2400A6">
            <w:pPr>
              <w:rPr>
                <w:rFonts w:hint="default" w:ascii="Times New Roman" w:hAnsi="Times New Roman" w:eastAsia="simhei" w:cs="Times New Roman"/>
                <w:i/>
                <w:iCs/>
                <w:color w:val="000000"/>
                <w:sz w:val="18"/>
                <w:szCs w:val="18"/>
                <w:u w:val="none"/>
              </w:rPr>
            </w:pPr>
          </w:p>
        </w:tc>
      </w:tr>
      <w:tr w14:paraId="459B2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CFDF7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59F1E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C6026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2CBA0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CF244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8ECD2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25AFA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F3506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788A28">
            <w:pPr>
              <w:rPr>
                <w:rFonts w:hint="default" w:ascii="Times New Roman" w:hAnsi="Times New Roman" w:eastAsia="simhei" w:cs="Times New Roman"/>
                <w:i/>
                <w:iCs/>
                <w:color w:val="000000"/>
                <w:sz w:val="18"/>
                <w:szCs w:val="18"/>
                <w:u w:val="none"/>
              </w:rPr>
            </w:pPr>
          </w:p>
        </w:tc>
      </w:tr>
      <w:tr w14:paraId="186BF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6E2F9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CB7C6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D3D8BE8">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B56EF2E">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226019B">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2377F49">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C6CE6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A68EC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793C0">
            <w:pPr>
              <w:rPr>
                <w:rFonts w:hint="default" w:ascii="Times New Roman" w:hAnsi="Times New Roman" w:eastAsia="simhei" w:cs="Times New Roman"/>
                <w:i/>
                <w:iCs/>
                <w:color w:val="000000"/>
                <w:sz w:val="18"/>
                <w:szCs w:val="18"/>
                <w:u w:val="none"/>
              </w:rPr>
            </w:pPr>
          </w:p>
        </w:tc>
      </w:tr>
      <w:tr w14:paraId="7B89E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69E93F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344BD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1B93C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35D6B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83018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6E545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EE02A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378CE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29F2E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10815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4E6EE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C410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7D92E2">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464B7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E4AD2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52EFD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评估次数</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6010E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CC4C3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896AA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4D5917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901CA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DEE4D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CE07BD1">
            <w:pPr>
              <w:jc w:val="center"/>
              <w:rPr>
                <w:rFonts w:hint="default" w:ascii="Times New Roman" w:hAnsi="Times New Roman" w:eastAsia="微软雅黑" w:cs="Times New Roman"/>
                <w:i/>
                <w:iCs/>
                <w:color w:val="000000"/>
                <w:sz w:val="16"/>
                <w:szCs w:val="16"/>
                <w:u w:val="none"/>
              </w:rPr>
            </w:pPr>
          </w:p>
        </w:tc>
      </w:tr>
      <w:tr w14:paraId="66740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93B52B">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F8D27">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F5D4E9">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D1625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评估完成率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FA902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77DAC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675F9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51A38F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D9AC2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3F557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49B575B">
            <w:pPr>
              <w:jc w:val="center"/>
              <w:rPr>
                <w:rFonts w:hint="default" w:ascii="Times New Roman" w:hAnsi="Times New Roman" w:eastAsia="微软雅黑" w:cs="Times New Roman"/>
                <w:i/>
                <w:iCs/>
                <w:color w:val="000000"/>
                <w:sz w:val="16"/>
                <w:szCs w:val="16"/>
                <w:u w:val="none"/>
              </w:rPr>
            </w:pPr>
          </w:p>
        </w:tc>
      </w:tr>
      <w:tr w14:paraId="3558B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3ED868">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5D0DD">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02A85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7E64B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问题整改率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CA69A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5897A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3A597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3CDB5F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7B6E2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B0036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54ECA2F">
            <w:pPr>
              <w:jc w:val="center"/>
              <w:rPr>
                <w:rFonts w:hint="default" w:ascii="Times New Roman" w:hAnsi="Times New Roman" w:eastAsia="微软雅黑" w:cs="Times New Roman"/>
                <w:i/>
                <w:iCs/>
                <w:color w:val="000000"/>
                <w:sz w:val="16"/>
                <w:szCs w:val="16"/>
                <w:u w:val="none"/>
              </w:rPr>
            </w:pPr>
          </w:p>
        </w:tc>
      </w:tr>
      <w:tr w14:paraId="700D9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256568">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8E4D8">
            <w:pPr>
              <w:jc w:val="center"/>
              <w:rPr>
                <w:rFonts w:hint="default" w:ascii="Times New Roman" w:hAnsi="Times New Roman" w:eastAsia="宋体" w:cs="Times New Roman"/>
                <w:i w:val="0"/>
                <w:iCs w:val="0"/>
                <w:color w:val="000000"/>
                <w:sz w:val="18"/>
                <w:szCs w:val="18"/>
                <w:u w:val="none"/>
              </w:rPr>
            </w:pP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AC1F0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3190F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报告按时提交率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78DBA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AD640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36DFC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89220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EDE12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AEF29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B1FA350">
            <w:pPr>
              <w:jc w:val="center"/>
              <w:rPr>
                <w:rFonts w:hint="default" w:ascii="Times New Roman" w:hAnsi="Times New Roman" w:eastAsia="微软雅黑" w:cs="Times New Roman"/>
                <w:i/>
                <w:iCs/>
                <w:color w:val="000000"/>
                <w:sz w:val="16"/>
                <w:szCs w:val="16"/>
                <w:u w:val="none"/>
              </w:rPr>
            </w:pPr>
          </w:p>
        </w:tc>
      </w:tr>
      <w:tr w14:paraId="4145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76B255">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8AF9F4">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E5297">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E4915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F8A64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01EC4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4A5A342">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CCAF6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2D420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EB923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7FC74A2">
            <w:pPr>
              <w:jc w:val="center"/>
              <w:rPr>
                <w:rFonts w:hint="default" w:ascii="Times New Roman" w:hAnsi="Times New Roman" w:eastAsia="微软雅黑" w:cs="Times New Roman"/>
                <w:i/>
                <w:iCs/>
                <w:color w:val="000000"/>
                <w:sz w:val="16"/>
                <w:szCs w:val="16"/>
                <w:u w:val="none"/>
              </w:rPr>
            </w:pPr>
          </w:p>
        </w:tc>
      </w:tr>
      <w:tr w14:paraId="14E17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484732">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BDA11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D233C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944EE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各项工作顺利开展情况</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6860A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AB8EF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好、一般、差</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72499C8">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589A50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好</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70360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3778C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CB76E7E">
            <w:pPr>
              <w:jc w:val="center"/>
              <w:rPr>
                <w:rFonts w:hint="default" w:ascii="Times New Roman" w:hAnsi="Times New Roman" w:eastAsia="微软雅黑" w:cs="Times New Roman"/>
                <w:i/>
                <w:iCs/>
                <w:color w:val="000000"/>
                <w:sz w:val="16"/>
                <w:szCs w:val="16"/>
                <w:u w:val="none"/>
              </w:rPr>
            </w:pPr>
          </w:p>
        </w:tc>
      </w:tr>
      <w:tr w14:paraId="65B9F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43DE07">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66855A">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FFC14">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B5B1A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评估结果反馈</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061F2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89087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完成问题反馈</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275197E">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5836C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完成问题反馈</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F0B96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2A3A2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8E37558">
            <w:pPr>
              <w:jc w:val="center"/>
              <w:rPr>
                <w:rFonts w:hint="default" w:ascii="Times New Roman" w:hAnsi="Times New Roman" w:eastAsia="微软雅黑" w:cs="Times New Roman"/>
                <w:i/>
                <w:iCs/>
                <w:color w:val="000000"/>
                <w:sz w:val="16"/>
                <w:szCs w:val="16"/>
                <w:u w:val="none"/>
              </w:rPr>
            </w:pPr>
          </w:p>
        </w:tc>
      </w:tr>
      <w:tr w14:paraId="59D5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C1A0FE">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7FCAF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48966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CD65D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评估人员满意度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F3C80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22F84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A2E5D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AB7237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90CD5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523BE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A2BB262">
            <w:pPr>
              <w:jc w:val="center"/>
              <w:rPr>
                <w:rFonts w:hint="default" w:ascii="Times New Roman" w:hAnsi="Times New Roman" w:eastAsia="微软雅黑" w:cs="Times New Roman"/>
                <w:i/>
                <w:iCs/>
                <w:color w:val="000000"/>
                <w:sz w:val="16"/>
                <w:szCs w:val="16"/>
                <w:u w:val="none"/>
              </w:rPr>
            </w:pPr>
          </w:p>
        </w:tc>
      </w:tr>
      <w:tr w14:paraId="3541A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E29BB0">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72B65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C96C9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184FC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督查经费</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621CE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23724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77462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0C649D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4.58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04126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DB57D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15.26</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437D90B">
            <w:pPr>
              <w:jc w:val="center"/>
              <w:rPr>
                <w:rFonts w:hint="default" w:ascii="Times New Roman" w:hAnsi="Times New Roman" w:eastAsia="微软雅黑" w:cs="Times New Roman"/>
                <w:i/>
                <w:iCs/>
                <w:color w:val="000000"/>
                <w:sz w:val="16"/>
                <w:szCs w:val="16"/>
                <w:u w:val="none"/>
              </w:rPr>
            </w:pPr>
          </w:p>
        </w:tc>
      </w:tr>
      <w:tr w14:paraId="5030D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67F9C7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4A5F4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13D2F11">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92.89</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E4E7FE3">
            <w:pPr>
              <w:rPr>
                <w:rFonts w:hint="default" w:ascii="Times New Roman" w:hAnsi="Times New Roman" w:eastAsia="宋体" w:cs="Times New Roman"/>
                <w:i w:val="0"/>
                <w:iCs w:val="0"/>
                <w:color w:val="000000"/>
                <w:sz w:val="18"/>
                <w:szCs w:val="18"/>
                <w:u w:val="none"/>
              </w:rPr>
            </w:pPr>
          </w:p>
        </w:tc>
      </w:tr>
      <w:tr w14:paraId="2BA7D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67F238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16BC6145">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自评得分92.89分，完成目标情况较好。为机构编制工作的发展提供了有力支持，充分发挥了该经费的作用，取得了显著的成效。</w:t>
            </w:r>
          </w:p>
        </w:tc>
      </w:tr>
      <w:tr w14:paraId="57740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7B010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5EC3E296">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4B9A7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63C346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0FCF9A88">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443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7BE29576">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项目负责人：张鹏</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5822653F">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44E93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76FD9C0">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B3A2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600F76D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1BCADA6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51320024T000010468779-阿坝州机构编制智能化管理系统</w:t>
            </w:r>
          </w:p>
        </w:tc>
      </w:tr>
      <w:tr w14:paraId="70B1A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53712AA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B244B8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2C6DBBDF">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605BFC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51AD1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6CCA552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E463FA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71425F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29BD04F1">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3C97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5"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11C366">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E17CB4">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5C2F0B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阿坝州机构编制智能化管理系统通过运用大数据模型，AI人工智能，广泛的数据汇聚分析，提升宏观决策能力；真正实现信息化技术赋能机构编制管理，优化工作流程、提高工作效率，更好开展工作，提高机构编制队伍的更快、更好发展。</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通过机构编制智能化管理系统的建设，可以提升机构编制工作的管理效率和质量，更好地服务于党和国家的中心工作。</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2F1285D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实现信息化技术赋能机构编制管理，为机构编制精细化管理提供了坚实技术支撑。</w:t>
            </w:r>
          </w:p>
        </w:tc>
      </w:tr>
      <w:tr w14:paraId="00ED2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DF0DE3">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1B985B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36FA912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按照政府采购程序和要求推进阿坝州机构编制智能化管理系统建设，按照政府采购合同资金支付要求，项目于2025年完成验收，在项目验收15个工作日内支付中标金额的20%。目前系统运行顺畅，项目经费已全部支付。</w:t>
            </w:r>
          </w:p>
        </w:tc>
      </w:tr>
      <w:tr w14:paraId="0477D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107574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58955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3D854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32C54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AB1EC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FB911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0100D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26B34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7DFB8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81D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4FBA8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20720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15C3C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CD4BA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38.13</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616BE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38.13</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55A97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CDDEF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43283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5B5AD3B7">
            <w:pPr>
              <w:rPr>
                <w:rFonts w:hint="default" w:ascii="Times New Roman" w:hAnsi="Times New Roman" w:eastAsia="simhei" w:cs="Times New Roman"/>
                <w:i/>
                <w:iCs/>
                <w:color w:val="000000"/>
                <w:sz w:val="18"/>
                <w:szCs w:val="18"/>
                <w:u w:val="none"/>
              </w:rPr>
            </w:pPr>
          </w:p>
        </w:tc>
      </w:tr>
      <w:tr w14:paraId="5B6A4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4EA46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A6409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F8755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6F245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30.50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F0C4A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30.50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AC405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126BB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93DD2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01F787">
            <w:pPr>
              <w:rPr>
                <w:rFonts w:hint="default" w:ascii="Times New Roman" w:hAnsi="Times New Roman" w:eastAsia="simhei" w:cs="Times New Roman"/>
                <w:i/>
                <w:iCs/>
                <w:color w:val="000000"/>
                <w:sz w:val="18"/>
                <w:szCs w:val="18"/>
                <w:u w:val="none"/>
              </w:rPr>
            </w:pPr>
          </w:p>
        </w:tc>
      </w:tr>
      <w:tr w14:paraId="4D93C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943318">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F576C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DC3A3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5DE94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3DC122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A7780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2EB19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1A0A0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7E4B0B">
            <w:pPr>
              <w:rPr>
                <w:rFonts w:hint="default" w:ascii="Times New Roman" w:hAnsi="Times New Roman" w:eastAsia="simhei" w:cs="Times New Roman"/>
                <w:i/>
                <w:iCs/>
                <w:color w:val="000000"/>
                <w:sz w:val="18"/>
                <w:szCs w:val="18"/>
                <w:u w:val="none"/>
              </w:rPr>
            </w:pPr>
          </w:p>
        </w:tc>
      </w:tr>
      <w:tr w14:paraId="0880D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55E495">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E952F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79A0B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A0ACD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93ED3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7.63</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077D6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D859C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959B6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DFAC24">
            <w:pPr>
              <w:rPr>
                <w:rFonts w:hint="default" w:ascii="Times New Roman" w:hAnsi="Times New Roman" w:eastAsia="simhei" w:cs="Times New Roman"/>
                <w:i/>
                <w:iCs/>
                <w:color w:val="000000"/>
                <w:sz w:val="18"/>
                <w:szCs w:val="18"/>
                <w:u w:val="none"/>
              </w:rPr>
            </w:pPr>
          </w:p>
        </w:tc>
      </w:tr>
      <w:tr w14:paraId="0C570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7075D3">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672A6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D396073">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CB2EBD0">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DD1E5F5">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5866EA3">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55D96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5D6C9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138D10">
            <w:pPr>
              <w:rPr>
                <w:rFonts w:hint="default" w:ascii="Times New Roman" w:hAnsi="Times New Roman" w:eastAsia="simhei" w:cs="Times New Roman"/>
                <w:i/>
                <w:iCs/>
                <w:color w:val="000000"/>
                <w:sz w:val="18"/>
                <w:szCs w:val="18"/>
                <w:u w:val="none"/>
              </w:rPr>
            </w:pPr>
          </w:p>
        </w:tc>
      </w:tr>
      <w:tr w14:paraId="0390C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044214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CF6AD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3C594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0D806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807F5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27DF2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4E662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C5186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A8D0D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D1679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C819E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A0B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E42EC6">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916AF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42B05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08ADB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机构编制智能化管理系统</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A6420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66F16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C9BF7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套</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5C9C52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4E881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43884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FE12D17">
            <w:pPr>
              <w:jc w:val="center"/>
              <w:rPr>
                <w:rFonts w:hint="default" w:ascii="Times New Roman" w:hAnsi="Times New Roman" w:eastAsia="微软雅黑" w:cs="Times New Roman"/>
                <w:i/>
                <w:iCs/>
                <w:color w:val="000000"/>
                <w:sz w:val="16"/>
                <w:szCs w:val="16"/>
                <w:u w:val="none"/>
              </w:rPr>
            </w:pPr>
          </w:p>
        </w:tc>
      </w:tr>
      <w:tr w14:paraId="1A684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E8FB78">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68873B">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D8F50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03100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D3337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D2CCE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A8DEB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C03BF1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C0556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6B1F2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FC683B7">
            <w:pPr>
              <w:jc w:val="center"/>
              <w:rPr>
                <w:rFonts w:hint="default" w:ascii="Times New Roman" w:hAnsi="Times New Roman" w:eastAsia="微软雅黑" w:cs="Times New Roman"/>
                <w:i/>
                <w:iCs/>
                <w:color w:val="000000"/>
                <w:sz w:val="16"/>
                <w:szCs w:val="16"/>
                <w:u w:val="none"/>
              </w:rPr>
            </w:pPr>
          </w:p>
        </w:tc>
      </w:tr>
      <w:tr w14:paraId="5D9A0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74C0A6">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2ED8DB">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F2009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3F845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DC866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BF2DC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D335B30">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8A79F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27B12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8F032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483B57D">
            <w:pPr>
              <w:jc w:val="center"/>
              <w:rPr>
                <w:rFonts w:hint="default" w:ascii="Times New Roman" w:hAnsi="Times New Roman" w:eastAsia="微软雅黑" w:cs="Times New Roman"/>
                <w:i/>
                <w:iCs/>
                <w:color w:val="000000"/>
                <w:sz w:val="16"/>
                <w:szCs w:val="16"/>
                <w:u w:val="none"/>
              </w:rPr>
            </w:pPr>
          </w:p>
        </w:tc>
      </w:tr>
      <w:tr w14:paraId="69FA8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7AC600">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3CCF3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5F4E4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DEF52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提高办公效率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6259F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4E05A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2E1A8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7B5EF2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E1691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3F440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C073700">
            <w:pPr>
              <w:jc w:val="center"/>
              <w:rPr>
                <w:rFonts w:hint="default" w:ascii="Times New Roman" w:hAnsi="Times New Roman" w:eastAsia="微软雅黑" w:cs="Times New Roman"/>
                <w:i/>
                <w:iCs/>
                <w:color w:val="000000"/>
                <w:sz w:val="16"/>
                <w:szCs w:val="16"/>
                <w:u w:val="none"/>
              </w:rPr>
            </w:pPr>
          </w:p>
        </w:tc>
      </w:tr>
      <w:tr w14:paraId="5D1A5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C031C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C0130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E3B6E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3003F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群众满意度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A884E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73F7A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80618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C51C91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84AC9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ABDBB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4AABED4">
            <w:pPr>
              <w:jc w:val="center"/>
              <w:rPr>
                <w:rFonts w:hint="default" w:ascii="Times New Roman" w:hAnsi="Times New Roman" w:eastAsia="微软雅黑" w:cs="Times New Roman"/>
                <w:i/>
                <w:iCs/>
                <w:color w:val="000000"/>
                <w:sz w:val="16"/>
                <w:szCs w:val="16"/>
                <w:u w:val="none"/>
              </w:rPr>
            </w:pPr>
          </w:p>
        </w:tc>
      </w:tr>
      <w:tr w14:paraId="4EB5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61B9C4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0C063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64AA2BB">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8EE7904">
            <w:pPr>
              <w:rPr>
                <w:rFonts w:hint="default" w:ascii="Times New Roman" w:hAnsi="Times New Roman" w:eastAsia="宋体" w:cs="Times New Roman"/>
                <w:i w:val="0"/>
                <w:iCs w:val="0"/>
                <w:color w:val="000000"/>
                <w:sz w:val="18"/>
                <w:szCs w:val="18"/>
                <w:u w:val="none"/>
              </w:rPr>
            </w:pPr>
          </w:p>
        </w:tc>
      </w:tr>
      <w:tr w14:paraId="28304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474852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2AE16645">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自评得分100分，完成目标情况较好。系统运行情况较好，降低工作人员负担，显著提升编制管理规范化、精细化水平，达到预期建设目标。</w:t>
            </w:r>
          </w:p>
        </w:tc>
      </w:tr>
      <w:tr w14:paraId="35753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754F74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78E6C9C9">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7F70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5FB2A0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497C1452">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4E1A5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0099D07E">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4BCAD3FA">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23DA6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FA34B97">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13F2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46FF9F9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3DE99D8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51320025T000012636813-事业单位改革及其他行业领域改革工作经费</w:t>
            </w:r>
          </w:p>
        </w:tc>
      </w:tr>
      <w:tr w14:paraId="4D0CD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176C96B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4FDDE58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3D2EE627">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7424A9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45DDD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36DADD6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329FD3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77AFCF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1B800E34">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5EAE2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E3770">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49F15F">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78B52D5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积极推进事业单位改革及其他行业领域改革工作，指导评估督促推动州县事业单位改革。理顺事业单位和相关行业领域体制机制，优化机构编制资源配置，确保全州事业单位改革各项任务圆满完成，积极构建适应阿坝经济发展的机构职能体系。</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71EDA68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按照中央深化事业单位改革相关意见，提前谋划州、县（市）事业单位改革工作。</w:t>
            </w:r>
          </w:p>
        </w:tc>
      </w:tr>
      <w:tr w14:paraId="0D6E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6CC222">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ACEBE4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261AEC0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精准掌握全州事业单位运行现状、破解改革堵点，开展事业单位改革前瞻性调研，对州、县两级事业单位全覆盖、系统性调研，摸清事业单位运行情况、职能配置、编制使用、改革难点等问题，形成州属、县（市）事业单位调研报告。同时，赴雅安市、乐山市等地学习事业单位改革经验。</w:t>
            </w:r>
          </w:p>
        </w:tc>
      </w:tr>
      <w:tr w14:paraId="4DED0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3F6808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FAF05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8A838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FC810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E5814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8BDBF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E2F00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AC827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D93FC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EC04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E3571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FC4D0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D09B5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3F084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3829E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44BA5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2F2F9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279DE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36D754D1">
            <w:pPr>
              <w:rPr>
                <w:rFonts w:hint="default" w:ascii="Times New Roman" w:hAnsi="Times New Roman" w:eastAsia="simhei" w:cs="Times New Roman"/>
                <w:i/>
                <w:iCs/>
                <w:color w:val="000000"/>
                <w:sz w:val="18"/>
                <w:szCs w:val="18"/>
                <w:u w:val="none"/>
              </w:rPr>
            </w:pPr>
          </w:p>
        </w:tc>
      </w:tr>
      <w:tr w14:paraId="1A2B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84FA20">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E0503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8BAD3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58944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A067E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B4913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62983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88C91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4E7585">
            <w:pPr>
              <w:rPr>
                <w:rFonts w:hint="default" w:ascii="Times New Roman" w:hAnsi="Times New Roman" w:eastAsia="simhei" w:cs="Times New Roman"/>
                <w:i/>
                <w:iCs/>
                <w:color w:val="000000"/>
                <w:sz w:val="18"/>
                <w:szCs w:val="18"/>
                <w:u w:val="none"/>
              </w:rPr>
            </w:pPr>
          </w:p>
        </w:tc>
      </w:tr>
      <w:tr w14:paraId="015B5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8066F4">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2D8E0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FBA1C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8E983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8CAB2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2E38D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A0173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AAB5F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E6F888">
            <w:pPr>
              <w:rPr>
                <w:rFonts w:hint="default" w:ascii="Times New Roman" w:hAnsi="Times New Roman" w:eastAsia="simhei" w:cs="Times New Roman"/>
                <w:i/>
                <w:iCs/>
                <w:color w:val="000000"/>
                <w:sz w:val="18"/>
                <w:szCs w:val="18"/>
                <w:u w:val="none"/>
              </w:rPr>
            </w:pPr>
          </w:p>
        </w:tc>
      </w:tr>
      <w:tr w14:paraId="650AD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0FE326">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C755F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5402D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42298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CE256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1BF7A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81966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1D680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CF6E58">
            <w:pPr>
              <w:rPr>
                <w:rFonts w:hint="default" w:ascii="Times New Roman" w:hAnsi="Times New Roman" w:eastAsia="simhei" w:cs="Times New Roman"/>
                <w:i/>
                <w:iCs/>
                <w:color w:val="000000"/>
                <w:sz w:val="18"/>
                <w:szCs w:val="18"/>
                <w:u w:val="none"/>
              </w:rPr>
            </w:pPr>
          </w:p>
        </w:tc>
      </w:tr>
      <w:tr w14:paraId="7931F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CCFE2D">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C4A33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80D6DC4">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F82C61E">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092D1CF">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BF170A7">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E6317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ED56A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ECD42">
            <w:pPr>
              <w:rPr>
                <w:rFonts w:hint="default" w:ascii="Times New Roman" w:hAnsi="Times New Roman" w:eastAsia="simhei" w:cs="Times New Roman"/>
                <w:i/>
                <w:iCs/>
                <w:color w:val="000000"/>
                <w:sz w:val="18"/>
                <w:szCs w:val="18"/>
                <w:u w:val="none"/>
              </w:rPr>
            </w:pPr>
          </w:p>
        </w:tc>
      </w:tr>
      <w:tr w14:paraId="5428F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7451B5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BE696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87AC7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245A1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315ED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437B9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1CA8E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68D49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9179C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C4E5F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98BC3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E609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6F8F19">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0F39F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6E95E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CA57D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其他行业领域改革完成率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E9227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5DB89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5EF65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DD13BD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662C3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12F2C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BAD83A0">
            <w:pPr>
              <w:jc w:val="center"/>
              <w:rPr>
                <w:rFonts w:hint="default" w:ascii="Times New Roman" w:hAnsi="Times New Roman" w:eastAsia="微软雅黑" w:cs="Times New Roman"/>
                <w:i/>
                <w:iCs/>
                <w:color w:val="000000"/>
                <w:sz w:val="16"/>
                <w:szCs w:val="16"/>
                <w:u w:val="none"/>
              </w:rPr>
            </w:pPr>
          </w:p>
        </w:tc>
      </w:tr>
      <w:tr w14:paraId="41BD9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65A97F">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36D80F">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403A64">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9C1C2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事业单位改革完成率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13713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79BBB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EEC08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A003E7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BEB15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EE148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4239212">
            <w:pPr>
              <w:jc w:val="center"/>
              <w:rPr>
                <w:rFonts w:hint="default" w:ascii="Times New Roman" w:hAnsi="Times New Roman" w:eastAsia="微软雅黑" w:cs="Times New Roman"/>
                <w:i/>
                <w:iCs/>
                <w:color w:val="000000"/>
                <w:sz w:val="16"/>
                <w:szCs w:val="16"/>
                <w:u w:val="none"/>
              </w:rPr>
            </w:pPr>
          </w:p>
        </w:tc>
      </w:tr>
      <w:tr w14:paraId="13C03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14F524">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3A3889">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29946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B18BC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改革工作验收合格率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8248C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02415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A0266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F38470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81932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B1D05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B0256D6">
            <w:pPr>
              <w:jc w:val="center"/>
              <w:rPr>
                <w:rFonts w:hint="default" w:ascii="Times New Roman" w:hAnsi="Times New Roman" w:eastAsia="微软雅黑" w:cs="Times New Roman"/>
                <w:i/>
                <w:iCs/>
                <w:color w:val="000000"/>
                <w:sz w:val="16"/>
                <w:szCs w:val="16"/>
                <w:u w:val="none"/>
              </w:rPr>
            </w:pPr>
          </w:p>
        </w:tc>
      </w:tr>
      <w:tr w14:paraId="347FB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5937B">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5166A3">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7B0FD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3FF6A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改革任务按时完成率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D45AF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AB38B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67357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FA26A3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258E8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FE810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754C49B">
            <w:pPr>
              <w:jc w:val="center"/>
              <w:rPr>
                <w:rFonts w:hint="default" w:ascii="Times New Roman" w:hAnsi="Times New Roman" w:eastAsia="微软雅黑" w:cs="Times New Roman"/>
                <w:i/>
                <w:iCs/>
                <w:color w:val="000000"/>
                <w:sz w:val="16"/>
                <w:szCs w:val="16"/>
                <w:u w:val="none"/>
              </w:rPr>
            </w:pPr>
          </w:p>
        </w:tc>
      </w:tr>
      <w:tr w14:paraId="585A9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B0EF5">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4BE01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F6F41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EA5A1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提高人员配置效率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5060C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E5129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63C32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EC2085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7C25A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C9340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D693BDF">
            <w:pPr>
              <w:jc w:val="center"/>
              <w:rPr>
                <w:rFonts w:hint="default" w:ascii="Times New Roman" w:hAnsi="Times New Roman" w:eastAsia="微软雅黑" w:cs="Times New Roman"/>
                <w:i/>
                <w:iCs/>
                <w:color w:val="000000"/>
                <w:sz w:val="16"/>
                <w:szCs w:val="16"/>
                <w:u w:val="none"/>
              </w:rPr>
            </w:pPr>
          </w:p>
        </w:tc>
      </w:tr>
      <w:tr w14:paraId="12842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A1F620">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AFB52D">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CEED47">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75360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完成改革工作反馈</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07D02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FE92C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顺利完成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8C5911D">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9E45D1F">
            <w:pPr>
              <w:keepNext w:val="0"/>
              <w:keepLines w:val="0"/>
              <w:widowControl/>
              <w:suppressLineNumbers w:val="0"/>
              <w:jc w:val="center"/>
              <w:textAlignment w:val="center"/>
              <w:rPr>
                <w:rFonts w:hint="default" w:ascii="Times New Roman" w:hAnsi="Times New Roman" w:eastAsia="微软雅黑" w:cs="Times New Roman"/>
                <w:b/>
                <w:bCs/>
                <w:i/>
                <w:iCs/>
                <w:color w:val="000000"/>
                <w:sz w:val="16"/>
                <w:szCs w:val="16"/>
                <w:u w:val="none"/>
              </w:rPr>
            </w:pPr>
            <w:r>
              <w:rPr>
                <w:rFonts w:hint="default" w:ascii="Times New Roman" w:hAnsi="Times New Roman" w:eastAsia="微软雅黑" w:cs="Times New Roman"/>
                <w:b/>
                <w:bCs/>
                <w:i/>
                <w:iCs/>
                <w:color w:val="000000"/>
                <w:kern w:val="0"/>
                <w:sz w:val="16"/>
                <w:szCs w:val="16"/>
                <w:u w:val="none"/>
                <w:lang w:val="en-US" w:eastAsia="zh-CN" w:bidi="ar"/>
              </w:rPr>
              <w:t>顺利完成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3A78C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74282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9C68385">
            <w:pPr>
              <w:jc w:val="center"/>
              <w:rPr>
                <w:rFonts w:hint="default" w:ascii="Times New Roman" w:hAnsi="Times New Roman" w:eastAsia="微软雅黑" w:cs="Times New Roman"/>
                <w:i/>
                <w:iCs/>
                <w:color w:val="000000"/>
                <w:sz w:val="16"/>
                <w:szCs w:val="16"/>
                <w:u w:val="none"/>
              </w:rPr>
            </w:pPr>
          </w:p>
        </w:tc>
      </w:tr>
      <w:tr w14:paraId="65B97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65DC46">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4A0E05">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1F355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3026E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改革方案3年持续执行率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0C3F6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5254C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90304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07E72C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FEF2A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39B3D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BC9FFC6">
            <w:pPr>
              <w:jc w:val="center"/>
              <w:rPr>
                <w:rFonts w:hint="default" w:ascii="Times New Roman" w:hAnsi="Times New Roman" w:eastAsia="微软雅黑" w:cs="Times New Roman"/>
                <w:i/>
                <w:iCs/>
                <w:color w:val="000000"/>
                <w:sz w:val="16"/>
                <w:szCs w:val="16"/>
                <w:u w:val="none"/>
              </w:rPr>
            </w:pPr>
          </w:p>
        </w:tc>
      </w:tr>
      <w:tr w14:paraId="533F1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DBFB2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C6154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A06D7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1CE0F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职工满意度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D0BB9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49683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2D0BD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E09A3F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3414E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EEC84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50866AC">
            <w:pPr>
              <w:jc w:val="center"/>
              <w:rPr>
                <w:rFonts w:hint="default" w:ascii="Times New Roman" w:hAnsi="Times New Roman" w:eastAsia="微软雅黑" w:cs="Times New Roman"/>
                <w:i/>
                <w:iCs/>
                <w:color w:val="000000"/>
                <w:sz w:val="16"/>
                <w:szCs w:val="16"/>
                <w:u w:val="none"/>
              </w:rPr>
            </w:pPr>
          </w:p>
        </w:tc>
      </w:tr>
      <w:tr w14:paraId="0FBAE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AB88A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2AFA8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5A9BB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89E5B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CFBA8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3A852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11FA9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A1FB77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17</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8A150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FC345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A306CF0">
            <w:pPr>
              <w:jc w:val="center"/>
              <w:rPr>
                <w:rFonts w:hint="default" w:ascii="Times New Roman" w:hAnsi="Times New Roman" w:eastAsia="微软雅黑" w:cs="Times New Roman"/>
                <w:i/>
                <w:iCs/>
                <w:color w:val="000000"/>
                <w:sz w:val="16"/>
                <w:szCs w:val="16"/>
                <w:u w:val="none"/>
              </w:rPr>
            </w:pPr>
          </w:p>
        </w:tc>
      </w:tr>
      <w:tr w14:paraId="3404D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0FB188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CD7BD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003CA1E">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38E5051">
            <w:pPr>
              <w:rPr>
                <w:rFonts w:hint="default" w:ascii="Times New Roman" w:hAnsi="Times New Roman" w:eastAsia="宋体" w:cs="Times New Roman"/>
                <w:i w:val="0"/>
                <w:iCs w:val="0"/>
                <w:color w:val="000000"/>
                <w:sz w:val="18"/>
                <w:szCs w:val="18"/>
                <w:u w:val="none"/>
              </w:rPr>
            </w:pPr>
          </w:p>
        </w:tc>
      </w:tr>
      <w:tr w14:paraId="24036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6C05BF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66FC211D">
            <w:pPr>
              <w:keepNext w:val="0"/>
              <w:keepLines w:val="0"/>
              <w:widowControl/>
              <w:suppressLineNumbers w:val="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自评得分95.5分，完成目标情况较好。提前谋划州、县（市）事业单位改革工作。为精准掌握全州事业单位运行现状、破解改革堵点，开展事业单位改革前瞻性调研，做好改革政策和方案储备。</w:t>
            </w:r>
          </w:p>
        </w:tc>
      </w:tr>
      <w:tr w14:paraId="4CD14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E6D5A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12FACD3B">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D69A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6976BB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545FC7DB">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F7AF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438F9D70">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项目负责人：张世玲</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3934C36F">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42944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tcBorders>
              <w:top w:val="nil"/>
              <w:left w:val="nil"/>
              <w:bottom w:val="nil"/>
              <w:right w:val="nil"/>
            </w:tcBorders>
            <w:noWrap w:val="0"/>
            <w:vAlign w:val="center"/>
          </w:tcPr>
          <w:p w14:paraId="4DE440E2">
            <w:pPr>
              <w:rPr>
                <w:rFonts w:hint="default" w:ascii="Times New Roman" w:hAnsi="Times New Roman" w:eastAsia="宋体" w:cs="Times New Roman"/>
                <w:i w:val="0"/>
                <w:iCs w:val="0"/>
                <w:color w:val="000000"/>
                <w:sz w:val="18"/>
                <w:szCs w:val="18"/>
                <w:u w:val="none"/>
              </w:rPr>
            </w:pPr>
          </w:p>
        </w:tc>
        <w:tc>
          <w:tcPr>
            <w:tcW w:w="689" w:type="pct"/>
            <w:tcBorders>
              <w:top w:val="nil"/>
              <w:left w:val="nil"/>
              <w:bottom w:val="nil"/>
              <w:right w:val="nil"/>
            </w:tcBorders>
            <w:noWrap w:val="0"/>
            <w:vAlign w:val="center"/>
          </w:tcPr>
          <w:p w14:paraId="041B1CD3">
            <w:pPr>
              <w:rPr>
                <w:rFonts w:hint="default" w:ascii="Times New Roman" w:hAnsi="Times New Roman" w:eastAsia="宋体" w:cs="Times New Roman"/>
                <w:i w:val="0"/>
                <w:iCs w:val="0"/>
                <w:color w:val="000000"/>
                <w:sz w:val="18"/>
                <w:szCs w:val="18"/>
                <w:u w:val="none"/>
              </w:rPr>
            </w:pPr>
          </w:p>
        </w:tc>
        <w:tc>
          <w:tcPr>
            <w:tcW w:w="593" w:type="pct"/>
            <w:tcBorders>
              <w:top w:val="nil"/>
              <w:left w:val="nil"/>
              <w:bottom w:val="nil"/>
              <w:right w:val="nil"/>
            </w:tcBorders>
            <w:noWrap w:val="0"/>
            <w:vAlign w:val="center"/>
          </w:tcPr>
          <w:p w14:paraId="29650517">
            <w:pPr>
              <w:rPr>
                <w:rFonts w:hint="default" w:ascii="Times New Roman" w:hAnsi="Times New Roman" w:eastAsia="宋体" w:cs="Times New Roman"/>
                <w:i w:val="0"/>
                <w:iCs w:val="0"/>
                <w:color w:val="000000"/>
                <w:sz w:val="18"/>
                <w:szCs w:val="18"/>
                <w:u w:val="none"/>
              </w:rPr>
            </w:pPr>
          </w:p>
        </w:tc>
        <w:tc>
          <w:tcPr>
            <w:tcW w:w="760" w:type="pct"/>
            <w:tcBorders>
              <w:top w:val="nil"/>
              <w:left w:val="nil"/>
              <w:bottom w:val="nil"/>
              <w:right w:val="nil"/>
            </w:tcBorders>
            <w:noWrap w:val="0"/>
            <w:vAlign w:val="center"/>
          </w:tcPr>
          <w:p w14:paraId="720508E9">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28182BFB">
            <w:pPr>
              <w:rPr>
                <w:rFonts w:hint="default" w:ascii="Times New Roman" w:hAnsi="Times New Roman" w:eastAsia="宋体" w:cs="Times New Roman"/>
                <w:i w:val="0"/>
                <w:iCs w:val="0"/>
                <w:color w:val="000000"/>
                <w:sz w:val="18"/>
                <w:szCs w:val="18"/>
                <w:u w:val="none"/>
              </w:rPr>
            </w:pPr>
          </w:p>
        </w:tc>
        <w:tc>
          <w:tcPr>
            <w:tcW w:w="561" w:type="pct"/>
            <w:tcBorders>
              <w:top w:val="nil"/>
              <w:left w:val="nil"/>
              <w:bottom w:val="nil"/>
              <w:right w:val="nil"/>
            </w:tcBorders>
            <w:noWrap w:val="0"/>
            <w:vAlign w:val="center"/>
          </w:tcPr>
          <w:p w14:paraId="3C475D7C">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20ABA906">
            <w:pPr>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noWrap w:val="0"/>
            <w:vAlign w:val="center"/>
          </w:tcPr>
          <w:p w14:paraId="25E09690">
            <w:pPr>
              <w:rPr>
                <w:rFonts w:hint="default" w:ascii="Times New Roman" w:hAnsi="Times New Roman" w:eastAsia="宋体" w:cs="Times New Roman"/>
                <w:i w:val="0"/>
                <w:iCs w:val="0"/>
                <w:color w:val="000000"/>
                <w:sz w:val="18"/>
                <w:szCs w:val="18"/>
                <w:u w:val="none"/>
              </w:rPr>
            </w:pPr>
          </w:p>
        </w:tc>
        <w:tc>
          <w:tcPr>
            <w:tcW w:w="215" w:type="pct"/>
            <w:tcBorders>
              <w:top w:val="nil"/>
              <w:left w:val="nil"/>
              <w:bottom w:val="nil"/>
              <w:right w:val="nil"/>
            </w:tcBorders>
            <w:noWrap w:val="0"/>
            <w:vAlign w:val="center"/>
          </w:tcPr>
          <w:p w14:paraId="48567DA5">
            <w:pPr>
              <w:rPr>
                <w:rFonts w:hint="default" w:ascii="Times New Roman" w:hAnsi="Times New Roman" w:eastAsia="宋体" w:cs="Times New Roman"/>
                <w:i w:val="0"/>
                <w:iCs w:val="0"/>
                <w:color w:val="000000"/>
                <w:sz w:val="18"/>
                <w:szCs w:val="18"/>
                <w:u w:val="none"/>
              </w:rPr>
            </w:pPr>
          </w:p>
        </w:tc>
        <w:tc>
          <w:tcPr>
            <w:tcW w:w="239" w:type="pct"/>
            <w:tcBorders>
              <w:top w:val="nil"/>
              <w:left w:val="nil"/>
              <w:bottom w:val="nil"/>
              <w:right w:val="nil"/>
            </w:tcBorders>
            <w:noWrap w:val="0"/>
            <w:vAlign w:val="center"/>
          </w:tcPr>
          <w:p w14:paraId="5AFBE21E">
            <w:pPr>
              <w:rPr>
                <w:rFonts w:hint="default" w:ascii="Times New Roman" w:hAnsi="Times New Roman" w:eastAsia="宋体" w:cs="Times New Roman"/>
                <w:i w:val="0"/>
                <w:iCs w:val="0"/>
                <w:color w:val="000000"/>
                <w:sz w:val="18"/>
                <w:szCs w:val="18"/>
                <w:u w:val="none"/>
              </w:rPr>
            </w:pPr>
          </w:p>
        </w:tc>
        <w:tc>
          <w:tcPr>
            <w:tcW w:w="861" w:type="pct"/>
            <w:tcBorders>
              <w:top w:val="nil"/>
              <w:left w:val="nil"/>
              <w:bottom w:val="nil"/>
              <w:right w:val="nil"/>
            </w:tcBorders>
            <w:noWrap w:val="0"/>
            <w:vAlign w:val="center"/>
          </w:tcPr>
          <w:p w14:paraId="4F456705">
            <w:pPr>
              <w:rPr>
                <w:rFonts w:hint="default" w:ascii="Times New Roman" w:hAnsi="Times New Roman" w:eastAsia="宋体" w:cs="Times New Roman"/>
                <w:i w:val="0"/>
                <w:iCs w:val="0"/>
                <w:color w:val="000000"/>
                <w:sz w:val="18"/>
                <w:szCs w:val="18"/>
                <w:u w:val="none"/>
              </w:rPr>
            </w:pPr>
          </w:p>
        </w:tc>
      </w:tr>
      <w:tr w14:paraId="6BE3C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16B33E25">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A9E6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2AA96D8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35D3DA4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51320025T000012636914-机构编制政策文件汇编经费</w:t>
            </w:r>
          </w:p>
        </w:tc>
      </w:tr>
      <w:tr w14:paraId="028FA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11E14FC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5631AD9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2F945BFD">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00981C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257D2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486DCF9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CA3749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228E1C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0E25E1DF">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330CD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DF16CA">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BC5A1D">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31C81B1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为了进一步规范机构编制管理，整理归纳州级机关（单位）机构编制政策文件并形成汇编，作为机构编制工作参考书目，印发相关单位及各县市编委编办，确保全州机构编制政策家底清，工作具有延续性。</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65D1C6D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整理归纳州级机关（单位）机构编制政策文件并形成汇编，印制书籍下发相关单位及各县市编委编办，增强了机构编制政策的宣传力度，确保了机构编制工作的延续性。</w:t>
            </w:r>
          </w:p>
        </w:tc>
      </w:tr>
      <w:tr w14:paraId="5F980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5246B0">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894179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20A9E87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整理归纳州级机关（单位）机构编制政策文件并形成汇编，印制相关书籍，作为机构编制工作参考书目，派发相关单位及各县市编委编办。</w:t>
            </w:r>
          </w:p>
        </w:tc>
      </w:tr>
      <w:tr w14:paraId="4EFF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3B2461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77849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A355C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905AF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77AB5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20D90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BD51A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63142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55166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5464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9532D0">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182CF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3A02F8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201D2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50633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94C6D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6E229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2F7AF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584074A4">
            <w:pPr>
              <w:rPr>
                <w:rFonts w:hint="default" w:ascii="Times New Roman" w:hAnsi="Times New Roman" w:eastAsia="simhei" w:cs="Times New Roman"/>
                <w:i/>
                <w:iCs/>
                <w:color w:val="000000"/>
                <w:sz w:val="18"/>
                <w:szCs w:val="18"/>
                <w:u w:val="none"/>
              </w:rPr>
            </w:pPr>
          </w:p>
        </w:tc>
      </w:tr>
      <w:tr w14:paraId="4DDBA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10A753">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CC013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8F760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D86EF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74542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1593F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2F1F8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BAC8C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33AB71">
            <w:pPr>
              <w:rPr>
                <w:rFonts w:hint="default" w:ascii="Times New Roman" w:hAnsi="Times New Roman" w:eastAsia="simhei" w:cs="Times New Roman"/>
                <w:i/>
                <w:iCs/>
                <w:color w:val="000000"/>
                <w:sz w:val="18"/>
                <w:szCs w:val="18"/>
                <w:u w:val="none"/>
              </w:rPr>
            </w:pPr>
          </w:p>
        </w:tc>
      </w:tr>
      <w:tr w14:paraId="16BD2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9BE1CF">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2453C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83481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93DB6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DAD5A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775C2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581C2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19AB0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903660">
            <w:pPr>
              <w:rPr>
                <w:rFonts w:hint="default" w:ascii="Times New Roman" w:hAnsi="Times New Roman" w:eastAsia="simhei" w:cs="Times New Roman"/>
                <w:i/>
                <w:iCs/>
                <w:color w:val="000000"/>
                <w:sz w:val="18"/>
                <w:szCs w:val="18"/>
                <w:u w:val="none"/>
              </w:rPr>
            </w:pPr>
          </w:p>
        </w:tc>
      </w:tr>
      <w:tr w14:paraId="00ADB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00BAC6">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3D74E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15B96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C3F87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423A0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3857C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75CAB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F6037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C7777E">
            <w:pPr>
              <w:rPr>
                <w:rFonts w:hint="default" w:ascii="Times New Roman" w:hAnsi="Times New Roman" w:eastAsia="simhei" w:cs="Times New Roman"/>
                <w:i/>
                <w:iCs/>
                <w:color w:val="000000"/>
                <w:sz w:val="18"/>
                <w:szCs w:val="18"/>
                <w:u w:val="none"/>
              </w:rPr>
            </w:pPr>
          </w:p>
        </w:tc>
      </w:tr>
      <w:tr w14:paraId="5D192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94F506">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70D48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2FFC709">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4EBB32D">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2ECA5032">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020FA34">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4911E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F1FF2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B49EFD">
            <w:pPr>
              <w:rPr>
                <w:rFonts w:hint="default" w:ascii="Times New Roman" w:hAnsi="Times New Roman" w:eastAsia="simhei" w:cs="Times New Roman"/>
                <w:i/>
                <w:iCs/>
                <w:color w:val="000000"/>
                <w:sz w:val="18"/>
                <w:szCs w:val="18"/>
                <w:u w:val="none"/>
              </w:rPr>
            </w:pPr>
          </w:p>
        </w:tc>
      </w:tr>
      <w:tr w14:paraId="6B017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2447D6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39F99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9E593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BB097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CDFBD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75DF7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D6245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18A84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B761B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AF448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A20C8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9356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856005">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F45C5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6A20F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ED81F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印刷数量</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47F30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13F2B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967F0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本</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C8247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39819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B86AC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F342777">
            <w:pPr>
              <w:jc w:val="center"/>
              <w:rPr>
                <w:rFonts w:hint="default" w:ascii="Times New Roman" w:hAnsi="Times New Roman" w:eastAsia="微软雅黑" w:cs="Times New Roman"/>
                <w:i/>
                <w:iCs/>
                <w:color w:val="000000"/>
                <w:sz w:val="16"/>
                <w:szCs w:val="16"/>
                <w:u w:val="none"/>
              </w:rPr>
            </w:pPr>
          </w:p>
        </w:tc>
      </w:tr>
      <w:tr w14:paraId="1E170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DFF46A">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4B387F">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E9BE6E">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9D4AD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机构编制政策文件汇编种类</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2F3D8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446AC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AE82E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FA9C6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44117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34B40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99B485F">
            <w:pPr>
              <w:jc w:val="center"/>
              <w:rPr>
                <w:rFonts w:hint="default" w:ascii="Times New Roman" w:hAnsi="Times New Roman" w:eastAsia="微软雅黑" w:cs="Times New Roman"/>
                <w:i/>
                <w:iCs/>
                <w:color w:val="000000"/>
                <w:sz w:val="16"/>
                <w:szCs w:val="16"/>
                <w:u w:val="none"/>
              </w:rPr>
            </w:pPr>
          </w:p>
        </w:tc>
      </w:tr>
      <w:tr w14:paraId="46B3C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8E69B2">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76D76">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298B6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40BBE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汇编错误率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7F66F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14D26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6F867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1808C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70B45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5123D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CA10209">
            <w:pPr>
              <w:jc w:val="center"/>
              <w:rPr>
                <w:rFonts w:hint="default" w:ascii="Times New Roman" w:hAnsi="Times New Roman" w:eastAsia="微软雅黑" w:cs="Times New Roman"/>
                <w:i/>
                <w:iCs/>
                <w:color w:val="000000"/>
                <w:sz w:val="16"/>
                <w:szCs w:val="16"/>
                <w:u w:val="none"/>
              </w:rPr>
            </w:pPr>
          </w:p>
        </w:tc>
      </w:tr>
      <w:tr w14:paraId="41EED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946A19">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A3F50B">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2CBB2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0EA1B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E4E6C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E5FC1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9D98D7B">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F8743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713A1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B19E1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87928F4">
            <w:pPr>
              <w:jc w:val="center"/>
              <w:rPr>
                <w:rFonts w:hint="default" w:ascii="Times New Roman" w:hAnsi="Times New Roman" w:eastAsia="微软雅黑" w:cs="Times New Roman"/>
                <w:i/>
                <w:iCs/>
                <w:color w:val="000000"/>
                <w:sz w:val="16"/>
                <w:szCs w:val="16"/>
                <w:u w:val="none"/>
              </w:rPr>
            </w:pPr>
          </w:p>
        </w:tc>
      </w:tr>
      <w:tr w14:paraId="55FE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A7CA6A">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CAABA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790CA6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EF8AE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政策知晓率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3F5AC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85810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1B60B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4EEFC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F1A88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18923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401D853">
            <w:pPr>
              <w:jc w:val="center"/>
              <w:rPr>
                <w:rFonts w:hint="default" w:ascii="Times New Roman" w:hAnsi="Times New Roman" w:eastAsia="微软雅黑" w:cs="Times New Roman"/>
                <w:i/>
                <w:iCs/>
                <w:color w:val="000000"/>
                <w:sz w:val="16"/>
                <w:szCs w:val="16"/>
                <w:u w:val="none"/>
              </w:rPr>
            </w:pPr>
          </w:p>
        </w:tc>
      </w:tr>
      <w:tr w14:paraId="42DFC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4A7209">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C9A9F1">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0E6180">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C18E0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机构编制政策家底清</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8795C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B1581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B62FD94">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638AF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EC317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AC790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A19E17C">
            <w:pPr>
              <w:jc w:val="center"/>
              <w:rPr>
                <w:rFonts w:hint="default" w:ascii="Times New Roman" w:hAnsi="Times New Roman" w:eastAsia="微软雅黑" w:cs="Times New Roman"/>
                <w:i/>
                <w:iCs/>
                <w:color w:val="000000"/>
                <w:sz w:val="16"/>
                <w:szCs w:val="16"/>
                <w:u w:val="none"/>
              </w:rPr>
            </w:pPr>
          </w:p>
        </w:tc>
      </w:tr>
      <w:tr w14:paraId="1D7E6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704447">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3DBA8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CC0EF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2500D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县市编委编办满意度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A76FE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7E800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5C1D8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FE750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33FC0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4809A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D16C852">
            <w:pPr>
              <w:jc w:val="center"/>
              <w:rPr>
                <w:rFonts w:hint="default" w:ascii="Times New Roman" w:hAnsi="Times New Roman" w:eastAsia="微软雅黑" w:cs="Times New Roman"/>
                <w:i/>
                <w:iCs/>
                <w:color w:val="000000"/>
                <w:sz w:val="16"/>
                <w:szCs w:val="16"/>
                <w:u w:val="none"/>
              </w:rPr>
            </w:pPr>
          </w:p>
        </w:tc>
      </w:tr>
      <w:tr w14:paraId="5D504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AF655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5196C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14A59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C7696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63B12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827BE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6464B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EE3E2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1BD39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7CCF1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6FB54BF">
            <w:pPr>
              <w:jc w:val="center"/>
              <w:rPr>
                <w:rFonts w:hint="default" w:ascii="Times New Roman" w:hAnsi="Times New Roman" w:eastAsia="微软雅黑" w:cs="Times New Roman"/>
                <w:i/>
                <w:iCs/>
                <w:color w:val="000000"/>
                <w:sz w:val="16"/>
                <w:szCs w:val="16"/>
                <w:u w:val="none"/>
              </w:rPr>
            </w:pPr>
          </w:p>
        </w:tc>
      </w:tr>
      <w:tr w14:paraId="4C94D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2C00A0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7704F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7081F5F">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6A19FF3">
            <w:pPr>
              <w:rPr>
                <w:rFonts w:hint="default" w:ascii="Times New Roman" w:hAnsi="Times New Roman" w:eastAsia="宋体" w:cs="Times New Roman"/>
                <w:i w:val="0"/>
                <w:iCs w:val="0"/>
                <w:color w:val="000000"/>
                <w:sz w:val="18"/>
                <w:szCs w:val="18"/>
                <w:u w:val="none"/>
              </w:rPr>
            </w:pPr>
          </w:p>
        </w:tc>
      </w:tr>
      <w:tr w14:paraId="7A512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1F210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0EB4600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自评得分100分，完成目标情况较好。整理归纳机构编制政策文件，印制书籍，加强了政策宣传力度，增加了机构编制工作的延续性。</w:t>
            </w:r>
          </w:p>
        </w:tc>
      </w:tr>
      <w:tr w14:paraId="02A78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612EFB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19222F3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4EB93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27E875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40AAD1A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6CA1F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6897B4DC">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78E77A41">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7A9D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tcBorders>
              <w:top w:val="nil"/>
              <w:left w:val="nil"/>
              <w:bottom w:val="nil"/>
              <w:right w:val="nil"/>
            </w:tcBorders>
            <w:noWrap w:val="0"/>
            <w:vAlign w:val="center"/>
          </w:tcPr>
          <w:p w14:paraId="55445F56">
            <w:pPr>
              <w:rPr>
                <w:rFonts w:hint="default" w:ascii="Times New Roman" w:hAnsi="Times New Roman" w:eastAsia="宋体" w:cs="Times New Roman"/>
                <w:i w:val="0"/>
                <w:iCs w:val="0"/>
                <w:color w:val="000000"/>
                <w:sz w:val="18"/>
                <w:szCs w:val="18"/>
                <w:u w:val="none"/>
              </w:rPr>
            </w:pPr>
          </w:p>
        </w:tc>
        <w:tc>
          <w:tcPr>
            <w:tcW w:w="689" w:type="pct"/>
            <w:tcBorders>
              <w:top w:val="nil"/>
              <w:left w:val="nil"/>
              <w:bottom w:val="nil"/>
              <w:right w:val="nil"/>
            </w:tcBorders>
            <w:noWrap w:val="0"/>
            <w:vAlign w:val="center"/>
          </w:tcPr>
          <w:p w14:paraId="52CCC899">
            <w:pPr>
              <w:rPr>
                <w:rFonts w:hint="default" w:ascii="Times New Roman" w:hAnsi="Times New Roman" w:eastAsia="宋体" w:cs="Times New Roman"/>
                <w:i w:val="0"/>
                <w:iCs w:val="0"/>
                <w:color w:val="000000"/>
                <w:sz w:val="18"/>
                <w:szCs w:val="18"/>
                <w:u w:val="none"/>
              </w:rPr>
            </w:pPr>
          </w:p>
        </w:tc>
        <w:tc>
          <w:tcPr>
            <w:tcW w:w="593" w:type="pct"/>
            <w:tcBorders>
              <w:top w:val="nil"/>
              <w:left w:val="nil"/>
              <w:bottom w:val="nil"/>
              <w:right w:val="nil"/>
            </w:tcBorders>
            <w:noWrap w:val="0"/>
            <w:vAlign w:val="center"/>
          </w:tcPr>
          <w:p w14:paraId="3869A646">
            <w:pPr>
              <w:rPr>
                <w:rFonts w:hint="default" w:ascii="Times New Roman" w:hAnsi="Times New Roman" w:eastAsia="宋体" w:cs="Times New Roman"/>
                <w:i w:val="0"/>
                <w:iCs w:val="0"/>
                <w:color w:val="000000"/>
                <w:sz w:val="18"/>
                <w:szCs w:val="18"/>
                <w:u w:val="none"/>
              </w:rPr>
            </w:pPr>
          </w:p>
        </w:tc>
        <w:tc>
          <w:tcPr>
            <w:tcW w:w="760" w:type="pct"/>
            <w:tcBorders>
              <w:top w:val="nil"/>
              <w:left w:val="nil"/>
              <w:bottom w:val="nil"/>
              <w:right w:val="nil"/>
            </w:tcBorders>
            <w:noWrap w:val="0"/>
            <w:vAlign w:val="center"/>
          </w:tcPr>
          <w:p w14:paraId="14E9F078">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2F85EED0">
            <w:pPr>
              <w:rPr>
                <w:rFonts w:hint="default" w:ascii="Times New Roman" w:hAnsi="Times New Roman" w:eastAsia="宋体" w:cs="Times New Roman"/>
                <w:i w:val="0"/>
                <w:iCs w:val="0"/>
                <w:color w:val="000000"/>
                <w:sz w:val="18"/>
                <w:szCs w:val="18"/>
                <w:u w:val="none"/>
              </w:rPr>
            </w:pPr>
          </w:p>
        </w:tc>
        <w:tc>
          <w:tcPr>
            <w:tcW w:w="561" w:type="pct"/>
            <w:tcBorders>
              <w:top w:val="nil"/>
              <w:left w:val="nil"/>
              <w:bottom w:val="nil"/>
              <w:right w:val="nil"/>
            </w:tcBorders>
            <w:noWrap w:val="0"/>
            <w:vAlign w:val="center"/>
          </w:tcPr>
          <w:p w14:paraId="1A2D2B01">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11C4C4CC">
            <w:pPr>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noWrap w:val="0"/>
            <w:vAlign w:val="center"/>
          </w:tcPr>
          <w:p w14:paraId="22D8EE01">
            <w:pPr>
              <w:rPr>
                <w:rFonts w:hint="default" w:ascii="Times New Roman" w:hAnsi="Times New Roman" w:eastAsia="宋体" w:cs="Times New Roman"/>
                <w:i w:val="0"/>
                <w:iCs w:val="0"/>
                <w:color w:val="000000"/>
                <w:sz w:val="18"/>
                <w:szCs w:val="18"/>
                <w:u w:val="none"/>
              </w:rPr>
            </w:pPr>
          </w:p>
        </w:tc>
        <w:tc>
          <w:tcPr>
            <w:tcW w:w="215" w:type="pct"/>
            <w:tcBorders>
              <w:top w:val="nil"/>
              <w:left w:val="nil"/>
              <w:bottom w:val="nil"/>
              <w:right w:val="nil"/>
            </w:tcBorders>
            <w:noWrap w:val="0"/>
            <w:vAlign w:val="center"/>
          </w:tcPr>
          <w:p w14:paraId="4B5B4930">
            <w:pPr>
              <w:rPr>
                <w:rFonts w:hint="default" w:ascii="Times New Roman" w:hAnsi="Times New Roman" w:eastAsia="宋体" w:cs="Times New Roman"/>
                <w:i w:val="0"/>
                <w:iCs w:val="0"/>
                <w:color w:val="000000"/>
                <w:sz w:val="18"/>
                <w:szCs w:val="18"/>
                <w:u w:val="none"/>
              </w:rPr>
            </w:pPr>
          </w:p>
        </w:tc>
        <w:tc>
          <w:tcPr>
            <w:tcW w:w="239" w:type="pct"/>
            <w:tcBorders>
              <w:top w:val="nil"/>
              <w:left w:val="nil"/>
              <w:bottom w:val="nil"/>
              <w:right w:val="nil"/>
            </w:tcBorders>
            <w:noWrap w:val="0"/>
            <w:vAlign w:val="center"/>
          </w:tcPr>
          <w:p w14:paraId="7A438D9F">
            <w:pPr>
              <w:rPr>
                <w:rFonts w:hint="default" w:ascii="Times New Roman" w:hAnsi="Times New Roman" w:eastAsia="宋体" w:cs="Times New Roman"/>
                <w:i w:val="0"/>
                <w:iCs w:val="0"/>
                <w:color w:val="000000"/>
                <w:sz w:val="18"/>
                <w:szCs w:val="18"/>
                <w:u w:val="none"/>
              </w:rPr>
            </w:pPr>
          </w:p>
        </w:tc>
        <w:tc>
          <w:tcPr>
            <w:tcW w:w="861" w:type="pct"/>
            <w:tcBorders>
              <w:top w:val="nil"/>
              <w:left w:val="nil"/>
              <w:bottom w:val="nil"/>
              <w:right w:val="nil"/>
            </w:tcBorders>
            <w:noWrap w:val="0"/>
            <w:vAlign w:val="center"/>
          </w:tcPr>
          <w:p w14:paraId="107B6143">
            <w:pPr>
              <w:rPr>
                <w:rFonts w:hint="default" w:ascii="Times New Roman" w:hAnsi="Times New Roman" w:eastAsia="宋体" w:cs="Times New Roman"/>
                <w:i w:val="0"/>
                <w:iCs w:val="0"/>
                <w:color w:val="000000"/>
                <w:sz w:val="18"/>
                <w:szCs w:val="18"/>
                <w:u w:val="none"/>
              </w:rPr>
            </w:pPr>
          </w:p>
        </w:tc>
      </w:tr>
      <w:tr w14:paraId="2065A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4E9FA3DC">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29AC8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58852FB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62893D1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51320025T000012642900-新增办公区房屋装修及办公设备购置</w:t>
            </w:r>
          </w:p>
        </w:tc>
      </w:tr>
      <w:tr w14:paraId="1883F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1D9EE98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349059F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58B11832">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1A24ED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2F094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098B9BF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0954B2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31E03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005B8FDA">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0FFE0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BDA5B9">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446BBD">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3B225CF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完成新增办公区装修及办公设备购置，打造美观实用的办公环境，提高办公效率，促进机构编制工作持续健康发展，确保项目按时高质量完成。</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51C5FC8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完成了新办公区的装修及办公设备的购置，打造出美观实用的办公室，提升工作效率。</w:t>
            </w:r>
          </w:p>
        </w:tc>
      </w:tr>
      <w:tr w14:paraId="1512D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0B95E6">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ADDA34A">
            <w:pPr>
              <w:keepNext w:val="0"/>
              <w:keepLines w:val="0"/>
              <w:widowControl/>
              <w:suppressLineNumbers w:val="0"/>
              <w:jc w:val="left"/>
              <w:textAlignment w:val="center"/>
              <w:rPr>
                <w:rFonts w:hint="default" w:ascii="Times New Roman" w:hAnsi="Times New Roman" w:eastAsia="宋体" w:cs="Times New Roman"/>
                <w:i w:val="0"/>
                <w:iCs w:val="0"/>
                <w:color w:val="FF0000"/>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4FFDC31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新办公区墙体、地面、线路、灯具等重新装修，购置办公设备。2025年4月完成招标，进场装修，2025年6月完成装修。购置办公设备，2025年8月完成所有工作，新办公区开始投入使用。</w:t>
            </w:r>
          </w:p>
        </w:tc>
      </w:tr>
      <w:tr w14:paraId="55614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0FFD48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9C102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A05D1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0D600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AAA1A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CD1B6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9EF63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832EC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DF1B1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A03E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15BB5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911CF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D8057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01663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88E57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20264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17693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87D14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356CC72A">
            <w:pPr>
              <w:rPr>
                <w:rFonts w:hint="default" w:ascii="Times New Roman" w:hAnsi="Times New Roman" w:eastAsia="simhei" w:cs="Times New Roman"/>
                <w:i/>
                <w:iCs/>
                <w:color w:val="000000"/>
                <w:sz w:val="18"/>
                <w:szCs w:val="18"/>
                <w:u w:val="none"/>
              </w:rPr>
            </w:pPr>
          </w:p>
        </w:tc>
      </w:tr>
      <w:tr w14:paraId="0B376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FF9D57">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CC6B9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45AE3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20689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46346F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271FC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DD1D8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F2438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CDE39C">
            <w:pPr>
              <w:rPr>
                <w:rFonts w:hint="default" w:ascii="Times New Roman" w:hAnsi="Times New Roman" w:eastAsia="simhei" w:cs="Times New Roman"/>
                <w:i/>
                <w:iCs/>
                <w:color w:val="000000"/>
                <w:sz w:val="18"/>
                <w:szCs w:val="18"/>
                <w:u w:val="none"/>
              </w:rPr>
            </w:pPr>
          </w:p>
        </w:tc>
      </w:tr>
      <w:tr w14:paraId="09D1E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D3C4FA">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B8A37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45448F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5C987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2E981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729A7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D6635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BEA17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7E8C4F">
            <w:pPr>
              <w:rPr>
                <w:rFonts w:hint="default" w:ascii="Times New Roman" w:hAnsi="Times New Roman" w:eastAsia="simhei" w:cs="Times New Roman"/>
                <w:i/>
                <w:iCs/>
                <w:color w:val="000000"/>
                <w:sz w:val="18"/>
                <w:szCs w:val="18"/>
                <w:u w:val="none"/>
              </w:rPr>
            </w:pPr>
          </w:p>
        </w:tc>
      </w:tr>
      <w:tr w14:paraId="1AADD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AB5B29">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4158C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66259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C4040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B1F6E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72A32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67850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4F17B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9ABA73">
            <w:pPr>
              <w:rPr>
                <w:rFonts w:hint="default" w:ascii="Times New Roman" w:hAnsi="Times New Roman" w:eastAsia="simhei" w:cs="Times New Roman"/>
                <w:i/>
                <w:iCs/>
                <w:color w:val="000000"/>
                <w:sz w:val="18"/>
                <w:szCs w:val="18"/>
                <w:u w:val="none"/>
              </w:rPr>
            </w:pPr>
          </w:p>
        </w:tc>
      </w:tr>
      <w:tr w14:paraId="02B3C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54515E">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9E02D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0BEFD8B">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1C91C17">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B87C43A">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A2D088D">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7A35E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5529A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326541">
            <w:pPr>
              <w:rPr>
                <w:rFonts w:hint="default" w:ascii="Times New Roman" w:hAnsi="Times New Roman" w:eastAsia="simhei" w:cs="Times New Roman"/>
                <w:i/>
                <w:iCs/>
                <w:color w:val="000000"/>
                <w:sz w:val="18"/>
                <w:szCs w:val="18"/>
                <w:u w:val="none"/>
              </w:rPr>
            </w:pPr>
          </w:p>
        </w:tc>
      </w:tr>
      <w:tr w14:paraId="0E088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1EE00E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851A5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4911C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2F00C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53927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A6B95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DD3C3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72B492B">
            <w:pPr>
              <w:keepNext w:val="0"/>
              <w:keepLines w:val="0"/>
              <w:widowControl/>
              <w:suppressLineNumbers w:val="0"/>
              <w:jc w:val="center"/>
              <w:textAlignment w:val="center"/>
              <w:rPr>
                <w:rFonts w:hint="default" w:ascii="Times New Roman" w:hAnsi="Times New Roman" w:eastAsia="宋体" w:cs="Times New Roman"/>
                <w:i w:val="0"/>
                <w:iCs w:val="0"/>
                <w:color w:val="FF0000"/>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251BB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7003C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7A2E2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4969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89E05">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2082F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0BC33A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59EFBE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购置办公家具</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365F1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2F10E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F2D5D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套</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6A1B1B39">
            <w:pPr>
              <w:jc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微软雅黑" w:cs="Times New Roman"/>
                <w:i/>
                <w:iCs/>
                <w:color w:val="000000"/>
                <w:sz w:val="16"/>
                <w:szCs w:val="16"/>
                <w:u w:val="none"/>
                <w:lang w:val="en-US" w:eastAsia="zh-CN"/>
              </w:rPr>
              <w:t>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3EA7F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C1DE5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92F8C95">
            <w:pPr>
              <w:jc w:val="center"/>
              <w:rPr>
                <w:rFonts w:hint="default" w:ascii="Times New Roman" w:hAnsi="Times New Roman" w:eastAsia="微软雅黑" w:cs="Times New Roman"/>
                <w:i/>
                <w:iCs/>
                <w:color w:val="000000"/>
                <w:sz w:val="16"/>
                <w:szCs w:val="16"/>
                <w:u w:val="none"/>
              </w:rPr>
            </w:pPr>
          </w:p>
        </w:tc>
      </w:tr>
      <w:tr w14:paraId="15302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63AC74">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84B9B1">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5D7D13">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AB3C6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装修面积</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23211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F2633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FA2C2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平方米</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12E6C1D">
            <w:pPr>
              <w:jc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微软雅黑" w:cs="Times New Roman"/>
                <w:i/>
                <w:iCs/>
                <w:color w:val="000000"/>
                <w:sz w:val="16"/>
                <w:szCs w:val="16"/>
                <w:u w:val="none"/>
                <w:lang w:val="en-US" w:eastAsia="zh-CN"/>
              </w:rPr>
              <w:t>160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D1F02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1B021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DD9C19E">
            <w:pPr>
              <w:jc w:val="center"/>
              <w:rPr>
                <w:rFonts w:hint="default" w:ascii="Times New Roman" w:hAnsi="Times New Roman" w:eastAsia="微软雅黑" w:cs="Times New Roman"/>
                <w:i/>
                <w:iCs/>
                <w:color w:val="000000"/>
                <w:sz w:val="16"/>
                <w:szCs w:val="16"/>
                <w:u w:val="none"/>
              </w:rPr>
            </w:pPr>
          </w:p>
        </w:tc>
      </w:tr>
      <w:tr w14:paraId="189DF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03A132">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717F01">
            <w:pPr>
              <w:jc w:val="center"/>
              <w:rPr>
                <w:rFonts w:hint="default" w:ascii="Times New Roman" w:hAnsi="Times New Roman" w:eastAsia="宋体" w:cs="Times New Roman"/>
                <w:i w:val="0"/>
                <w:iCs w:val="0"/>
                <w:color w:val="000000"/>
                <w:sz w:val="18"/>
                <w:szCs w:val="18"/>
                <w:u w:val="none"/>
              </w:rPr>
            </w:pP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14444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7729E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4E0A1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1D69A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5B085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F8FAC9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CC986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CECCF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EFBF176">
            <w:pPr>
              <w:jc w:val="center"/>
              <w:rPr>
                <w:rFonts w:hint="default" w:ascii="Times New Roman" w:hAnsi="Times New Roman" w:eastAsia="微软雅黑" w:cs="Times New Roman"/>
                <w:i/>
                <w:iCs/>
                <w:color w:val="000000"/>
                <w:sz w:val="16"/>
                <w:szCs w:val="16"/>
                <w:u w:val="none"/>
              </w:rPr>
            </w:pPr>
          </w:p>
        </w:tc>
      </w:tr>
      <w:tr w14:paraId="46DEB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22AF5C">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7DC742">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3E3C31">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44E76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工程验收合格率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130F8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D18BC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71515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8AB1A6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3AEBF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A9A0D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1341049">
            <w:pPr>
              <w:jc w:val="center"/>
              <w:rPr>
                <w:rFonts w:hint="default" w:ascii="Times New Roman" w:hAnsi="Times New Roman" w:eastAsia="微软雅黑" w:cs="Times New Roman"/>
                <w:i/>
                <w:iCs/>
                <w:color w:val="000000"/>
                <w:sz w:val="16"/>
                <w:szCs w:val="16"/>
                <w:u w:val="none"/>
              </w:rPr>
            </w:pPr>
          </w:p>
        </w:tc>
      </w:tr>
      <w:tr w14:paraId="1F5B7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BA5ACA">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4F98E3">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39228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70E32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项目完工时间</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9C9DC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8BE21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2025年12月前</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4C8AEAB">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DCEFFF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2025年6月</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0340E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30B64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34F25CE">
            <w:pPr>
              <w:jc w:val="center"/>
              <w:rPr>
                <w:rFonts w:hint="default" w:ascii="Times New Roman" w:hAnsi="Times New Roman" w:eastAsia="微软雅黑" w:cs="Times New Roman"/>
                <w:i/>
                <w:iCs/>
                <w:color w:val="000000"/>
                <w:sz w:val="16"/>
                <w:szCs w:val="16"/>
                <w:u w:val="none"/>
              </w:rPr>
            </w:pPr>
          </w:p>
        </w:tc>
      </w:tr>
      <w:tr w14:paraId="26260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FF93F">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B6BA2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1C603F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1BF1F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打造美观实用的办公环境</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93F22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C302F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优良</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47E8326">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A1C20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优</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51BD2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6CAB1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2F83914">
            <w:pPr>
              <w:jc w:val="center"/>
              <w:rPr>
                <w:rFonts w:hint="default" w:ascii="Times New Roman" w:hAnsi="Times New Roman" w:eastAsia="微软雅黑" w:cs="Times New Roman"/>
                <w:i/>
                <w:iCs/>
                <w:color w:val="000000"/>
                <w:sz w:val="16"/>
                <w:szCs w:val="16"/>
                <w:u w:val="none"/>
              </w:rPr>
            </w:pPr>
          </w:p>
        </w:tc>
      </w:tr>
      <w:tr w14:paraId="595D5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22AFC4">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8F2AD6">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FCE668">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45763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提高办公提升情况</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9FACF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2EB4F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显著提升/有所提升/无变化</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782579E1">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F1C6A4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显著提升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702E31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E67A3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5CD45FA">
            <w:pPr>
              <w:jc w:val="center"/>
              <w:rPr>
                <w:rFonts w:hint="default" w:ascii="Times New Roman" w:hAnsi="Times New Roman" w:eastAsia="微软雅黑" w:cs="Times New Roman"/>
                <w:i/>
                <w:iCs/>
                <w:color w:val="000000"/>
                <w:sz w:val="16"/>
                <w:szCs w:val="16"/>
                <w:u w:val="none"/>
              </w:rPr>
            </w:pPr>
          </w:p>
        </w:tc>
      </w:tr>
      <w:tr w14:paraId="15086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6C3CB7">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A2CAEC">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68BF9B">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0E69A1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办公效率提升率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91E7A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90550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D1EF9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F7DB54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C0B09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2285E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BB415C2">
            <w:pPr>
              <w:jc w:val="center"/>
              <w:rPr>
                <w:rFonts w:hint="default" w:ascii="Times New Roman" w:hAnsi="Times New Roman" w:eastAsia="微软雅黑" w:cs="Times New Roman"/>
                <w:i/>
                <w:iCs/>
                <w:color w:val="000000"/>
                <w:sz w:val="16"/>
                <w:szCs w:val="16"/>
                <w:u w:val="none"/>
              </w:rPr>
            </w:pPr>
          </w:p>
        </w:tc>
      </w:tr>
      <w:tr w14:paraId="7E26B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2415CB">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C1FB3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30559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FBAE2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职工满意度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C5008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B141D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B3C8D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2C8B7B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19CF0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7C3CEC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619C220">
            <w:pPr>
              <w:jc w:val="center"/>
              <w:rPr>
                <w:rFonts w:hint="default" w:ascii="Times New Roman" w:hAnsi="Times New Roman" w:eastAsia="微软雅黑" w:cs="Times New Roman"/>
                <w:i/>
                <w:iCs/>
                <w:color w:val="000000"/>
                <w:sz w:val="16"/>
                <w:szCs w:val="16"/>
                <w:u w:val="none"/>
              </w:rPr>
            </w:pPr>
          </w:p>
        </w:tc>
      </w:tr>
      <w:tr w14:paraId="6D96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91BD59">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CDBE9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8529C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3075E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AA079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904EA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28969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0DA48F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9.68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DBE85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43E3A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19.36</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C426AA5">
            <w:pPr>
              <w:jc w:val="center"/>
              <w:rPr>
                <w:rFonts w:hint="default" w:ascii="Times New Roman" w:hAnsi="Times New Roman" w:eastAsia="微软雅黑" w:cs="Times New Roman"/>
                <w:i/>
                <w:iCs/>
                <w:color w:val="000000"/>
                <w:sz w:val="16"/>
                <w:szCs w:val="16"/>
                <w:u w:val="none"/>
              </w:rPr>
            </w:pPr>
          </w:p>
        </w:tc>
      </w:tr>
      <w:tr w14:paraId="21A3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43C8BF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69C6D1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F7462CF">
            <w:pP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99.04</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CE1D453">
            <w:pPr>
              <w:rPr>
                <w:rFonts w:hint="default" w:ascii="Times New Roman" w:hAnsi="Times New Roman" w:eastAsia="宋体" w:cs="Times New Roman"/>
                <w:i w:val="0"/>
                <w:iCs w:val="0"/>
                <w:color w:val="000000"/>
                <w:sz w:val="18"/>
                <w:szCs w:val="18"/>
                <w:u w:val="none"/>
              </w:rPr>
            </w:pPr>
          </w:p>
        </w:tc>
      </w:tr>
      <w:tr w14:paraId="680CA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238C0A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1345CBA7">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自评得分99.04分，完成目标情况较好。打造美观实用的办公环境，提高办公效率，促进机构编制工作持续健康发展，确保项目按时高质量完成。</w:t>
            </w:r>
          </w:p>
        </w:tc>
      </w:tr>
      <w:tr w14:paraId="22B20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639E03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50D02657">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63D6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725FF2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B7D43E9">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BBB0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7C9D7951">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项目负责人：严雪冰</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382F0CF1">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r w14:paraId="48310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tcBorders>
              <w:top w:val="nil"/>
              <w:left w:val="nil"/>
              <w:bottom w:val="nil"/>
              <w:right w:val="nil"/>
            </w:tcBorders>
            <w:noWrap w:val="0"/>
            <w:vAlign w:val="center"/>
          </w:tcPr>
          <w:p w14:paraId="46AFB516">
            <w:pPr>
              <w:rPr>
                <w:rFonts w:hint="default" w:ascii="Times New Roman" w:hAnsi="Times New Roman" w:eastAsia="宋体" w:cs="Times New Roman"/>
                <w:i w:val="0"/>
                <w:iCs w:val="0"/>
                <w:color w:val="000000"/>
                <w:sz w:val="18"/>
                <w:szCs w:val="18"/>
                <w:u w:val="none"/>
              </w:rPr>
            </w:pPr>
          </w:p>
        </w:tc>
        <w:tc>
          <w:tcPr>
            <w:tcW w:w="689" w:type="pct"/>
            <w:tcBorders>
              <w:top w:val="nil"/>
              <w:left w:val="nil"/>
              <w:bottom w:val="nil"/>
              <w:right w:val="nil"/>
            </w:tcBorders>
            <w:noWrap w:val="0"/>
            <w:vAlign w:val="center"/>
          </w:tcPr>
          <w:p w14:paraId="780DEA14">
            <w:pPr>
              <w:rPr>
                <w:rFonts w:hint="default" w:ascii="Times New Roman" w:hAnsi="Times New Roman" w:eastAsia="宋体" w:cs="Times New Roman"/>
                <w:i w:val="0"/>
                <w:iCs w:val="0"/>
                <w:color w:val="000000"/>
                <w:sz w:val="18"/>
                <w:szCs w:val="18"/>
                <w:u w:val="none"/>
              </w:rPr>
            </w:pPr>
          </w:p>
        </w:tc>
        <w:tc>
          <w:tcPr>
            <w:tcW w:w="593" w:type="pct"/>
            <w:tcBorders>
              <w:top w:val="nil"/>
              <w:left w:val="nil"/>
              <w:bottom w:val="nil"/>
              <w:right w:val="nil"/>
            </w:tcBorders>
            <w:noWrap w:val="0"/>
            <w:vAlign w:val="center"/>
          </w:tcPr>
          <w:p w14:paraId="268822FA">
            <w:pPr>
              <w:rPr>
                <w:rFonts w:hint="default" w:ascii="Times New Roman" w:hAnsi="Times New Roman" w:eastAsia="宋体" w:cs="Times New Roman"/>
                <w:i w:val="0"/>
                <w:iCs w:val="0"/>
                <w:color w:val="000000"/>
                <w:sz w:val="18"/>
                <w:szCs w:val="18"/>
                <w:u w:val="none"/>
              </w:rPr>
            </w:pPr>
          </w:p>
        </w:tc>
        <w:tc>
          <w:tcPr>
            <w:tcW w:w="760" w:type="pct"/>
            <w:tcBorders>
              <w:top w:val="nil"/>
              <w:left w:val="nil"/>
              <w:bottom w:val="nil"/>
              <w:right w:val="nil"/>
            </w:tcBorders>
            <w:noWrap w:val="0"/>
            <w:vAlign w:val="center"/>
          </w:tcPr>
          <w:p w14:paraId="56CE8B3F">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002ECBAE">
            <w:pPr>
              <w:rPr>
                <w:rFonts w:hint="default" w:ascii="Times New Roman" w:hAnsi="Times New Roman" w:eastAsia="宋体" w:cs="Times New Roman"/>
                <w:i w:val="0"/>
                <w:iCs w:val="0"/>
                <w:color w:val="000000"/>
                <w:sz w:val="18"/>
                <w:szCs w:val="18"/>
                <w:u w:val="none"/>
              </w:rPr>
            </w:pPr>
          </w:p>
        </w:tc>
        <w:tc>
          <w:tcPr>
            <w:tcW w:w="561" w:type="pct"/>
            <w:tcBorders>
              <w:top w:val="nil"/>
              <w:left w:val="nil"/>
              <w:bottom w:val="nil"/>
              <w:right w:val="nil"/>
            </w:tcBorders>
            <w:noWrap w:val="0"/>
            <w:vAlign w:val="center"/>
          </w:tcPr>
          <w:p w14:paraId="0444FD31">
            <w:pPr>
              <w:rPr>
                <w:rFonts w:hint="default" w:ascii="Times New Roman" w:hAnsi="Times New Roman" w:eastAsia="宋体" w:cs="Times New Roman"/>
                <w:i w:val="0"/>
                <w:iCs w:val="0"/>
                <w:color w:val="000000"/>
                <w:sz w:val="18"/>
                <w:szCs w:val="18"/>
                <w:u w:val="none"/>
              </w:rPr>
            </w:pPr>
          </w:p>
        </w:tc>
        <w:tc>
          <w:tcPr>
            <w:tcW w:w="175" w:type="pct"/>
            <w:tcBorders>
              <w:top w:val="nil"/>
              <w:left w:val="nil"/>
              <w:bottom w:val="nil"/>
              <w:right w:val="nil"/>
            </w:tcBorders>
            <w:noWrap w:val="0"/>
            <w:vAlign w:val="center"/>
          </w:tcPr>
          <w:p w14:paraId="6D813341">
            <w:pPr>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noWrap w:val="0"/>
            <w:vAlign w:val="center"/>
          </w:tcPr>
          <w:p w14:paraId="441A9F64">
            <w:pPr>
              <w:rPr>
                <w:rFonts w:hint="default" w:ascii="Times New Roman" w:hAnsi="Times New Roman" w:eastAsia="宋体" w:cs="Times New Roman"/>
                <w:i w:val="0"/>
                <w:iCs w:val="0"/>
                <w:color w:val="000000"/>
                <w:sz w:val="18"/>
                <w:szCs w:val="18"/>
                <w:u w:val="none"/>
              </w:rPr>
            </w:pPr>
          </w:p>
        </w:tc>
        <w:tc>
          <w:tcPr>
            <w:tcW w:w="215" w:type="pct"/>
            <w:tcBorders>
              <w:top w:val="nil"/>
              <w:left w:val="nil"/>
              <w:bottom w:val="nil"/>
              <w:right w:val="nil"/>
            </w:tcBorders>
            <w:noWrap w:val="0"/>
            <w:vAlign w:val="center"/>
          </w:tcPr>
          <w:p w14:paraId="5EA75FCC">
            <w:pPr>
              <w:rPr>
                <w:rFonts w:hint="default" w:ascii="Times New Roman" w:hAnsi="Times New Roman" w:eastAsia="宋体" w:cs="Times New Roman"/>
                <w:i w:val="0"/>
                <w:iCs w:val="0"/>
                <w:color w:val="000000"/>
                <w:sz w:val="18"/>
                <w:szCs w:val="18"/>
                <w:u w:val="none"/>
              </w:rPr>
            </w:pPr>
          </w:p>
        </w:tc>
        <w:tc>
          <w:tcPr>
            <w:tcW w:w="239" w:type="pct"/>
            <w:tcBorders>
              <w:top w:val="nil"/>
              <w:left w:val="nil"/>
              <w:bottom w:val="nil"/>
              <w:right w:val="nil"/>
            </w:tcBorders>
            <w:noWrap w:val="0"/>
            <w:vAlign w:val="center"/>
          </w:tcPr>
          <w:p w14:paraId="7EB7D835">
            <w:pPr>
              <w:rPr>
                <w:rFonts w:hint="default" w:ascii="Times New Roman" w:hAnsi="Times New Roman" w:eastAsia="宋体" w:cs="Times New Roman"/>
                <w:i w:val="0"/>
                <w:iCs w:val="0"/>
                <w:color w:val="000000"/>
                <w:sz w:val="18"/>
                <w:szCs w:val="18"/>
                <w:u w:val="none"/>
              </w:rPr>
            </w:pPr>
          </w:p>
        </w:tc>
        <w:tc>
          <w:tcPr>
            <w:tcW w:w="861" w:type="pct"/>
            <w:tcBorders>
              <w:top w:val="nil"/>
              <w:left w:val="nil"/>
              <w:bottom w:val="nil"/>
              <w:right w:val="nil"/>
            </w:tcBorders>
            <w:noWrap w:val="0"/>
            <w:vAlign w:val="center"/>
          </w:tcPr>
          <w:p w14:paraId="73DF05F6">
            <w:pPr>
              <w:rPr>
                <w:rFonts w:hint="default" w:ascii="Times New Roman" w:hAnsi="Times New Roman" w:eastAsia="宋体" w:cs="Times New Roman"/>
                <w:i w:val="0"/>
                <w:iCs w:val="0"/>
                <w:color w:val="000000"/>
                <w:sz w:val="18"/>
                <w:szCs w:val="18"/>
                <w:u w:val="none"/>
              </w:rPr>
            </w:pPr>
          </w:p>
        </w:tc>
      </w:tr>
      <w:tr w14:paraId="5C95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3AB20ADF">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9FB8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2269ED1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3269D85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51320025T000012692626-全州全面建立xzlxzzqd专项工作经费</w:t>
            </w:r>
          </w:p>
        </w:tc>
      </w:tr>
      <w:tr w14:paraId="05E95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noWrap w:val="0"/>
            <w:vAlign w:val="center"/>
          </w:tcPr>
          <w:p w14:paraId="3C0396B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0B8A9C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州委编办部门</w:t>
            </w:r>
          </w:p>
        </w:tc>
        <w:tc>
          <w:tcPr>
            <w:tcW w:w="505" w:type="pct"/>
            <w:tcBorders>
              <w:top w:val="nil"/>
              <w:left w:val="nil"/>
              <w:bottom w:val="nil"/>
              <w:right w:val="nil"/>
            </w:tcBorders>
            <w:noWrap w:val="0"/>
            <w:vAlign w:val="center"/>
          </w:tcPr>
          <w:p w14:paraId="58A9A953">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实施单位 （盖章）</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56B03C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州委编办</w:t>
            </w:r>
          </w:p>
        </w:tc>
      </w:tr>
      <w:tr w14:paraId="17F1E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3F54851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40D6E0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6DE446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4D92ED28">
            <w:pPr>
              <w:keepNext w:val="0"/>
              <w:keepLines w:val="0"/>
              <w:widowControl/>
              <w:suppressLineNumbers w:val="0"/>
              <w:jc w:val="center"/>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年度目标完成情况</w:t>
            </w:r>
          </w:p>
        </w:tc>
      </w:tr>
      <w:tr w14:paraId="65E3B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69CEC">
            <w:pP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655880">
            <w:pPr>
              <w:rPr>
                <w:rFonts w:hint="default" w:ascii="Times New Roman" w:hAnsi="Times New Roman" w:eastAsia="宋体" w:cs="Times New Roman"/>
                <w:i w:val="0"/>
                <w:iCs w:val="0"/>
                <w:color w:val="000000"/>
                <w:sz w:val="18"/>
                <w:szCs w:val="18"/>
                <w:u w:val="none"/>
              </w:rPr>
            </w:pPr>
          </w:p>
        </w:tc>
        <w:tc>
          <w:tcPr>
            <w:tcW w:w="2264" w:type="pct"/>
            <w:gridSpan w:val="5"/>
            <w:tcBorders>
              <w:top w:val="single" w:color="000000" w:sz="4" w:space="0"/>
              <w:left w:val="single" w:color="000000" w:sz="4" w:space="0"/>
              <w:bottom w:val="single" w:color="000000" w:sz="4" w:space="0"/>
              <w:right w:val="single" w:color="000000" w:sz="4" w:space="0"/>
            </w:tcBorders>
            <w:noWrap w:val="0"/>
            <w:vAlign w:val="center"/>
          </w:tcPr>
          <w:p w14:paraId="492EE32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确保此项工作圆满完成。</w:t>
            </w:r>
          </w:p>
        </w:tc>
        <w:tc>
          <w:tcPr>
            <w:tcW w:w="1821" w:type="pct"/>
            <w:gridSpan w:val="4"/>
            <w:tcBorders>
              <w:top w:val="single" w:color="000000" w:sz="4" w:space="0"/>
              <w:left w:val="single" w:color="000000" w:sz="4" w:space="0"/>
              <w:bottom w:val="single" w:color="000000" w:sz="4" w:space="0"/>
              <w:right w:val="single" w:color="000000" w:sz="4" w:space="0"/>
            </w:tcBorders>
            <w:noWrap w:val="0"/>
            <w:vAlign w:val="center"/>
          </w:tcPr>
          <w:p w14:paraId="147B9A8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全面完成xzlxzzqd编制印发工作。</w:t>
            </w:r>
          </w:p>
        </w:tc>
      </w:tr>
      <w:tr w14:paraId="383B3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4561B8">
            <w:pP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D09CB6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noWrap w:val="0"/>
            <w:vAlign w:val="center"/>
          </w:tcPr>
          <w:p w14:paraId="0EFD405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全面完成xzlxzzqd编制印发工作。</w:t>
            </w:r>
          </w:p>
        </w:tc>
      </w:tr>
      <w:tr w14:paraId="6E5CF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0611A6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2249D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F91BB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2D81B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01EC9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7CAE6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06627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9D021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16DAA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B635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D53099">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5771C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D4F27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CDC79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0D59B2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56E91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39E89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3C36F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9.86</w:t>
            </w:r>
          </w:p>
        </w:tc>
        <w:tc>
          <w:tcPr>
            <w:tcW w:w="861" w:type="pct"/>
            <w:vMerge w:val="restart"/>
            <w:tcBorders>
              <w:top w:val="single" w:color="000000" w:sz="4" w:space="0"/>
              <w:left w:val="single" w:color="000000" w:sz="4" w:space="0"/>
              <w:bottom w:val="single" w:color="000000" w:sz="4" w:space="0"/>
              <w:right w:val="single" w:color="000000" w:sz="4" w:space="0"/>
            </w:tcBorders>
            <w:noWrap w:val="0"/>
            <w:vAlign w:val="center"/>
          </w:tcPr>
          <w:p w14:paraId="26F3B184">
            <w:pPr>
              <w:rPr>
                <w:rFonts w:hint="default" w:ascii="Times New Roman" w:hAnsi="Times New Roman" w:eastAsia="simhei" w:cs="Times New Roman"/>
                <w:i/>
                <w:iCs/>
                <w:color w:val="000000"/>
                <w:sz w:val="18"/>
                <w:szCs w:val="18"/>
                <w:u w:val="none"/>
              </w:rPr>
            </w:pPr>
          </w:p>
        </w:tc>
      </w:tr>
      <w:tr w14:paraId="072A3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E94833">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841ED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7BDC11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7E7AC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665CF2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3AB5D9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96.88%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BAAB0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21DB4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BB3E42">
            <w:pPr>
              <w:rPr>
                <w:rFonts w:hint="default" w:ascii="Times New Roman" w:hAnsi="Times New Roman" w:eastAsia="simhei" w:cs="Times New Roman"/>
                <w:i/>
                <w:iCs/>
                <w:color w:val="000000"/>
                <w:sz w:val="18"/>
                <w:szCs w:val="18"/>
                <w:u w:val="none"/>
              </w:rPr>
            </w:pPr>
          </w:p>
        </w:tc>
      </w:tr>
      <w:tr w14:paraId="3A6D0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F754DF">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88013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46CA7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43ACD2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7EACD1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4AC2F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4FD5DB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1D6B1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5C6A37">
            <w:pPr>
              <w:rPr>
                <w:rFonts w:hint="default" w:ascii="Times New Roman" w:hAnsi="Times New Roman" w:eastAsia="simhei" w:cs="Times New Roman"/>
                <w:i/>
                <w:iCs/>
                <w:color w:val="000000"/>
                <w:sz w:val="18"/>
                <w:szCs w:val="18"/>
                <w:u w:val="none"/>
              </w:rPr>
            </w:pPr>
          </w:p>
        </w:tc>
      </w:tr>
      <w:tr w14:paraId="619CC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7353EA">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E96A8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7FA7B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7D309B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525A6C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3FE36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1B9CD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2EA11C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6D598C">
            <w:pPr>
              <w:rPr>
                <w:rFonts w:hint="default" w:ascii="Times New Roman" w:hAnsi="Times New Roman" w:eastAsia="simhei" w:cs="Times New Roman"/>
                <w:i/>
                <w:iCs/>
                <w:color w:val="000000"/>
                <w:sz w:val="18"/>
                <w:szCs w:val="18"/>
                <w:u w:val="none"/>
              </w:rPr>
            </w:pPr>
          </w:p>
        </w:tc>
      </w:tr>
      <w:tr w14:paraId="033D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4F02EE">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62C81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6B2A6CAD">
            <w:pPr>
              <w:jc w:val="center"/>
              <w:rPr>
                <w:rFonts w:hint="default" w:ascii="Times New Roman" w:hAnsi="Times New Roman" w:eastAsia="微软雅黑" w:cs="Times New Roman"/>
                <w:i/>
                <w:iCs/>
                <w:color w:val="000000"/>
                <w:sz w:val="16"/>
                <w:szCs w:val="16"/>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30A5043">
            <w:pPr>
              <w:jc w:val="center"/>
              <w:rPr>
                <w:rFonts w:hint="default" w:ascii="Times New Roman" w:hAnsi="Times New Roman" w:eastAsia="微软雅黑" w:cs="Times New Roman"/>
                <w:i/>
                <w:iCs/>
                <w:color w:val="000000"/>
                <w:sz w:val="16"/>
                <w:szCs w:val="16"/>
                <w:u w:val="none"/>
              </w:rPr>
            </w:pPr>
          </w:p>
        </w:tc>
        <w:tc>
          <w:tcPr>
            <w:tcW w:w="911" w:type="pct"/>
            <w:gridSpan w:val="3"/>
            <w:tcBorders>
              <w:top w:val="single" w:color="000000" w:sz="4" w:space="0"/>
              <w:left w:val="single" w:color="000000" w:sz="4" w:space="0"/>
              <w:bottom w:val="single" w:color="000000" w:sz="4" w:space="0"/>
              <w:right w:val="single" w:color="000000" w:sz="4" w:space="0"/>
            </w:tcBorders>
            <w:noWrap w:val="0"/>
            <w:vAlign w:val="center"/>
          </w:tcPr>
          <w:p w14:paraId="1DC2AC1D">
            <w:pPr>
              <w:jc w:val="center"/>
              <w:rPr>
                <w:rFonts w:hint="default" w:ascii="Times New Roman" w:hAnsi="Times New Roman" w:eastAsia="微软雅黑" w:cs="Times New Roman"/>
                <w:i/>
                <w:iCs/>
                <w:color w:val="000000"/>
                <w:sz w:val="16"/>
                <w:szCs w:val="16"/>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F0F941F">
            <w:pPr>
              <w:jc w:val="center"/>
              <w:rPr>
                <w:rFonts w:hint="default" w:ascii="Times New Roman" w:hAnsi="Times New Roman" w:eastAsia="微软雅黑" w:cs="Times New Roman"/>
                <w:i/>
                <w:iCs/>
                <w:color w:val="000000"/>
                <w:sz w:val="16"/>
                <w:szCs w:val="16"/>
                <w:u w:val="none"/>
              </w:rPr>
            </w:pP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964DC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A0D49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640891">
            <w:pPr>
              <w:rPr>
                <w:rFonts w:hint="default" w:ascii="Times New Roman" w:hAnsi="Times New Roman" w:eastAsia="simhei" w:cs="Times New Roman"/>
                <w:i/>
                <w:iCs/>
                <w:color w:val="000000"/>
                <w:sz w:val="18"/>
                <w:szCs w:val="18"/>
                <w:u w:val="none"/>
              </w:rPr>
            </w:pPr>
          </w:p>
        </w:tc>
      </w:tr>
      <w:tr w14:paraId="40755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restart"/>
            <w:tcBorders>
              <w:top w:val="single" w:color="000000" w:sz="4" w:space="0"/>
              <w:left w:val="single" w:color="000000" w:sz="4" w:space="0"/>
              <w:bottom w:val="single" w:color="000000" w:sz="4" w:space="0"/>
              <w:right w:val="single" w:color="000000" w:sz="4" w:space="0"/>
            </w:tcBorders>
            <w:noWrap w:val="0"/>
            <w:vAlign w:val="center"/>
          </w:tcPr>
          <w:p w14:paraId="026EC4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783A5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5CF91F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A4430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2B29C4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0EABB8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71B0B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179973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4DD67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050726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2A6EED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150A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4A86F0">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559FD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19BB76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66027F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EB8CB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B3AD8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9594E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8353E2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11DEF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A9A18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151E5FC">
            <w:pPr>
              <w:jc w:val="center"/>
              <w:rPr>
                <w:rFonts w:hint="default" w:ascii="Times New Roman" w:hAnsi="Times New Roman" w:eastAsia="微软雅黑" w:cs="Times New Roman"/>
                <w:i/>
                <w:iCs/>
                <w:color w:val="000000"/>
                <w:sz w:val="16"/>
                <w:szCs w:val="16"/>
                <w:u w:val="none"/>
              </w:rPr>
            </w:pPr>
          </w:p>
        </w:tc>
      </w:tr>
      <w:tr w14:paraId="432DB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AB501C">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96DE79">
            <w:pPr>
              <w:jc w:val="center"/>
              <w:rPr>
                <w:rFonts w:hint="default" w:ascii="Times New Roman" w:hAnsi="Times New Roman" w:eastAsia="宋体" w:cs="Times New Roman"/>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0DF80F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749C7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相关工作完成合格率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DEE98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0BC48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EE10B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45302E0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27968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5F0B19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701A55F7">
            <w:pPr>
              <w:jc w:val="center"/>
              <w:rPr>
                <w:rFonts w:hint="default" w:ascii="Times New Roman" w:hAnsi="Times New Roman" w:eastAsia="微软雅黑" w:cs="Times New Roman"/>
                <w:i/>
                <w:iCs/>
                <w:color w:val="000000"/>
                <w:sz w:val="16"/>
                <w:szCs w:val="16"/>
                <w:u w:val="none"/>
              </w:rPr>
            </w:pPr>
          </w:p>
        </w:tc>
      </w:tr>
      <w:tr w14:paraId="1310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3DD53B">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B6225A">
            <w:pPr>
              <w:jc w:val="center"/>
              <w:rPr>
                <w:rFonts w:hint="default" w:ascii="Times New Roman" w:hAnsi="Times New Roman" w:eastAsia="宋体" w:cs="Times New Roman"/>
                <w:i w:val="0"/>
                <w:iCs w:val="0"/>
                <w:color w:val="000000"/>
                <w:sz w:val="18"/>
                <w:szCs w:val="18"/>
                <w:u w:val="none"/>
              </w:rPr>
            </w:pP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238A0A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F1103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工作按期完成率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2AB2A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B2A7B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DD59C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4DA17F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B3C6A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46B07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0AC98481">
            <w:pPr>
              <w:jc w:val="center"/>
              <w:rPr>
                <w:rFonts w:hint="default" w:ascii="Times New Roman" w:hAnsi="Times New Roman" w:eastAsia="微软雅黑" w:cs="Times New Roman"/>
                <w:i/>
                <w:iCs/>
                <w:color w:val="000000"/>
                <w:sz w:val="16"/>
                <w:szCs w:val="16"/>
                <w:u w:val="none"/>
              </w:rPr>
            </w:pPr>
          </w:p>
        </w:tc>
      </w:tr>
      <w:tr w14:paraId="4CB43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8055C1">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B15DF">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BF8A84">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43AEB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5B4AC7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DB567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如期完成</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B861A57">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C9D875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如期完成</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2D9E3D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4EDB42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A1F1FAD">
            <w:pPr>
              <w:jc w:val="center"/>
              <w:rPr>
                <w:rFonts w:hint="default" w:ascii="Times New Roman" w:hAnsi="Times New Roman" w:eastAsia="微软雅黑" w:cs="Times New Roman"/>
                <w:i/>
                <w:iCs/>
                <w:color w:val="000000"/>
                <w:sz w:val="16"/>
                <w:szCs w:val="16"/>
                <w:u w:val="none"/>
              </w:rPr>
            </w:pPr>
          </w:p>
        </w:tc>
      </w:tr>
      <w:tr w14:paraId="4C9B2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E3023B">
            <w:pPr>
              <w:jc w:val="center"/>
              <w:rPr>
                <w:rFonts w:hint="default" w:ascii="Times New Roman" w:hAnsi="Times New Roman" w:eastAsia="宋体" w:cs="Times New Roman"/>
                <w:i w:val="0"/>
                <w:iCs w:val="0"/>
                <w:color w:val="000000"/>
                <w:sz w:val="18"/>
                <w:szCs w:val="18"/>
                <w:u w:val="none"/>
              </w:rPr>
            </w:pPr>
          </w:p>
        </w:tc>
        <w:tc>
          <w:tcPr>
            <w:tcW w:w="6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5D134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93" w:type="pct"/>
            <w:vMerge w:val="restart"/>
            <w:tcBorders>
              <w:top w:val="single" w:color="000000" w:sz="4" w:space="0"/>
              <w:left w:val="single" w:color="000000" w:sz="4" w:space="0"/>
              <w:bottom w:val="single" w:color="000000" w:sz="4" w:space="0"/>
              <w:right w:val="single" w:color="000000" w:sz="4" w:space="0"/>
            </w:tcBorders>
            <w:noWrap w:val="0"/>
            <w:vAlign w:val="center"/>
          </w:tcPr>
          <w:p w14:paraId="4F455D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4F0F1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确保各项工作顺利开展</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D203D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A4A93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效果显著</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6BF973C0">
            <w:pPr>
              <w:jc w:val="center"/>
              <w:rPr>
                <w:rFonts w:hint="default" w:ascii="Times New Roman" w:hAnsi="Times New Roman" w:eastAsia="宋体" w:cs="Times New Roman"/>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7EB2B2F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效果显著</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8F6C5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46D29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A1462EF">
            <w:pPr>
              <w:jc w:val="center"/>
              <w:rPr>
                <w:rFonts w:hint="default" w:ascii="Times New Roman" w:hAnsi="Times New Roman" w:eastAsia="微软雅黑" w:cs="Times New Roman"/>
                <w:i/>
                <w:iCs/>
                <w:color w:val="000000"/>
                <w:sz w:val="16"/>
                <w:szCs w:val="16"/>
                <w:u w:val="none"/>
              </w:rPr>
            </w:pPr>
          </w:p>
        </w:tc>
      </w:tr>
      <w:tr w14:paraId="5B10A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BCBBD6">
            <w:pPr>
              <w:jc w:val="center"/>
              <w:rPr>
                <w:rFonts w:hint="default" w:ascii="Times New Roman" w:hAnsi="Times New Roman" w:eastAsia="宋体" w:cs="Times New Roman"/>
                <w:i w:val="0"/>
                <w:iCs w:val="0"/>
                <w:color w:val="000000"/>
                <w:sz w:val="18"/>
                <w:szCs w:val="18"/>
                <w:u w:val="none"/>
              </w:rPr>
            </w:pPr>
          </w:p>
        </w:tc>
        <w:tc>
          <w:tcPr>
            <w:tcW w:w="6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39DCD5">
            <w:pPr>
              <w:jc w:val="center"/>
              <w:rPr>
                <w:rFonts w:hint="default" w:ascii="Times New Roman" w:hAnsi="Times New Roman" w:eastAsia="宋体" w:cs="Times New Roman"/>
                <w:i w:val="0"/>
                <w:iCs w:val="0"/>
                <w:color w:val="000000"/>
                <w:sz w:val="18"/>
                <w:szCs w:val="18"/>
                <w:u w:val="none"/>
              </w:rPr>
            </w:pPr>
          </w:p>
        </w:tc>
        <w:tc>
          <w:tcPr>
            <w:tcW w:w="5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AA7537">
            <w:pPr>
              <w:jc w:val="center"/>
              <w:rPr>
                <w:rFonts w:hint="default" w:ascii="Times New Roman" w:hAnsi="Times New Roman" w:eastAsia="宋体" w:cs="Times New Roman"/>
                <w:i w:val="0"/>
                <w:iCs w:val="0"/>
                <w:color w:val="000000"/>
                <w:sz w:val="18"/>
                <w:szCs w:val="18"/>
                <w:u w:val="none"/>
              </w:rPr>
            </w:pP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263671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机构编制管理规范化达标率</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B1DD6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500EC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00C8AD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095F5BB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E8DE6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43577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5948134F">
            <w:pPr>
              <w:jc w:val="center"/>
              <w:rPr>
                <w:rFonts w:hint="default" w:ascii="Times New Roman" w:hAnsi="Times New Roman" w:eastAsia="微软雅黑" w:cs="Times New Roman"/>
                <w:i/>
                <w:iCs/>
                <w:color w:val="000000"/>
                <w:sz w:val="16"/>
                <w:szCs w:val="16"/>
                <w:u w:val="none"/>
              </w:rPr>
            </w:pPr>
          </w:p>
        </w:tc>
      </w:tr>
      <w:tr w14:paraId="72A4D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3344C2">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2E0F1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4ACF6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103560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职工满意度</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CB809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4C77A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390299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543E9E5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3D2A38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382D47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38F4E66B">
            <w:pPr>
              <w:jc w:val="center"/>
              <w:rPr>
                <w:rFonts w:hint="default" w:ascii="Times New Roman" w:hAnsi="Times New Roman" w:eastAsia="微软雅黑" w:cs="Times New Roman"/>
                <w:i/>
                <w:iCs/>
                <w:color w:val="000000"/>
                <w:sz w:val="16"/>
                <w:szCs w:val="16"/>
                <w:u w:val="none"/>
              </w:rPr>
            </w:pPr>
          </w:p>
        </w:tc>
      </w:tr>
      <w:tr w14:paraId="29BA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2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38B1C1">
            <w:pPr>
              <w:jc w:val="center"/>
              <w:rPr>
                <w:rFonts w:hint="default" w:ascii="Times New Roman" w:hAnsi="Times New Roman" w:eastAsia="宋体" w:cs="Times New Roman"/>
                <w:i w:val="0"/>
                <w:iCs w:val="0"/>
                <w:color w:val="000000"/>
                <w:sz w:val="18"/>
                <w:szCs w:val="18"/>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9B632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93" w:type="pct"/>
            <w:tcBorders>
              <w:top w:val="single" w:color="000000" w:sz="4" w:space="0"/>
              <w:left w:val="single" w:color="000000" w:sz="4" w:space="0"/>
              <w:bottom w:val="single" w:color="000000" w:sz="4" w:space="0"/>
              <w:right w:val="single" w:color="000000" w:sz="4" w:space="0"/>
            </w:tcBorders>
            <w:noWrap w:val="0"/>
            <w:vAlign w:val="center"/>
          </w:tcPr>
          <w:p w14:paraId="2FE7EF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0" w:type="pct"/>
            <w:tcBorders>
              <w:top w:val="single" w:color="000000" w:sz="4" w:space="0"/>
              <w:left w:val="single" w:color="000000" w:sz="4" w:space="0"/>
              <w:bottom w:val="single" w:color="000000" w:sz="4" w:space="0"/>
              <w:right w:val="single" w:color="000000" w:sz="4" w:space="0"/>
            </w:tcBorders>
            <w:noWrap w:val="0"/>
            <w:vAlign w:val="center"/>
          </w:tcPr>
          <w:p w14:paraId="381F0F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总费用</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1014CE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152ACE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175" w:type="pct"/>
            <w:tcBorders>
              <w:top w:val="single" w:color="000000" w:sz="4" w:space="0"/>
              <w:left w:val="single" w:color="000000" w:sz="4" w:space="0"/>
              <w:bottom w:val="single" w:color="000000" w:sz="4" w:space="0"/>
              <w:right w:val="single" w:color="000000" w:sz="4" w:space="0"/>
            </w:tcBorders>
            <w:noWrap w:val="0"/>
            <w:vAlign w:val="center"/>
          </w:tcPr>
          <w:p w14:paraId="4DCAB8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14:paraId="26BA496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14.98</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09F65C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6EF317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19.72</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6A6B2470">
            <w:pPr>
              <w:jc w:val="center"/>
              <w:rPr>
                <w:rFonts w:hint="default" w:ascii="Times New Roman" w:hAnsi="Times New Roman" w:eastAsia="微软雅黑" w:cs="Times New Roman"/>
                <w:i/>
                <w:iCs/>
                <w:color w:val="000000"/>
                <w:sz w:val="16"/>
                <w:szCs w:val="16"/>
                <w:u w:val="none"/>
              </w:rPr>
            </w:pPr>
          </w:p>
        </w:tc>
      </w:tr>
      <w:tr w14:paraId="61E7A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84" w:type="pct"/>
            <w:gridSpan w:val="8"/>
            <w:tcBorders>
              <w:top w:val="single" w:color="000000" w:sz="4" w:space="0"/>
              <w:left w:val="single" w:color="000000" w:sz="4" w:space="0"/>
              <w:bottom w:val="single" w:color="000000" w:sz="4" w:space="0"/>
              <w:right w:val="single" w:color="000000" w:sz="4" w:space="0"/>
            </w:tcBorders>
            <w:noWrap w:val="0"/>
            <w:vAlign w:val="center"/>
          </w:tcPr>
          <w:p w14:paraId="72E2CE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1494E3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9" w:type="pct"/>
            <w:tcBorders>
              <w:top w:val="single" w:color="000000" w:sz="4" w:space="0"/>
              <w:left w:val="single" w:color="000000" w:sz="4" w:space="0"/>
              <w:bottom w:val="single" w:color="000000" w:sz="4" w:space="0"/>
              <w:right w:val="single" w:color="000000" w:sz="4" w:space="0"/>
            </w:tcBorders>
            <w:noWrap w:val="0"/>
            <w:vAlign w:val="center"/>
          </w:tcPr>
          <w:p w14:paraId="14BEEB3F">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99.58</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101BABEC">
            <w:pPr>
              <w:rPr>
                <w:rFonts w:hint="default" w:ascii="Times New Roman" w:hAnsi="Times New Roman" w:eastAsia="宋体" w:cs="Times New Roman"/>
                <w:i w:val="0"/>
                <w:iCs w:val="0"/>
                <w:color w:val="000000"/>
                <w:sz w:val="18"/>
                <w:szCs w:val="18"/>
                <w:u w:val="none"/>
              </w:rPr>
            </w:pPr>
          </w:p>
        </w:tc>
      </w:tr>
      <w:tr w14:paraId="1E04A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1E4FA4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3914" w:type="pct"/>
            <w:gridSpan w:val="9"/>
            <w:tcBorders>
              <w:top w:val="single" w:color="000000" w:sz="4" w:space="0"/>
              <w:left w:val="single" w:color="000000" w:sz="4" w:space="0"/>
              <w:bottom w:val="single" w:color="000000" w:sz="4" w:space="0"/>
              <w:right w:val="single" w:color="000000" w:sz="4" w:space="0"/>
            </w:tcBorders>
            <w:noWrap w:val="0"/>
            <w:vAlign w:val="center"/>
          </w:tcPr>
          <w:p w14:paraId="43BB256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自评得分99.58分，完成目标情况较好。</w:t>
            </w:r>
          </w:p>
        </w:tc>
        <w:tc>
          <w:tcPr>
            <w:tcW w:w="861" w:type="pct"/>
            <w:tcBorders>
              <w:top w:val="single" w:color="000000" w:sz="4" w:space="0"/>
              <w:left w:val="single" w:color="000000" w:sz="4" w:space="0"/>
              <w:bottom w:val="single" w:color="000000" w:sz="4" w:space="0"/>
              <w:right w:val="single" w:color="000000" w:sz="4" w:space="0"/>
            </w:tcBorders>
            <w:noWrap w:val="0"/>
            <w:vAlign w:val="center"/>
          </w:tcPr>
          <w:p w14:paraId="44C12CD6">
            <w:pPr>
              <w:rPr>
                <w:rFonts w:hint="default" w:ascii="Times New Roman" w:hAnsi="Times New Roman" w:eastAsia="宋体" w:cs="Times New Roman"/>
                <w:i w:val="0"/>
                <w:iCs w:val="0"/>
                <w:color w:val="000000"/>
                <w:sz w:val="18"/>
                <w:szCs w:val="18"/>
                <w:u w:val="none"/>
              </w:rPr>
            </w:pPr>
          </w:p>
        </w:tc>
      </w:tr>
      <w:tr w14:paraId="2F303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7556CC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127F2B0F">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E2A5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tcBorders>
              <w:top w:val="single" w:color="000000" w:sz="4" w:space="0"/>
              <w:left w:val="single" w:color="000000" w:sz="4" w:space="0"/>
              <w:bottom w:val="single" w:color="000000" w:sz="4" w:space="0"/>
              <w:right w:val="single" w:color="000000" w:sz="4" w:space="0"/>
            </w:tcBorders>
            <w:noWrap w:val="0"/>
            <w:vAlign w:val="center"/>
          </w:tcPr>
          <w:p w14:paraId="29C83F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75" w:type="pct"/>
            <w:gridSpan w:val="10"/>
            <w:tcBorders>
              <w:top w:val="single" w:color="000000" w:sz="4" w:space="0"/>
              <w:left w:val="single" w:color="000000" w:sz="4" w:space="0"/>
              <w:bottom w:val="single" w:color="000000" w:sz="4" w:space="0"/>
              <w:right w:val="single" w:color="000000" w:sz="4" w:space="0"/>
            </w:tcBorders>
            <w:noWrap w:val="0"/>
            <w:vAlign w:val="center"/>
          </w:tcPr>
          <w:p w14:paraId="368122A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7A80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42" w:type="pct"/>
            <w:gridSpan w:val="5"/>
            <w:tcBorders>
              <w:top w:val="single" w:color="000000" w:sz="4" w:space="0"/>
              <w:left w:val="single" w:color="000000" w:sz="4" w:space="0"/>
              <w:bottom w:val="single" w:color="000000" w:sz="4" w:space="0"/>
              <w:right w:val="single" w:color="000000" w:sz="4" w:space="0"/>
            </w:tcBorders>
            <w:noWrap w:val="0"/>
            <w:vAlign w:val="center"/>
          </w:tcPr>
          <w:p w14:paraId="043A2F73">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项目负责人：杨超</w:t>
            </w:r>
          </w:p>
        </w:tc>
        <w:tc>
          <w:tcPr>
            <w:tcW w:w="2557" w:type="pct"/>
            <w:gridSpan w:val="6"/>
            <w:tcBorders>
              <w:top w:val="single" w:color="000000" w:sz="4" w:space="0"/>
              <w:left w:val="single" w:color="000000" w:sz="4" w:space="0"/>
              <w:bottom w:val="single" w:color="000000" w:sz="4" w:space="0"/>
              <w:right w:val="single" w:color="000000" w:sz="4" w:space="0"/>
            </w:tcBorders>
            <w:noWrap w:val="0"/>
            <w:vAlign w:val="center"/>
          </w:tcPr>
          <w:p w14:paraId="219171A6">
            <w:pPr>
              <w:keepNext w:val="0"/>
              <w:keepLines w:val="0"/>
              <w:widowControl/>
              <w:suppressLineNumbers w:val="0"/>
              <w:jc w:val="left"/>
              <w:textAlignment w:val="center"/>
              <w:rPr>
                <w:rFonts w:hint="default" w:ascii="Times New Roman" w:hAnsi="Times New Roman" w:eastAsia="simhei" w:cs="Times New Roman"/>
                <w:i w:val="0"/>
                <w:iCs w:val="0"/>
                <w:color w:val="000000"/>
                <w:sz w:val="18"/>
                <w:szCs w:val="18"/>
                <w:u w:val="none"/>
              </w:rPr>
            </w:pPr>
            <w:r>
              <w:rPr>
                <w:rFonts w:hint="default" w:ascii="Times New Roman" w:hAnsi="Times New Roman" w:eastAsia="simhei" w:cs="Times New Roman"/>
                <w:i w:val="0"/>
                <w:iCs w:val="0"/>
                <w:color w:val="000000"/>
                <w:kern w:val="0"/>
                <w:sz w:val="18"/>
                <w:szCs w:val="18"/>
                <w:u w:val="none"/>
                <w:lang w:val="en-US" w:eastAsia="zh-CN" w:bidi="ar"/>
              </w:rPr>
              <w:t>财务负责人：严雪冰</w:t>
            </w:r>
          </w:p>
        </w:tc>
      </w:tr>
    </w:tbl>
    <w:p w14:paraId="36442E9D">
      <w:pPr>
        <w:jc w:val="center"/>
        <w:rPr>
          <w:rFonts w:hint="default" w:ascii="Times New Roman" w:hAnsi="Times New Roman" w:eastAsia="方正小标宋简体" w:cs="Times New Roman"/>
          <w:sz w:val="44"/>
          <w:szCs w:val="44"/>
        </w:rPr>
        <w:sectPr>
          <w:footerReference r:id="rId13" w:type="default"/>
          <w:pgSz w:w="16838" w:h="11906" w:orient="landscape"/>
          <w:pgMar w:top="1587" w:right="2098" w:bottom="1587" w:left="1984" w:header="851" w:footer="992" w:gutter="0"/>
          <w:pgNumType w:fmt="decimal"/>
          <w:cols w:space="425" w:num="1"/>
          <w:docGrid w:type="lines" w:linePitch="312" w:charSpace="0"/>
        </w:sectPr>
      </w:pPr>
    </w:p>
    <w:p w14:paraId="1D96266C">
      <w:pPr>
        <w:pStyle w:val="3"/>
        <w:jc w:val="center"/>
        <w:rPr>
          <w:rFonts w:hint="default" w:ascii="Times New Roman" w:hAnsi="Times New Roman" w:eastAsia="方正小标宋简体" w:cs="Times New Roman"/>
          <w:b w:val="0"/>
          <w:bCs w:val="0"/>
        </w:rPr>
      </w:pPr>
      <w:r>
        <w:rPr>
          <w:rFonts w:hint="default" w:ascii="Times New Roman" w:hAnsi="Times New Roman" w:eastAsia="方正小标宋简体" w:cs="Times New Roman"/>
          <w:b w:val="0"/>
          <w:bCs w:val="0"/>
        </w:rPr>
        <w:t>第五部分 附表</w:t>
      </w:r>
    </w:p>
    <w:p w14:paraId="5CAB2ED0">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一、收入支出决算总表</w:t>
      </w:r>
    </w:p>
    <w:p w14:paraId="46F641FE">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二、收入决算表</w:t>
      </w:r>
    </w:p>
    <w:p w14:paraId="7B8B173B">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三、支出决算表</w:t>
      </w:r>
    </w:p>
    <w:p w14:paraId="70CB14EC">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四、财政拨款收入支出决算总表</w:t>
      </w:r>
    </w:p>
    <w:p w14:paraId="6ED93C72">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五、财政拨款支出决算明细表</w:t>
      </w:r>
    </w:p>
    <w:p w14:paraId="76EA14AC">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六、一般公共预算财政拨款支出决算表</w:t>
      </w:r>
    </w:p>
    <w:p w14:paraId="4AC98A0D">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七、一般公共预算财政拨款支出决算明细表</w:t>
      </w:r>
    </w:p>
    <w:p w14:paraId="3A6C634C">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八、一般公共预算财政拨款基本支出决算</w:t>
      </w:r>
      <w:r>
        <w:rPr>
          <w:rFonts w:hint="default" w:ascii="Times New Roman" w:hAnsi="Times New Roman" w:eastAsia="方正仿宋_GBK" w:cs="Times New Roman"/>
          <w:sz w:val="32"/>
          <w:szCs w:val="32"/>
          <w:lang w:eastAsia="zh-CN"/>
        </w:rPr>
        <w:t>明细</w:t>
      </w:r>
      <w:r>
        <w:rPr>
          <w:rFonts w:hint="default" w:ascii="Times New Roman" w:hAnsi="Times New Roman" w:eastAsia="方正仿宋_GBK" w:cs="Times New Roman"/>
          <w:sz w:val="32"/>
          <w:szCs w:val="32"/>
        </w:rPr>
        <w:t>表</w:t>
      </w:r>
    </w:p>
    <w:p w14:paraId="68D6F248">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九、一般公共预算财政拨款项目支出决算表</w:t>
      </w:r>
    </w:p>
    <w:p w14:paraId="3AFF18F9">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十、政府性基金预算财政拨款收入支出决算表</w:t>
      </w:r>
    </w:p>
    <w:p w14:paraId="23F276A5">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十一、国有资本经营预算财政拨款收入支出决算表</w:t>
      </w:r>
    </w:p>
    <w:p w14:paraId="339B28BC">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十二、国有资本经营预算财政拨款支出决算表</w:t>
      </w:r>
    </w:p>
    <w:p w14:paraId="1AC9B68F">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十三、财政拨款“三公”经费支出决算表</w:t>
      </w:r>
    </w:p>
    <w:sectPr>
      <w:footerReference r:id="rId14" w:type="default"/>
      <w:pgSz w:w="11906" w:h="16838"/>
      <w:pgMar w:top="2098" w:right="1587"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方正仿宋简体">
    <w:altName w:val="方正仿宋_GBK"/>
    <w:panose1 w:val="02010601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DejaVu Sans">
    <w:panose1 w:val="020B0603030804020204"/>
    <w:charset w:val="00"/>
    <w:family w:val="auto"/>
    <w:pitch w:val="default"/>
    <w:sig w:usb0="E7006EFF" w:usb1="D200FDFF" w:usb2="0A246029" w:usb3="0400200C" w:csb0="600001FF" w:csb1="DFFF0000"/>
  </w:font>
  <w:font w:name="仿宋">
    <w:altName w:val="仿宋_GB2312"/>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Times New Roman Bold Italic">
    <w:altName w:val="Times New Roman"/>
    <w:panose1 w:val="00000000000000000000"/>
    <w:charset w:val="00"/>
    <w:family w:val="auto"/>
    <w:pitch w:val="default"/>
    <w:sig w:usb0="00000000" w:usb1="00000000" w:usb2="00000000" w:usb3="00000000" w:csb0="00040001" w:csb1="00000000"/>
  </w:font>
  <w:font w:name="simhei">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微软雅黑">
    <w:altName w:val="方正黑体_GBK"/>
    <w:panose1 w:val="00000000000000000000"/>
    <w:charset w:val="00"/>
    <w:family w:val="auto"/>
    <w:pitch w:val="default"/>
    <w:sig w:usb0="00000000" w:usb1="00000000" w:usb2="00000000" w:usb3="00000000" w:csb0="00040001"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870F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CF11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DE3A">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500E2">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B2500E2">
                    <w:pPr>
                      <w:pStyle w:val="11"/>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1960C">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B4CDD">
    <w:pPr>
      <w:pStyle w:val="11"/>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3EFA6">
                          <w:pPr>
                            <w:pStyle w:val="11"/>
                            <w:rPr>
                              <w:rFonts w:hint="default" w:ascii="宋体" w:hAnsi="宋体" w:eastAsia="宋体" w:cs="Times New Roman"/>
                              <w:sz w:val="28"/>
                              <w:szCs w:val="28"/>
                            </w:rPr>
                          </w:pPr>
                          <w:r>
                            <w:rPr>
                              <w:rFonts w:hint="default" w:ascii="宋体" w:hAnsi="宋体" w:eastAsia="宋体" w:cs="Times New Roman"/>
                              <w:sz w:val="28"/>
                              <w:szCs w:val="28"/>
                            </w:rPr>
                            <w:t xml:space="preserve">— </w:t>
                          </w:r>
                          <w:r>
                            <w:rPr>
                              <w:rFonts w:hint="default" w:ascii="宋体" w:hAnsi="宋体" w:eastAsia="宋体" w:cs="Times New Roman"/>
                              <w:sz w:val="28"/>
                              <w:szCs w:val="28"/>
                            </w:rPr>
                            <w:fldChar w:fldCharType="begin"/>
                          </w:r>
                          <w:r>
                            <w:rPr>
                              <w:rFonts w:hint="default" w:ascii="宋体" w:hAnsi="宋体" w:eastAsia="宋体" w:cs="Times New Roman"/>
                              <w:sz w:val="28"/>
                              <w:szCs w:val="28"/>
                            </w:rPr>
                            <w:instrText xml:space="preserve"> PAGE  \* MERGEFORMAT </w:instrText>
                          </w:r>
                          <w:r>
                            <w:rPr>
                              <w:rFonts w:hint="default" w:ascii="宋体" w:hAnsi="宋体" w:eastAsia="宋体" w:cs="Times New Roman"/>
                              <w:sz w:val="28"/>
                              <w:szCs w:val="28"/>
                            </w:rPr>
                            <w:fldChar w:fldCharType="separate"/>
                          </w:r>
                          <w:r>
                            <w:rPr>
                              <w:rFonts w:hint="default" w:ascii="宋体" w:hAnsi="宋体" w:eastAsia="宋体" w:cs="Times New Roman"/>
                              <w:sz w:val="28"/>
                              <w:szCs w:val="28"/>
                            </w:rPr>
                            <w:t>1</w:t>
                          </w:r>
                          <w:r>
                            <w:rPr>
                              <w:rFonts w:hint="default" w:ascii="宋体" w:hAnsi="宋体" w:eastAsia="宋体" w:cs="Times New Roman"/>
                              <w:sz w:val="28"/>
                              <w:szCs w:val="28"/>
                            </w:rPr>
                            <w:fldChar w:fldCharType="end"/>
                          </w:r>
                          <w:r>
                            <w:rPr>
                              <w:rFonts w:hint="default" w:ascii="宋体" w:hAnsi="宋体" w:eastAsia="宋体"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BB3EFA6">
                    <w:pPr>
                      <w:pStyle w:val="11"/>
                      <w:rPr>
                        <w:rFonts w:hint="default" w:ascii="宋体" w:hAnsi="宋体" w:eastAsia="宋体" w:cs="Times New Roman"/>
                        <w:sz w:val="28"/>
                        <w:szCs w:val="28"/>
                      </w:rPr>
                    </w:pPr>
                    <w:r>
                      <w:rPr>
                        <w:rFonts w:hint="default" w:ascii="宋体" w:hAnsi="宋体" w:eastAsia="宋体" w:cs="Times New Roman"/>
                        <w:sz w:val="28"/>
                        <w:szCs w:val="28"/>
                      </w:rPr>
                      <w:t xml:space="preserve">— </w:t>
                    </w:r>
                    <w:r>
                      <w:rPr>
                        <w:rFonts w:hint="default" w:ascii="宋体" w:hAnsi="宋体" w:eastAsia="宋体" w:cs="Times New Roman"/>
                        <w:sz w:val="28"/>
                        <w:szCs w:val="28"/>
                      </w:rPr>
                      <w:fldChar w:fldCharType="begin"/>
                    </w:r>
                    <w:r>
                      <w:rPr>
                        <w:rFonts w:hint="default" w:ascii="宋体" w:hAnsi="宋体" w:eastAsia="宋体" w:cs="Times New Roman"/>
                        <w:sz w:val="28"/>
                        <w:szCs w:val="28"/>
                      </w:rPr>
                      <w:instrText xml:space="preserve"> PAGE  \* MERGEFORMAT </w:instrText>
                    </w:r>
                    <w:r>
                      <w:rPr>
                        <w:rFonts w:hint="default" w:ascii="宋体" w:hAnsi="宋体" w:eastAsia="宋体" w:cs="Times New Roman"/>
                        <w:sz w:val="28"/>
                        <w:szCs w:val="28"/>
                      </w:rPr>
                      <w:fldChar w:fldCharType="separate"/>
                    </w:r>
                    <w:r>
                      <w:rPr>
                        <w:rFonts w:hint="default" w:ascii="宋体" w:hAnsi="宋体" w:eastAsia="宋体" w:cs="Times New Roman"/>
                        <w:sz w:val="28"/>
                        <w:szCs w:val="28"/>
                      </w:rPr>
                      <w:t>1</w:t>
                    </w:r>
                    <w:r>
                      <w:rPr>
                        <w:rFonts w:hint="default" w:ascii="宋体" w:hAnsi="宋体" w:eastAsia="宋体" w:cs="Times New Roman"/>
                        <w:sz w:val="28"/>
                        <w:szCs w:val="28"/>
                      </w:rPr>
                      <w:fldChar w:fldCharType="end"/>
                    </w:r>
                    <w:r>
                      <w:rPr>
                        <w:rFonts w:hint="default" w:ascii="宋体" w:hAnsi="宋体" w:eastAsia="宋体" w:cs="Times New Roman"/>
                        <w:sz w:val="28"/>
                        <w:szCs w:val="28"/>
                      </w:rPr>
                      <w:t xml:space="preserve"> —</w:t>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DCD58">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45DCD58">
                    <w:pPr>
                      <w:pStyle w:val="11"/>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2D113">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5BEBB0">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75BEBB0">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41BEB">
    <w:pPr>
      <w:pStyle w:val="11"/>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9CC2D">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5E9CC2D">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C3DE8">
    <w:pPr>
      <w:pStyle w:val="11"/>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CFEFD8">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4CFEFD8">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91B0A">
    <w:pPr>
      <w:pStyle w:val="11"/>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F9241A">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40</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5F9241A">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40</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BA24F">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00A6A">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B010D">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14A1C"/>
    <w:rsid w:val="000222C6"/>
    <w:rsid w:val="0002549F"/>
    <w:rsid w:val="00035392"/>
    <w:rsid w:val="000468DB"/>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7531"/>
    <w:rsid w:val="001E737D"/>
    <w:rsid w:val="001F0592"/>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D6D05"/>
    <w:rsid w:val="002F1818"/>
    <w:rsid w:val="002F5109"/>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505A47"/>
    <w:rsid w:val="00512FDA"/>
    <w:rsid w:val="00520DA0"/>
    <w:rsid w:val="005664BB"/>
    <w:rsid w:val="00566FFA"/>
    <w:rsid w:val="0057481D"/>
    <w:rsid w:val="0058486E"/>
    <w:rsid w:val="00585B33"/>
    <w:rsid w:val="0059014D"/>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579E"/>
    <w:rsid w:val="00BB4DF0"/>
    <w:rsid w:val="00BC289F"/>
    <w:rsid w:val="00BC2D50"/>
    <w:rsid w:val="00BC5361"/>
    <w:rsid w:val="00BC5460"/>
    <w:rsid w:val="00BC6B50"/>
    <w:rsid w:val="00BD0E25"/>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82267"/>
    <w:rsid w:val="00E853CE"/>
    <w:rsid w:val="00E867B6"/>
    <w:rsid w:val="00EA010F"/>
    <w:rsid w:val="00EB0FAE"/>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7DA4"/>
    <w:rsid w:val="00FD3CC1"/>
    <w:rsid w:val="00FF1E02"/>
    <w:rsid w:val="00FF30B4"/>
    <w:rsid w:val="015975B8"/>
    <w:rsid w:val="02FEBE30"/>
    <w:rsid w:val="036F8141"/>
    <w:rsid w:val="066E0107"/>
    <w:rsid w:val="07996F6E"/>
    <w:rsid w:val="07DFD8BA"/>
    <w:rsid w:val="0A2032A3"/>
    <w:rsid w:val="0BFD4B15"/>
    <w:rsid w:val="0D35B1ED"/>
    <w:rsid w:val="0DEFBBD0"/>
    <w:rsid w:val="0E7ED1F5"/>
    <w:rsid w:val="0EEFBF55"/>
    <w:rsid w:val="0F98263C"/>
    <w:rsid w:val="0FAF3586"/>
    <w:rsid w:val="0FB79A18"/>
    <w:rsid w:val="0FE0352D"/>
    <w:rsid w:val="101860EC"/>
    <w:rsid w:val="10C055FF"/>
    <w:rsid w:val="118107EC"/>
    <w:rsid w:val="13D50BC4"/>
    <w:rsid w:val="13F5616D"/>
    <w:rsid w:val="14F99186"/>
    <w:rsid w:val="155BBB6E"/>
    <w:rsid w:val="15A52AA4"/>
    <w:rsid w:val="16BB723D"/>
    <w:rsid w:val="179E67BC"/>
    <w:rsid w:val="17F5CA7C"/>
    <w:rsid w:val="17F9714D"/>
    <w:rsid w:val="18FFF973"/>
    <w:rsid w:val="1918F934"/>
    <w:rsid w:val="1AF37BD0"/>
    <w:rsid w:val="1B6FC75D"/>
    <w:rsid w:val="1BD7260C"/>
    <w:rsid w:val="1BE8440E"/>
    <w:rsid w:val="1BF7C679"/>
    <w:rsid w:val="1BFD465A"/>
    <w:rsid w:val="1D155CEE"/>
    <w:rsid w:val="1DFBC4B3"/>
    <w:rsid w:val="1E740ACF"/>
    <w:rsid w:val="1EEFD718"/>
    <w:rsid w:val="1EFBE924"/>
    <w:rsid w:val="1F19C781"/>
    <w:rsid w:val="1F33FCE5"/>
    <w:rsid w:val="1F7F7398"/>
    <w:rsid w:val="1FAF5177"/>
    <w:rsid w:val="1FBEE2C5"/>
    <w:rsid w:val="1FD2DB6F"/>
    <w:rsid w:val="1FDD15A3"/>
    <w:rsid w:val="1FDE790C"/>
    <w:rsid w:val="1FF35744"/>
    <w:rsid w:val="1FF6BC77"/>
    <w:rsid w:val="1FF9236D"/>
    <w:rsid w:val="1FFEA7DA"/>
    <w:rsid w:val="231F38E7"/>
    <w:rsid w:val="2333840E"/>
    <w:rsid w:val="23860B96"/>
    <w:rsid w:val="240371BF"/>
    <w:rsid w:val="257999FF"/>
    <w:rsid w:val="257C638F"/>
    <w:rsid w:val="29FD04D3"/>
    <w:rsid w:val="2B2D6BEB"/>
    <w:rsid w:val="2BDE6316"/>
    <w:rsid w:val="2BFF7BC6"/>
    <w:rsid w:val="2C8A61B5"/>
    <w:rsid w:val="2CD59C95"/>
    <w:rsid w:val="2DC975F4"/>
    <w:rsid w:val="2DCC4BFA"/>
    <w:rsid w:val="2DF04E50"/>
    <w:rsid w:val="2EEC22C9"/>
    <w:rsid w:val="2EFD05E5"/>
    <w:rsid w:val="2EFEB2D1"/>
    <w:rsid w:val="2F040D46"/>
    <w:rsid w:val="2F4F95CE"/>
    <w:rsid w:val="2F6A82E7"/>
    <w:rsid w:val="2FACAFDD"/>
    <w:rsid w:val="2FAE5751"/>
    <w:rsid w:val="2FB1A395"/>
    <w:rsid w:val="2FB5E16A"/>
    <w:rsid w:val="2FB9745E"/>
    <w:rsid w:val="2FCF0B76"/>
    <w:rsid w:val="2FD9A7D8"/>
    <w:rsid w:val="2FDAEE85"/>
    <w:rsid w:val="2FF99C0A"/>
    <w:rsid w:val="2FFB7118"/>
    <w:rsid w:val="2FFEF4E0"/>
    <w:rsid w:val="3098DE32"/>
    <w:rsid w:val="319F7F4E"/>
    <w:rsid w:val="327B1E75"/>
    <w:rsid w:val="32EFF342"/>
    <w:rsid w:val="32FFDD56"/>
    <w:rsid w:val="3304709D"/>
    <w:rsid w:val="33DD631A"/>
    <w:rsid w:val="34BF6782"/>
    <w:rsid w:val="36AA5135"/>
    <w:rsid w:val="36BE0DA7"/>
    <w:rsid w:val="373F7491"/>
    <w:rsid w:val="376B6AA6"/>
    <w:rsid w:val="376D39B2"/>
    <w:rsid w:val="378F9613"/>
    <w:rsid w:val="37AF0A64"/>
    <w:rsid w:val="37C51A9B"/>
    <w:rsid w:val="37E16F03"/>
    <w:rsid w:val="37F53A3B"/>
    <w:rsid w:val="387FDF5F"/>
    <w:rsid w:val="38D469F0"/>
    <w:rsid w:val="38F78389"/>
    <w:rsid w:val="397BAF1F"/>
    <w:rsid w:val="39E7B272"/>
    <w:rsid w:val="39F7642F"/>
    <w:rsid w:val="39F7F505"/>
    <w:rsid w:val="39FF7B37"/>
    <w:rsid w:val="3A5F4F61"/>
    <w:rsid w:val="3AB79AF3"/>
    <w:rsid w:val="3AF96F74"/>
    <w:rsid w:val="3AFDCB77"/>
    <w:rsid w:val="3AFDE20F"/>
    <w:rsid w:val="3B7EF35A"/>
    <w:rsid w:val="3B9FDB6C"/>
    <w:rsid w:val="3BA591E1"/>
    <w:rsid w:val="3BAD6B1E"/>
    <w:rsid w:val="3BF5BC2F"/>
    <w:rsid w:val="3BF7C23A"/>
    <w:rsid w:val="3BFB7588"/>
    <w:rsid w:val="3BFF223E"/>
    <w:rsid w:val="3C6EC0A1"/>
    <w:rsid w:val="3C9DD65F"/>
    <w:rsid w:val="3CD6E545"/>
    <w:rsid w:val="3CDB0824"/>
    <w:rsid w:val="3CEBA265"/>
    <w:rsid w:val="3D6A7F9F"/>
    <w:rsid w:val="3D7E7F4D"/>
    <w:rsid w:val="3D7F5057"/>
    <w:rsid w:val="3D8F8A26"/>
    <w:rsid w:val="3D98207C"/>
    <w:rsid w:val="3D9CF30A"/>
    <w:rsid w:val="3DBFD851"/>
    <w:rsid w:val="3DDB081A"/>
    <w:rsid w:val="3DEF19D1"/>
    <w:rsid w:val="3DFF400C"/>
    <w:rsid w:val="3DFF5A3E"/>
    <w:rsid w:val="3E573554"/>
    <w:rsid w:val="3E78745D"/>
    <w:rsid w:val="3E7E8579"/>
    <w:rsid w:val="3E9B50C6"/>
    <w:rsid w:val="3ECE9CFE"/>
    <w:rsid w:val="3EEE77E9"/>
    <w:rsid w:val="3EFB58BA"/>
    <w:rsid w:val="3EFEE442"/>
    <w:rsid w:val="3F1C741C"/>
    <w:rsid w:val="3F394AF5"/>
    <w:rsid w:val="3F6FE225"/>
    <w:rsid w:val="3F73A67C"/>
    <w:rsid w:val="3F7EB08F"/>
    <w:rsid w:val="3F7EF0A7"/>
    <w:rsid w:val="3F85E6CC"/>
    <w:rsid w:val="3F92CC9F"/>
    <w:rsid w:val="3FB34D46"/>
    <w:rsid w:val="3FB7E5AB"/>
    <w:rsid w:val="3FB87F6F"/>
    <w:rsid w:val="3FBE5714"/>
    <w:rsid w:val="3FDD8615"/>
    <w:rsid w:val="3FDF04B4"/>
    <w:rsid w:val="3FDFB2FF"/>
    <w:rsid w:val="3FF0394F"/>
    <w:rsid w:val="3FF4CAE0"/>
    <w:rsid w:val="3FF75FAF"/>
    <w:rsid w:val="3FF7B227"/>
    <w:rsid w:val="3FFAF2CF"/>
    <w:rsid w:val="3FFB124D"/>
    <w:rsid w:val="3FFE4562"/>
    <w:rsid w:val="3FFF8BF2"/>
    <w:rsid w:val="3FFF9E5D"/>
    <w:rsid w:val="3FFFCF55"/>
    <w:rsid w:val="44E268DA"/>
    <w:rsid w:val="44FED94F"/>
    <w:rsid w:val="457F4F6B"/>
    <w:rsid w:val="4737FB58"/>
    <w:rsid w:val="479B2649"/>
    <w:rsid w:val="47ECCB02"/>
    <w:rsid w:val="47F388AE"/>
    <w:rsid w:val="47FA6A3F"/>
    <w:rsid w:val="49D7AE48"/>
    <w:rsid w:val="4A1F465E"/>
    <w:rsid w:val="4A3F6C7E"/>
    <w:rsid w:val="4A627F82"/>
    <w:rsid w:val="4B0E749A"/>
    <w:rsid w:val="4B4F25DA"/>
    <w:rsid w:val="4B71D683"/>
    <w:rsid w:val="4BBB4781"/>
    <w:rsid w:val="4BD709A5"/>
    <w:rsid w:val="4BDD9BFF"/>
    <w:rsid w:val="4BE068DB"/>
    <w:rsid w:val="4D577224"/>
    <w:rsid w:val="4DBF1CEB"/>
    <w:rsid w:val="4DBF6A6B"/>
    <w:rsid w:val="4DF6A672"/>
    <w:rsid w:val="4DFF50EA"/>
    <w:rsid w:val="4EAB630A"/>
    <w:rsid w:val="4ECE2238"/>
    <w:rsid w:val="4EFC664B"/>
    <w:rsid w:val="4F7EA413"/>
    <w:rsid w:val="4F9F0647"/>
    <w:rsid w:val="4FAB812F"/>
    <w:rsid w:val="4FBF7485"/>
    <w:rsid w:val="4FCFCD14"/>
    <w:rsid w:val="4FE42580"/>
    <w:rsid w:val="4FE9BD67"/>
    <w:rsid w:val="4FEE4C07"/>
    <w:rsid w:val="4FF724EE"/>
    <w:rsid w:val="4FF73133"/>
    <w:rsid w:val="4FFB052F"/>
    <w:rsid w:val="51F323D7"/>
    <w:rsid w:val="52C76F6D"/>
    <w:rsid w:val="533B32B6"/>
    <w:rsid w:val="537E6D0A"/>
    <w:rsid w:val="539CF563"/>
    <w:rsid w:val="53AB6B88"/>
    <w:rsid w:val="53F74C96"/>
    <w:rsid w:val="53FFACD9"/>
    <w:rsid w:val="5443EF23"/>
    <w:rsid w:val="5583522D"/>
    <w:rsid w:val="55DFFECD"/>
    <w:rsid w:val="55FEE972"/>
    <w:rsid w:val="56236A5E"/>
    <w:rsid w:val="57BD3DD4"/>
    <w:rsid w:val="57EE609A"/>
    <w:rsid w:val="57F438AB"/>
    <w:rsid w:val="57F9CD1E"/>
    <w:rsid w:val="57FA731B"/>
    <w:rsid w:val="5975EEBB"/>
    <w:rsid w:val="5AF88F57"/>
    <w:rsid w:val="5AF92295"/>
    <w:rsid w:val="5AF9D8E9"/>
    <w:rsid w:val="5BDD38BD"/>
    <w:rsid w:val="5BDD79E6"/>
    <w:rsid w:val="5BDFB772"/>
    <w:rsid w:val="5BDFCDB3"/>
    <w:rsid w:val="5BEE91B4"/>
    <w:rsid w:val="5BEFC772"/>
    <w:rsid w:val="5BF3CA1C"/>
    <w:rsid w:val="5BF94FAD"/>
    <w:rsid w:val="5BFF5DFC"/>
    <w:rsid w:val="5C7B96F3"/>
    <w:rsid w:val="5CD71FC4"/>
    <w:rsid w:val="5D1F11B5"/>
    <w:rsid w:val="5D2F8704"/>
    <w:rsid w:val="5D3647F9"/>
    <w:rsid w:val="5DA644D4"/>
    <w:rsid w:val="5DAE1B18"/>
    <w:rsid w:val="5DB9DE5B"/>
    <w:rsid w:val="5DBF2ACC"/>
    <w:rsid w:val="5DD7DE43"/>
    <w:rsid w:val="5DE7D9E5"/>
    <w:rsid w:val="5DFC1F22"/>
    <w:rsid w:val="5E6470AB"/>
    <w:rsid w:val="5E6D1FFD"/>
    <w:rsid w:val="5E7B72E0"/>
    <w:rsid w:val="5E7F8AA5"/>
    <w:rsid w:val="5E9DE4A8"/>
    <w:rsid w:val="5ECEC941"/>
    <w:rsid w:val="5EDE9DA5"/>
    <w:rsid w:val="5EE547EF"/>
    <w:rsid w:val="5EF52D22"/>
    <w:rsid w:val="5EFDDE6B"/>
    <w:rsid w:val="5EFF8FC6"/>
    <w:rsid w:val="5F3A5475"/>
    <w:rsid w:val="5F4F4613"/>
    <w:rsid w:val="5F5BA39A"/>
    <w:rsid w:val="5F6F0C9A"/>
    <w:rsid w:val="5F7D3B79"/>
    <w:rsid w:val="5F7F4610"/>
    <w:rsid w:val="5FBF9FF3"/>
    <w:rsid w:val="5FBFD382"/>
    <w:rsid w:val="5FCD4E2C"/>
    <w:rsid w:val="5FCDA460"/>
    <w:rsid w:val="5FDFD9A4"/>
    <w:rsid w:val="5FEDAE97"/>
    <w:rsid w:val="5FEDD6E1"/>
    <w:rsid w:val="5FEF394A"/>
    <w:rsid w:val="5FF67715"/>
    <w:rsid w:val="5FFB32D3"/>
    <w:rsid w:val="5FFCE383"/>
    <w:rsid w:val="5FFE266B"/>
    <w:rsid w:val="5FFFA055"/>
    <w:rsid w:val="606F46B3"/>
    <w:rsid w:val="61CA71D5"/>
    <w:rsid w:val="627EE9EA"/>
    <w:rsid w:val="62E67775"/>
    <w:rsid w:val="633CBD94"/>
    <w:rsid w:val="63B23AA5"/>
    <w:rsid w:val="63F90BF2"/>
    <w:rsid w:val="63FC88B8"/>
    <w:rsid w:val="63FFF825"/>
    <w:rsid w:val="647F5392"/>
    <w:rsid w:val="64E322C4"/>
    <w:rsid w:val="657CEBAB"/>
    <w:rsid w:val="65FB93B9"/>
    <w:rsid w:val="65FBCB75"/>
    <w:rsid w:val="6633C463"/>
    <w:rsid w:val="66FD64AC"/>
    <w:rsid w:val="66FF5221"/>
    <w:rsid w:val="677368C2"/>
    <w:rsid w:val="67961F2A"/>
    <w:rsid w:val="67D55B77"/>
    <w:rsid w:val="67EE7F84"/>
    <w:rsid w:val="67F64DC2"/>
    <w:rsid w:val="686F5F53"/>
    <w:rsid w:val="6A7AA059"/>
    <w:rsid w:val="6AEFA505"/>
    <w:rsid w:val="6AFFCEAF"/>
    <w:rsid w:val="6B5B3E15"/>
    <w:rsid w:val="6B96E9E6"/>
    <w:rsid w:val="6BCE57B5"/>
    <w:rsid w:val="6BDDEFB7"/>
    <w:rsid w:val="6BFEA4DB"/>
    <w:rsid w:val="6BFFB662"/>
    <w:rsid w:val="6C4A05C8"/>
    <w:rsid w:val="6C4F5CDD"/>
    <w:rsid w:val="6CFF4FB8"/>
    <w:rsid w:val="6D2FAFBE"/>
    <w:rsid w:val="6D5D888E"/>
    <w:rsid w:val="6D6BD6E0"/>
    <w:rsid w:val="6D77E73C"/>
    <w:rsid w:val="6DBF0AE3"/>
    <w:rsid w:val="6DBF5E93"/>
    <w:rsid w:val="6DD94592"/>
    <w:rsid w:val="6DF58756"/>
    <w:rsid w:val="6DF94BF1"/>
    <w:rsid w:val="6DFF077E"/>
    <w:rsid w:val="6E7774C1"/>
    <w:rsid w:val="6E7E3605"/>
    <w:rsid w:val="6E7FDCC7"/>
    <w:rsid w:val="6EAAFE34"/>
    <w:rsid w:val="6EB7B1BF"/>
    <w:rsid w:val="6EBF29B0"/>
    <w:rsid w:val="6ED6A62E"/>
    <w:rsid w:val="6EE00B15"/>
    <w:rsid w:val="6EE737B2"/>
    <w:rsid w:val="6EEB2329"/>
    <w:rsid w:val="6EECE67A"/>
    <w:rsid w:val="6EF75BF7"/>
    <w:rsid w:val="6EF779C1"/>
    <w:rsid w:val="6EFD04DF"/>
    <w:rsid w:val="6EFE0926"/>
    <w:rsid w:val="6F3B91E1"/>
    <w:rsid w:val="6F3FF0FA"/>
    <w:rsid w:val="6F6DCA09"/>
    <w:rsid w:val="6F6F90A8"/>
    <w:rsid w:val="6F6FB3EB"/>
    <w:rsid w:val="6F7E38C5"/>
    <w:rsid w:val="6F8731EA"/>
    <w:rsid w:val="6F8F22CF"/>
    <w:rsid w:val="6F9EE020"/>
    <w:rsid w:val="6FA7F44E"/>
    <w:rsid w:val="6FB68D67"/>
    <w:rsid w:val="6FBBB364"/>
    <w:rsid w:val="6FBBB58B"/>
    <w:rsid w:val="6FBBF88E"/>
    <w:rsid w:val="6FBC2ADD"/>
    <w:rsid w:val="6FBD0AAC"/>
    <w:rsid w:val="6FBF6782"/>
    <w:rsid w:val="6FCF0B43"/>
    <w:rsid w:val="6FD57C00"/>
    <w:rsid w:val="6FEFFFD8"/>
    <w:rsid w:val="6FF5CC65"/>
    <w:rsid w:val="6FF87235"/>
    <w:rsid w:val="6FFB47EC"/>
    <w:rsid w:val="6FFD5A52"/>
    <w:rsid w:val="6FFD6AB9"/>
    <w:rsid w:val="6FFE8F03"/>
    <w:rsid w:val="6FFF034A"/>
    <w:rsid w:val="6FFFEABE"/>
    <w:rsid w:val="6FFFED4E"/>
    <w:rsid w:val="712A28F1"/>
    <w:rsid w:val="713BDF3C"/>
    <w:rsid w:val="715C0E4B"/>
    <w:rsid w:val="717F8625"/>
    <w:rsid w:val="71DFC87E"/>
    <w:rsid w:val="71FF9076"/>
    <w:rsid w:val="71FFD401"/>
    <w:rsid w:val="72233669"/>
    <w:rsid w:val="72734D90"/>
    <w:rsid w:val="72ACE1CD"/>
    <w:rsid w:val="7332FE48"/>
    <w:rsid w:val="7376038F"/>
    <w:rsid w:val="737B7C9F"/>
    <w:rsid w:val="73AD73D5"/>
    <w:rsid w:val="73B6825F"/>
    <w:rsid w:val="73B6EB34"/>
    <w:rsid w:val="73D6BA99"/>
    <w:rsid w:val="73FA497D"/>
    <w:rsid w:val="73FDAAB4"/>
    <w:rsid w:val="73FF7395"/>
    <w:rsid w:val="744731E5"/>
    <w:rsid w:val="746D128F"/>
    <w:rsid w:val="747F1C69"/>
    <w:rsid w:val="74BBD01D"/>
    <w:rsid w:val="74ED5379"/>
    <w:rsid w:val="74FB259B"/>
    <w:rsid w:val="75DEEEC2"/>
    <w:rsid w:val="767F479D"/>
    <w:rsid w:val="769E4C76"/>
    <w:rsid w:val="769E7D85"/>
    <w:rsid w:val="76D7444B"/>
    <w:rsid w:val="76E3355F"/>
    <w:rsid w:val="76F742AF"/>
    <w:rsid w:val="76F7BE7D"/>
    <w:rsid w:val="76FDB533"/>
    <w:rsid w:val="76FE5E8C"/>
    <w:rsid w:val="76FF5125"/>
    <w:rsid w:val="773570D3"/>
    <w:rsid w:val="773F924B"/>
    <w:rsid w:val="77597F31"/>
    <w:rsid w:val="776EAD1F"/>
    <w:rsid w:val="776F6FFA"/>
    <w:rsid w:val="77701D3A"/>
    <w:rsid w:val="7777A522"/>
    <w:rsid w:val="77858688"/>
    <w:rsid w:val="778769C8"/>
    <w:rsid w:val="778B6F18"/>
    <w:rsid w:val="77A53C29"/>
    <w:rsid w:val="77CB741A"/>
    <w:rsid w:val="77D7BE3A"/>
    <w:rsid w:val="77D983AF"/>
    <w:rsid w:val="77DAADD4"/>
    <w:rsid w:val="77DC22F5"/>
    <w:rsid w:val="77DEB14B"/>
    <w:rsid w:val="77E9A78B"/>
    <w:rsid w:val="77EF5F57"/>
    <w:rsid w:val="77F79542"/>
    <w:rsid w:val="77F7AA0C"/>
    <w:rsid w:val="77FB6BF3"/>
    <w:rsid w:val="77FFDCF5"/>
    <w:rsid w:val="78FFEFE6"/>
    <w:rsid w:val="796F01B8"/>
    <w:rsid w:val="797E3A6C"/>
    <w:rsid w:val="79CF70E2"/>
    <w:rsid w:val="79D7FD79"/>
    <w:rsid w:val="79DD850E"/>
    <w:rsid w:val="79E75806"/>
    <w:rsid w:val="79EE5BA4"/>
    <w:rsid w:val="79F3EBBD"/>
    <w:rsid w:val="79FD6E33"/>
    <w:rsid w:val="7A641148"/>
    <w:rsid w:val="7A6F8BF5"/>
    <w:rsid w:val="7A7F6357"/>
    <w:rsid w:val="7A894339"/>
    <w:rsid w:val="7ACF82B5"/>
    <w:rsid w:val="7AEB7272"/>
    <w:rsid w:val="7AEFB02D"/>
    <w:rsid w:val="7AEFCE36"/>
    <w:rsid w:val="7AF580F8"/>
    <w:rsid w:val="7AFF0DAB"/>
    <w:rsid w:val="7AFF28C9"/>
    <w:rsid w:val="7AFF72A0"/>
    <w:rsid w:val="7AFF7572"/>
    <w:rsid w:val="7AFF8B75"/>
    <w:rsid w:val="7B6C7DFB"/>
    <w:rsid w:val="7B7D76A7"/>
    <w:rsid w:val="7B9F05EA"/>
    <w:rsid w:val="7B9F934D"/>
    <w:rsid w:val="7BA7C4A8"/>
    <w:rsid w:val="7BAA454C"/>
    <w:rsid w:val="7BAE2FE2"/>
    <w:rsid w:val="7BAF6951"/>
    <w:rsid w:val="7BAFFB41"/>
    <w:rsid w:val="7BB7027B"/>
    <w:rsid w:val="7BBB1DF7"/>
    <w:rsid w:val="7BBFBED0"/>
    <w:rsid w:val="7BC3E394"/>
    <w:rsid w:val="7BD704D9"/>
    <w:rsid w:val="7BDE46F7"/>
    <w:rsid w:val="7BE7E565"/>
    <w:rsid w:val="7BF3FE4C"/>
    <w:rsid w:val="7BF5D63F"/>
    <w:rsid w:val="7BFAF2A6"/>
    <w:rsid w:val="7BFB5035"/>
    <w:rsid w:val="7BFDDDB4"/>
    <w:rsid w:val="7BFDE17E"/>
    <w:rsid w:val="7BFEC454"/>
    <w:rsid w:val="7BFF12AB"/>
    <w:rsid w:val="7CBFC87B"/>
    <w:rsid w:val="7CEB6C5D"/>
    <w:rsid w:val="7CEBB8BB"/>
    <w:rsid w:val="7CEFAB07"/>
    <w:rsid w:val="7CEFB4C1"/>
    <w:rsid w:val="7CFE0F48"/>
    <w:rsid w:val="7D3DE31C"/>
    <w:rsid w:val="7D3F9CC9"/>
    <w:rsid w:val="7D7CDA39"/>
    <w:rsid w:val="7D7EC23E"/>
    <w:rsid w:val="7D7F8A13"/>
    <w:rsid w:val="7D8A723C"/>
    <w:rsid w:val="7DA5AD75"/>
    <w:rsid w:val="7DBA94D8"/>
    <w:rsid w:val="7DBBCB01"/>
    <w:rsid w:val="7DBD00A1"/>
    <w:rsid w:val="7DC765D0"/>
    <w:rsid w:val="7DC93F64"/>
    <w:rsid w:val="7DDB0EE0"/>
    <w:rsid w:val="7DE7FAAD"/>
    <w:rsid w:val="7DEB70B1"/>
    <w:rsid w:val="7DEDE0A3"/>
    <w:rsid w:val="7DEE4507"/>
    <w:rsid w:val="7DEEE1C2"/>
    <w:rsid w:val="7DFBE2F6"/>
    <w:rsid w:val="7DFD9840"/>
    <w:rsid w:val="7DFDBB97"/>
    <w:rsid w:val="7DFDBDCC"/>
    <w:rsid w:val="7DFDEF20"/>
    <w:rsid w:val="7DFE498D"/>
    <w:rsid w:val="7DFF51D8"/>
    <w:rsid w:val="7DFF6B81"/>
    <w:rsid w:val="7E1E5027"/>
    <w:rsid w:val="7E2F576F"/>
    <w:rsid w:val="7E3DD470"/>
    <w:rsid w:val="7E634199"/>
    <w:rsid w:val="7E658404"/>
    <w:rsid w:val="7E6F2375"/>
    <w:rsid w:val="7E7DDE4B"/>
    <w:rsid w:val="7E7E6375"/>
    <w:rsid w:val="7E8ADEBF"/>
    <w:rsid w:val="7EBE9E28"/>
    <w:rsid w:val="7EBF9D5D"/>
    <w:rsid w:val="7ED35DF0"/>
    <w:rsid w:val="7EEF11D3"/>
    <w:rsid w:val="7EF46790"/>
    <w:rsid w:val="7EF665ED"/>
    <w:rsid w:val="7EF78C20"/>
    <w:rsid w:val="7EFD1473"/>
    <w:rsid w:val="7EFD4F3A"/>
    <w:rsid w:val="7EFDF7D4"/>
    <w:rsid w:val="7F0F3FE6"/>
    <w:rsid w:val="7F3B5B8C"/>
    <w:rsid w:val="7F3E80EF"/>
    <w:rsid w:val="7F3F679B"/>
    <w:rsid w:val="7F4FC4EF"/>
    <w:rsid w:val="7F5E4D54"/>
    <w:rsid w:val="7F5FEA52"/>
    <w:rsid w:val="7F63E92B"/>
    <w:rsid w:val="7F668758"/>
    <w:rsid w:val="7F6B75FA"/>
    <w:rsid w:val="7F771B88"/>
    <w:rsid w:val="7F77F02E"/>
    <w:rsid w:val="7F7F3FE3"/>
    <w:rsid w:val="7F7F6D37"/>
    <w:rsid w:val="7F7FC97E"/>
    <w:rsid w:val="7F92081B"/>
    <w:rsid w:val="7F95BF01"/>
    <w:rsid w:val="7F97BE29"/>
    <w:rsid w:val="7F9F518D"/>
    <w:rsid w:val="7F9F98B3"/>
    <w:rsid w:val="7FA30C79"/>
    <w:rsid w:val="7FAF8ABF"/>
    <w:rsid w:val="7FB7269E"/>
    <w:rsid w:val="7FB72B7F"/>
    <w:rsid w:val="7FBD6753"/>
    <w:rsid w:val="7FBDC0A6"/>
    <w:rsid w:val="7FBF0338"/>
    <w:rsid w:val="7FBF1E4F"/>
    <w:rsid w:val="7FBF8EEF"/>
    <w:rsid w:val="7FBFABB4"/>
    <w:rsid w:val="7FC65084"/>
    <w:rsid w:val="7FC96657"/>
    <w:rsid w:val="7FCBFB2E"/>
    <w:rsid w:val="7FCFDE16"/>
    <w:rsid w:val="7FD5E015"/>
    <w:rsid w:val="7FD72595"/>
    <w:rsid w:val="7FDA9588"/>
    <w:rsid w:val="7FDCA374"/>
    <w:rsid w:val="7FDEA5B4"/>
    <w:rsid w:val="7FDF220F"/>
    <w:rsid w:val="7FDF4542"/>
    <w:rsid w:val="7FDF5405"/>
    <w:rsid w:val="7FDFBB73"/>
    <w:rsid w:val="7FDFF09A"/>
    <w:rsid w:val="7FE05ADA"/>
    <w:rsid w:val="7FE6299D"/>
    <w:rsid w:val="7FEA94F5"/>
    <w:rsid w:val="7FEB2597"/>
    <w:rsid w:val="7FEB7634"/>
    <w:rsid w:val="7FEC3709"/>
    <w:rsid w:val="7FEDC251"/>
    <w:rsid w:val="7FEDC5F7"/>
    <w:rsid w:val="7FEDD9DE"/>
    <w:rsid w:val="7FEE1EE6"/>
    <w:rsid w:val="7FEF5B3C"/>
    <w:rsid w:val="7FEF9B66"/>
    <w:rsid w:val="7FEFCDB9"/>
    <w:rsid w:val="7FEFDC9B"/>
    <w:rsid w:val="7FF210A8"/>
    <w:rsid w:val="7FF56DB3"/>
    <w:rsid w:val="7FF5890D"/>
    <w:rsid w:val="7FF5EB09"/>
    <w:rsid w:val="7FF7A9BC"/>
    <w:rsid w:val="7FF7C642"/>
    <w:rsid w:val="7FF7F9D2"/>
    <w:rsid w:val="7FF89B92"/>
    <w:rsid w:val="7FF8F2E7"/>
    <w:rsid w:val="7FF93490"/>
    <w:rsid w:val="7FF9418C"/>
    <w:rsid w:val="7FF97FC8"/>
    <w:rsid w:val="7FF9F0CE"/>
    <w:rsid w:val="7FFA6237"/>
    <w:rsid w:val="7FFAD72C"/>
    <w:rsid w:val="7FFB5275"/>
    <w:rsid w:val="7FFB9733"/>
    <w:rsid w:val="7FFBA5BA"/>
    <w:rsid w:val="7FFBDEF6"/>
    <w:rsid w:val="7FFD14DE"/>
    <w:rsid w:val="7FFD1687"/>
    <w:rsid w:val="7FFDCAA5"/>
    <w:rsid w:val="7FFDCAF4"/>
    <w:rsid w:val="7FFE2906"/>
    <w:rsid w:val="7FFE459B"/>
    <w:rsid w:val="7FFE5493"/>
    <w:rsid w:val="7FFF1208"/>
    <w:rsid w:val="7FFF1283"/>
    <w:rsid w:val="7FFFF783"/>
    <w:rsid w:val="7FFFFB7F"/>
    <w:rsid w:val="85DD0DD7"/>
    <w:rsid w:val="87FB3A61"/>
    <w:rsid w:val="89F51ADE"/>
    <w:rsid w:val="8B7BD2AA"/>
    <w:rsid w:val="8BF1D52E"/>
    <w:rsid w:val="8E3FF80B"/>
    <w:rsid w:val="8F7F323B"/>
    <w:rsid w:val="8F9D95D5"/>
    <w:rsid w:val="927DAE2B"/>
    <w:rsid w:val="93F70A9E"/>
    <w:rsid w:val="9779FB0A"/>
    <w:rsid w:val="97CBA8E9"/>
    <w:rsid w:val="97DE3001"/>
    <w:rsid w:val="997D060E"/>
    <w:rsid w:val="99FF2014"/>
    <w:rsid w:val="9A7C79E3"/>
    <w:rsid w:val="9B6B1D9B"/>
    <w:rsid w:val="9BFB0DFF"/>
    <w:rsid w:val="9BFE7AE5"/>
    <w:rsid w:val="9D6E4C68"/>
    <w:rsid w:val="9DDE8AA3"/>
    <w:rsid w:val="9E59F895"/>
    <w:rsid w:val="9E7DEDC1"/>
    <w:rsid w:val="9EE72201"/>
    <w:rsid w:val="9EEF2B0D"/>
    <w:rsid w:val="9F9D2D7E"/>
    <w:rsid w:val="9FB99B86"/>
    <w:rsid w:val="9FEEF390"/>
    <w:rsid w:val="9FF6F2A6"/>
    <w:rsid w:val="9FFB3B0D"/>
    <w:rsid w:val="9FFE4AD9"/>
    <w:rsid w:val="9FFF61B9"/>
    <w:rsid w:val="9FFF647B"/>
    <w:rsid w:val="9FFFEA1A"/>
    <w:rsid w:val="A074D8C2"/>
    <w:rsid w:val="A5ADDE95"/>
    <w:rsid w:val="A63A838A"/>
    <w:rsid w:val="A6DD0D7F"/>
    <w:rsid w:val="A7955197"/>
    <w:rsid w:val="A7F2D734"/>
    <w:rsid w:val="A7FE5E0E"/>
    <w:rsid w:val="A7FF7B96"/>
    <w:rsid w:val="AABFB088"/>
    <w:rsid w:val="AAF68DFF"/>
    <w:rsid w:val="AB733E3A"/>
    <w:rsid w:val="ABB79FE4"/>
    <w:rsid w:val="ABFB02A3"/>
    <w:rsid w:val="ADC5D15B"/>
    <w:rsid w:val="ADC6F725"/>
    <w:rsid w:val="AF0FFA84"/>
    <w:rsid w:val="AF75FE1C"/>
    <w:rsid w:val="AF7F47A7"/>
    <w:rsid w:val="AF9F0A5E"/>
    <w:rsid w:val="AFEF7964"/>
    <w:rsid w:val="AFF3C912"/>
    <w:rsid w:val="B27A6F28"/>
    <w:rsid w:val="B35F0D5A"/>
    <w:rsid w:val="B3F7F693"/>
    <w:rsid w:val="B3FBBB6C"/>
    <w:rsid w:val="B3FF5086"/>
    <w:rsid w:val="B5BE97D3"/>
    <w:rsid w:val="B5DD279E"/>
    <w:rsid w:val="B5FFE407"/>
    <w:rsid w:val="B6E3456B"/>
    <w:rsid w:val="B7CF06AB"/>
    <w:rsid w:val="B7CF0D3F"/>
    <w:rsid w:val="B7CFA926"/>
    <w:rsid w:val="B7DC4E26"/>
    <w:rsid w:val="B7E5061A"/>
    <w:rsid w:val="B7F7377A"/>
    <w:rsid w:val="B7F8786B"/>
    <w:rsid w:val="B7FF5A32"/>
    <w:rsid w:val="B86DE572"/>
    <w:rsid w:val="B9EF1E24"/>
    <w:rsid w:val="B9EF5647"/>
    <w:rsid w:val="B9FE0E2F"/>
    <w:rsid w:val="BABB6AA1"/>
    <w:rsid w:val="BAFCD398"/>
    <w:rsid w:val="BAFF9C09"/>
    <w:rsid w:val="BAFFDA0F"/>
    <w:rsid w:val="BAFFF000"/>
    <w:rsid w:val="BB2F4199"/>
    <w:rsid w:val="BB3B1A44"/>
    <w:rsid w:val="BB763CD0"/>
    <w:rsid w:val="BBC9C9F2"/>
    <w:rsid w:val="BBCED032"/>
    <w:rsid w:val="BBFA65FA"/>
    <w:rsid w:val="BBFBD24E"/>
    <w:rsid w:val="BD079C78"/>
    <w:rsid w:val="BD1F7D25"/>
    <w:rsid w:val="BD2DD278"/>
    <w:rsid w:val="BD733540"/>
    <w:rsid w:val="BD9F8D9C"/>
    <w:rsid w:val="BDDFA31F"/>
    <w:rsid w:val="BDF7970E"/>
    <w:rsid w:val="BDF96BE5"/>
    <w:rsid w:val="BDFE68BD"/>
    <w:rsid w:val="BE3B429C"/>
    <w:rsid w:val="BE6FC990"/>
    <w:rsid w:val="BE7FC7A9"/>
    <w:rsid w:val="BEAD7A4E"/>
    <w:rsid w:val="BEBE9537"/>
    <w:rsid w:val="BEFF0D62"/>
    <w:rsid w:val="BEFF90EF"/>
    <w:rsid w:val="BF3735D5"/>
    <w:rsid w:val="BF3F5D57"/>
    <w:rsid w:val="BF7220F7"/>
    <w:rsid w:val="BF7D0EC4"/>
    <w:rsid w:val="BF7E42D9"/>
    <w:rsid w:val="BF7F09AC"/>
    <w:rsid w:val="BFA79E83"/>
    <w:rsid w:val="BFB3380D"/>
    <w:rsid w:val="BFB78F86"/>
    <w:rsid w:val="BFB7E7A2"/>
    <w:rsid w:val="BFBFD955"/>
    <w:rsid w:val="BFC2F103"/>
    <w:rsid w:val="BFD475C3"/>
    <w:rsid w:val="BFDB16A5"/>
    <w:rsid w:val="BFDE414E"/>
    <w:rsid w:val="BFDE5EA6"/>
    <w:rsid w:val="BFE06510"/>
    <w:rsid w:val="BFEECAE7"/>
    <w:rsid w:val="BFEF4396"/>
    <w:rsid w:val="BFEF99E9"/>
    <w:rsid w:val="BFF9E564"/>
    <w:rsid w:val="BFFD6B8A"/>
    <w:rsid w:val="BFFF3A69"/>
    <w:rsid w:val="BFFF5ADB"/>
    <w:rsid w:val="BFFF983A"/>
    <w:rsid w:val="C4F880F5"/>
    <w:rsid w:val="C7BF487E"/>
    <w:rsid w:val="C7BFEF9C"/>
    <w:rsid w:val="C7FD02DD"/>
    <w:rsid w:val="C87E2D8A"/>
    <w:rsid w:val="C8BD8F25"/>
    <w:rsid w:val="C94DA72E"/>
    <w:rsid w:val="CBC97345"/>
    <w:rsid w:val="CBEEAA00"/>
    <w:rsid w:val="CC7E9ECE"/>
    <w:rsid w:val="CCDD879A"/>
    <w:rsid w:val="CD3F0343"/>
    <w:rsid w:val="CDBFF9FF"/>
    <w:rsid w:val="CDDF5F71"/>
    <w:rsid w:val="CDF78664"/>
    <w:rsid w:val="CDFDB7D4"/>
    <w:rsid w:val="CE3FF57E"/>
    <w:rsid w:val="CE7B73E4"/>
    <w:rsid w:val="CEB53289"/>
    <w:rsid w:val="CEFBAE76"/>
    <w:rsid w:val="CF2F98A3"/>
    <w:rsid w:val="CF3AB4AC"/>
    <w:rsid w:val="CF3FB5A0"/>
    <w:rsid w:val="CF6FC6F3"/>
    <w:rsid w:val="CF75D469"/>
    <w:rsid w:val="CFD3D3D7"/>
    <w:rsid w:val="CFDF1009"/>
    <w:rsid w:val="CFE6CB88"/>
    <w:rsid w:val="CFEF3153"/>
    <w:rsid w:val="CFFBE434"/>
    <w:rsid w:val="CFFE5BF8"/>
    <w:rsid w:val="CFFF2A4A"/>
    <w:rsid w:val="CFFF431C"/>
    <w:rsid w:val="CFFFA4F6"/>
    <w:rsid w:val="D2FF90DA"/>
    <w:rsid w:val="D377D929"/>
    <w:rsid w:val="D37BE726"/>
    <w:rsid w:val="D3DEFC64"/>
    <w:rsid w:val="D3E9F44E"/>
    <w:rsid w:val="D3FF37B7"/>
    <w:rsid w:val="D53EAE4B"/>
    <w:rsid w:val="D5DEABDC"/>
    <w:rsid w:val="D5EC4461"/>
    <w:rsid w:val="D5FE1315"/>
    <w:rsid w:val="D6B33B25"/>
    <w:rsid w:val="D6B7E4F6"/>
    <w:rsid w:val="D6CB2739"/>
    <w:rsid w:val="D77369A4"/>
    <w:rsid w:val="D776A8DB"/>
    <w:rsid w:val="D77B527A"/>
    <w:rsid w:val="D77F53E2"/>
    <w:rsid w:val="D7B6B268"/>
    <w:rsid w:val="D7B7D6FB"/>
    <w:rsid w:val="D7D7B16A"/>
    <w:rsid w:val="D7EF2E2A"/>
    <w:rsid w:val="D7EF5A26"/>
    <w:rsid w:val="D7F789ED"/>
    <w:rsid w:val="D7F7C69F"/>
    <w:rsid w:val="D8D6DB89"/>
    <w:rsid w:val="D9FF673F"/>
    <w:rsid w:val="DB6F4CAB"/>
    <w:rsid w:val="DB777682"/>
    <w:rsid w:val="DBAFA0B5"/>
    <w:rsid w:val="DBBFE74B"/>
    <w:rsid w:val="DBC7FFDE"/>
    <w:rsid w:val="DBDDA52A"/>
    <w:rsid w:val="DC7D2C8F"/>
    <w:rsid w:val="DCFFC0D1"/>
    <w:rsid w:val="DD1FB521"/>
    <w:rsid w:val="DD3F5117"/>
    <w:rsid w:val="DD570EDA"/>
    <w:rsid w:val="DD75B11D"/>
    <w:rsid w:val="DD775562"/>
    <w:rsid w:val="DDCB2E5E"/>
    <w:rsid w:val="DDFE75CA"/>
    <w:rsid w:val="DE1FED9E"/>
    <w:rsid w:val="DE76CB04"/>
    <w:rsid w:val="DEDEEA10"/>
    <w:rsid w:val="DEFA6102"/>
    <w:rsid w:val="DEFBBE33"/>
    <w:rsid w:val="DEFBFEAE"/>
    <w:rsid w:val="DF1A18FF"/>
    <w:rsid w:val="DF1F3B80"/>
    <w:rsid w:val="DF3A89CE"/>
    <w:rsid w:val="DF425E99"/>
    <w:rsid w:val="DF6F9789"/>
    <w:rsid w:val="DF9B8D55"/>
    <w:rsid w:val="DF9D198A"/>
    <w:rsid w:val="DFBB0E59"/>
    <w:rsid w:val="DFBFA8E8"/>
    <w:rsid w:val="DFD3504D"/>
    <w:rsid w:val="DFD792CC"/>
    <w:rsid w:val="DFDAC6B4"/>
    <w:rsid w:val="DFDF1D8E"/>
    <w:rsid w:val="DFE98F61"/>
    <w:rsid w:val="DFEDFA72"/>
    <w:rsid w:val="DFEFC58B"/>
    <w:rsid w:val="DFF223B5"/>
    <w:rsid w:val="DFF5AF57"/>
    <w:rsid w:val="DFF5F241"/>
    <w:rsid w:val="DFF62697"/>
    <w:rsid w:val="DFFDC85F"/>
    <w:rsid w:val="DFFF0664"/>
    <w:rsid w:val="DFFF474B"/>
    <w:rsid w:val="DFFFA9E8"/>
    <w:rsid w:val="E37D5D3F"/>
    <w:rsid w:val="E3FA818B"/>
    <w:rsid w:val="E3FFE98D"/>
    <w:rsid w:val="E4DB19FA"/>
    <w:rsid w:val="E56BE0BA"/>
    <w:rsid w:val="E5DF87A0"/>
    <w:rsid w:val="E5EE12DA"/>
    <w:rsid w:val="E5F4E9DC"/>
    <w:rsid w:val="E5FF0F1F"/>
    <w:rsid w:val="E65F879F"/>
    <w:rsid w:val="E67FF583"/>
    <w:rsid w:val="E6FC8384"/>
    <w:rsid w:val="E6FDF76B"/>
    <w:rsid w:val="E70D6EE7"/>
    <w:rsid w:val="E70FE695"/>
    <w:rsid w:val="E7676621"/>
    <w:rsid w:val="E76B2B9A"/>
    <w:rsid w:val="E79EF14F"/>
    <w:rsid w:val="E7AB7A34"/>
    <w:rsid w:val="E7ADABCC"/>
    <w:rsid w:val="E7DBFA9C"/>
    <w:rsid w:val="E7DF1E20"/>
    <w:rsid w:val="E7E54024"/>
    <w:rsid w:val="E7F3A114"/>
    <w:rsid w:val="E7FF6381"/>
    <w:rsid w:val="E97BBB65"/>
    <w:rsid w:val="E9A30291"/>
    <w:rsid w:val="E9B706B9"/>
    <w:rsid w:val="E9F388C6"/>
    <w:rsid w:val="EA1DA816"/>
    <w:rsid w:val="EA3FF6C9"/>
    <w:rsid w:val="EAD9B6B5"/>
    <w:rsid w:val="EADF1296"/>
    <w:rsid w:val="EBA9F0F9"/>
    <w:rsid w:val="EBB4935D"/>
    <w:rsid w:val="EBBB4452"/>
    <w:rsid w:val="EBBF924C"/>
    <w:rsid w:val="EBBFAF23"/>
    <w:rsid w:val="EBDF7E7A"/>
    <w:rsid w:val="EBEF53D5"/>
    <w:rsid w:val="EBFE242C"/>
    <w:rsid w:val="ECCDE6DD"/>
    <w:rsid w:val="ECDFDE6C"/>
    <w:rsid w:val="ECF57F75"/>
    <w:rsid w:val="ECFED1BC"/>
    <w:rsid w:val="ED1D69BB"/>
    <w:rsid w:val="ED2C2584"/>
    <w:rsid w:val="ED5F8EC0"/>
    <w:rsid w:val="ED7FBB66"/>
    <w:rsid w:val="ED7FD312"/>
    <w:rsid w:val="EDBD591D"/>
    <w:rsid w:val="EDBE03E0"/>
    <w:rsid w:val="EDD1A84A"/>
    <w:rsid w:val="EDF73445"/>
    <w:rsid w:val="EDFE8323"/>
    <w:rsid w:val="EDFF8263"/>
    <w:rsid w:val="EE1FA0C7"/>
    <w:rsid w:val="EEB9B8D8"/>
    <w:rsid w:val="EED8AD4C"/>
    <w:rsid w:val="EEF8C2D1"/>
    <w:rsid w:val="EEFFBFA3"/>
    <w:rsid w:val="EF3361EA"/>
    <w:rsid w:val="EF53993F"/>
    <w:rsid w:val="EF5E1323"/>
    <w:rsid w:val="EF678754"/>
    <w:rsid w:val="EF795B4B"/>
    <w:rsid w:val="EF7B8152"/>
    <w:rsid w:val="EF8E27E2"/>
    <w:rsid w:val="EF951068"/>
    <w:rsid w:val="EFBF17E9"/>
    <w:rsid w:val="EFBFB2F4"/>
    <w:rsid w:val="EFBFFA21"/>
    <w:rsid w:val="EFC73D5E"/>
    <w:rsid w:val="EFDA218A"/>
    <w:rsid w:val="EFDB2AB3"/>
    <w:rsid w:val="EFDF4337"/>
    <w:rsid w:val="EFF7097E"/>
    <w:rsid w:val="EFF7372D"/>
    <w:rsid w:val="EFF7D06F"/>
    <w:rsid w:val="EFFE32A5"/>
    <w:rsid w:val="EFFF4B31"/>
    <w:rsid w:val="F17FBA2E"/>
    <w:rsid w:val="F1FF5000"/>
    <w:rsid w:val="F2BEBCB8"/>
    <w:rsid w:val="F337BA88"/>
    <w:rsid w:val="F36FB518"/>
    <w:rsid w:val="F3BEF58C"/>
    <w:rsid w:val="F3DE1A04"/>
    <w:rsid w:val="F3E244FA"/>
    <w:rsid w:val="F3EFB7CA"/>
    <w:rsid w:val="F3F722E5"/>
    <w:rsid w:val="F3FD9DFC"/>
    <w:rsid w:val="F4BF4E8D"/>
    <w:rsid w:val="F4F7CC7D"/>
    <w:rsid w:val="F4FD94BA"/>
    <w:rsid w:val="F573542D"/>
    <w:rsid w:val="F5AF9A11"/>
    <w:rsid w:val="F5BB2C1B"/>
    <w:rsid w:val="F5DB8C40"/>
    <w:rsid w:val="F5F66FFF"/>
    <w:rsid w:val="F5FBA587"/>
    <w:rsid w:val="F61D981C"/>
    <w:rsid w:val="F65EC153"/>
    <w:rsid w:val="F675141B"/>
    <w:rsid w:val="F699BB1A"/>
    <w:rsid w:val="F69FF8B1"/>
    <w:rsid w:val="F6CF3805"/>
    <w:rsid w:val="F6DEABFE"/>
    <w:rsid w:val="F6FBBC1D"/>
    <w:rsid w:val="F72B0913"/>
    <w:rsid w:val="F745D285"/>
    <w:rsid w:val="F767E6A8"/>
    <w:rsid w:val="F76D8B2F"/>
    <w:rsid w:val="F7AC5D5D"/>
    <w:rsid w:val="F7B650C7"/>
    <w:rsid w:val="F7CFAFE5"/>
    <w:rsid w:val="F7E568E4"/>
    <w:rsid w:val="F7EB786A"/>
    <w:rsid w:val="F7EEDF46"/>
    <w:rsid w:val="F7EF9033"/>
    <w:rsid w:val="F7F9371C"/>
    <w:rsid w:val="F7FBE671"/>
    <w:rsid w:val="F7FDC2B1"/>
    <w:rsid w:val="F7FF1876"/>
    <w:rsid w:val="F7FFAA0B"/>
    <w:rsid w:val="F8DDDAC6"/>
    <w:rsid w:val="F8FF46F7"/>
    <w:rsid w:val="F96B55C8"/>
    <w:rsid w:val="F9B61777"/>
    <w:rsid w:val="F9BF75DC"/>
    <w:rsid w:val="F9FF6D7C"/>
    <w:rsid w:val="FA2F5BEB"/>
    <w:rsid w:val="FA5F1E70"/>
    <w:rsid w:val="FA5FDB97"/>
    <w:rsid w:val="FA7FF88B"/>
    <w:rsid w:val="FAAD842A"/>
    <w:rsid w:val="FAB35A28"/>
    <w:rsid w:val="FAD76317"/>
    <w:rsid w:val="FAFEFE47"/>
    <w:rsid w:val="FAFF1592"/>
    <w:rsid w:val="FB1BB959"/>
    <w:rsid w:val="FB3F5C32"/>
    <w:rsid w:val="FB5F796E"/>
    <w:rsid w:val="FB5FACD2"/>
    <w:rsid w:val="FB5FC04E"/>
    <w:rsid w:val="FB75E3C8"/>
    <w:rsid w:val="FB7F3F19"/>
    <w:rsid w:val="FB7F461B"/>
    <w:rsid w:val="FB7F486A"/>
    <w:rsid w:val="FB7F6E28"/>
    <w:rsid w:val="FB8778F4"/>
    <w:rsid w:val="FBB364EA"/>
    <w:rsid w:val="FBB5F866"/>
    <w:rsid w:val="FBB61866"/>
    <w:rsid w:val="FBB78754"/>
    <w:rsid w:val="FBBF0D81"/>
    <w:rsid w:val="FBDF457E"/>
    <w:rsid w:val="FBE91845"/>
    <w:rsid w:val="FBEE055A"/>
    <w:rsid w:val="FBEFC98F"/>
    <w:rsid w:val="FBF70420"/>
    <w:rsid w:val="FBF91527"/>
    <w:rsid w:val="FBFD1260"/>
    <w:rsid w:val="FBFD203C"/>
    <w:rsid w:val="FBFF5B2E"/>
    <w:rsid w:val="FBFF730D"/>
    <w:rsid w:val="FBFF7BCA"/>
    <w:rsid w:val="FBFF9D16"/>
    <w:rsid w:val="FC7B4BDD"/>
    <w:rsid w:val="FC7DC834"/>
    <w:rsid w:val="FC833EBB"/>
    <w:rsid w:val="FCB7EB01"/>
    <w:rsid w:val="FCFB6418"/>
    <w:rsid w:val="FCFE0B49"/>
    <w:rsid w:val="FD30E177"/>
    <w:rsid w:val="FD4B388D"/>
    <w:rsid w:val="FD531D7B"/>
    <w:rsid w:val="FD5A99C7"/>
    <w:rsid w:val="FD5B5EAB"/>
    <w:rsid w:val="FD5DE3E1"/>
    <w:rsid w:val="FD5F5150"/>
    <w:rsid w:val="FD77A83C"/>
    <w:rsid w:val="FD7FFE2B"/>
    <w:rsid w:val="FD9803C0"/>
    <w:rsid w:val="FDADA43D"/>
    <w:rsid w:val="FDB749C6"/>
    <w:rsid w:val="FDB785D1"/>
    <w:rsid w:val="FDBDC432"/>
    <w:rsid w:val="FDBF9EB9"/>
    <w:rsid w:val="FDDE1607"/>
    <w:rsid w:val="FDDF3D32"/>
    <w:rsid w:val="FDEB412A"/>
    <w:rsid w:val="FDEE196B"/>
    <w:rsid w:val="FDEF50BC"/>
    <w:rsid w:val="FDEF611B"/>
    <w:rsid w:val="FDF7A03C"/>
    <w:rsid w:val="FDFD5EC3"/>
    <w:rsid w:val="FDFE6575"/>
    <w:rsid w:val="FDFEA716"/>
    <w:rsid w:val="FDFF0657"/>
    <w:rsid w:val="FDFFC288"/>
    <w:rsid w:val="FE3DA4F8"/>
    <w:rsid w:val="FE3FE394"/>
    <w:rsid w:val="FE51A1F0"/>
    <w:rsid w:val="FE5AC6D8"/>
    <w:rsid w:val="FE5FE466"/>
    <w:rsid w:val="FE7F1547"/>
    <w:rsid w:val="FE9E11AB"/>
    <w:rsid w:val="FEB686FE"/>
    <w:rsid w:val="FEBAF18E"/>
    <w:rsid w:val="FEBF38CD"/>
    <w:rsid w:val="FEBF661C"/>
    <w:rsid w:val="FEC9927C"/>
    <w:rsid w:val="FECCC319"/>
    <w:rsid w:val="FEDFDDC2"/>
    <w:rsid w:val="FEEB4E4D"/>
    <w:rsid w:val="FEED32F6"/>
    <w:rsid w:val="FEEE79C9"/>
    <w:rsid w:val="FEF73254"/>
    <w:rsid w:val="FEF751A8"/>
    <w:rsid w:val="FEF781DD"/>
    <w:rsid w:val="FEF9D8C4"/>
    <w:rsid w:val="FEFAC19B"/>
    <w:rsid w:val="FF198D2C"/>
    <w:rsid w:val="FF3F7E3F"/>
    <w:rsid w:val="FF3FB21A"/>
    <w:rsid w:val="FF3FF759"/>
    <w:rsid w:val="FF4749A3"/>
    <w:rsid w:val="FF4D3A28"/>
    <w:rsid w:val="FF5913BC"/>
    <w:rsid w:val="FF5EB71A"/>
    <w:rsid w:val="FF6E69F2"/>
    <w:rsid w:val="FF775EDE"/>
    <w:rsid w:val="FF7F1E7E"/>
    <w:rsid w:val="FF9BAA5C"/>
    <w:rsid w:val="FFA57884"/>
    <w:rsid w:val="FFA8B4D8"/>
    <w:rsid w:val="FFAD673E"/>
    <w:rsid w:val="FFAF7C33"/>
    <w:rsid w:val="FFB513DD"/>
    <w:rsid w:val="FFB5C6BC"/>
    <w:rsid w:val="FFB728B3"/>
    <w:rsid w:val="FFB83A84"/>
    <w:rsid w:val="FFBA12D7"/>
    <w:rsid w:val="FFBFD350"/>
    <w:rsid w:val="FFBFE8C6"/>
    <w:rsid w:val="FFC797FB"/>
    <w:rsid w:val="FFCCFBF2"/>
    <w:rsid w:val="FFCF2925"/>
    <w:rsid w:val="FFD33B6C"/>
    <w:rsid w:val="FFD3D84D"/>
    <w:rsid w:val="FFD7B2D7"/>
    <w:rsid w:val="FFD9B05F"/>
    <w:rsid w:val="FFDAD824"/>
    <w:rsid w:val="FFDDE947"/>
    <w:rsid w:val="FFDE320D"/>
    <w:rsid w:val="FFDE4064"/>
    <w:rsid w:val="FFDEA9D8"/>
    <w:rsid w:val="FFDF21C4"/>
    <w:rsid w:val="FFDF2DEC"/>
    <w:rsid w:val="FFDF50D9"/>
    <w:rsid w:val="FFDF51DF"/>
    <w:rsid w:val="FFDF624E"/>
    <w:rsid w:val="FFDF6BC0"/>
    <w:rsid w:val="FFDFCC36"/>
    <w:rsid w:val="FFDFFAEE"/>
    <w:rsid w:val="FFE3BA41"/>
    <w:rsid w:val="FFE3BED4"/>
    <w:rsid w:val="FFE5C244"/>
    <w:rsid w:val="FFE97617"/>
    <w:rsid w:val="FFE9DEA8"/>
    <w:rsid w:val="FFEB0564"/>
    <w:rsid w:val="FFEB7816"/>
    <w:rsid w:val="FFEB80A4"/>
    <w:rsid w:val="FFEF1EB4"/>
    <w:rsid w:val="FFEF49FB"/>
    <w:rsid w:val="FFF316C1"/>
    <w:rsid w:val="FFF326E5"/>
    <w:rsid w:val="FFF3E43B"/>
    <w:rsid w:val="FFF51E07"/>
    <w:rsid w:val="FFF5C6C3"/>
    <w:rsid w:val="FFF63ECC"/>
    <w:rsid w:val="FFF67788"/>
    <w:rsid w:val="FFF750F5"/>
    <w:rsid w:val="FFF764A4"/>
    <w:rsid w:val="FFF9B57B"/>
    <w:rsid w:val="FFFBF163"/>
    <w:rsid w:val="FFFD32FF"/>
    <w:rsid w:val="FFFD381F"/>
    <w:rsid w:val="FFFD61D9"/>
    <w:rsid w:val="FFFD6C5C"/>
    <w:rsid w:val="FFFD8F59"/>
    <w:rsid w:val="FFFD9706"/>
    <w:rsid w:val="FFFE3F75"/>
    <w:rsid w:val="FFFEDAAE"/>
    <w:rsid w:val="FFFF2BB1"/>
    <w:rsid w:val="FFFF6486"/>
    <w:rsid w:val="FFFFB04D"/>
    <w:rsid w:val="FFFFC8F6"/>
    <w:rsid w:val="FFFFE7C1"/>
    <w:rsid w:val="FFFFF9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正文2"/>
    <w:next w:val="1"/>
    <w:qFormat/>
    <w:uiPriority w:val="0"/>
    <w:pPr>
      <w:widowControl w:val="0"/>
      <w:jc w:val="both"/>
    </w:pPr>
    <w:rPr>
      <w:rFonts w:ascii="Times New Roman" w:hAnsi="Times New Roman" w:eastAsia="方正仿宋简体" w:cs="Times New Roman"/>
      <w:kern w:val="2"/>
      <w:sz w:val="32"/>
      <w:szCs w:val="24"/>
      <w:lang w:val="en-US" w:eastAsia="zh-CN" w:bidi="ar-SA"/>
    </w:rPr>
  </w:style>
  <w:style w:type="paragraph" w:styleId="6">
    <w:name w:val="Body Text"/>
    <w:basedOn w:val="1"/>
    <w:next w:val="7"/>
    <w:link w:val="28"/>
    <w:qFormat/>
    <w:uiPriority w:val="99"/>
    <w:pPr>
      <w:spacing w:beforeLines="30"/>
    </w:pPr>
    <w:rPr>
      <w:rFonts w:ascii="仿宋_GB2312" w:eastAsia="仿宋_GB2312"/>
      <w:kern w:val="0"/>
      <w:sz w:val="30"/>
    </w:rPr>
  </w:style>
  <w:style w:type="paragraph" w:styleId="7">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8">
    <w:name w:val="Body Text Indent"/>
    <w:basedOn w:val="1"/>
    <w:qFormat/>
    <w:uiPriority w:val="0"/>
    <w:pPr>
      <w:spacing w:after="120"/>
      <w:ind w:left="200"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able of figures"/>
    <w:basedOn w:val="1"/>
    <w:next w:val="1"/>
    <w:qFormat/>
    <w:uiPriority w:val="0"/>
    <w:pPr>
      <w:ind w:left="400"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snapToGrid/>
      <w:color w:val="auto"/>
      <w:spacing w:val="0"/>
      <w:w w:val="100"/>
      <w:kern w:val="0"/>
      <w:position w:val="0"/>
      <w:sz w:val="24"/>
      <w:u w:val="none" w:color="auto"/>
      <w:vertAlign w:val="baseline"/>
      <w:lang w:val="en-US" w:eastAsia="zh-CN"/>
    </w:rPr>
  </w:style>
  <w:style w:type="paragraph" w:styleId="17">
    <w:name w:val="Body Text First Indent 2"/>
    <w:basedOn w:val="8"/>
    <w:unhideWhenUsed/>
    <w:qFormat/>
    <w:uiPriority w:val="99"/>
    <w:pPr>
      <w:ind w:firstLine="420" w:firstLineChars="200"/>
    </w:p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字符"/>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字符"/>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字符"/>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字符"/>
    <w:basedOn w:val="19"/>
    <w:link w:val="3"/>
    <w:qFormat/>
    <w:uiPriority w:val="9"/>
    <w:rPr>
      <w:rFonts w:ascii="Times New Roman" w:hAnsi="Times New Roman"/>
      <w:b/>
      <w:bCs/>
      <w:kern w:val="44"/>
      <w:sz w:val="44"/>
      <w:szCs w:val="44"/>
    </w:rPr>
  </w:style>
  <w:style w:type="character" w:customStyle="1" w:styleId="32">
    <w:name w:val="标题 2 字符"/>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字符"/>
    <w:basedOn w:val="19"/>
    <w:link w:val="10"/>
    <w:semiHidden/>
    <w:qFormat/>
    <w:uiPriority w:val="99"/>
    <w:rPr>
      <w:rFonts w:ascii="Times New Roman" w:hAnsi="Times New Roman"/>
      <w:kern w:val="2"/>
      <w:sz w:val="18"/>
      <w:szCs w:val="18"/>
    </w:rPr>
  </w:style>
  <w:style w:type="character" w:customStyle="1" w:styleId="35">
    <w:name w:val="标题 3 字符"/>
    <w:basedOn w:val="19"/>
    <w:link w:val="5"/>
    <w:qFormat/>
    <w:uiPriority w:val="9"/>
    <w:rPr>
      <w:rFonts w:ascii="Times New Roman" w:hAnsi="Times New Roman"/>
      <w:b/>
      <w:bCs/>
      <w:kern w:val="2"/>
      <w:sz w:val="32"/>
      <w:szCs w:val="32"/>
    </w:rPr>
  </w:style>
  <w:style w:type="paragraph" w:customStyle="1" w:styleId="36">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character" w:customStyle="1" w:styleId="38">
    <w:name w:val="heading 1 Char"/>
    <w:basedOn w:val="19"/>
    <w:link w:val="3"/>
    <w:qFormat/>
    <w:uiPriority w:val="0"/>
    <w:rPr>
      <w:rFonts w:ascii="Times New Roman" w:hAnsi="Times New Roman" w:eastAsia="宋体" w:cs="Times New Roman"/>
      <w:b/>
      <w:bCs/>
      <w:kern w:val="44"/>
      <w:sz w:val="44"/>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chart" Target="charts/chart7.xml"/><Relationship Id="rId21" Type="http://schemas.openxmlformats.org/officeDocument/2006/relationships/chart" Target="charts/chart6.xml"/><Relationship Id="rId20" Type="http://schemas.openxmlformats.org/officeDocument/2006/relationships/chart" Target="charts/chart5.xml"/><Relationship Id="rId2" Type="http://schemas.openxmlformats.org/officeDocument/2006/relationships/settings" Target="settings.xml"/><Relationship Id="rId19" Type="http://schemas.openxmlformats.org/officeDocument/2006/relationships/chart" Target="charts/chart4.xml"/><Relationship Id="rId18" Type="http://schemas.openxmlformats.org/officeDocument/2006/relationships/chart" Target="charts/chart3.xml"/><Relationship Id="rId17" Type="http://schemas.openxmlformats.org/officeDocument/2006/relationships/chart" Target="charts/chart2.xml"/><Relationship Id="rId16" Type="http://schemas.openxmlformats.org/officeDocument/2006/relationships/chart" Target="charts/chart1.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916.61</c:v>
                </c:pt>
                <c:pt idx="1">
                  <c:v>831.17</c:v>
                </c:pt>
              </c:numCache>
            </c:numRef>
          </c:val>
        </c:ser>
        <c:ser>
          <c:idx val="1"/>
          <c:order val="1"/>
          <c:tx>
            <c:strRef>
              <c:f>Sheet1!$C$1</c:f>
              <c:strCache>
                <c:ptCount val="1"/>
                <c:pt idx="0">
                  <c:v>支出（万元）</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Sheet1!$C$2:$C$3</c:f>
              <c:numCache>
                <c:formatCode>General</c:formatCode>
                <c:ptCount val="2"/>
                <c:pt idx="0">
                  <c:v>916.61</c:v>
                </c:pt>
                <c:pt idx="1">
                  <c:v>831.17</c:v>
                </c:pt>
              </c:numCache>
            </c:numRef>
          </c:val>
        </c:ser>
        <c:dLbls>
          <c:showLegendKey val="0"/>
          <c:showVal val="0"/>
          <c:showCatName val="0"/>
          <c:showSerName val="0"/>
          <c:showPercent val="0"/>
          <c:showBubbleSize val="0"/>
        </c:dLbls>
        <c:gapWidth val="75"/>
        <c:overlap val="0"/>
        <c:axId val="220749409"/>
        <c:axId val="555502808"/>
      </c:barChart>
      <c:catAx>
        <c:axId val="2207494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502808"/>
        <c:crosses val="autoZero"/>
        <c:auto val="1"/>
        <c:lblAlgn val="ctr"/>
        <c:lblOffset val="100"/>
        <c:noMultiLvlLbl val="0"/>
      </c:catAx>
      <c:valAx>
        <c:axId val="55550280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07494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8e2f372-5b9c-4b6b-9e53-90a50807899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131246748542301"/>
                  <c:y val="-0.277853333334956"/>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pt idx="2">
                  <c:v>国有资本经营预算财政拨款收入</c:v>
                </c:pt>
                <c:pt idx="3">
                  <c:v>上级补助收入</c:v>
                </c:pt>
              </c:strCache>
            </c:strRef>
          </c:cat>
          <c:val>
            <c:numRef>
              <c:f>Sheet1!$B$2:$B$5</c:f>
              <c:numCache>
                <c:formatCode>General</c:formatCode>
                <c:ptCount val="4"/>
                <c:pt idx="0">
                  <c:v>916.61</c:v>
                </c:pt>
                <c:pt idx="1">
                  <c:v>0</c:v>
                </c:pt>
                <c:pt idx="2">
                  <c:v>0</c:v>
                </c:pt>
                <c:pt idx="3">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fbb5b59-ac09-48c7-a2ba-455980b2e3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dLbls>
            <c:dLbl>
              <c:idx val="0"/>
              <c:layout>
                <c:manualLayout>
                  <c:x val="-0.10858094400104"/>
                  <c:y val="-0.16341865263018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88.9</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304034277657883"/>
                  <c:y val="0.1634765078038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11.1%</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738.82</c:v>
                </c:pt>
                <c:pt idx="1">
                  <c:v>92.35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7142c50-c8f6-4b21-b1a3-ba952db41c4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916.61</c:v>
                </c:pt>
                <c:pt idx="1">
                  <c:v>831.17</c:v>
                </c:pt>
              </c:numCache>
            </c:numRef>
          </c:val>
        </c:ser>
        <c:ser>
          <c:idx val="1"/>
          <c:order val="1"/>
          <c:tx>
            <c:strRef>
              <c:f>Sheet1!$C$1</c:f>
              <c:strCache>
                <c:ptCount val="1"/>
                <c:pt idx="0">
                  <c:v>支出（万元）</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Sheet1!$C$2:$C$3</c:f>
              <c:numCache>
                <c:formatCode>General</c:formatCode>
                <c:ptCount val="2"/>
                <c:pt idx="0">
                  <c:v>916.61</c:v>
                </c:pt>
                <c:pt idx="1">
                  <c:v>831.17</c:v>
                </c:pt>
              </c:numCache>
            </c:numRef>
          </c:val>
        </c:ser>
        <c:dLbls>
          <c:showLegendKey val="0"/>
          <c:showVal val="0"/>
          <c:showCatName val="0"/>
          <c:showSerName val="0"/>
          <c:showPercent val="0"/>
          <c:showBubbleSize val="0"/>
        </c:dLbls>
        <c:gapWidth val="150"/>
        <c:overlap val="-25"/>
        <c:axId val="220749409"/>
        <c:axId val="555502808"/>
      </c:barChart>
      <c:catAx>
        <c:axId val="2207494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502808"/>
        <c:crosses val="autoZero"/>
        <c:auto val="1"/>
        <c:lblAlgn val="ctr"/>
        <c:lblOffset val="100"/>
        <c:noMultiLvlLbl val="0"/>
      </c:catAx>
      <c:valAx>
        <c:axId val="555502808"/>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0749409"/>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0f153f4-1b07-4f5c-ae6a-553587df028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layout>
        <c:manualLayout>
          <c:xMode val="edge"/>
          <c:yMode val="edge"/>
          <c:x val="0.26216141514649"/>
          <c:y val="0.01407789770061"/>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4"/>
            </a:solidFill>
            <a:ln>
              <a:noFill/>
            </a:ln>
            <a:effectLst/>
          </c:spPr>
          <c:invertIfNegative val="0"/>
          <c:dLbls>
            <c:dLbl>
              <c:idx val="0"/>
              <c:layout>
                <c:manualLayout>
                  <c:x val="-0.00621890547263682"/>
                  <c:y val="-0.102064758329423"/>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07296849087894"/>
                  <c:y val="-0.0985452839042703"/>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916.61</c:v>
                </c:pt>
                <c:pt idx="1">
                  <c:v>831.17</c:v>
                </c:pt>
              </c:numCache>
            </c:numRef>
          </c:val>
        </c:ser>
        <c:dLbls>
          <c:showLegendKey val="0"/>
          <c:showVal val="1"/>
          <c:showCatName val="0"/>
          <c:showSerName val="0"/>
          <c:showPercent val="0"/>
          <c:showBubbleSize val="0"/>
        </c:dLbls>
        <c:gapWidth val="75"/>
        <c:overlap val="40"/>
        <c:axId val="733894888"/>
        <c:axId val="475919592"/>
      </c:barChart>
      <c:catAx>
        <c:axId val="73389488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5919592"/>
        <c:crosses val="autoZero"/>
        <c:auto val="1"/>
        <c:lblAlgn val="ctr"/>
        <c:lblOffset val="100"/>
        <c:noMultiLvlLbl val="0"/>
      </c:catAx>
      <c:valAx>
        <c:axId val="475919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89488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4b2d08c-2ec9-46bf-aa28-21c8df86007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538328333659507"/>
                  <c:y val="-0.10488358407667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78.9%</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0961777814170477"/>
                  <c:y val="0.040790478596118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11.2</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102570744524601"/>
                  <c:y val="0.025481734721382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4</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0781379902065791"/>
                  <c:y val="0.025188472846076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5.9%</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656.08</c:v>
                </c:pt>
                <c:pt idx="1">
                  <c:v>92.8</c:v>
                </c:pt>
                <c:pt idx="2">
                  <c:v>33.2</c:v>
                </c:pt>
                <c:pt idx="3">
                  <c:v>49.09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111be9e-66be-42f9-b73d-f3ba0dcb64a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600" b="1" i="0" u="none" strike="noStrike" kern="1200" baseline="0">
              <a:solidFill>
                <a:schemeClr val="tx2"/>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Lbls>
            <c:dLbl>
              <c:idx val="0"/>
              <c:delete val="1"/>
            </c:dLbl>
            <c:dLbl>
              <c:idx val="1"/>
              <c:layout>
                <c:manualLayout>
                  <c:x val="0.202692790828185"/>
                  <c:y val="-0.13058592140177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rPr lang="en-US" altLang="zh-CN"/>
                      <a:t>99.2</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579098799711506"/>
                  <c:y val="0.020488718815727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2"/>
                        </a:solidFill>
                        <a:latin typeface="+mn-lt"/>
                        <a:ea typeface="+mn-ea"/>
                        <a:cs typeface="+mn-cs"/>
                      </a:defRPr>
                    </a:pPr>
                    <a:r>
                      <a:rPr lang="en-US" altLang="zh-CN"/>
                      <a:t>0.8</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17.29</c:v>
                </c:pt>
                <c:pt idx="2">
                  <c:v>0.15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extLst>
      <c:ext uri="{0b15fc19-7d7d-44ad-8c2d-2c3a37ce22c3}">
        <chartProps xmlns="https://web.wps.cn/et/2018/main" chartId="{559c047f-0402-46ac-95dd-514b47189477}"/>
      </c:ext>
    </c:extLst>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7">
  <a:schemeClr val="accent4"/>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43</Pages>
  <Words>1535</Words>
  <Characters>8751</Characters>
  <Lines>72</Lines>
  <Paragraphs>20</Paragraphs>
  <TotalTime>0</TotalTime>
  <ScaleCrop>false</ScaleCrop>
  <LinksUpToDate>false</LinksUpToDate>
  <CharactersWithSpaces>10266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2024-08-14T23:12:00Z</dcterms:created>
  <dc:creator>曹颖</dc:creator>
  <cp:lastModifiedBy>Monolog</cp:lastModifiedBy>
  <cp:lastPrinted>2026-09-18T04:02:00Z</cp:lastPrinted>
  <dcterms:modified xsi:type="dcterms:W3CDTF">2026-09-17T20:27:24Z</dcterms:modified>
  <dc:title>四川省***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C2BD0DA9E5CB25D21087976AE3FDFC1C_43</vt:lpwstr>
  </property>
</Properties>
</file>