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A1CB4">
      <w:pPr>
        <w:pStyle w:val="6"/>
        <w:spacing w:before="93"/>
        <w:rPr>
          <w:rFonts w:hint="eastAsia" w:ascii="Times New Roman" w:eastAsia="方正小标宋简体"/>
          <w:kern w:val="2"/>
          <w:sz w:val="72"/>
          <w:szCs w:val="72"/>
        </w:rPr>
      </w:pPr>
      <w:bookmarkStart w:id="0" w:name="_Toc15378441"/>
      <w:bookmarkStart w:id="1" w:name="_Toc15377425"/>
      <w:bookmarkStart w:id="2" w:name="_Toc15396597"/>
      <w:bookmarkStart w:id="3" w:name="_Toc15396475"/>
      <w:bookmarkStart w:id="4" w:name="_Toc15306267"/>
      <w:bookmarkStart w:id="5" w:name="_Toc15377193"/>
    </w:p>
    <w:p w14:paraId="26F6BDBB">
      <w:pPr>
        <w:pStyle w:val="6"/>
        <w:spacing w:before="93"/>
        <w:rPr>
          <w:rFonts w:ascii="Times New Roman" w:eastAsia="方正小标宋简体"/>
          <w:kern w:val="2"/>
          <w:sz w:val="72"/>
          <w:szCs w:val="72"/>
        </w:rPr>
      </w:pPr>
    </w:p>
    <w:p w14:paraId="4FB95267">
      <w:pPr>
        <w:pStyle w:val="6"/>
        <w:spacing w:before="93"/>
        <w:rPr>
          <w:rFonts w:ascii="Times New Roman" w:eastAsia="方正小标宋简体"/>
          <w:kern w:val="2"/>
          <w:sz w:val="72"/>
          <w:szCs w:val="72"/>
        </w:rPr>
      </w:pPr>
    </w:p>
    <w:p w14:paraId="16931CB5">
      <w:pPr>
        <w:pStyle w:val="6"/>
        <w:spacing w:before="93"/>
        <w:jc w:val="center"/>
        <w:rPr>
          <w:rFonts w:hint="eastAsia" w:ascii="黑体" w:hAnsi="黑体" w:eastAsia="黑体" w:cs="黑体"/>
          <w:kern w:val="2"/>
          <w:sz w:val="72"/>
          <w:szCs w:val="72"/>
          <w:lang w:eastAsia="zh-CN"/>
        </w:rPr>
      </w:pPr>
      <w:r>
        <w:rPr>
          <w:rFonts w:hint="eastAsia" w:ascii="黑体" w:hAnsi="黑体" w:eastAsia="黑体" w:cs="黑体"/>
          <w:kern w:val="2"/>
          <w:sz w:val="72"/>
          <w:szCs w:val="72"/>
          <w:lang w:eastAsia="zh-CN"/>
        </w:rPr>
        <w:t>2024年度</w:t>
      </w:r>
    </w:p>
    <w:p w14:paraId="3BA0B814">
      <w:pPr>
        <w:pStyle w:val="6"/>
        <w:spacing w:before="93"/>
        <w:jc w:val="center"/>
        <w:rPr>
          <w:rFonts w:hint="eastAsia" w:ascii="黑体" w:hAnsi="黑体" w:eastAsia="黑体" w:cs="黑体"/>
          <w:w w:val="95"/>
          <w:kern w:val="2"/>
          <w:sz w:val="72"/>
          <w:szCs w:val="72"/>
          <w:lang w:eastAsia="zh-CN"/>
        </w:rPr>
      </w:pPr>
      <w:r>
        <w:rPr>
          <w:rFonts w:hint="eastAsia" w:ascii="黑体" w:hAnsi="黑体" w:eastAsia="黑体" w:cs="黑体"/>
          <w:w w:val="95"/>
          <w:kern w:val="2"/>
          <w:sz w:val="72"/>
          <w:szCs w:val="72"/>
          <w:lang w:eastAsia="zh-CN"/>
        </w:rPr>
        <w:t>四川省阿坝州媒体服务中心</w:t>
      </w:r>
    </w:p>
    <w:p w14:paraId="57A5B048">
      <w:pPr>
        <w:pStyle w:val="6"/>
        <w:spacing w:before="93"/>
        <w:jc w:val="center"/>
        <w:rPr>
          <w:rFonts w:hint="eastAsia" w:ascii="黑体" w:hAnsi="黑体" w:eastAsia="黑体" w:cs="黑体"/>
          <w:kern w:val="2"/>
          <w:sz w:val="72"/>
          <w:szCs w:val="72"/>
          <w:lang w:eastAsia="zh-CN"/>
        </w:rPr>
      </w:pPr>
      <w:r>
        <w:rPr>
          <w:rFonts w:hint="eastAsia" w:ascii="黑体" w:hAnsi="黑体" w:eastAsia="黑体" w:cs="黑体"/>
          <w:kern w:val="2"/>
          <w:sz w:val="72"/>
          <w:szCs w:val="72"/>
          <w:lang w:eastAsia="zh-CN"/>
        </w:rPr>
        <w:t>单位决算</w:t>
      </w:r>
    </w:p>
    <w:p w14:paraId="6E32E9E8">
      <w:pPr>
        <w:bidi w:val="0"/>
      </w:pPr>
    </w:p>
    <w:p w14:paraId="72540D3C">
      <w:pPr>
        <w:pStyle w:val="14"/>
        <w:rPr>
          <w:rFonts w:eastAsia="方正小标宋简体"/>
          <w:sz w:val="72"/>
          <w:szCs w:val="72"/>
        </w:rPr>
      </w:pPr>
    </w:p>
    <w:p w14:paraId="1F7D6025">
      <w:pPr>
        <w:pStyle w:val="15"/>
      </w:pPr>
    </w:p>
    <w:p w14:paraId="2B0E074E">
      <w:pPr>
        <w:pStyle w:val="15"/>
        <w:rPr>
          <w:rFonts w:eastAsia="方正小标宋简体"/>
          <w:sz w:val="72"/>
          <w:szCs w:val="72"/>
        </w:rPr>
      </w:pPr>
    </w:p>
    <w:p w14:paraId="48817234">
      <w:pPr>
        <w:pStyle w:val="15"/>
        <w:rPr>
          <w:rFonts w:eastAsia="方正小标宋简体"/>
          <w:sz w:val="72"/>
          <w:szCs w:val="72"/>
        </w:rPr>
      </w:pPr>
      <w:r>
        <w:rPr>
          <w:rFonts w:hint="eastAsia" w:ascii="仿宋_GB2312" w:eastAsia="仿宋_GB2312" w:cs="仿宋_GB2312"/>
          <w:sz w:val="32"/>
          <w:szCs w:val="32"/>
        </w:rPr>
        <w:t>已经保密审查、内容审定，同意对外公开</w:t>
      </w:r>
    </w:p>
    <w:p w14:paraId="29A7023D">
      <w:pPr>
        <w:pStyle w:val="2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sdt>
      <w:sdtPr>
        <w:rPr>
          <w:rFonts w:hint="eastAsia" w:ascii="黑体" w:hAnsi="黑体" w:eastAsia="黑体" w:cs="黑体"/>
          <w:kern w:val="2"/>
          <w:sz w:val="32"/>
          <w:szCs w:val="32"/>
          <w:lang w:val="en-US" w:eastAsia="zh-CN" w:bidi="ar-SA"/>
        </w:rPr>
        <w:id w:val="147477455"/>
        <w15:color w:val="DBDBDB"/>
        <w:docPartObj>
          <w:docPartGallery w:val="Table of Contents"/>
          <w:docPartUnique/>
        </w:docPartObj>
      </w:sdtPr>
      <w:sdtEndPr>
        <w:rPr>
          <w:rFonts w:hint="eastAsia" w:ascii="黑体" w:hAnsi="黑体" w:eastAsia="黑体" w:cs="Times New Roman"/>
          <w:kern w:val="2"/>
          <w:sz w:val="21"/>
          <w:szCs w:val="48"/>
          <w:lang w:val="en-US" w:eastAsia="zh-CN" w:bidi="ar-SA"/>
        </w:rPr>
      </w:sdtEndPr>
      <w:sdtContent>
        <w:p w14:paraId="24CBECFD">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6" w:name="_Toc15377196"/>
          <w:bookmarkStart w:id="7" w:name="_Toc15396599"/>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5CEC9BB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ind w:left="420"/>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rPr>
            <w:t>公开时间：202</w:t>
          </w:r>
          <w:r>
            <w:rPr>
              <w:rFonts w:hint="eastAsia" w:ascii="黑体" w:hAnsi="黑体" w:eastAsia="黑体" w:cs="黑体"/>
              <w:sz w:val="32"/>
              <w:szCs w:val="32"/>
              <w:lang w:val="en-US" w:eastAsia="zh-CN"/>
            </w:rPr>
            <w:t>5</w:t>
          </w:r>
          <w:r>
            <w:rPr>
              <w:rFonts w:hint="eastAsia" w:ascii="黑体" w:hAnsi="黑体" w:eastAsia="黑体" w:cs="黑体"/>
              <w:sz w:val="32"/>
              <w:szCs w:val="32"/>
            </w:rPr>
            <w:t>年9月6日</w:t>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"1-3" \h \u </w:instrText>
          </w:r>
          <w:r>
            <w:rPr>
              <w:rFonts w:hint="eastAsia" w:ascii="黑体" w:hAnsi="黑体" w:eastAsia="黑体" w:cs="黑体"/>
              <w:sz w:val="32"/>
              <w:szCs w:val="32"/>
            </w:rPr>
            <w:fldChar w:fldCharType="separate"/>
          </w:r>
        </w:p>
        <w:p w14:paraId="026C52D5">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_Toc20717 </w:instrText>
          </w:r>
          <w:r>
            <w:rPr>
              <w:rFonts w:hint="eastAsia" w:ascii="黑体" w:hAnsi="黑体" w:eastAsia="黑体" w:cs="黑体"/>
              <w:sz w:val="32"/>
              <w:szCs w:val="32"/>
            </w:rPr>
            <w:fldChar w:fldCharType="separate"/>
          </w: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单位</w:t>
          </w:r>
          <w:r>
            <w:rPr>
              <w:rFonts w:hint="eastAsia" w:ascii="黑体" w:hAnsi="黑体" w:eastAsia="黑体" w:cs="黑体"/>
              <w:bCs w:val="0"/>
              <w:sz w:val="32"/>
              <w:szCs w:val="32"/>
            </w:rPr>
            <w:t>概况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_Toc20717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E33CBAF">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_Toc24548 </w:instrText>
          </w:r>
          <w:r>
            <w:rPr>
              <w:rFonts w:hint="eastAsia" w:ascii="黑体" w:hAnsi="黑体" w:eastAsia="黑体" w:cs="黑体"/>
              <w:sz w:val="32"/>
              <w:szCs w:val="32"/>
            </w:rPr>
            <w:fldChar w:fldCharType="separate"/>
          </w:r>
          <w:r>
            <w:rPr>
              <w:rFonts w:hint="eastAsia" w:ascii="黑体" w:hAnsi="黑体" w:eastAsia="黑体" w:cs="黑体"/>
              <w:sz w:val="32"/>
              <w:szCs w:val="32"/>
            </w:rPr>
            <w:t>一、</w:t>
          </w:r>
          <w:r>
            <w:rPr>
              <w:rFonts w:hint="eastAsia" w:ascii="黑体" w:hAnsi="黑体" w:eastAsia="黑体" w:cs="黑体"/>
              <w:sz w:val="32"/>
              <w:szCs w:val="32"/>
              <w:lang w:eastAsia="zh-CN"/>
            </w:rPr>
            <w:t>主要</w:t>
          </w:r>
          <w:r>
            <w:rPr>
              <w:rFonts w:hint="eastAsia" w:ascii="黑体" w:hAnsi="黑体" w:eastAsia="黑体" w:cs="黑体"/>
              <w:sz w:val="32"/>
              <w:szCs w:val="32"/>
            </w:rPr>
            <w:t>职责</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_Toc24548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DAE4DBA">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_Toc12701 </w:instrText>
          </w:r>
          <w:r>
            <w:rPr>
              <w:rFonts w:hint="eastAsia" w:ascii="黑体" w:hAnsi="黑体" w:eastAsia="黑体" w:cs="黑体"/>
              <w:sz w:val="32"/>
              <w:szCs w:val="32"/>
            </w:rPr>
            <w:fldChar w:fldCharType="separate"/>
          </w:r>
          <w:r>
            <w:rPr>
              <w:rFonts w:hint="eastAsia" w:ascii="黑体" w:hAnsi="黑体" w:eastAsia="黑体" w:cs="黑体"/>
              <w:sz w:val="32"/>
              <w:szCs w:val="32"/>
            </w:rPr>
            <w:t>二、机</w:t>
          </w:r>
          <w:r>
            <w:rPr>
              <w:rFonts w:hint="eastAsia" w:ascii="黑体" w:hAnsi="黑体" w:eastAsia="黑体" w:cs="黑体"/>
              <w:bCs w:val="0"/>
              <w:sz w:val="32"/>
              <w:szCs w:val="32"/>
            </w:rPr>
            <w:t>构设置</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_Toc12701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3A8A36C">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_Toc454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第二部分2024年度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_Toc454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F036F3D">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_Toc15806 </w:instrText>
          </w:r>
          <w:r>
            <w:rPr>
              <w:rFonts w:hint="eastAsia" w:ascii="黑体" w:hAnsi="黑体" w:eastAsia="黑体" w:cs="黑体"/>
              <w:sz w:val="32"/>
              <w:szCs w:val="32"/>
            </w:rPr>
            <w:fldChar w:fldCharType="separate"/>
          </w:r>
          <w:r>
            <w:rPr>
              <w:rFonts w:hint="eastAsia" w:ascii="黑体" w:hAnsi="黑体" w:eastAsia="黑体" w:cs="黑体"/>
              <w:sz w:val="32"/>
              <w:szCs w:val="32"/>
            </w:rPr>
            <w:t>一、收入支出决算总体情况说明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_Toc15806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41194E6">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_Toc20268 </w:instrText>
          </w:r>
          <w:r>
            <w:rPr>
              <w:rFonts w:hint="eastAsia" w:ascii="黑体" w:hAnsi="黑体" w:eastAsia="黑体" w:cs="黑体"/>
              <w:sz w:val="32"/>
              <w:szCs w:val="32"/>
            </w:rPr>
            <w:fldChar w:fldCharType="separate"/>
          </w:r>
          <w:r>
            <w:rPr>
              <w:rFonts w:hint="eastAsia" w:ascii="黑体" w:hAnsi="黑体" w:eastAsia="黑体" w:cs="黑体"/>
              <w:sz w:val="32"/>
              <w:szCs w:val="32"/>
            </w:rPr>
            <w:t>二、收入决算情况说明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_Toc20268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1E07980">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_Toc10958 </w:instrText>
          </w:r>
          <w:r>
            <w:rPr>
              <w:rFonts w:hint="eastAsia" w:ascii="黑体" w:hAnsi="黑体" w:eastAsia="黑体" w:cs="黑体"/>
              <w:sz w:val="32"/>
              <w:szCs w:val="32"/>
            </w:rPr>
            <w:fldChar w:fldCharType="separate"/>
          </w:r>
          <w:r>
            <w:rPr>
              <w:rFonts w:hint="eastAsia" w:ascii="黑体" w:hAnsi="黑体" w:eastAsia="黑体" w:cs="黑体"/>
              <w:sz w:val="32"/>
              <w:szCs w:val="32"/>
            </w:rPr>
            <w:t>三、支出决算情况说明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_Toc10958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A50F3BE">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_Toc2137 </w:instrText>
          </w:r>
          <w:r>
            <w:rPr>
              <w:rFonts w:hint="eastAsia" w:ascii="黑体" w:hAnsi="黑体" w:eastAsia="黑体" w:cs="黑体"/>
              <w:sz w:val="32"/>
              <w:szCs w:val="32"/>
            </w:rPr>
            <w:fldChar w:fldCharType="separate"/>
          </w:r>
          <w:r>
            <w:rPr>
              <w:rFonts w:hint="eastAsia" w:ascii="黑体" w:hAnsi="黑体" w:eastAsia="黑体" w:cs="黑体"/>
              <w:sz w:val="32"/>
              <w:szCs w:val="32"/>
            </w:rPr>
            <w:t>四、财政拨款收入支出决算总体情况说明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_Toc2137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7EDF537">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_Toc32211 </w:instrText>
          </w:r>
          <w:r>
            <w:rPr>
              <w:rFonts w:hint="eastAsia" w:ascii="黑体" w:hAnsi="黑体" w:eastAsia="黑体" w:cs="黑体"/>
              <w:sz w:val="32"/>
              <w:szCs w:val="32"/>
            </w:rPr>
            <w:fldChar w:fldCharType="separate"/>
          </w:r>
          <w:r>
            <w:rPr>
              <w:rFonts w:hint="eastAsia" w:ascii="黑体" w:hAnsi="黑体" w:eastAsia="黑体" w:cs="黑体"/>
              <w:sz w:val="32"/>
              <w:szCs w:val="32"/>
            </w:rPr>
            <w:t>五、一般公共预算财政拨款支出决算情况说明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_Toc32211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A44B64C">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_Toc5312 </w:instrText>
          </w:r>
          <w:r>
            <w:rPr>
              <w:rFonts w:hint="eastAsia" w:ascii="黑体" w:hAnsi="黑体" w:eastAsia="黑体" w:cs="黑体"/>
              <w:sz w:val="32"/>
              <w:szCs w:val="32"/>
            </w:rPr>
            <w:fldChar w:fldCharType="separate"/>
          </w:r>
          <w:r>
            <w:rPr>
              <w:rFonts w:hint="eastAsia" w:ascii="黑体" w:hAnsi="黑体" w:eastAsia="黑体" w:cs="黑体"/>
              <w:sz w:val="32"/>
              <w:szCs w:val="32"/>
            </w:rPr>
            <w:t>（一）一般公共预算财政拨款支出决算总体情况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_Toc5312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0A6A87CB">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_Toc17627 </w:instrText>
          </w:r>
          <w:r>
            <w:rPr>
              <w:rFonts w:hint="eastAsia" w:ascii="黑体" w:hAnsi="黑体" w:eastAsia="黑体" w:cs="黑体"/>
              <w:sz w:val="32"/>
              <w:szCs w:val="32"/>
            </w:rPr>
            <w:fldChar w:fldCharType="separate"/>
          </w:r>
          <w:r>
            <w:rPr>
              <w:rFonts w:hint="eastAsia" w:ascii="黑体" w:hAnsi="黑体" w:eastAsia="黑体" w:cs="黑体"/>
              <w:sz w:val="32"/>
              <w:szCs w:val="32"/>
            </w:rPr>
            <w:t>（二）一般公共预算财政拨款支出决算结构情况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_Toc17627 \h </w:instrText>
          </w:r>
          <w:r>
            <w:rPr>
              <w:rFonts w:hint="eastAsia" w:ascii="黑体" w:hAnsi="黑体" w:eastAsia="黑体" w:cs="黑体"/>
              <w:sz w:val="32"/>
              <w:szCs w:val="32"/>
            </w:rPr>
            <w:fldChar w:fldCharType="separate"/>
          </w:r>
          <w:r>
            <w:rPr>
              <w:rFonts w:hint="eastAsia" w:ascii="黑体" w:hAnsi="黑体" w:eastAsia="黑体" w:cs="黑体"/>
              <w:sz w:val="32"/>
              <w:szCs w:val="32"/>
            </w:rPr>
            <w:t>6</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64A9C10">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_Toc1299 </w:instrText>
          </w:r>
          <w:r>
            <w:rPr>
              <w:rFonts w:hint="eastAsia" w:ascii="黑体" w:hAnsi="黑体" w:eastAsia="黑体" w:cs="黑体"/>
              <w:sz w:val="32"/>
              <w:szCs w:val="32"/>
            </w:rPr>
            <w:fldChar w:fldCharType="separate"/>
          </w:r>
          <w:r>
            <w:rPr>
              <w:rFonts w:hint="eastAsia" w:ascii="黑体" w:hAnsi="黑体" w:eastAsia="黑体" w:cs="黑体"/>
              <w:sz w:val="32"/>
              <w:szCs w:val="32"/>
            </w:rPr>
            <w:t>（三）一般公共预算财政拨款支出决算具体情况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_Toc1299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3A50B53">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_Toc1343 </w:instrText>
          </w:r>
          <w:r>
            <w:rPr>
              <w:rFonts w:hint="eastAsia" w:ascii="黑体" w:hAnsi="黑体" w:eastAsia="黑体" w:cs="黑体"/>
              <w:sz w:val="32"/>
              <w:szCs w:val="32"/>
            </w:rPr>
            <w:fldChar w:fldCharType="separate"/>
          </w:r>
          <w:r>
            <w:rPr>
              <w:rFonts w:hint="eastAsia" w:ascii="黑体" w:hAnsi="黑体" w:eastAsia="黑体" w:cs="黑体"/>
              <w:sz w:val="32"/>
              <w:szCs w:val="32"/>
            </w:rPr>
            <w:t>六、一般公共预算财政拨款基本支出决算情况说明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_Toc1343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59473BC">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_Toc27379 </w:instrText>
          </w:r>
          <w:r>
            <w:rPr>
              <w:rFonts w:hint="eastAsia" w:ascii="黑体" w:hAnsi="黑体" w:eastAsia="黑体" w:cs="黑体"/>
              <w:sz w:val="32"/>
              <w:szCs w:val="32"/>
            </w:rPr>
            <w:fldChar w:fldCharType="separate"/>
          </w:r>
          <w:r>
            <w:rPr>
              <w:rFonts w:hint="eastAsia" w:ascii="黑体" w:hAnsi="黑体" w:eastAsia="黑体" w:cs="黑体"/>
              <w:sz w:val="32"/>
              <w:szCs w:val="32"/>
            </w:rPr>
            <w:t>七、财政拨款“三公”经费支出决算情况说明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_Toc27379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160BD1A">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_Toc19742 </w:instrText>
          </w:r>
          <w:r>
            <w:rPr>
              <w:rFonts w:hint="eastAsia" w:ascii="黑体" w:hAnsi="黑体" w:eastAsia="黑体" w:cs="黑体"/>
              <w:sz w:val="32"/>
              <w:szCs w:val="32"/>
            </w:rPr>
            <w:fldChar w:fldCharType="separate"/>
          </w:r>
          <w:r>
            <w:rPr>
              <w:rFonts w:hint="eastAsia" w:ascii="黑体" w:hAnsi="黑体" w:eastAsia="黑体" w:cs="黑体"/>
              <w:sz w:val="32"/>
              <w:szCs w:val="32"/>
            </w:rPr>
            <w:t>（一）“三公”经费财政拨款支出决算总体情况说明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_Toc19742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E6BBFB0">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_Toc23292 </w:instrText>
          </w:r>
          <w:r>
            <w:rPr>
              <w:rFonts w:hint="eastAsia" w:ascii="黑体" w:hAnsi="黑体" w:eastAsia="黑体" w:cs="黑体"/>
              <w:sz w:val="32"/>
              <w:szCs w:val="32"/>
            </w:rPr>
            <w:fldChar w:fldCharType="separate"/>
          </w:r>
          <w:r>
            <w:rPr>
              <w:rFonts w:hint="eastAsia" w:ascii="黑体" w:hAnsi="黑体" w:eastAsia="黑体" w:cs="黑体"/>
              <w:sz w:val="32"/>
              <w:szCs w:val="32"/>
            </w:rPr>
            <w:t>（二）“三公”经费财政拨款支出决算具体情况说明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_Toc23292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2FE924A">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_Toc2486 </w:instrText>
          </w:r>
          <w:r>
            <w:rPr>
              <w:rFonts w:hint="eastAsia" w:ascii="黑体" w:hAnsi="黑体" w:eastAsia="黑体" w:cs="黑体"/>
              <w:sz w:val="32"/>
              <w:szCs w:val="32"/>
            </w:rPr>
            <w:fldChar w:fldCharType="separate"/>
          </w:r>
          <w:r>
            <w:rPr>
              <w:rFonts w:hint="eastAsia" w:ascii="黑体" w:hAnsi="黑体" w:eastAsia="黑体" w:cs="黑体"/>
              <w:sz w:val="32"/>
              <w:szCs w:val="32"/>
            </w:rPr>
            <w:t>八、政府性基金预算支出决算情况说明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_Toc2486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5BFF5AE">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_Toc21562 </w:instrText>
          </w:r>
          <w:r>
            <w:rPr>
              <w:rFonts w:hint="eastAsia" w:ascii="黑体" w:hAnsi="黑体" w:eastAsia="黑体" w:cs="黑体"/>
              <w:sz w:val="32"/>
              <w:szCs w:val="32"/>
            </w:rPr>
            <w:fldChar w:fldCharType="separate"/>
          </w:r>
          <w:r>
            <w:rPr>
              <w:rFonts w:hint="eastAsia" w:ascii="黑体" w:hAnsi="黑体" w:eastAsia="黑体" w:cs="黑体"/>
              <w:sz w:val="32"/>
              <w:szCs w:val="32"/>
            </w:rPr>
            <w:t>九、国有资本经营预算支出决算情况说明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_Toc21562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00E2FAE">
          <w:pPr>
            <w:pStyle w:val="16"/>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_Toc4485 </w:instrText>
          </w:r>
          <w:r>
            <w:rPr>
              <w:rFonts w:hint="eastAsia" w:ascii="黑体" w:hAnsi="黑体" w:eastAsia="黑体" w:cs="黑体"/>
              <w:sz w:val="32"/>
              <w:szCs w:val="32"/>
            </w:rPr>
            <w:fldChar w:fldCharType="separate"/>
          </w:r>
          <w:r>
            <w:rPr>
              <w:rFonts w:hint="eastAsia" w:ascii="黑体" w:hAnsi="黑体" w:eastAsia="黑体" w:cs="黑体"/>
              <w:sz w:val="32"/>
              <w:szCs w:val="32"/>
            </w:rPr>
            <w:t>十、其他重要事项的情况说明</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_Toc4485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D2763AF">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_Toc24657 </w:instrText>
          </w:r>
          <w:r>
            <w:rPr>
              <w:rFonts w:hint="eastAsia" w:ascii="黑体" w:hAnsi="黑体" w:eastAsia="黑体" w:cs="黑体"/>
              <w:sz w:val="32"/>
              <w:szCs w:val="32"/>
            </w:rPr>
            <w:fldChar w:fldCharType="separate"/>
          </w:r>
          <w:r>
            <w:rPr>
              <w:rFonts w:hint="eastAsia" w:ascii="黑体" w:hAnsi="黑体" w:eastAsia="黑体" w:cs="黑体"/>
              <w:sz w:val="32"/>
              <w:szCs w:val="32"/>
            </w:rPr>
            <w:t>（一）机关运行经费支出情况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_Toc24657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F7F6FF7">
          <w:pPr>
            <w:pStyle w:val="9"/>
            <w:tabs>
              <w:tab w:val="right" w:leader="dot" w:pos="8306"/>
              <w:tab w:val="clear" w:pos="8296"/>
            </w:tabs>
            <w:rPr>
              <w:rFonts w:hint="eastAsia" w:ascii="黑体" w:hAnsi="黑体" w:eastAsia="黑体" w:cs="黑体"/>
              <w:sz w:val="32"/>
              <w:szCs w:val="32"/>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14:paraId="707558EF">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_Toc2127 </w:instrText>
          </w:r>
          <w:r>
            <w:rPr>
              <w:rFonts w:hint="eastAsia" w:ascii="黑体" w:hAnsi="黑体" w:eastAsia="黑体" w:cs="黑体"/>
              <w:sz w:val="32"/>
              <w:szCs w:val="32"/>
            </w:rPr>
            <w:fldChar w:fldCharType="separate"/>
          </w:r>
          <w:r>
            <w:rPr>
              <w:rFonts w:hint="eastAsia" w:ascii="黑体" w:hAnsi="黑体" w:eastAsia="黑体" w:cs="黑体"/>
              <w:sz w:val="32"/>
              <w:szCs w:val="32"/>
            </w:rPr>
            <w:t>（二）政府采购支出情况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_Toc2127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A7D2000">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_Toc6624 </w:instrText>
          </w:r>
          <w:r>
            <w:rPr>
              <w:rFonts w:hint="eastAsia" w:ascii="黑体" w:hAnsi="黑体" w:eastAsia="黑体" w:cs="黑体"/>
              <w:sz w:val="32"/>
              <w:szCs w:val="32"/>
            </w:rPr>
            <w:fldChar w:fldCharType="separate"/>
          </w:r>
          <w:r>
            <w:rPr>
              <w:rFonts w:hint="eastAsia" w:ascii="黑体" w:hAnsi="黑体" w:eastAsia="黑体" w:cs="黑体"/>
              <w:sz w:val="32"/>
              <w:szCs w:val="32"/>
            </w:rPr>
            <w:t>（三）国有资产占有使用情况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_Toc6624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5B49C16C">
          <w:pPr>
            <w:pStyle w:val="9"/>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_Toc13440 </w:instrText>
          </w:r>
          <w:r>
            <w:rPr>
              <w:rFonts w:hint="eastAsia" w:ascii="黑体" w:hAnsi="黑体" w:eastAsia="黑体" w:cs="黑体"/>
              <w:sz w:val="32"/>
              <w:szCs w:val="32"/>
            </w:rPr>
            <w:fldChar w:fldCharType="separate"/>
          </w:r>
          <w:r>
            <w:rPr>
              <w:rFonts w:hint="eastAsia" w:ascii="黑体" w:hAnsi="黑体" w:eastAsia="黑体" w:cs="黑体"/>
              <w:sz w:val="32"/>
              <w:szCs w:val="32"/>
            </w:rPr>
            <w:t>（四）预算绩效管理情况</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_Toc13440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70BDE85">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_Toc29402 </w:instrText>
          </w:r>
          <w:r>
            <w:rPr>
              <w:rFonts w:hint="eastAsia" w:ascii="黑体" w:hAnsi="黑体" w:eastAsia="黑体" w:cs="黑体"/>
              <w:sz w:val="32"/>
              <w:szCs w:val="32"/>
            </w:rPr>
            <w:fldChar w:fldCharType="separate"/>
          </w:r>
          <w:r>
            <w:rPr>
              <w:rFonts w:hint="eastAsia" w:ascii="黑体" w:hAnsi="黑体" w:eastAsia="黑体" w:cs="黑体"/>
              <w:sz w:val="32"/>
              <w:szCs w:val="32"/>
            </w:rPr>
            <w:t>第三部分名词解释</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_Toc29402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67D59D91">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_Toc22664 </w:instrText>
          </w:r>
          <w:r>
            <w:rPr>
              <w:rFonts w:hint="eastAsia" w:ascii="黑体" w:hAnsi="黑体" w:eastAsia="黑体" w:cs="黑体"/>
              <w:sz w:val="32"/>
              <w:szCs w:val="32"/>
            </w:rPr>
            <w:fldChar w:fldCharType="separate"/>
          </w:r>
          <w:r>
            <w:rPr>
              <w:rFonts w:hint="eastAsia" w:ascii="黑体" w:hAnsi="黑体" w:eastAsia="黑体" w:cs="黑体"/>
              <w:bCs/>
              <w:kern w:val="44"/>
              <w:sz w:val="32"/>
              <w:szCs w:val="32"/>
              <w:lang w:val="en-US" w:eastAsia="zh-CN" w:bidi="ar-SA"/>
            </w:rPr>
            <w:t>第四部分 附件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_Toc22664 \h </w:instrText>
          </w:r>
          <w:r>
            <w:rPr>
              <w:rFonts w:hint="eastAsia" w:ascii="黑体" w:hAnsi="黑体" w:eastAsia="黑体" w:cs="黑体"/>
              <w:sz w:val="32"/>
              <w:szCs w:val="32"/>
            </w:rPr>
            <w:fldChar w:fldCharType="separate"/>
          </w:r>
          <w:r>
            <w:rPr>
              <w:rFonts w:hint="eastAsia" w:ascii="黑体" w:hAnsi="黑体" w:eastAsia="黑体" w:cs="黑体"/>
              <w:sz w:val="32"/>
              <w:szCs w:val="32"/>
            </w:rPr>
            <w:t>15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91BAB9D">
          <w:pPr>
            <w:pStyle w:val="13"/>
            <w:tabs>
              <w:tab w:val="right" w:leader="dot" w:pos="8306"/>
              <w:tab w:val="clear" w:pos="8296"/>
            </w:tabs>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_Toc8954 </w:instrText>
          </w:r>
          <w:r>
            <w:rPr>
              <w:rFonts w:hint="eastAsia" w:ascii="黑体" w:hAnsi="黑体" w:eastAsia="黑体" w:cs="黑体"/>
              <w:sz w:val="32"/>
              <w:szCs w:val="32"/>
            </w:rPr>
            <w:fldChar w:fldCharType="separate"/>
          </w:r>
          <w:r>
            <w:rPr>
              <w:rFonts w:hint="eastAsia" w:ascii="黑体" w:hAnsi="黑体" w:eastAsia="黑体" w:cs="黑体"/>
              <w:bCs/>
              <w:kern w:val="44"/>
              <w:sz w:val="32"/>
              <w:szCs w:val="32"/>
              <w:lang w:val="en-US" w:eastAsia="zh-CN" w:bidi="ar-SA"/>
            </w:rPr>
            <w:t>第五部分 附表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_Toc8954 \h </w:instrText>
          </w:r>
          <w:r>
            <w:rPr>
              <w:rFonts w:hint="eastAsia" w:ascii="黑体" w:hAnsi="黑体" w:eastAsia="黑体" w:cs="黑体"/>
              <w:sz w:val="32"/>
              <w:szCs w:val="32"/>
            </w:rPr>
            <w:fldChar w:fldCharType="separate"/>
          </w:r>
          <w:r>
            <w:rPr>
              <w:rFonts w:hint="eastAsia" w:ascii="黑体" w:hAnsi="黑体" w:eastAsia="黑体" w:cs="黑体"/>
              <w:sz w:val="32"/>
              <w:szCs w:val="32"/>
            </w:rPr>
            <w:t>- 22 -</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1DCAC2DF">
          <w:pPr>
            <w:rPr>
              <w:rFonts w:hint="eastAsia" w:ascii="黑体" w:hAnsi="黑体" w:eastAsia="黑体" w:cs="黑体"/>
              <w:bCs/>
              <w:kern w:val="44"/>
              <w:sz w:val="32"/>
              <w:szCs w:val="32"/>
              <w:lang w:val="en-US" w:eastAsia="zh-CN" w:bidi="ar-SA"/>
            </w:rPr>
          </w:pPr>
          <w:r>
            <w:rPr>
              <w:rFonts w:hint="eastAsia" w:ascii="黑体" w:hAnsi="黑体" w:eastAsia="黑体" w:cs="黑体"/>
              <w:sz w:val="32"/>
              <w:szCs w:val="32"/>
            </w:rPr>
            <w:fldChar w:fldCharType="end"/>
          </w:r>
          <w:r>
            <w:rPr>
              <w:rFonts w:hint="eastAsia" w:ascii="黑体" w:hAnsi="黑体" w:eastAsia="黑体" w:cs="黑体"/>
              <w:bCs/>
              <w:kern w:val="44"/>
              <w:sz w:val="32"/>
              <w:szCs w:val="32"/>
              <w:lang w:val="en-US" w:eastAsia="zh-CN" w:bidi="ar-SA"/>
            </w:rPr>
            <w:t>一、收入支出决算总表</w:t>
          </w:r>
        </w:p>
        <w:p w14:paraId="43DBA966">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二、收入决算表</w:t>
          </w:r>
        </w:p>
        <w:p w14:paraId="0CEB478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三、支出决算表</w:t>
          </w:r>
        </w:p>
        <w:p w14:paraId="44E1FB32">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四、财政拨款收入支出决算总表</w:t>
          </w:r>
        </w:p>
        <w:p w14:paraId="54CE4C58">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五、财政拨款支出决算明细表</w:t>
          </w:r>
        </w:p>
        <w:p w14:paraId="1B20C4C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六、一般公共预算财政拨款支出决算表</w:t>
          </w:r>
        </w:p>
        <w:p w14:paraId="4779038F">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七、一般公共预算财政拨款支出决算明细表</w:t>
          </w:r>
        </w:p>
        <w:p w14:paraId="64A05484">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八、一般公共预算财政拨款基本支出决算表</w:t>
          </w:r>
        </w:p>
        <w:p w14:paraId="0F066B7B">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九、一般公共预算财政拨款项目支出决算表</w:t>
          </w:r>
        </w:p>
        <w:p w14:paraId="240EC1A3">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十、政府性基金预算财政拨款收入支出决算表</w:t>
          </w:r>
        </w:p>
        <w:p w14:paraId="69BC80C9">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十一、国有资本经营预算财政拨款收入支出决算表</w:t>
          </w:r>
        </w:p>
        <w:p w14:paraId="3E84520A">
          <w:pPr>
            <w:rPr>
              <w:rFonts w:hint="eastAsia" w:ascii="黑体" w:hAnsi="黑体" w:eastAsia="黑体" w:cs="黑体"/>
              <w:bCs/>
              <w:kern w:val="44"/>
              <w:sz w:val="32"/>
              <w:szCs w:val="32"/>
              <w:lang w:val="en-US" w:eastAsia="zh-CN" w:bidi="ar-SA"/>
            </w:rPr>
          </w:pPr>
          <w:r>
            <w:rPr>
              <w:rFonts w:hint="eastAsia" w:ascii="黑体" w:hAnsi="黑体" w:eastAsia="黑体" w:cs="黑体"/>
              <w:bCs/>
              <w:kern w:val="44"/>
              <w:sz w:val="32"/>
              <w:szCs w:val="32"/>
              <w:lang w:val="en-US" w:eastAsia="zh-CN" w:bidi="ar-SA"/>
            </w:rPr>
            <w:t>十二、国有资本经营预算财政拨款支出决算表</w:t>
          </w:r>
        </w:p>
        <w:p w14:paraId="3E26D90B">
          <w:pPr>
            <w:rPr>
              <w:rFonts w:hint="eastAsia" w:ascii="黑体" w:eastAsia="黑体" w:cs="黑体"/>
              <w:kern w:val="0"/>
              <w:sz w:val="32"/>
              <w:szCs w:val="32"/>
              <w:shd w:val="clear" w:color="auto" w:fill="FFFFFF"/>
            </w:rPr>
          </w:pPr>
          <w:r>
            <w:rPr>
              <w:rFonts w:hint="eastAsia" w:ascii="黑体" w:hAnsi="黑体" w:eastAsia="黑体" w:cs="黑体"/>
              <w:bCs/>
              <w:kern w:val="44"/>
              <w:sz w:val="32"/>
              <w:szCs w:val="32"/>
              <w:lang w:val="en-US" w:eastAsia="zh-CN" w:bidi="ar-SA"/>
            </w:rPr>
            <w:t>十三、财政拨款“三公”经费支出决算表</w:t>
          </w:r>
          <w:bookmarkStart w:id="94" w:name="_GoBack"/>
          <w:bookmarkEnd w:id="94"/>
        </w:p>
        <w:p w14:paraId="00EEB8F9">
          <w:pPr>
            <w:widowControl/>
            <w:spacing w:line="560" w:lineRule="exact"/>
            <w:jc w:val="left"/>
            <w:rPr>
              <w:rFonts w:hint="eastAsia" w:eastAsia="方正小标宋简体" w:cs="方正小标宋简体"/>
              <w:b w:val="0"/>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bookmarkStart w:id="8" w:name="_Toc20717"/>
        </w:p>
      </w:sdtContent>
    </w:sdt>
    <w:p w14:paraId="6CBE0923">
      <w:pPr>
        <w:pStyle w:val="3"/>
        <w:jc w:val="center"/>
        <w:rPr>
          <w:rStyle w:val="31"/>
          <w:rFonts w:eastAsia="方正小标宋简体" w:cs="方正小标宋简体"/>
          <w:b/>
          <w:bCs w:val="0"/>
        </w:rPr>
      </w:pPr>
      <w:r>
        <w:rPr>
          <w:rFonts w:hint="eastAsia" w:eastAsia="方正小标宋简体" w:cs="方正小标宋简体"/>
          <w:b w:val="0"/>
        </w:rPr>
        <w:t>第一部分</w:t>
      </w:r>
      <w:r>
        <w:rPr>
          <w:rFonts w:hint="eastAsia" w:eastAsia="方正小标宋简体" w:cs="方正小标宋简体"/>
          <w:b w:val="0"/>
          <w:lang w:val="en-US" w:eastAsia="zh-CN"/>
        </w:rPr>
        <w:t xml:space="preserve">  </w:t>
      </w:r>
      <w:r>
        <w:rPr>
          <w:rFonts w:hint="eastAsia" w:eastAsia="方正小标宋简体" w:cs="方正小标宋简体"/>
          <w:b w:val="0"/>
          <w:lang w:eastAsia="zh-CN"/>
        </w:rPr>
        <w:t>单位</w:t>
      </w:r>
      <w:r>
        <w:rPr>
          <w:rStyle w:val="31"/>
          <w:rFonts w:hint="eastAsia" w:eastAsia="方正小标宋简体" w:cs="方正小标宋简体"/>
          <w:b w:val="0"/>
          <w:bCs w:val="0"/>
        </w:rPr>
        <w:t>概况</w:t>
      </w:r>
      <w:bookmarkEnd w:id="6"/>
      <w:bookmarkEnd w:id="7"/>
      <w:bookmarkEnd w:id="8"/>
    </w:p>
    <w:p w14:paraId="1BE59F52">
      <w:pPr>
        <w:pStyle w:val="4"/>
        <w:pageBreakBefore w:val="0"/>
        <w:widowControl w:val="0"/>
        <w:kinsoku/>
        <w:wordWrap/>
        <w:overflowPunct/>
        <w:topLinePunct w:val="0"/>
        <w:autoSpaceDE/>
        <w:autoSpaceDN/>
        <w:bidi w:val="0"/>
        <w:spacing w:before="0" w:after="0" w:line="540" w:lineRule="exact"/>
        <w:ind w:firstLine="640" w:firstLineChars="200"/>
        <w:textAlignment w:val="auto"/>
        <w:rPr>
          <w:rFonts w:hint="eastAsia" w:ascii="Times New Roman" w:hAnsi="Times New Roman" w:eastAsia="黑体"/>
          <w:b w:val="0"/>
        </w:rPr>
      </w:pPr>
      <w:bookmarkStart w:id="9" w:name="_Toc15396600"/>
      <w:bookmarkStart w:id="10" w:name="_Toc15377197"/>
      <w:bookmarkStart w:id="11" w:name="_Toc24548"/>
      <w:r>
        <w:rPr>
          <w:rFonts w:hint="eastAsia" w:ascii="Times New Roman" w:hAnsi="Times New Roman" w:eastAsia="黑体"/>
          <w:b w:val="0"/>
        </w:rPr>
        <w:t>一、</w:t>
      </w:r>
      <w:bookmarkEnd w:id="9"/>
      <w:bookmarkEnd w:id="10"/>
      <w:r>
        <w:rPr>
          <w:rFonts w:hint="eastAsia" w:ascii="Times New Roman" w:hAnsi="Times New Roman" w:eastAsia="黑体"/>
          <w:b w:val="0"/>
          <w:lang w:eastAsia="zh-CN"/>
        </w:rPr>
        <w:t>主要</w:t>
      </w:r>
      <w:r>
        <w:rPr>
          <w:rFonts w:hint="eastAsia" w:ascii="Times New Roman" w:hAnsi="Times New Roman" w:eastAsia="黑体"/>
          <w:b w:val="0"/>
        </w:rPr>
        <w:t>职责</w:t>
      </w:r>
      <w:bookmarkEnd w:id="11"/>
    </w:p>
    <w:p w14:paraId="5B910E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lang w:eastAsia="zh-CN"/>
        </w:rPr>
      </w:pPr>
      <w:r>
        <w:rPr>
          <w:rFonts w:hint="eastAsia" w:ascii="仿宋_GB2312" w:hAnsi="仿宋" w:eastAsia="仿宋_GB2312"/>
          <w:sz w:val="32"/>
          <w:lang w:eastAsia="zh-CN"/>
        </w:rPr>
        <w:t>（一）主要职能</w:t>
      </w:r>
    </w:p>
    <w:p w14:paraId="6F2831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sz w:val="32"/>
          <w:lang w:eastAsia="zh-CN"/>
        </w:rPr>
      </w:pPr>
      <w:r>
        <w:rPr>
          <w:rFonts w:hint="eastAsia" w:ascii="仿宋_GB2312" w:hAnsi="仿宋" w:eastAsia="仿宋_GB2312"/>
          <w:sz w:val="32"/>
        </w:rPr>
        <w:t>协调配合</w:t>
      </w:r>
      <w:r>
        <w:rPr>
          <w:rFonts w:hint="eastAsia" w:ascii="仿宋_GB2312" w:hAnsi="仿宋" w:eastAsia="仿宋_GB2312" w:cs="Times New Roman"/>
          <w:sz w:val="32"/>
        </w:rPr>
        <w:t>外宣媒体开展舆论反制常态化工作，向媒体提供新闻素材</w:t>
      </w:r>
      <w:r>
        <w:rPr>
          <w:rFonts w:hint="eastAsia" w:ascii="仿宋_GB2312" w:hAnsi="仿宋" w:eastAsia="仿宋_GB2312" w:cs="Times New Roman"/>
          <w:sz w:val="32"/>
          <w:lang w:eastAsia="zh-CN"/>
        </w:rPr>
        <w:t>，</w:t>
      </w:r>
      <w:r>
        <w:rPr>
          <w:rFonts w:hint="eastAsia" w:ascii="仿宋_GB2312" w:hAnsi="仿宋" w:eastAsia="仿宋_GB2312" w:cs="Times New Roman"/>
          <w:sz w:val="32"/>
        </w:rPr>
        <w:t>承担文明实践工作的具体组织实施，提出全州文明实践工作规划和年度工作计划建议;指导全州新时代文明实践志愿服务队伍建设;发布文明实践志愿服务项目:协助开展理论宣讲、知识讲座、模范评选、文艺演出等活动;指导各县(市)、乡镇、村(社区)开展文明实践工作</w:t>
      </w:r>
      <w:r>
        <w:rPr>
          <w:rFonts w:hint="eastAsia" w:ascii="仿宋_GB2312" w:hAnsi="仿宋" w:eastAsia="仿宋_GB2312" w:cs="Times New Roman"/>
          <w:sz w:val="32"/>
          <w:lang w:eastAsia="zh-CN"/>
        </w:rPr>
        <w:t>。</w:t>
      </w:r>
    </w:p>
    <w:p w14:paraId="742F06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（二）2024年度重点工作完成情况</w:t>
      </w:r>
    </w:p>
    <w:p w14:paraId="54F8AE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sz w:val="32"/>
          <w:lang w:val="en-US" w:eastAsia="zh-CN"/>
        </w:rPr>
      </w:pPr>
      <w:r>
        <w:rPr>
          <w:rFonts w:hint="eastAsia" w:ascii="仿宋_GB2312" w:hAnsi="仿宋" w:eastAsia="仿宋_GB2312" w:cs="Times New Roman"/>
          <w:sz w:val="32"/>
        </w:rPr>
        <w:t>根据中央八项规定，省委省政府十条意见及州委州政府八项规定，压缩三公经费，</w:t>
      </w:r>
      <w:r>
        <w:rPr>
          <w:rFonts w:hint="eastAsia" w:ascii="仿宋_GB2312" w:hAnsi="仿宋" w:eastAsia="仿宋_GB2312" w:cs="Times New Roman"/>
          <w:sz w:val="32"/>
          <w:lang w:val="en-US" w:eastAsia="zh-CN"/>
        </w:rPr>
        <w:t>制定并实施全州对外新闻报道工作计划组织开展对外新闻报道工作；协调配合外宣媒体开展常态化工作；协助开展政府新闻发布工作</w:t>
      </w:r>
      <w:r>
        <w:rPr>
          <w:rFonts w:hint="eastAsia" w:ascii="仿宋_GB2312" w:hAnsi="仿宋" w:eastAsia="仿宋_GB2312" w:cs="Times New Roman"/>
          <w:sz w:val="32"/>
        </w:rPr>
        <w:t>。</w:t>
      </w:r>
      <w:r>
        <w:rPr>
          <w:rFonts w:hint="default" w:ascii="仿宋_GB2312" w:hAnsi="仿宋" w:eastAsia="仿宋_GB2312" w:cs="Times New Roman"/>
          <w:sz w:val="32"/>
          <w:lang w:val="en-US" w:eastAsia="zh-CN"/>
        </w:rPr>
        <w:t>一是</w:t>
      </w:r>
      <w:r>
        <w:rPr>
          <w:rFonts w:hint="eastAsia" w:ascii="仿宋_GB2312" w:hAnsi="仿宋" w:eastAsia="仿宋_GB2312" w:cs="Times New Roman"/>
          <w:sz w:val="32"/>
          <w:lang w:val="en-US" w:eastAsia="zh-CN"/>
        </w:rPr>
        <w:t>推动新时代文明实践阵地接地气</w:t>
      </w:r>
      <w:r>
        <w:rPr>
          <w:rFonts w:hint="default" w:ascii="仿宋_GB2312" w:hAnsi="仿宋" w:eastAsia="仿宋_GB2312" w:cs="Times New Roman"/>
          <w:sz w:val="32"/>
          <w:lang w:val="en-US" w:eastAsia="zh-CN"/>
        </w:rPr>
        <w:t>。</w:t>
      </w:r>
      <w:r>
        <w:rPr>
          <w:rFonts w:hint="default" w:ascii="仿宋_GB2312" w:hAnsi="仿宋" w:eastAsia="仿宋_GB2312" w:cs="Times New Roman"/>
          <w:sz w:val="32"/>
          <w:lang w:eastAsia="zh-CN"/>
        </w:rPr>
        <w:t>按照贴近群众、便民惠民的原则，优化新时代文明实践中心</w:t>
      </w:r>
      <w:r>
        <w:rPr>
          <w:rFonts w:hint="eastAsia" w:ascii="仿宋_GB2312" w:hAnsi="仿宋" w:eastAsia="仿宋_GB2312" w:cs="Times New Roman"/>
          <w:sz w:val="32"/>
          <w:lang w:eastAsia="zh-CN"/>
        </w:rPr>
        <w:t>（</w:t>
      </w:r>
      <w:r>
        <w:rPr>
          <w:rFonts w:hint="default" w:ascii="仿宋_GB2312" w:hAnsi="仿宋" w:eastAsia="仿宋_GB2312" w:cs="Times New Roman"/>
          <w:sz w:val="32"/>
          <w:lang w:eastAsia="zh-CN"/>
        </w:rPr>
        <w:t>所、站</w:t>
      </w:r>
      <w:r>
        <w:rPr>
          <w:rFonts w:hint="eastAsia" w:ascii="仿宋_GB2312" w:hAnsi="仿宋" w:eastAsia="仿宋_GB2312" w:cs="Times New Roman"/>
          <w:sz w:val="32"/>
          <w:lang w:eastAsia="zh-CN"/>
        </w:rPr>
        <w:t>）</w:t>
      </w:r>
      <w:r>
        <w:rPr>
          <w:rFonts w:hint="default" w:ascii="仿宋_GB2312" w:hAnsi="仿宋" w:eastAsia="仿宋_GB2312" w:cs="Times New Roman"/>
          <w:sz w:val="32"/>
          <w:lang w:eastAsia="zh-CN"/>
        </w:rPr>
        <w:t>及相关基础设施布局。准确把握功能定位，完善资源整合、队伍建设、项目策划、活动开展、平台搭建、工作保障等制度机制，切实发挥新时代文明实践中心</w:t>
      </w:r>
      <w:r>
        <w:rPr>
          <w:rFonts w:hint="eastAsia" w:ascii="仿宋_GB2312" w:hAnsi="仿宋" w:eastAsia="仿宋_GB2312" w:cs="Times New Roman"/>
          <w:sz w:val="32"/>
          <w:lang w:eastAsia="zh-CN"/>
        </w:rPr>
        <w:t>（</w:t>
      </w:r>
      <w:r>
        <w:rPr>
          <w:rFonts w:hint="default" w:ascii="仿宋_GB2312" w:hAnsi="仿宋" w:eastAsia="仿宋_GB2312" w:cs="Times New Roman"/>
          <w:sz w:val="32"/>
          <w:lang w:eastAsia="zh-CN"/>
        </w:rPr>
        <w:t>所、站</w:t>
      </w:r>
      <w:r>
        <w:rPr>
          <w:rFonts w:hint="eastAsia" w:ascii="仿宋_GB2312" w:hAnsi="仿宋" w:eastAsia="仿宋_GB2312" w:cs="Times New Roman"/>
          <w:sz w:val="32"/>
          <w:lang w:eastAsia="zh-CN"/>
        </w:rPr>
        <w:t>）</w:t>
      </w:r>
      <w:r>
        <w:rPr>
          <w:rFonts w:hint="default" w:ascii="仿宋_GB2312" w:hAnsi="仿宋" w:eastAsia="仿宋_GB2312" w:cs="Times New Roman"/>
          <w:sz w:val="32"/>
          <w:lang w:eastAsia="zh-CN"/>
        </w:rPr>
        <w:t>统筹协调、指挥调度的重要作用</w:t>
      </w:r>
      <w:r>
        <w:rPr>
          <w:rFonts w:hint="eastAsia" w:ascii="仿宋_GB2312" w:hAnsi="仿宋" w:eastAsia="仿宋_GB2312" w:cs="Times New Roman"/>
          <w:sz w:val="32"/>
          <w:lang w:eastAsia="zh-CN"/>
        </w:rPr>
        <w:t>。</w:t>
      </w:r>
      <w:r>
        <w:rPr>
          <w:rFonts w:hint="eastAsia" w:ascii="仿宋_GB2312" w:hAnsi="仿宋" w:eastAsia="仿宋_GB2312" w:cs="Times New Roman"/>
          <w:sz w:val="32"/>
        </w:rPr>
        <w:t>打造文明实践综合体</w:t>
      </w:r>
      <w:r>
        <w:rPr>
          <w:rFonts w:hint="eastAsia" w:ascii="仿宋_GB2312" w:hAnsi="仿宋" w:eastAsia="仿宋_GB2312" w:cs="Times New Roman"/>
          <w:sz w:val="32"/>
          <w:lang w:eastAsia="zh-CN"/>
        </w:rPr>
        <w:t>，以文化馆、图书馆、 博物馆、科技馆、体育场馆和基层党群服务中心、综合文化服务中心等为依托，打破部门壁垒和条块界限，整合理论宣讲、文化教育、科技科普、健身体育等方面的基层公共服务阵地资源，充分汇聚人才、项目、技术、平台等优势，实行阵地共建、活动共联、队伍共育，最大限度提高资源综合使用效益，着力搭建功能完善、优质高效的复合型文明实践服务平台。坚持群众在哪里、服务就 延伸到哪里，按照覆盖广泛、便利快捷的原则，以城乡社区、公共文化设施、窗口单位为重点，在车站码头、景区景点、公园、医院、商场及其他公共场所，广泛设立有人员、有项目、有管理的志愿服务基地或站点，构建点多面广、功能完备的“15分钟服务圈”。</w:t>
      </w:r>
      <w:r>
        <w:rPr>
          <w:rFonts w:hint="eastAsia" w:ascii="仿宋_GB2312" w:hAnsi="仿宋" w:eastAsia="仿宋_GB2312" w:cs="Times New Roman"/>
          <w:sz w:val="32"/>
          <w:lang w:val="en-US" w:eastAsia="zh-CN"/>
        </w:rPr>
        <w:t>2024年度，在全州范围内新建村史馆16个，累计达到527个、延伸打造新时代文明实践点（基地）52个，累计达到465个。</w:t>
      </w:r>
      <w:r>
        <w:rPr>
          <w:rFonts w:hint="default" w:ascii="仿宋_GB2312" w:hAnsi="仿宋" w:eastAsia="仿宋_GB2312" w:cs="Times New Roman"/>
          <w:sz w:val="32"/>
          <w:lang w:val="en-US" w:eastAsia="zh-CN"/>
        </w:rPr>
        <w:t>二是</w:t>
      </w:r>
      <w:r>
        <w:rPr>
          <w:rFonts w:hint="eastAsia" w:ascii="仿宋_GB2312" w:hAnsi="仿宋" w:eastAsia="仿宋_GB2312" w:cs="Times New Roman"/>
          <w:sz w:val="32"/>
          <w:lang w:val="en-US" w:eastAsia="zh-CN"/>
        </w:rPr>
        <w:t>促进新时代文明实践机制更健全</w:t>
      </w:r>
      <w:r>
        <w:rPr>
          <w:rFonts w:hint="default" w:ascii="仿宋_GB2312" w:hAnsi="仿宋" w:eastAsia="仿宋_GB2312" w:cs="Times New Roman"/>
          <w:sz w:val="32"/>
          <w:lang w:val="en-US" w:eastAsia="zh-CN"/>
        </w:rPr>
        <w:t>。</w:t>
      </w:r>
      <w:r>
        <w:rPr>
          <w:rFonts w:hint="eastAsia" w:ascii="仿宋_GB2312" w:hAnsi="仿宋" w:eastAsia="仿宋_GB2312" w:cs="Times New Roman"/>
          <w:sz w:val="32"/>
          <w:lang w:val="en-US" w:eastAsia="zh-CN"/>
        </w:rPr>
        <w:t>坚持把新时代文明实践中心建设工作情况纳入意识形态工作责任制落实情况监督检查和群众性精神文明创建标准，推动党委切实履行新时代文明实践中心建设的主体责任，健全完善县乡村三级党组织书记重点任务清单，进一步加强组织领导，及时研究解决重要问题。积极探索通过购买社会服务、聘用社会工作者、设置公益岗位、动员志愿者参与管理等方式，发展了一批文明实践专管员，建立起相对固定的工作队伍。健全完善阵地管理制度，加强值班值守和设施维护，坚决杜绝“门落锁、桌落灰”等现象。坚持工作日准时开放、节假日常态开放，坚决防止基层群众前来找不到人、办不了事、参加不了活动、享受不到服务。</w:t>
      </w:r>
      <w:r>
        <w:rPr>
          <w:rFonts w:hint="default" w:ascii="仿宋_GB2312" w:hAnsi="仿宋" w:eastAsia="仿宋_GB2312" w:cs="Times New Roman"/>
          <w:sz w:val="32"/>
          <w:lang w:val="en-US" w:eastAsia="zh-CN"/>
        </w:rPr>
        <w:t>三是</w:t>
      </w:r>
      <w:r>
        <w:rPr>
          <w:rFonts w:hint="eastAsia" w:ascii="仿宋_GB2312" w:hAnsi="仿宋" w:eastAsia="仿宋_GB2312" w:cs="Times New Roman"/>
          <w:sz w:val="32"/>
          <w:lang w:val="en-US" w:eastAsia="zh-CN"/>
        </w:rPr>
        <w:t>实现新时文明实践活动有生气</w:t>
      </w:r>
      <w:r>
        <w:rPr>
          <w:rFonts w:hint="default" w:ascii="仿宋_GB2312" w:hAnsi="仿宋" w:eastAsia="仿宋_GB2312" w:cs="Times New Roman"/>
          <w:sz w:val="32"/>
          <w:lang w:val="en-US" w:eastAsia="zh-CN"/>
        </w:rPr>
        <w:t>。</w:t>
      </w:r>
      <w:r>
        <w:rPr>
          <w:rFonts w:hint="eastAsia" w:ascii="仿宋_GB2312" w:hAnsi="仿宋" w:eastAsia="仿宋_GB2312" w:cs="Times New Roman"/>
          <w:sz w:val="32"/>
          <w:lang w:val="en-US" w:eastAsia="zh-CN"/>
        </w:rPr>
        <w:t>大力实施“理响阿坝”“德耀阿坝”“文润高原”“风新藏羌”“情暖万家”五大文明实践项目。始终把学习宣传习近平新时代中国特色社会主义思想作为首要任务，结合学习贯彻习近平总书记来川视察重要指示精神，打造了“雪山草的好人宣讲团”“家国爱”等基层理论宣讲品牌，广泛开展“百姓宣讲、志愿同行”系列基层宣讲活动，在春风化雨中推动党的创新理论“飞入寻常百姓家”，累计开展宣讲活动5000余次，受众达60余万人次。深化拓展“我们的节日”主题活动，常态开展“藏羌锅庄”“书画摄影”“全民健身”等群众乐于参与、便于参与的文化体育活动2000余场次，让人们获得精神滋养、</w:t>
      </w:r>
      <w:r>
        <w:rPr>
          <w:rFonts w:hint="default" w:ascii="仿宋_GB2312" w:hAnsi="仿宋" w:eastAsia="仿宋_GB2312" w:cs="Times New Roman"/>
          <w:sz w:val="32"/>
          <w:lang w:val="en-US" w:eastAsia="zh-CN"/>
        </w:rPr>
        <w:t>普享文化成果</w:t>
      </w:r>
      <w:r>
        <w:rPr>
          <w:rFonts w:hint="eastAsia" w:ascii="仿宋_GB2312" w:hAnsi="仿宋" w:eastAsia="仿宋_GB2312" w:cs="Times New Roman"/>
          <w:sz w:val="32"/>
          <w:lang w:val="en-US" w:eastAsia="zh-CN"/>
        </w:rPr>
        <w:t>。围绕“服务老、养育小、让中青年发展好”等群最现实关切，常态开展“我为群众办实事”实践活动，针对空巢老人、留守和困境儿童、残障人士及其他困难群众，策划实施</w:t>
      </w:r>
      <w:r>
        <w:rPr>
          <w:rFonts w:hint="default" w:ascii="仿宋_GB2312" w:hAnsi="仿宋" w:eastAsia="仿宋_GB2312" w:cs="Times New Roman"/>
          <w:sz w:val="32"/>
          <w:lang w:val="en-US" w:eastAsia="zh-CN"/>
        </w:rPr>
        <w:t>“爱心餐”“爱心水柜”“爱心驿站”</w:t>
      </w:r>
      <w:r>
        <w:rPr>
          <w:rFonts w:hint="eastAsia" w:ascii="仿宋_GB2312" w:hAnsi="仿宋" w:eastAsia="仿宋_GB2312" w:cs="Times New Roman"/>
          <w:sz w:val="32"/>
          <w:lang w:val="en-US" w:eastAsia="zh-CN"/>
        </w:rPr>
        <w:t>“爱心义剪”“五点半课题”等各类文明实践活动4700余场次，将最暖心的服务送给最需要的人，不断提升老百姓的获得感、幸福感。</w:t>
      </w:r>
    </w:p>
    <w:p w14:paraId="2ABAC03D">
      <w:pPr>
        <w:pStyle w:val="4"/>
        <w:pageBreakBefore w:val="0"/>
        <w:widowControl w:val="0"/>
        <w:kinsoku/>
        <w:wordWrap/>
        <w:overflowPunct/>
        <w:topLinePunct w:val="0"/>
        <w:autoSpaceDE/>
        <w:autoSpaceDN/>
        <w:bidi w:val="0"/>
        <w:spacing w:before="0" w:after="0" w:line="540" w:lineRule="exact"/>
        <w:ind w:firstLine="640" w:firstLineChars="200"/>
        <w:textAlignment w:val="auto"/>
        <w:rPr>
          <w:rStyle w:val="32"/>
          <w:rFonts w:ascii="Times New Roman" w:hAnsi="Times New Roman"/>
          <w:b w:val="0"/>
          <w:bCs w:val="0"/>
        </w:rPr>
      </w:pPr>
      <w:bookmarkStart w:id="12" w:name="_Toc15396601"/>
      <w:bookmarkStart w:id="13" w:name="_Toc15377200"/>
      <w:bookmarkStart w:id="14" w:name="_Toc12701"/>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2"/>
      <w:bookmarkEnd w:id="13"/>
      <w:bookmarkEnd w:id="14"/>
    </w:p>
    <w:p w14:paraId="3C748DAB">
      <w:pPr>
        <w:pStyle w:val="6"/>
        <w:pageBreakBefore w:val="0"/>
        <w:widowControl w:val="0"/>
        <w:kinsoku/>
        <w:wordWrap/>
        <w:overflowPunct/>
        <w:topLinePunct w:val="0"/>
        <w:autoSpaceDE/>
        <w:autoSpaceDN/>
        <w:bidi w:val="0"/>
        <w:spacing w:beforeLines="0" w:beforeAutospacing="0" w:afterAutospacing="0" w:line="540" w:lineRule="exact"/>
        <w:ind w:firstLine="640" w:firstLineChars="200"/>
        <w:textAlignment w:val="auto"/>
        <w:rPr>
          <w:rFonts w:hint="eastAsia" w:ascii="仿宋_GB2312" w:hAnsi="仿宋" w:eastAsia="仿宋_GB2312"/>
          <w:kern w:val="2"/>
          <w:sz w:val="32"/>
        </w:rPr>
      </w:pPr>
      <w:r>
        <w:rPr>
          <w:rFonts w:hint="eastAsia" w:ascii="仿宋_GB2312" w:hAnsi="仿宋_GB2312" w:eastAsia="仿宋_GB2312" w:cs="仿宋_GB2312"/>
          <w:sz w:val="32"/>
          <w:szCs w:val="32"/>
        </w:rPr>
        <w:t>阿坝州媒体服务中心</w:t>
      </w:r>
      <w:r>
        <w:rPr>
          <w:rFonts w:hint="eastAsia" w:ascii="仿宋_GB2312" w:hAnsi="仿宋" w:eastAsia="仿宋_GB2312"/>
          <w:kern w:val="2"/>
          <w:sz w:val="32"/>
        </w:rPr>
        <w:t>属</w:t>
      </w:r>
      <w:r>
        <w:rPr>
          <w:rFonts w:hint="eastAsia" w:hAnsi="仿宋"/>
          <w:kern w:val="2"/>
          <w:sz w:val="32"/>
          <w:lang w:eastAsia="zh-CN"/>
        </w:rPr>
        <w:t>四川省</w:t>
      </w:r>
      <w:r>
        <w:rPr>
          <w:rFonts w:hint="eastAsia" w:ascii="仿宋_GB2312" w:hAnsi="仿宋" w:eastAsia="仿宋_GB2312"/>
          <w:kern w:val="2"/>
          <w:sz w:val="32"/>
          <w:lang w:eastAsia="zh-CN"/>
        </w:rPr>
        <w:t>中共阿坝州委宣传部的二</w:t>
      </w:r>
      <w:r>
        <w:rPr>
          <w:rFonts w:hint="eastAsia" w:ascii="仿宋_GB2312" w:hAnsi="仿宋" w:eastAsia="仿宋_GB2312"/>
          <w:kern w:val="2"/>
          <w:sz w:val="32"/>
        </w:rPr>
        <w:t>级预算</w:t>
      </w:r>
      <w:r>
        <w:rPr>
          <w:rFonts w:hint="eastAsia" w:hAnsi="仿宋"/>
          <w:kern w:val="2"/>
          <w:sz w:val="32"/>
          <w:lang w:eastAsia="zh-CN"/>
        </w:rPr>
        <w:t>事业</w:t>
      </w:r>
      <w:r>
        <w:rPr>
          <w:rFonts w:hint="eastAsia" w:ascii="仿宋_GB2312" w:hAnsi="仿宋_GB2312" w:eastAsia="仿宋_GB2312" w:cs="仿宋_GB2312"/>
          <w:sz w:val="32"/>
          <w:szCs w:val="32"/>
          <w:lang w:eastAsia="zh-CN"/>
        </w:rPr>
        <w:t>，</w:t>
      </w:r>
      <w:r>
        <w:rPr>
          <w:rFonts w:hint="eastAsia" w:ascii="仿宋_GB2312" w:hAnsi="仿宋" w:eastAsia="仿宋_GB2312"/>
          <w:kern w:val="2"/>
          <w:sz w:val="32"/>
        </w:rPr>
        <w:t>州编委核定</w:t>
      </w:r>
      <w:r>
        <w:rPr>
          <w:rFonts w:hint="eastAsia" w:hAnsi="仿宋"/>
          <w:kern w:val="2"/>
          <w:sz w:val="32"/>
          <w:lang w:eastAsia="zh-CN"/>
        </w:rPr>
        <w:t>事业</w:t>
      </w:r>
      <w:r>
        <w:rPr>
          <w:rFonts w:hint="eastAsia" w:ascii="仿宋_GB2312" w:hAnsi="仿宋" w:eastAsia="仿宋_GB2312"/>
          <w:kern w:val="2"/>
          <w:sz w:val="32"/>
        </w:rPr>
        <w:t>编制</w:t>
      </w:r>
      <w:r>
        <w:rPr>
          <w:rFonts w:hint="eastAsia" w:hAnsi="仿宋"/>
          <w:kern w:val="2"/>
          <w:sz w:val="32"/>
          <w:lang w:val="en-US" w:eastAsia="zh-CN"/>
        </w:rPr>
        <w:t>14个（管理岗位）,无内设科室</w:t>
      </w:r>
      <w:r>
        <w:rPr>
          <w:rFonts w:hint="eastAsia" w:ascii="仿宋_GB2312" w:hAnsi="仿宋" w:eastAsia="仿宋_GB2312"/>
          <w:kern w:val="2"/>
          <w:sz w:val="32"/>
        </w:rPr>
        <w:t>。</w:t>
      </w:r>
    </w:p>
    <w:p w14:paraId="74174EBB">
      <w:pPr>
        <w:pStyle w:val="6"/>
        <w:pageBreakBefore w:val="0"/>
        <w:widowControl w:val="0"/>
        <w:kinsoku/>
        <w:wordWrap/>
        <w:overflowPunct/>
        <w:topLinePunct w:val="0"/>
        <w:autoSpaceDE/>
        <w:autoSpaceDN/>
        <w:bidi w:val="0"/>
        <w:adjustRightInd w:val="0"/>
        <w:snapToGrid w:val="0"/>
        <w:spacing w:beforeLines="0" w:line="540" w:lineRule="exact"/>
        <w:ind w:firstLine="672" w:firstLineChars="210"/>
        <w:textAlignment w:val="auto"/>
        <w:rPr>
          <w:rFonts w:ascii="Times New Roman" w:cs="仿宋_GB2312"/>
          <w:sz w:val="32"/>
          <w:szCs w:val="32"/>
        </w:rPr>
      </w:pPr>
      <w:r>
        <w:rPr>
          <w:rFonts w:hint="eastAsia" w:ascii="Times New Roman" w:cs="仿宋_GB2312"/>
          <w:sz w:val="32"/>
          <w:szCs w:val="32"/>
        </w:rPr>
        <w:t>纳入</w:t>
      </w:r>
      <w:r>
        <w:rPr>
          <w:rFonts w:hint="eastAsia" w:ascii="Times New Roman" w:cs="仿宋_GB2312"/>
          <w:sz w:val="32"/>
          <w:szCs w:val="32"/>
          <w:lang w:eastAsia="zh-CN"/>
        </w:rPr>
        <w:t>四川省</w:t>
      </w:r>
      <w:r>
        <w:rPr>
          <w:sz w:val="32"/>
          <w:szCs w:val="32"/>
        </w:rPr>
        <w:t>阿坝州媒体服务中心</w:t>
      </w:r>
      <w:r>
        <w:rPr>
          <w:rFonts w:hint="eastAsia" w:ascii="Times New Roman" w:cs="仿宋_GB2312"/>
          <w:sz w:val="32"/>
          <w:szCs w:val="32"/>
        </w:rPr>
        <w:t>2024年度部门决算编制范围的二级预算单位包括：</w:t>
      </w:r>
    </w:p>
    <w:p w14:paraId="0CE5F9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 w:eastAsia="仿宋_GB2312"/>
          <w:sz w:val="32"/>
          <w:lang w:val="en-US" w:eastAsia="zh-CN"/>
        </w:rPr>
      </w:pPr>
      <w:bookmarkStart w:id="15" w:name="_Toc15378449"/>
      <w:bookmarkStart w:id="16" w:name="_Toc15306276"/>
      <w:bookmarkStart w:id="17" w:name="_Toc15377433"/>
      <w:bookmarkStart w:id="18" w:name="_Toc15377202"/>
      <w:r>
        <w:rPr>
          <w:rFonts w:hint="eastAsia" w:ascii="仿宋_GB2312" w:hAnsi="仿宋" w:eastAsia="仿宋_GB2312"/>
          <w:sz w:val="32"/>
          <w:lang w:val="en-US" w:eastAsia="zh-CN"/>
        </w:rPr>
        <w:t>1.</w:t>
      </w:r>
      <w:r>
        <w:rPr>
          <w:rFonts w:hint="eastAsia" w:ascii="仿宋_GB2312" w:hAnsi="仿宋" w:eastAsia="仿宋_GB2312"/>
          <w:sz w:val="32"/>
        </w:rPr>
        <w:t>阿坝州媒体服务中心</w:t>
      </w:r>
      <w:bookmarkEnd w:id="15"/>
      <w:bookmarkEnd w:id="16"/>
      <w:bookmarkEnd w:id="17"/>
      <w:bookmarkEnd w:id="18"/>
      <w:r>
        <w:rPr>
          <w:rFonts w:hint="eastAsia" w:ascii="仿宋_GB2312" w:hAnsi="仿宋" w:eastAsia="仿宋_GB2312"/>
          <w:sz w:val="32"/>
          <w:lang w:eastAsia="zh-CN"/>
        </w:rPr>
        <w:t>，州编委核定事业编制</w:t>
      </w:r>
      <w:r>
        <w:rPr>
          <w:rFonts w:hint="eastAsia" w:ascii="仿宋_GB2312" w:hAnsi="仿宋" w:eastAsia="仿宋_GB2312"/>
          <w:sz w:val="32"/>
          <w:lang w:val="en-US" w:eastAsia="zh-CN"/>
        </w:rPr>
        <w:t>9个；</w:t>
      </w:r>
    </w:p>
    <w:p w14:paraId="718A05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 w:eastAsia="仿宋_GB2312"/>
          <w:sz w:val="32"/>
          <w:lang w:val="en-US" w:eastAsia="zh-CN"/>
        </w:rPr>
      </w:pPr>
      <w:r>
        <w:rPr>
          <w:rFonts w:hint="eastAsia" w:ascii="仿宋_GB2312" w:hAnsi="仿宋" w:eastAsia="仿宋_GB2312"/>
          <w:sz w:val="32"/>
          <w:lang w:val="en-US" w:eastAsia="zh-CN"/>
        </w:rPr>
        <w:t>2.</w:t>
      </w:r>
      <w:r>
        <w:rPr>
          <w:rFonts w:hint="eastAsia" w:ascii="仿宋_GB2312" w:hAnsi="仿宋" w:eastAsia="仿宋_GB2312"/>
          <w:sz w:val="32"/>
          <w:lang w:eastAsia="zh-CN"/>
        </w:rPr>
        <w:t>阿坝州新时代文明实践促进中心，州编委核定事业编制</w:t>
      </w:r>
      <w:r>
        <w:rPr>
          <w:rFonts w:hint="eastAsia" w:ascii="仿宋_GB2312" w:hAnsi="仿宋" w:eastAsia="仿宋_GB2312"/>
          <w:sz w:val="32"/>
          <w:lang w:val="en-US" w:eastAsia="zh-CN"/>
        </w:rPr>
        <w:t>5个。</w:t>
      </w:r>
    </w:p>
    <w:p w14:paraId="398CB866">
      <w:pPr>
        <w:widowControl/>
        <w:ind w:firstLine="640" w:firstLineChars="200"/>
        <w:jc w:val="left"/>
        <w:rPr>
          <w:rFonts w:eastAsia="仿宋"/>
          <w:kern w:val="0"/>
          <w:sz w:val="32"/>
          <w:szCs w:val="32"/>
        </w:rPr>
      </w:pPr>
      <w:r>
        <w:rPr>
          <w:rFonts w:eastAsia="仿宋"/>
          <w:sz w:val="32"/>
          <w:szCs w:val="32"/>
        </w:rPr>
        <w:br w:type="page"/>
      </w:r>
    </w:p>
    <w:p w14:paraId="42EB4F9F">
      <w:pPr>
        <w:pStyle w:val="3"/>
        <w:jc w:val="center"/>
        <w:rPr>
          <w:rFonts w:eastAsia="方正小标宋简体" w:cs="方正小标宋简体"/>
          <w:b w:val="0"/>
        </w:rPr>
      </w:pPr>
      <w:bookmarkStart w:id="19" w:name="_Toc15377204"/>
      <w:bookmarkStart w:id="20" w:name="_Toc15396602"/>
      <w:bookmarkStart w:id="21" w:name="_Toc454"/>
      <w:r>
        <w:rPr>
          <w:rFonts w:hint="eastAsia" w:eastAsia="方正小标宋简体" w:cs="方正小标宋简体"/>
          <w:b w:val="0"/>
        </w:rPr>
        <w:t>第二部分2024年度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19"/>
      <w:bookmarkEnd w:id="20"/>
      <w:bookmarkEnd w:id="21"/>
    </w:p>
    <w:p w14:paraId="7FEACA84">
      <w:pPr>
        <w:pStyle w:val="30"/>
        <w:spacing w:line="600" w:lineRule="exact"/>
        <w:ind w:firstLine="640"/>
        <w:outlineLvl w:val="1"/>
        <w:rPr>
          <w:rStyle w:val="32"/>
          <w:rFonts w:ascii="Times New Roman" w:hAnsi="Times New Roman" w:eastAsia="黑体"/>
          <w:b w:val="0"/>
        </w:rPr>
      </w:pPr>
      <w:bookmarkStart w:id="22" w:name="_Toc15806"/>
      <w:bookmarkStart w:id="23" w:name="_Toc15377205"/>
      <w:bookmarkStart w:id="24" w:name="_Toc15396603"/>
      <w:r>
        <w:rPr>
          <w:rFonts w:hint="eastAsia" w:eastAsia="黑体"/>
          <w:sz w:val="32"/>
          <w:szCs w:val="32"/>
        </w:rPr>
        <w:t>一、收</w:t>
      </w:r>
      <w:r>
        <w:rPr>
          <w:rStyle w:val="32"/>
          <w:rFonts w:hint="eastAsia" w:ascii="Times New Roman" w:hAnsi="Times New Roman" w:eastAsia="黑体"/>
          <w:b w:val="0"/>
        </w:rPr>
        <w:t>入支出决算总体情况说明</w:t>
      </w:r>
      <w:bookmarkEnd w:id="22"/>
      <w:bookmarkEnd w:id="23"/>
      <w:bookmarkEnd w:id="24"/>
    </w:p>
    <w:p w14:paraId="2B3EBE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 w:eastAsia="仿宋_GB2312"/>
          <w:sz w:val="32"/>
          <w:lang w:val="en-US" w:eastAsia="zh-CN"/>
        </w:rPr>
      </w:pPr>
      <w:r>
        <w:rPr>
          <w:rFonts w:hint="eastAsia" w:ascii="仿宋_GB2312" w:hAnsi="仿宋" w:eastAsia="仿宋_GB2312"/>
          <w:sz w:val="32"/>
        </w:rPr>
        <w:t>2024年度收入、支出总计均为135.53万元。与2023年度相比，收入、支出总计各增加</w:t>
      </w:r>
      <w:r>
        <w:rPr>
          <w:rFonts w:hint="eastAsia" w:ascii="仿宋_GB2312" w:hAnsi="仿宋" w:eastAsia="仿宋_GB2312"/>
          <w:sz w:val="32"/>
          <w:lang w:val="en-US" w:eastAsia="zh-CN"/>
        </w:rPr>
        <w:t>56.46</w:t>
      </w:r>
      <w:r>
        <w:rPr>
          <w:rFonts w:hint="eastAsia" w:ascii="仿宋_GB2312" w:hAnsi="仿宋" w:eastAsia="仿宋_GB2312"/>
          <w:sz w:val="32"/>
        </w:rPr>
        <w:t>万元，增长</w:t>
      </w:r>
      <w:r>
        <w:rPr>
          <w:rFonts w:hint="eastAsia" w:ascii="仿宋_GB2312" w:hAnsi="仿宋" w:eastAsia="仿宋_GB2312"/>
          <w:sz w:val="32"/>
          <w:lang w:val="en-US" w:eastAsia="zh-CN"/>
        </w:rPr>
        <w:t>71.4</w:t>
      </w:r>
      <w:r>
        <w:rPr>
          <w:rFonts w:hint="eastAsia" w:ascii="仿宋_GB2312" w:hAnsi="仿宋" w:eastAsia="仿宋_GB2312"/>
          <w:sz w:val="32"/>
        </w:rPr>
        <w:t>%。主要变动原因是</w:t>
      </w:r>
      <w:r>
        <w:rPr>
          <w:rFonts w:hint="eastAsia" w:ascii="仿宋_GB2312" w:hAnsi="仿宋" w:eastAsia="仿宋_GB2312"/>
          <w:sz w:val="32"/>
          <w:lang w:eastAsia="zh-CN"/>
        </w:rPr>
        <w:t>新成立阿坝州新时代文明实践促进中心，增加编制</w:t>
      </w:r>
      <w:r>
        <w:rPr>
          <w:rFonts w:hint="eastAsia" w:ascii="仿宋_GB2312" w:hAnsi="仿宋" w:eastAsia="仿宋_GB2312"/>
          <w:sz w:val="32"/>
          <w:lang w:val="en-US" w:eastAsia="zh-CN"/>
        </w:rPr>
        <w:t>5个，调进人员2人，工资、单位缴费增加，五险一金基数调增。</w:t>
      </w:r>
    </w:p>
    <w:p w14:paraId="22B2E1A9">
      <w:pPr>
        <w:ind w:firstLine="420" w:firstLineChars="200"/>
        <w:rPr>
          <w:rFonts w:eastAsia="仿宋_GB2312" w:cs="仿宋_GB2312"/>
          <w:sz w:val="32"/>
          <w:szCs w:val="32"/>
        </w:rPr>
      </w:pPr>
      <w:r>
        <w:drawing>
          <wp:inline distT="0" distB="0" distL="114300" distR="114300">
            <wp:extent cx="4572000" cy="2743200"/>
            <wp:effectExtent l="4445" t="4445" r="14605" b="14605"/>
            <wp:docPr id="106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0940FF">
      <w:pPr>
        <w:pStyle w:val="30"/>
        <w:spacing w:line="600" w:lineRule="exact"/>
        <w:ind w:firstLine="640"/>
        <w:outlineLvl w:val="1"/>
        <w:rPr>
          <w:rFonts w:eastAsia="黑体"/>
          <w:sz w:val="32"/>
          <w:szCs w:val="32"/>
        </w:rPr>
      </w:pPr>
      <w:bookmarkStart w:id="25" w:name="_Toc15396604"/>
      <w:bookmarkStart w:id="26" w:name="_Toc15377206"/>
      <w:bookmarkStart w:id="27" w:name="_Toc20268"/>
      <w:r>
        <w:rPr>
          <w:rFonts w:hint="eastAsia" w:eastAsia="黑体"/>
          <w:sz w:val="32"/>
          <w:szCs w:val="32"/>
        </w:rPr>
        <w:t>二、收入决算情况说明</w:t>
      </w:r>
      <w:bookmarkEnd w:id="25"/>
      <w:bookmarkEnd w:id="26"/>
      <w:bookmarkEnd w:id="27"/>
    </w:p>
    <w:p w14:paraId="2AFB1C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rPr>
        <w:t>2024年度本年收入合计135.53万元，其中：一般公共预算财政拨款收入135.53万元，占100%。</w:t>
      </w:r>
    </w:p>
    <w:p w14:paraId="47F09C48">
      <w:pPr>
        <w:ind w:firstLine="525" w:firstLineChars="250"/>
        <w:rPr>
          <w:rFonts w:eastAsia="仿宋_GB2312" w:cs="仿宋_GB2312"/>
          <w:sz w:val="32"/>
          <w:szCs w:val="32"/>
        </w:rPr>
      </w:pPr>
      <w:r>
        <w:drawing>
          <wp:inline distT="0" distB="0" distL="114300" distR="114300">
            <wp:extent cx="4123690" cy="1278890"/>
            <wp:effectExtent l="4445" t="4445" r="5715" b="12065"/>
            <wp:docPr id="107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3FF0F9">
      <w:pPr>
        <w:jc w:val="center"/>
        <w:rPr>
          <w:rFonts w:eastAsia="仿宋_GB2312" w:cs="仿宋_GB2312"/>
          <w:sz w:val="32"/>
          <w:szCs w:val="32"/>
        </w:rPr>
      </w:pPr>
      <w:r>
        <w:rPr>
          <w:rFonts w:hint="eastAsia" w:eastAsia="仿宋_GB2312" w:cs="仿宋_GB2312"/>
          <w:sz w:val="32"/>
          <w:szCs w:val="32"/>
        </w:rPr>
        <w:t>（图2：收入决算结构图）</w:t>
      </w:r>
    </w:p>
    <w:p w14:paraId="7E64D3AC">
      <w:pPr>
        <w:pStyle w:val="30"/>
        <w:spacing w:line="600" w:lineRule="exact"/>
        <w:ind w:firstLine="640"/>
        <w:outlineLvl w:val="1"/>
        <w:rPr>
          <w:rStyle w:val="32"/>
          <w:rFonts w:ascii="Times New Roman" w:hAnsi="Times New Roman" w:eastAsia="黑体"/>
          <w:b w:val="0"/>
        </w:rPr>
      </w:pPr>
      <w:bookmarkStart w:id="28" w:name="_Toc15377207"/>
      <w:bookmarkStart w:id="29" w:name="_Toc15396605"/>
      <w:bookmarkStart w:id="30" w:name="_Toc10958"/>
      <w:r>
        <w:rPr>
          <w:rFonts w:hint="eastAsia" w:eastAsia="黑体"/>
          <w:sz w:val="32"/>
          <w:szCs w:val="32"/>
        </w:rPr>
        <w:t>三、支</w:t>
      </w:r>
      <w:r>
        <w:rPr>
          <w:rStyle w:val="32"/>
          <w:rFonts w:hint="eastAsia" w:ascii="Times New Roman" w:hAnsi="Times New Roman" w:eastAsia="黑体"/>
          <w:b w:val="0"/>
        </w:rPr>
        <w:t>出决算情况说明</w:t>
      </w:r>
      <w:bookmarkEnd w:id="28"/>
      <w:bookmarkEnd w:id="29"/>
      <w:bookmarkEnd w:id="30"/>
    </w:p>
    <w:p w14:paraId="1A188E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rPr>
        <w:t>2024年度本年支出合计135.53万元，其中：基本支出135.53万元，占100%。</w:t>
      </w:r>
    </w:p>
    <w:p w14:paraId="1A5020E5">
      <w:pPr>
        <w:bidi w:val="0"/>
        <w:rPr>
          <w:rFonts w:hint="eastAsia"/>
        </w:rPr>
      </w:pPr>
      <w:r>
        <w:drawing>
          <wp:inline distT="0" distB="0" distL="114300" distR="114300">
            <wp:extent cx="4699000" cy="2276475"/>
            <wp:effectExtent l="4445" t="4445" r="20955" b="5080"/>
            <wp:docPr id="107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5966B1">
      <w:pPr>
        <w:jc w:val="center"/>
        <w:rPr>
          <w:rFonts w:eastAsia="仿宋_GB2312" w:cs="仿宋_GB2312"/>
          <w:sz w:val="32"/>
          <w:szCs w:val="32"/>
        </w:rPr>
      </w:pPr>
      <w:r>
        <w:rPr>
          <w:rFonts w:hint="eastAsia" w:eastAsia="仿宋_GB2312" w:cs="仿宋_GB2312"/>
          <w:sz w:val="32"/>
          <w:szCs w:val="32"/>
        </w:rPr>
        <w:t>（图3：支出决算结构图）</w:t>
      </w:r>
    </w:p>
    <w:p w14:paraId="6FDE9338">
      <w:pPr>
        <w:spacing w:line="600" w:lineRule="exact"/>
        <w:ind w:firstLine="640" w:firstLineChars="200"/>
        <w:outlineLvl w:val="1"/>
        <w:rPr>
          <w:rStyle w:val="32"/>
          <w:rFonts w:ascii="Times New Roman" w:hAnsi="Times New Roman" w:eastAsia="黑体"/>
          <w:b w:val="0"/>
        </w:rPr>
      </w:pPr>
      <w:bookmarkStart w:id="31" w:name="_Toc15377208"/>
      <w:bookmarkStart w:id="32" w:name="_Toc15396606"/>
      <w:bookmarkStart w:id="33" w:name="_Toc2137"/>
      <w:r>
        <w:rPr>
          <w:rFonts w:hint="eastAsia" w:eastAsia="黑体"/>
          <w:sz w:val="32"/>
          <w:szCs w:val="32"/>
        </w:rPr>
        <w:t>四、财</w:t>
      </w:r>
      <w:r>
        <w:rPr>
          <w:rStyle w:val="32"/>
          <w:rFonts w:hint="eastAsia" w:ascii="Times New Roman" w:hAnsi="Times New Roman" w:eastAsia="黑体"/>
          <w:b w:val="0"/>
        </w:rPr>
        <w:t>政拨款收入支出决算总体情况说明</w:t>
      </w:r>
      <w:bookmarkEnd w:id="31"/>
      <w:bookmarkEnd w:id="32"/>
      <w:bookmarkEnd w:id="33"/>
    </w:p>
    <w:p w14:paraId="08E345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仿宋_GB2312"/>
          <w:sz w:val="32"/>
          <w:szCs w:val="32"/>
          <w:lang w:val="en-US" w:eastAsia="zh-CN"/>
        </w:rPr>
      </w:pPr>
      <w:r>
        <w:rPr>
          <w:rFonts w:hint="eastAsia" w:ascii="仿宋_GB2312" w:hAnsi="仿宋" w:eastAsia="仿宋_GB2312"/>
          <w:sz w:val="32"/>
        </w:rPr>
        <w:t>2024年度财政拨款收入、支出总计均为135.53万元。与2023年度相比，财政拨款收入总计、支出总计各增加</w:t>
      </w:r>
      <w:r>
        <w:rPr>
          <w:rFonts w:hint="eastAsia" w:ascii="仿宋_GB2312" w:hAnsi="仿宋" w:eastAsia="仿宋_GB2312"/>
          <w:sz w:val="32"/>
          <w:lang w:val="en-US" w:eastAsia="zh-CN"/>
        </w:rPr>
        <w:t>56.46</w:t>
      </w:r>
      <w:r>
        <w:rPr>
          <w:rFonts w:hint="eastAsia" w:ascii="仿宋_GB2312" w:hAnsi="仿宋" w:eastAsia="仿宋_GB2312"/>
          <w:sz w:val="32"/>
        </w:rPr>
        <w:t>万元，增长</w:t>
      </w:r>
      <w:r>
        <w:rPr>
          <w:rFonts w:hint="eastAsia" w:ascii="仿宋_GB2312" w:hAnsi="仿宋" w:eastAsia="仿宋_GB2312"/>
          <w:sz w:val="32"/>
          <w:lang w:val="en-US" w:eastAsia="zh-CN"/>
        </w:rPr>
        <w:t>71.4</w:t>
      </w:r>
      <w:r>
        <w:rPr>
          <w:rFonts w:hint="eastAsia" w:ascii="仿宋_GB2312" w:hAnsi="仿宋" w:eastAsia="仿宋_GB2312"/>
          <w:sz w:val="32"/>
        </w:rPr>
        <w:t>%。主要变动原因是</w:t>
      </w:r>
      <w:r>
        <w:rPr>
          <w:rFonts w:hint="eastAsia" w:ascii="仿宋_GB2312" w:hAnsi="仿宋" w:eastAsia="仿宋_GB2312"/>
          <w:sz w:val="32"/>
          <w:lang w:eastAsia="zh-CN"/>
        </w:rPr>
        <w:t>新成立阿坝州新时代文明实践促进中心，增加编制</w:t>
      </w:r>
      <w:r>
        <w:rPr>
          <w:rFonts w:hint="eastAsia" w:ascii="仿宋_GB2312" w:hAnsi="仿宋" w:eastAsia="仿宋_GB2312"/>
          <w:sz w:val="32"/>
          <w:lang w:val="en-US" w:eastAsia="zh-CN"/>
        </w:rPr>
        <w:t>5个，调进人员2人，工资、单位缴费增加，五险一金基数调增。</w:t>
      </w:r>
    </w:p>
    <w:p w14:paraId="3E81BC3E">
      <w:pPr>
        <w:bidi w:val="0"/>
        <w:rPr>
          <w:rFonts w:hint="eastAsia" w:eastAsia="黑体"/>
          <w:sz w:val="32"/>
          <w:szCs w:val="32"/>
        </w:rPr>
      </w:pPr>
      <w:r>
        <w:drawing>
          <wp:inline distT="0" distB="0" distL="114300" distR="114300">
            <wp:extent cx="5260975" cy="2743200"/>
            <wp:effectExtent l="4445" t="4445" r="11430" b="14605"/>
            <wp:docPr id="1065"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34" w:name="_Toc15396607"/>
      <w:bookmarkStart w:id="35" w:name="_Toc15377209"/>
    </w:p>
    <w:p w14:paraId="5566F454">
      <w:pPr>
        <w:spacing w:line="600" w:lineRule="exact"/>
        <w:ind w:firstLine="640" w:firstLineChars="200"/>
        <w:outlineLvl w:val="1"/>
        <w:rPr>
          <w:rStyle w:val="32"/>
          <w:rFonts w:ascii="Times New Roman" w:hAnsi="Times New Roman" w:eastAsia="黑体"/>
          <w:b w:val="0"/>
        </w:rPr>
      </w:pPr>
      <w:bookmarkStart w:id="36" w:name="_Toc32211"/>
      <w:r>
        <w:rPr>
          <w:rFonts w:hint="eastAsia" w:eastAsia="黑体"/>
          <w:sz w:val="32"/>
          <w:szCs w:val="32"/>
        </w:rPr>
        <w:t>五、</w:t>
      </w:r>
      <w:r>
        <w:rPr>
          <w:rFonts w:hint="eastAsia" w:eastAsia="黑体"/>
          <w:b/>
          <w:sz w:val="32"/>
          <w:szCs w:val="32"/>
        </w:rPr>
        <w:t>一</w:t>
      </w:r>
      <w:r>
        <w:rPr>
          <w:rStyle w:val="32"/>
          <w:rFonts w:hint="eastAsia" w:ascii="Times New Roman" w:hAnsi="Times New Roman" w:eastAsia="黑体"/>
          <w:b w:val="0"/>
        </w:rPr>
        <w:t>般公共预算财政拨款支出决算情况说明</w:t>
      </w:r>
      <w:bookmarkEnd w:id="34"/>
      <w:bookmarkEnd w:id="35"/>
      <w:bookmarkEnd w:id="36"/>
    </w:p>
    <w:p w14:paraId="5A5A478F">
      <w:pPr>
        <w:spacing w:line="600" w:lineRule="exact"/>
        <w:ind w:firstLine="643" w:firstLineChars="200"/>
        <w:outlineLvl w:val="2"/>
        <w:rPr>
          <w:rFonts w:eastAsia="楷体_GB2312" w:cs="楷体_GB2312"/>
          <w:b/>
          <w:sz w:val="32"/>
          <w:szCs w:val="32"/>
        </w:rPr>
      </w:pPr>
      <w:bookmarkStart w:id="37" w:name="_Toc5312"/>
      <w:bookmarkStart w:id="38" w:name="_Toc15377210"/>
      <w:r>
        <w:rPr>
          <w:rFonts w:hint="eastAsia" w:eastAsia="楷体_GB2312" w:cs="楷体_GB2312"/>
          <w:b/>
          <w:sz w:val="32"/>
          <w:szCs w:val="32"/>
        </w:rPr>
        <w:t>（一）一般公共预算财政拨款支出决算总体情况</w:t>
      </w:r>
      <w:bookmarkEnd w:id="37"/>
      <w:bookmarkEnd w:id="38"/>
    </w:p>
    <w:p w14:paraId="0C0C8B21">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2024年度一般公共预算财政拨款支出135.53万元，占本年支出合计的100%。与2023年度相比，一般公共预算财政拨款支出增加</w:t>
      </w:r>
      <w:r>
        <w:rPr>
          <w:rFonts w:hint="eastAsia" w:eastAsia="仿宋_GB2312" w:cs="仿宋_GB2312"/>
          <w:sz w:val="32"/>
          <w:szCs w:val="32"/>
          <w:lang w:val="en-US" w:eastAsia="zh-CN"/>
        </w:rPr>
        <w:t>56.46</w:t>
      </w:r>
      <w:r>
        <w:rPr>
          <w:rFonts w:hint="eastAsia" w:eastAsia="仿宋_GB2312" w:cs="仿宋_GB2312"/>
          <w:sz w:val="32"/>
          <w:szCs w:val="32"/>
        </w:rPr>
        <w:t>万元，增长</w:t>
      </w:r>
      <w:r>
        <w:rPr>
          <w:rFonts w:hint="eastAsia" w:eastAsia="仿宋_GB2312" w:cs="仿宋_GB2312"/>
          <w:sz w:val="32"/>
          <w:szCs w:val="32"/>
          <w:lang w:val="en-US" w:eastAsia="zh-CN"/>
        </w:rPr>
        <w:t>71.4</w:t>
      </w:r>
      <w:r>
        <w:rPr>
          <w:rFonts w:hint="eastAsia" w:eastAsia="仿宋_GB2312" w:cs="仿宋_GB2312"/>
          <w:sz w:val="32"/>
          <w:szCs w:val="32"/>
        </w:rPr>
        <w:t>%。主要变动原因是</w:t>
      </w:r>
      <w:r>
        <w:rPr>
          <w:rFonts w:hint="eastAsia" w:eastAsia="仿宋_GB2312" w:cs="仿宋_GB2312"/>
          <w:sz w:val="32"/>
          <w:szCs w:val="32"/>
          <w:lang w:eastAsia="zh-CN"/>
        </w:rPr>
        <w:t>新成立阿坝州新时代文明实践促进中心，增加编制</w:t>
      </w:r>
      <w:r>
        <w:rPr>
          <w:rFonts w:hint="eastAsia" w:eastAsia="仿宋_GB2312" w:cs="仿宋_GB2312"/>
          <w:sz w:val="32"/>
          <w:szCs w:val="32"/>
          <w:lang w:val="en-US" w:eastAsia="zh-CN"/>
        </w:rPr>
        <w:t>5个，调进人员2人，工资、单位缴费增加，五险一金基数调增。</w:t>
      </w:r>
    </w:p>
    <w:p w14:paraId="1BF49737">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rPr>
      </w:pPr>
    </w:p>
    <w:p w14:paraId="55F2D0FD">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rPr>
      </w:pPr>
      <w:r>
        <w:drawing>
          <wp:inline distT="0" distB="0" distL="114300" distR="114300">
            <wp:extent cx="4572000" cy="2743200"/>
            <wp:effectExtent l="4445" t="4445" r="14605" b="14605"/>
            <wp:docPr id="107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71DA27">
      <w:pPr>
        <w:spacing w:line="600" w:lineRule="exact"/>
        <w:ind w:firstLine="643" w:firstLineChars="200"/>
        <w:outlineLvl w:val="2"/>
        <w:rPr>
          <w:rFonts w:eastAsia="楷体_GB2312" w:cs="楷体_GB2312"/>
          <w:b/>
          <w:sz w:val="32"/>
          <w:szCs w:val="32"/>
        </w:rPr>
      </w:pPr>
      <w:bookmarkStart w:id="39" w:name="_Toc17627"/>
      <w:bookmarkStart w:id="40" w:name="_Toc15377211"/>
      <w:r>
        <w:rPr>
          <w:rFonts w:hint="eastAsia" w:eastAsia="楷体_GB2312" w:cs="楷体_GB2312"/>
          <w:b/>
          <w:sz w:val="32"/>
          <w:szCs w:val="32"/>
        </w:rPr>
        <w:t>（二）一般公共预算财政拨款支出决算结构情况</w:t>
      </w:r>
      <w:bookmarkEnd w:id="39"/>
      <w:bookmarkEnd w:id="40"/>
    </w:p>
    <w:p w14:paraId="4252BC92">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135.53万元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100.30</w:t>
      </w:r>
      <w:r>
        <w:rPr>
          <w:rFonts w:hint="eastAsia" w:eastAsia="仿宋_GB2312" w:cs="仿宋_GB2312"/>
          <w:sz w:val="32"/>
          <w:szCs w:val="32"/>
        </w:rPr>
        <w:t>万元，占</w:t>
      </w:r>
      <w:r>
        <w:rPr>
          <w:rFonts w:hint="eastAsia" w:eastAsia="仿宋_GB2312" w:cs="仿宋_GB2312"/>
          <w:sz w:val="32"/>
          <w:szCs w:val="32"/>
          <w:lang w:val="en-US" w:eastAsia="zh-CN"/>
        </w:rPr>
        <w:t>74.00</w:t>
      </w:r>
      <w:r>
        <w:rPr>
          <w:rFonts w:hint="eastAsia" w:eastAsia="仿宋_GB2312" w:cs="仿宋_GB2312"/>
          <w:sz w:val="32"/>
          <w:szCs w:val="32"/>
        </w:rPr>
        <w:t>%；教育支出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%；科学技术支出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%；文化旅游体育与传媒支出</w:t>
      </w:r>
      <w:r>
        <w:rPr>
          <w:rFonts w:hint="eastAsia" w:eastAsia="仿宋_GB2312" w:cs="仿宋_GB2312"/>
          <w:sz w:val="32"/>
          <w:szCs w:val="32"/>
          <w:lang w:val="en-US" w:eastAsia="zh-CN"/>
        </w:rPr>
        <w:t>0</w:t>
      </w:r>
      <w:r>
        <w:rPr>
          <w:rFonts w:hint="eastAsia" w:eastAsia="仿宋_GB2312" w:cs="仿宋_GB2312"/>
          <w:sz w:val="32"/>
          <w:szCs w:val="32"/>
        </w:rPr>
        <w:t>万元，占</w:t>
      </w:r>
      <w:r>
        <w:rPr>
          <w:rFonts w:hint="eastAsia" w:eastAsia="仿宋_GB2312" w:cs="仿宋_GB2312"/>
          <w:sz w:val="32"/>
          <w:szCs w:val="32"/>
          <w:lang w:val="en-US" w:eastAsia="zh-CN"/>
        </w:rPr>
        <w:t>0</w:t>
      </w:r>
      <w:r>
        <w:rPr>
          <w:rFonts w:hint="eastAsia" w:eastAsia="仿宋_GB2312" w:cs="仿宋_GB2312"/>
          <w:sz w:val="32"/>
          <w:szCs w:val="32"/>
        </w:rPr>
        <w:t>%；社会保障和就业支出</w:t>
      </w:r>
      <w:r>
        <w:rPr>
          <w:rFonts w:hint="eastAsia" w:eastAsia="仿宋_GB2312" w:cs="仿宋_GB2312"/>
          <w:sz w:val="32"/>
          <w:szCs w:val="32"/>
          <w:lang w:val="en-US" w:eastAsia="zh-CN"/>
        </w:rPr>
        <w:t>17.97</w:t>
      </w:r>
      <w:r>
        <w:rPr>
          <w:rFonts w:hint="eastAsia" w:eastAsia="仿宋_GB2312" w:cs="仿宋_GB2312"/>
          <w:sz w:val="32"/>
          <w:szCs w:val="32"/>
        </w:rPr>
        <w:t>万元，占</w:t>
      </w:r>
      <w:r>
        <w:rPr>
          <w:rFonts w:hint="eastAsia" w:eastAsia="仿宋_GB2312" w:cs="仿宋_GB2312"/>
          <w:sz w:val="32"/>
          <w:szCs w:val="32"/>
          <w:lang w:val="en-US" w:eastAsia="zh-CN"/>
        </w:rPr>
        <w:t>13.26</w:t>
      </w:r>
      <w:r>
        <w:rPr>
          <w:rFonts w:hint="eastAsia" w:eastAsia="仿宋_GB2312" w:cs="仿宋_GB2312"/>
          <w:sz w:val="32"/>
          <w:szCs w:val="32"/>
        </w:rPr>
        <w:t>%；卫生健康支出</w:t>
      </w:r>
      <w:r>
        <w:rPr>
          <w:rFonts w:hint="eastAsia" w:eastAsia="仿宋_GB2312" w:cs="仿宋_GB2312"/>
          <w:sz w:val="32"/>
          <w:szCs w:val="32"/>
          <w:lang w:val="en-US" w:eastAsia="zh-CN"/>
        </w:rPr>
        <w:t>7.19</w:t>
      </w:r>
      <w:r>
        <w:rPr>
          <w:rFonts w:hint="eastAsia" w:eastAsia="仿宋_GB2312" w:cs="仿宋_GB2312"/>
          <w:sz w:val="32"/>
          <w:szCs w:val="32"/>
        </w:rPr>
        <w:t>万元，占</w:t>
      </w:r>
      <w:r>
        <w:rPr>
          <w:rFonts w:hint="eastAsia" w:eastAsia="仿宋_GB2312" w:cs="仿宋_GB2312"/>
          <w:sz w:val="32"/>
          <w:szCs w:val="32"/>
          <w:lang w:val="en-US" w:eastAsia="zh-CN"/>
        </w:rPr>
        <w:t>5.31</w:t>
      </w:r>
      <w:r>
        <w:rPr>
          <w:rFonts w:hint="eastAsia" w:eastAsia="仿宋_GB2312" w:cs="仿宋_GB2312"/>
          <w:sz w:val="32"/>
          <w:szCs w:val="32"/>
        </w:rPr>
        <w:t>%；住房保障支出</w:t>
      </w:r>
      <w:r>
        <w:rPr>
          <w:rFonts w:hint="eastAsia" w:eastAsia="仿宋_GB2312" w:cs="仿宋_GB2312"/>
          <w:sz w:val="32"/>
          <w:szCs w:val="32"/>
          <w:lang w:val="en-US" w:eastAsia="zh-CN"/>
        </w:rPr>
        <w:t>10.07</w:t>
      </w:r>
      <w:r>
        <w:rPr>
          <w:rFonts w:hint="eastAsia" w:eastAsia="仿宋_GB2312" w:cs="仿宋_GB2312"/>
          <w:sz w:val="32"/>
          <w:szCs w:val="32"/>
        </w:rPr>
        <w:t>万元，占</w:t>
      </w:r>
      <w:r>
        <w:rPr>
          <w:rFonts w:hint="eastAsia" w:eastAsia="仿宋_GB2312" w:cs="仿宋_GB2312"/>
          <w:sz w:val="32"/>
          <w:szCs w:val="32"/>
          <w:lang w:val="en-US" w:eastAsia="zh-CN"/>
        </w:rPr>
        <w:t>7.43</w:t>
      </w:r>
      <w:r>
        <w:rPr>
          <w:rFonts w:hint="eastAsia" w:eastAsia="仿宋_GB2312" w:cs="仿宋_GB2312"/>
          <w:sz w:val="32"/>
          <w:szCs w:val="32"/>
        </w:rPr>
        <w:t>%</w:t>
      </w:r>
      <w:r>
        <w:rPr>
          <w:rFonts w:hint="eastAsia" w:eastAsia="仿宋_GB2312" w:cs="仿宋_GB2312"/>
          <w:sz w:val="32"/>
          <w:szCs w:val="32"/>
          <w:lang w:eastAsia="zh-CN"/>
        </w:rPr>
        <w:t>。</w:t>
      </w:r>
    </w:p>
    <w:p w14:paraId="71ED95A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lang w:val="en-US" w:eastAsia="zh-CN"/>
        </w:rPr>
      </w:pPr>
      <w:r>
        <w:drawing>
          <wp:inline distT="0" distB="0" distL="114300" distR="114300">
            <wp:extent cx="3724275" cy="2057400"/>
            <wp:effectExtent l="4445" t="5080" r="5080" b="13970"/>
            <wp:docPr id="108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4D618B">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0AB0B6F0">
      <w:pPr>
        <w:spacing w:line="600" w:lineRule="exact"/>
        <w:ind w:firstLine="643" w:firstLineChars="200"/>
        <w:outlineLvl w:val="2"/>
        <w:rPr>
          <w:rFonts w:eastAsia="楷体_GB2312" w:cs="楷体_GB2312"/>
          <w:b/>
          <w:sz w:val="32"/>
          <w:szCs w:val="32"/>
        </w:rPr>
      </w:pPr>
      <w:bookmarkStart w:id="41" w:name="_Toc15377212"/>
      <w:bookmarkStart w:id="42" w:name="_Toc1299"/>
      <w:r>
        <w:rPr>
          <w:rFonts w:hint="eastAsia" w:eastAsia="楷体_GB2312" w:cs="楷体_GB2312"/>
          <w:b/>
          <w:sz w:val="32"/>
          <w:szCs w:val="32"/>
        </w:rPr>
        <w:t>（三）一般公共预算财政拨款支出决算具体情况</w:t>
      </w:r>
      <w:bookmarkEnd w:id="41"/>
      <w:bookmarkEnd w:id="42"/>
    </w:p>
    <w:p w14:paraId="7B2D6FD4">
      <w:pPr>
        <w:spacing w:line="600" w:lineRule="exact"/>
        <w:ind w:firstLine="640"/>
        <w:rPr>
          <w:rFonts w:eastAsia="仿宋_GB2312" w:cs="仿宋_GB2312"/>
          <w:sz w:val="32"/>
          <w:szCs w:val="32"/>
        </w:rPr>
      </w:pPr>
      <w:bookmarkStart w:id="43" w:name="_Toc15377213"/>
      <w:bookmarkStart w:id="44" w:name="_Toc15377444"/>
      <w:bookmarkStart w:id="45"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135.53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43"/>
      <w:bookmarkEnd w:id="44"/>
      <w:bookmarkEnd w:id="45"/>
    </w:p>
    <w:p w14:paraId="4339F7CD">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1.一般公共服务</w:t>
      </w:r>
      <w:r>
        <w:rPr>
          <w:rFonts w:hint="eastAsia" w:eastAsia="仿宋_GB2312" w:cs="仿宋_GB2312"/>
          <w:b/>
          <w:bCs/>
          <w:sz w:val="32"/>
          <w:szCs w:val="32"/>
          <w:lang w:val="en-US" w:eastAsia="zh-CN"/>
        </w:rPr>
        <w:t>201</w:t>
      </w:r>
      <w:r>
        <w:rPr>
          <w:rFonts w:hint="eastAsia" w:eastAsia="仿宋_GB2312" w:cs="仿宋_GB2312"/>
          <w:b/>
          <w:bCs/>
          <w:sz w:val="32"/>
          <w:szCs w:val="32"/>
        </w:rPr>
        <w:t>（类）</w:t>
      </w:r>
      <w:r>
        <w:rPr>
          <w:rFonts w:hint="eastAsia" w:eastAsia="仿宋_GB2312" w:cs="仿宋_GB2312"/>
          <w:b/>
          <w:bCs/>
          <w:sz w:val="32"/>
          <w:szCs w:val="32"/>
          <w:lang w:val="en-US" w:eastAsia="zh-CN"/>
        </w:rPr>
        <w:t>33</w:t>
      </w:r>
      <w:r>
        <w:rPr>
          <w:rFonts w:hint="eastAsia" w:eastAsia="仿宋_GB2312" w:cs="仿宋_GB2312"/>
          <w:b/>
          <w:bCs/>
          <w:sz w:val="32"/>
          <w:szCs w:val="32"/>
        </w:rPr>
        <w:t>（款）</w:t>
      </w:r>
      <w:r>
        <w:rPr>
          <w:rFonts w:hint="eastAsia" w:eastAsia="仿宋_GB2312" w:cs="仿宋_GB2312"/>
          <w:b/>
          <w:bCs/>
          <w:sz w:val="32"/>
          <w:szCs w:val="32"/>
          <w:lang w:val="en-US" w:eastAsia="zh-CN"/>
        </w:rPr>
        <w:t>50</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100.30</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w:t>
      </w:r>
      <w:r>
        <w:rPr>
          <w:rFonts w:hint="eastAsia" w:eastAsia="仿宋_GB2312" w:cs="仿宋_GB2312"/>
          <w:sz w:val="32"/>
          <w:szCs w:val="32"/>
          <w:lang w:eastAsia="zh-CN"/>
        </w:rPr>
        <w:t>与</w:t>
      </w:r>
      <w:r>
        <w:rPr>
          <w:rFonts w:hint="eastAsia" w:eastAsia="仿宋_GB2312" w:cs="仿宋_GB2312"/>
          <w:sz w:val="32"/>
          <w:szCs w:val="32"/>
        </w:rPr>
        <w:t>预算数</w:t>
      </w:r>
      <w:r>
        <w:rPr>
          <w:rFonts w:hint="eastAsia" w:eastAsia="仿宋_GB2312" w:cs="仿宋_GB2312"/>
          <w:sz w:val="32"/>
          <w:szCs w:val="32"/>
          <w:lang w:eastAsia="zh-CN"/>
        </w:rPr>
        <w:t>持平。</w:t>
      </w:r>
    </w:p>
    <w:p w14:paraId="17361B84">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2.社会保障和就业</w:t>
      </w:r>
      <w:r>
        <w:rPr>
          <w:rFonts w:hint="eastAsia" w:eastAsia="仿宋_GB2312" w:cs="仿宋_GB2312"/>
          <w:b/>
          <w:bCs/>
          <w:sz w:val="32"/>
          <w:szCs w:val="32"/>
          <w:lang w:val="en-US" w:eastAsia="zh-CN"/>
        </w:rPr>
        <w:t>208</w:t>
      </w:r>
      <w:r>
        <w:rPr>
          <w:rFonts w:hint="eastAsia" w:eastAsia="仿宋_GB2312" w:cs="仿宋_GB2312"/>
          <w:b/>
          <w:bCs/>
          <w:sz w:val="32"/>
          <w:szCs w:val="32"/>
        </w:rPr>
        <w:t>（类）</w:t>
      </w:r>
      <w:r>
        <w:rPr>
          <w:rFonts w:hint="eastAsia" w:eastAsia="仿宋_GB2312" w:cs="仿宋_GB2312"/>
          <w:b/>
          <w:bCs/>
          <w:sz w:val="32"/>
          <w:szCs w:val="32"/>
          <w:lang w:val="en-US" w:eastAsia="zh-CN"/>
        </w:rPr>
        <w:t>05</w:t>
      </w:r>
      <w:r>
        <w:rPr>
          <w:rFonts w:hint="eastAsia" w:eastAsia="仿宋_GB2312" w:cs="仿宋_GB2312"/>
          <w:b/>
          <w:bCs/>
          <w:sz w:val="32"/>
          <w:szCs w:val="32"/>
        </w:rPr>
        <w:t>（款）</w:t>
      </w:r>
      <w:r>
        <w:rPr>
          <w:rFonts w:hint="eastAsia" w:eastAsia="仿宋_GB2312" w:cs="仿宋_GB2312"/>
          <w:b/>
          <w:bCs/>
          <w:sz w:val="32"/>
          <w:szCs w:val="32"/>
          <w:lang w:val="en-US" w:eastAsia="zh-CN"/>
        </w:rPr>
        <w:t>05</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11.98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w:t>
      </w:r>
      <w:r>
        <w:rPr>
          <w:rFonts w:hint="eastAsia" w:eastAsia="仿宋_GB2312" w:cs="仿宋_GB2312"/>
          <w:sz w:val="32"/>
          <w:szCs w:val="32"/>
          <w:lang w:eastAsia="zh-CN"/>
        </w:rPr>
        <w:t>与</w:t>
      </w:r>
      <w:r>
        <w:rPr>
          <w:rFonts w:hint="eastAsia" w:eastAsia="仿宋_GB2312" w:cs="仿宋_GB2312"/>
          <w:sz w:val="32"/>
          <w:szCs w:val="32"/>
        </w:rPr>
        <w:t>预算数</w:t>
      </w:r>
      <w:r>
        <w:rPr>
          <w:rFonts w:hint="eastAsia" w:eastAsia="仿宋_GB2312" w:cs="仿宋_GB2312"/>
          <w:sz w:val="32"/>
          <w:szCs w:val="32"/>
          <w:lang w:eastAsia="zh-CN"/>
        </w:rPr>
        <w:t>持平。</w:t>
      </w:r>
    </w:p>
    <w:p w14:paraId="5A80B015">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3</w:t>
      </w:r>
      <w:r>
        <w:rPr>
          <w:rFonts w:hint="eastAsia" w:eastAsia="仿宋_GB2312" w:cs="仿宋_GB2312"/>
          <w:b/>
          <w:bCs/>
          <w:sz w:val="32"/>
          <w:szCs w:val="32"/>
        </w:rPr>
        <w:t>.社会保障和就业</w:t>
      </w:r>
      <w:r>
        <w:rPr>
          <w:rFonts w:hint="eastAsia" w:eastAsia="仿宋_GB2312" w:cs="仿宋_GB2312"/>
          <w:b/>
          <w:bCs/>
          <w:sz w:val="32"/>
          <w:szCs w:val="32"/>
          <w:lang w:val="en-US" w:eastAsia="zh-CN"/>
        </w:rPr>
        <w:t>208</w:t>
      </w:r>
      <w:r>
        <w:rPr>
          <w:rFonts w:hint="eastAsia" w:eastAsia="仿宋_GB2312" w:cs="仿宋_GB2312"/>
          <w:b/>
          <w:bCs/>
          <w:sz w:val="32"/>
          <w:szCs w:val="32"/>
        </w:rPr>
        <w:t>（类）</w:t>
      </w:r>
      <w:r>
        <w:rPr>
          <w:rFonts w:hint="eastAsia" w:eastAsia="仿宋_GB2312" w:cs="仿宋_GB2312"/>
          <w:b/>
          <w:bCs/>
          <w:sz w:val="32"/>
          <w:szCs w:val="32"/>
          <w:lang w:val="en-US" w:eastAsia="zh-CN"/>
        </w:rPr>
        <w:t>05</w:t>
      </w:r>
      <w:r>
        <w:rPr>
          <w:rFonts w:hint="eastAsia" w:eastAsia="仿宋_GB2312" w:cs="仿宋_GB2312"/>
          <w:b/>
          <w:bCs/>
          <w:sz w:val="32"/>
          <w:szCs w:val="32"/>
        </w:rPr>
        <w:t>（款）</w:t>
      </w:r>
      <w:r>
        <w:rPr>
          <w:rFonts w:hint="eastAsia" w:eastAsia="仿宋_GB2312" w:cs="仿宋_GB2312"/>
          <w:b/>
          <w:bCs/>
          <w:sz w:val="32"/>
          <w:szCs w:val="32"/>
          <w:lang w:val="en-US" w:eastAsia="zh-CN"/>
        </w:rPr>
        <w:t>05</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5.99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w:t>
      </w:r>
      <w:r>
        <w:rPr>
          <w:rFonts w:hint="eastAsia" w:eastAsia="仿宋_GB2312" w:cs="仿宋_GB2312"/>
          <w:sz w:val="32"/>
          <w:szCs w:val="32"/>
          <w:lang w:eastAsia="zh-CN"/>
        </w:rPr>
        <w:t>与</w:t>
      </w:r>
      <w:r>
        <w:rPr>
          <w:rFonts w:hint="eastAsia" w:eastAsia="仿宋_GB2312" w:cs="仿宋_GB2312"/>
          <w:sz w:val="32"/>
          <w:szCs w:val="32"/>
        </w:rPr>
        <w:t>预算数</w:t>
      </w:r>
      <w:r>
        <w:rPr>
          <w:rFonts w:hint="eastAsia" w:eastAsia="仿宋_GB2312" w:cs="仿宋_GB2312"/>
          <w:sz w:val="32"/>
          <w:szCs w:val="32"/>
          <w:lang w:eastAsia="zh-CN"/>
        </w:rPr>
        <w:t>持平。</w:t>
      </w:r>
    </w:p>
    <w:p w14:paraId="387EEBE6">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4.</w:t>
      </w:r>
      <w:r>
        <w:rPr>
          <w:rFonts w:hint="eastAsia" w:eastAsia="仿宋_GB2312" w:cs="仿宋_GB2312"/>
          <w:b/>
          <w:bCs/>
          <w:sz w:val="32"/>
          <w:szCs w:val="32"/>
        </w:rPr>
        <w:t>卫生健康</w:t>
      </w:r>
      <w:r>
        <w:rPr>
          <w:rFonts w:hint="eastAsia" w:eastAsia="仿宋_GB2312" w:cs="仿宋_GB2312"/>
          <w:b/>
          <w:bCs/>
          <w:sz w:val="32"/>
          <w:szCs w:val="32"/>
          <w:lang w:val="en-US" w:eastAsia="zh-CN"/>
        </w:rPr>
        <w:t>210</w:t>
      </w:r>
      <w:r>
        <w:rPr>
          <w:rFonts w:hint="eastAsia" w:eastAsia="仿宋_GB2312" w:cs="仿宋_GB2312"/>
          <w:b/>
          <w:bCs/>
          <w:sz w:val="32"/>
          <w:szCs w:val="32"/>
        </w:rPr>
        <w:t>（类）</w:t>
      </w:r>
      <w:r>
        <w:rPr>
          <w:rFonts w:hint="eastAsia" w:eastAsia="仿宋_GB2312" w:cs="仿宋_GB2312"/>
          <w:b/>
          <w:bCs/>
          <w:sz w:val="32"/>
          <w:szCs w:val="32"/>
          <w:lang w:val="en-US" w:eastAsia="zh-CN"/>
        </w:rPr>
        <w:t>11</w:t>
      </w:r>
      <w:r>
        <w:rPr>
          <w:rFonts w:hint="eastAsia" w:eastAsia="仿宋_GB2312" w:cs="仿宋_GB2312"/>
          <w:b/>
          <w:bCs/>
          <w:sz w:val="32"/>
          <w:szCs w:val="32"/>
        </w:rPr>
        <w:t>（款）</w:t>
      </w:r>
      <w:r>
        <w:rPr>
          <w:rFonts w:hint="eastAsia" w:eastAsia="仿宋_GB2312" w:cs="仿宋_GB2312"/>
          <w:b/>
          <w:bCs/>
          <w:sz w:val="32"/>
          <w:szCs w:val="32"/>
          <w:lang w:val="en-US" w:eastAsia="zh-CN"/>
        </w:rPr>
        <w:t>02</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5.86</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w:t>
      </w:r>
      <w:r>
        <w:rPr>
          <w:rFonts w:hint="eastAsia" w:eastAsia="仿宋_GB2312" w:cs="仿宋_GB2312"/>
          <w:sz w:val="32"/>
          <w:szCs w:val="32"/>
          <w:lang w:eastAsia="zh-CN"/>
        </w:rPr>
        <w:t>与</w:t>
      </w:r>
      <w:r>
        <w:rPr>
          <w:rFonts w:hint="eastAsia" w:eastAsia="仿宋_GB2312" w:cs="仿宋_GB2312"/>
          <w:sz w:val="32"/>
          <w:szCs w:val="32"/>
        </w:rPr>
        <w:t>预算数</w:t>
      </w:r>
      <w:r>
        <w:rPr>
          <w:rFonts w:hint="eastAsia" w:eastAsia="仿宋_GB2312" w:cs="仿宋_GB2312"/>
          <w:sz w:val="32"/>
          <w:szCs w:val="32"/>
          <w:lang w:eastAsia="zh-CN"/>
        </w:rPr>
        <w:t>持平。</w:t>
      </w:r>
    </w:p>
    <w:p w14:paraId="15FB1B74">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lang w:val="en-US" w:eastAsia="zh-CN"/>
        </w:rPr>
        <w:t>5.</w:t>
      </w:r>
      <w:r>
        <w:rPr>
          <w:rFonts w:hint="eastAsia" w:eastAsia="仿宋_GB2312" w:cs="仿宋_GB2312"/>
          <w:b/>
          <w:bCs/>
          <w:sz w:val="32"/>
          <w:szCs w:val="32"/>
        </w:rPr>
        <w:t>卫生健康</w:t>
      </w:r>
      <w:r>
        <w:rPr>
          <w:rFonts w:hint="eastAsia" w:eastAsia="仿宋_GB2312" w:cs="仿宋_GB2312"/>
          <w:b/>
          <w:bCs/>
          <w:sz w:val="32"/>
          <w:szCs w:val="32"/>
          <w:lang w:val="en-US" w:eastAsia="zh-CN"/>
        </w:rPr>
        <w:t>210</w:t>
      </w:r>
      <w:r>
        <w:rPr>
          <w:rFonts w:hint="eastAsia" w:eastAsia="仿宋_GB2312" w:cs="仿宋_GB2312"/>
          <w:b/>
          <w:bCs/>
          <w:sz w:val="32"/>
          <w:szCs w:val="32"/>
        </w:rPr>
        <w:t>（类）</w:t>
      </w:r>
      <w:r>
        <w:rPr>
          <w:rFonts w:hint="eastAsia" w:eastAsia="仿宋_GB2312" w:cs="仿宋_GB2312"/>
          <w:b/>
          <w:bCs/>
          <w:sz w:val="32"/>
          <w:szCs w:val="32"/>
          <w:lang w:val="en-US" w:eastAsia="zh-CN"/>
        </w:rPr>
        <w:t>11</w:t>
      </w:r>
      <w:r>
        <w:rPr>
          <w:rFonts w:hint="eastAsia" w:eastAsia="仿宋_GB2312" w:cs="仿宋_GB2312"/>
          <w:b/>
          <w:bCs/>
          <w:sz w:val="32"/>
          <w:szCs w:val="32"/>
        </w:rPr>
        <w:t>（款）</w:t>
      </w:r>
      <w:r>
        <w:rPr>
          <w:rFonts w:hint="eastAsia" w:eastAsia="仿宋_GB2312" w:cs="仿宋_GB2312"/>
          <w:b/>
          <w:bCs/>
          <w:sz w:val="32"/>
          <w:szCs w:val="32"/>
          <w:lang w:val="en-US" w:eastAsia="zh-CN"/>
        </w:rPr>
        <w:t>99</w:t>
      </w:r>
      <w:r>
        <w:rPr>
          <w:rFonts w:hint="eastAsia" w:eastAsia="仿宋_GB2312" w:cs="仿宋_GB2312"/>
          <w:b/>
          <w:bCs/>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1.33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w:t>
      </w:r>
      <w:r>
        <w:rPr>
          <w:rFonts w:hint="eastAsia" w:eastAsia="仿宋_GB2312" w:cs="仿宋_GB2312"/>
          <w:sz w:val="32"/>
          <w:szCs w:val="32"/>
          <w:lang w:eastAsia="zh-CN"/>
        </w:rPr>
        <w:t>与</w:t>
      </w:r>
      <w:r>
        <w:rPr>
          <w:rFonts w:hint="eastAsia" w:eastAsia="仿宋_GB2312" w:cs="仿宋_GB2312"/>
          <w:sz w:val="32"/>
          <w:szCs w:val="32"/>
        </w:rPr>
        <w:t>预算数</w:t>
      </w:r>
      <w:r>
        <w:rPr>
          <w:rFonts w:hint="eastAsia" w:eastAsia="仿宋_GB2312" w:cs="仿宋_GB2312"/>
          <w:sz w:val="32"/>
          <w:szCs w:val="32"/>
          <w:lang w:eastAsia="zh-CN"/>
        </w:rPr>
        <w:t>持平。</w:t>
      </w:r>
    </w:p>
    <w:p w14:paraId="781D6C77">
      <w:pPr>
        <w:spacing w:line="600" w:lineRule="exact"/>
        <w:ind w:firstLine="640"/>
        <w:rPr>
          <w:rFonts w:hint="eastAsia" w:eastAsia="仿宋_GB2312" w:cs="仿宋_GB2312"/>
          <w:b/>
          <w:bCs/>
          <w:sz w:val="32"/>
          <w:szCs w:val="32"/>
          <w:lang w:val="en-US" w:eastAsia="zh-CN"/>
        </w:rPr>
      </w:pPr>
      <w:r>
        <w:rPr>
          <w:rFonts w:hint="eastAsia" w:eastAsia="仿宋_GB2312" w:cs="仿宋_GB2312"/>
          <w:b/>
          <w:bCs/>
          <w:sz w:val="32"/>
          <w:szCs w:val="32"/>
          <w:lang w:val="en-US" w:eastAsia="zh-CN"/>
        </w:rPr>
        <w:t>6.住房保障221（类）02（款）01（项）：</w:t>
      </w:r>
      <w:r>
        <w:rPr>
          <w:rFonts w:hint="eastAsia" w:eastAsia="仿宋_GB2312" w:cs="仿宋_GB2312"/>
          <w:b w:val="0"/>
          <w:bCs w:val="0"/>
          <w:sz w:val="32"/>
          <w:szCs w:val="32"/>
          <w:lang w:val="en-US" w:eastAsia="zh-CN"/>
        </w:rPr>
        <w:t>支出决算为10.07万元，完成预算100%，决算数与预算数持平</w:t>
      </w:r>
      <w:r>
        <w:rPr>
          <w:rFonts w:hint="eastAsia" w:eastAsia="仿宋_GB2312" w:cs="仿宋_GB2312"/>
          <w:b/>
          <w:bCs/>
          <w:sz w:val="32"/>
          <w:szCs w:val="32"/>
          <w:lang w:val="en-US" w:eastAsia="zh-CN"/>
        </w:rPr>
        <w:t>。</w:t>
      </w:r>
      <w:bookmarkStart w:id="46" w:name="_Toc15377214"/>
      <w:bookmarkStart w:id="47" w:name="_Toc15396608"/>
    </w:p>
    <w:p w14:paraId="1FF5C3E0">
      <w:pPr>
        <w:tabs>
          <w:tab w:val="right" w:pos="8306"/>
        </w:tabs>
        <w:spacing w:line="600" w:lineRule="exact"/>
        <w:ind w:firstLine="640"/>
        <w:outlineLvl w:val="1"/>
        <w:rPr>
          <w:rStyle w:val="32"/>
          <w:rFonts w:ascii="Times New Roman" w:hAnsi="Times New Roman"/>
        </w:rPr>
      </w:pPr>
      <w:bookmarkStart w:id="48" w:name="_Toc1343"/>
      <w:r>
        <w:rPr>
          <w:rFonts w:hint="eastAsia" w:eastAsia="黑体"/>
          <w:sz w:val="32"/>
          <w:szCs w:val="32"/>
        </w:rPr>
        <w:t>六</w:t>
      </w:r>
      <w:r>
        <w:rPr>
          <w:rFonts w:hint="eastAsia" w:eastAsia="黑体"/>
          <w:b/>
          <w:sz w:val="32"/>
          <w:szCs w:val="32"/>
        </w:rPr>
        <w:t>、一</w:t>
      </w:r>
      <w:r>
        <w:rPr>
          <w:rStyle w:val="32"/>
          <w:rFonts w:hint="eastAsia" w:ascii="Times New Roman" w:hAnsi="Times New Roman" w:eastAsia="黑体"/>
          <w:b w:val="0"/>
        </w:rPr>
        <w:t>般公共预算财政拨款基本支出决算情况说明</w:t>
      </w:r>
      <w:bookmarkEnd w:id="46"/>
      <w:bookmarkEnd w:id="47"/>
      <w:bookmarkEnd w:id="48"/>
      <w:r>
        <w:rPr>
          <w:rStyle w:val="32"/>
          <w:rFonts w:ascii="Times New Roman" w:hAnsi="Times New Roman" w:eastAsia="黑体"/>
          <w:b w:val="0"/>
        </w:rPr>
        <w:tab/>
      </w:r>
    </w:p>
    <w:p w14:paraId="1873983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135.53万</w:t>
      </w:r>
      <w:r>
        <w:rPr>
          <w:rFonts w:hint="eastAsia" w:eastAsia="仿宋_GB2312" w:cs="仿宋_GB2312"/>
          <w:sz w:val="32"/>
          <w:szCs w:val="32"/>
        </w:rPr>
        <w:t>元，其中：</w:t>
      </w:r>
    </w:p>
    <w:p w14:paraId="7E2D9B89">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124.52</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w:t>
      </w:r>
      <w:r>
        <w:rPr>
          <w:rFonts w:hint="eastAsia" w:eastAsia="仿宋_GB2312" w:cs="仿宋_GB2312"/>
          <w:sz w:val="32"/>
          <w:szCs w:val="32"/>
          <w:lang w:val="en-US" w:eastAsia="zh-CN"/>
        </w:rPr>
        <w:t>25.48万元</w:t>
      </w:r>
      <w:r>
        <w:rPr>
          <w:rFonts w:hint="eastAsia" w:eastAsia="仿宋_GB2312" w:cs="仿宋_GB2312"/>
          <w:sz w:val="32"/>
          <w:szCs w:val="32"/>
        </w:rPr>
        <w:t>、津贴补贴</w:t>
      </w:r>
      <w:r>
        <w:rPr>
          <w:rFonts w:hint="eastAsia" w:eastAsia="仿宋_GB2312" w:cs="仿宋_GB2312"/>
          <w:sz w:val="32"/>
          <w:szCs w:val="32"/>
          <w:lang w:val="en-US" w:eastAsia="zh-CN"/>
        </w:rPr>
        <w:t>13.03万元</w:t>
      </w:r>
      <w:r>
        <w:rPr>
          <w:rFonts w:hint="eastAsia" w:eastAsia="仿宋_GB2312" w:cs="仿宋_GB2312"/>
          <w:sz w:val="32"/>
          <w:szCs w:val="32"/>
        </w:rPr>
        <w:t>、奖金</w:t>
      </w:r>
      <w:r>
        <w:rPr>
          <w:rFonts w:hint="eastAsia" w:eastAsia="仿宋_GB2312" w:cs="仿宋_GB2312"/>
          <w:sz w:val="32"/>
          <w:szCs w:val="32"/>
          <w:lang w:val="en-US" w:eastAsia="zh-CN"/>
        </w:rPr>
        <w:t>27.17万元</w:t>
      </w:r>
      <w:r>
        <w:rPr>
          <w:rFonts w:hint="eastAsia" w:eastAsia="仿宋_GB2312" w:cs="仿宋_GB2312"/>
          <w:sz w:val="32"/>
          <w:szCs w:val="32"/>
        </w:rPr>
        <w:t>、伙食补助费</w:t>
      </w:r>
      <w:r>
        <w:rPr>
          <w:rFonts w:hint="eastAsia" w:eastAsia="仿宋_GB2312" w:cs="仿宋_GB2312"/>
          <w:sz w:val="32"/>
          <w:szCs w:val="32"/>
          <w:lang w:val="en-US" w:eastAsia="zh-CN"/>
        </w:rPr>
        <w:t>3.04万元</w:t>
      </w:r>
      <w:r>
        <w:rPr>
          <w:rFonts w:hint="eastAsia" w:eastAsia="仿宋_GB2312" w:cs="仿宋_GB2312"/>
          <w:sz w:val="32"/>
          <w:szCs w:val="32"/>
        </w:rPr>
        <w:t>、绩效工资</w:t>
      </w:r>
      <w:r>
        <w:rPr>
          <w:rFonts w:hint="eastAsia" w:eastAsia="仿宋_GB2312" w:cs="仿宋_GB2312"/>
          <w:sz w:val="32"/>
          <w:szCs w:val="32"/>
          <w:lang w:val="en-US" w:eastAsia="zh-CN"/>
        </w:rPr>
        <w:t>18.60万元</w:t>
      </w:r>
      <w:r>
        <w:rPr>
          <w:rFonts w:hint="eastAsia" w:eastAsia="仿宋_GB2312" w:cs="仿宋_GB2312"/>
          <w:sz w:val="32"/>
          <w:szCs w:val="32"/>
        </w:rPr>
        <w:t>、机关事业单位基本养老保险缴费</w:t>
      </w:r>
      <w:r>
        <w:rPr>
          <w:rFonts w:hint="eastAsia" w:eastAsia="仿宋_GB2312" w:cs="仿宋_GB2312"/>
          <w:sz w:val="32"/>
          <w:szCs w:val="32"/>
          <w:lang w:val="en-US" w:eastAsia="zh-CN"/>
        </w:rPr>
        <w:t>11.98万元</w:t>
      </w:r>
      <w:r>
        <w:rPr>
          <w:rFonts w:hint="eastAsia" w:eastAsia="仿宋_GB2312" w:cs="仿宋_GB2312"/>
          <w:sz w:val="32"/>
          <w:szCs w:val="32"/>
        </w:rPr>
        <w:t>、职业年金缴费</w:t>
      </w:r>
      <w:r>
        <w:rPr>
          <w:rFonts w:hint="eastAsia" w:eastAsia="仿宋_GB2312" w:cs="仿宋_GB2312"/>
          <w:sz w:val="32"/>
          <w:szCs w:val="32"/>
          <w:lang w:val="en-US" w:eastAsia="zh-CN"/>
        </w:rPr>
        <w:t>5.99万元</w:t>
      </w:r>
      <w:r>
        <w:rPr>
          <w:rFonts w:hint="eastAsia" w:eastAsia="仿宋_GB2312" w:cs="仿宋_GB2312"/>
          <w:sz w:val="32"/>
          <w:szCs w:val="32"/>
        </w:rPr>
        <w:t>、其他社会保障缴费</w:t>
      </w:r>
      <w:r>
        <w:rPr>
          <w:rFonts w:hint="eastAsia" w:eastAsia="仿宋_GB2312" w:cs="仿宋_GB2312"/>
          <w:sz w:val="32"/>
          <w:szCs w:val="32"/>
          <w:lang w:val="en-US" w:eastAsia="zh-CN"/>
        </w:rPr>
        <w:t>2.6万元</w:t>
      </w:r>
      <w:r>
        <w:rPr>
          <w:rFonts w:hint="eastAsia" w:eastAsia="仿宋_GB2312" w:cs="仿宋_GB2312"/>
          <w:sz w:val="32"/>
          <w:szCs w:val="32"/>
        </w:rPr>
        <w:t>、生活补助</w:t>
      </w:r>
      <w:r>
        <w:rPr>
          <w:rFonts w:hint="eastAsia" w:eastAsia="仿宋_GB2312" w:cs="仿宋_GB2312"/>
          <w:sz w:val="32"/>
          <w:szCs w:val="32"/>
          <w:lang w:val="en-US" w:eastAsia="zh-CN"/>
        </w:rPr>
        <w:t>0.7万元</w:t>
      </w:r>
      <w:r>
        <w:rPr>
          <w:rFonts w:hint="eastAsia" w:eastAsia="仿宋_GB2312" w:cs="仿宋_GB2312"/>
          <w:sz w:val="32"/>
          <w:szCs w:val="32"/>
        </w:rPr>
        <w:t>、</w:t>
      </w:r>
      <w:r>
        <w:rPr>
          <w:rFonts w:hint="eastAsia" w:eastAsia="仿宋_GB2312" w:cs="仿宋_GB2312"/>
          <w:sz w:val="32"/>
          <w:szCs w:val="32"/>
          <w:lang w:eastAsia="zh-CN"/>
        </w:rPr>
        <w:t>职工基本</w:t>
      </w:r>
      <w:r>
        <w:rPr>
          <w:rFonts w:hint="eastAsia" w:eastAsia="仿宋_GB2312" w:cs="仿宋_GB2312"/>
          <w:sz w:val="32"/>
          <w:szCs w:val="32"/>
        </w:rPr>
        <w:t>医疗</w:t>
      </w:r>
      <w:r>
        <w:rPr>
          <w:rFonts w:hint="eastAsia" w:eastAsia="仿宋_GB2312" w:cs="仿宋_GB2312"/>
          <w:sz w:val="32"/>
          <w:szCs w:val="32"/>
          <w:lang w:eastAsia="zh-CN"/>
        </w:rPr>
        <w:t>保险缴费</w:t>
      </w:r>
      <w:r>
        <w:rPr>
          <w:rFonts w:hint="eastAsia" w:eastAsia="仿宋_GB2312" w:cs="仿宋_GB2312"/>
          <w:sz w:val="32"/>
          <w:szCs w:val="32"/>
          <w:lang w:val="en-US" w:eastAsia="zh-CN"/>
        </w:rPr>
        <w:t>5.86万元、</w:t>
      </w:r>
      <w:r>
        <w:rPr>
          <w:rFonts w:hint="eastAsia" w:eastAsia="仿宋_GB2312" w:cs="仿宋_GB2312"/>
          <w:sz w:val="32"/>
          <w:szCs w:val="32"/>
        </w:rPr>
        <w:t>住房公积金</w:t>
      </w:r>
      <w:r>
        <w:rPr>
          <w:rFonts w:hint="eastAsia" w:eastAsia="仿宋_GB2312" w:cs="仿宋_GB2312"/>
          <w:sz w:val="32"/>
          <w:szCs w:val="32"/>
          <w:lang w:val="en-US" w:eastAsia="zh-CN"/>
        </w:rPr>
        <w:t>10.07万元</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11.01万</w:t>
      </w:r>
      <w:r>
        <w:rPr>
          <w:rFonts w:hint="eastAsia" w:eastAsia="仿宋_GB2312" w:cs="仿宋_GB2312"/>
          <w:sz w:val="32"/>
          <w:szCs w:val="32"/>
        </w:rPr>
        <w:t>元，主要包括：办公费</w:t>
      </w:r>
      <w:r>
        <w:rPr>
          <w:rFonts w:hint="eastAsia" w:eastAsia="仿宋_GB2312" w:cs="仿宋_GB2312"/>
          <w:sz w:val="32"/>
          <w:szCs w:val="32"/>
          <w:lang w:val="en-US" w:eastAsia="zh-CN"/>
        </w:rPr>
        <w:t>1.29万元</w:t>
      </w:r>
      <w:r>
        <w:rPr>
          <w:rFonts w:hint="eastAsia" w:eastAsia="仿宋_GB2312" w:cs="仿宋_GB2312"/>
          <w:sz w:val="32"/>
          <w:szCs w:val="32"/>
        </w:rPr>
        <w:t>、电费</w:t>
      </w:r>
      <w:r>
        <w:rPr>
          <w:rFonts w:hint="eastAsia" w:eastAsia="仿宋_GB2312" w:cs="仿宋_GB2312"/>
          <w:sz w:val="32"/>
          <w:szCs w:val="32"/>
          <w:lang w:val="en-US" w:eastAsia="zh-CN"/>
        </w:rPr>
        <w:t>0.07万元</w:t>
      </w:r>
      <w:r>
        <w:rPr>
          <w:rFonts w:hint="eastAsia" w:eastAsia="仿宋_GB2312" w:cs="仿宋_GB2312"/>
          <w:sz w:val="32"/>
          <w:szCs w:val="32"/>
        </w:rPr>
        <w:t>、邮电费</w:t>
      </w:r>
      <w:r>
        <w:rPr>
          <w:rFonts w:hint="eastAsia" w:eastAsia="仿宋_GB2312" w:cs="仿宋_GB2312"/>
          <w:sz w:val="32"/>
          <w:szCs w:val="32"/>
          <w:lang w:val="en-US" w:eastAsia="zh-CN"/>
        </w:rPr>
        <w:t>0.42万元</w:t>
      </w:r>
      <w:r>
        <w:rPr>
          <w:rFonts w:hint="eastAsia" w:eastAsia="仿宋_GB2312" w:cs="仿宋_GB2312"/>
          <w:sz w:val="32"/>
          <w:szCs w:val="32"/>
        </w:rPr>
        <w:t>、差旅费</w:t>
      </w:r>
      <w:r>
        <w:rPr>
          <w:rFonts w:hint="eastAsia" w:eastAsia="仿宋_GB2312" w:cs="仿宋_GB2312"/>
          <w:sz w:val="32"/>
          <w:szCs w:val="32"/>
          <w:lang w:val="en-US" w:eastAsia="zh-CN"/>
        </w:rPr>
        <w:t>3.88万元</w:t>
      </w:r>
      <w:r>
        <w:rPr>
          <w:rFonts w:hint="eastAsia" w:eastAsia="仿宋_GB2312" w:cs="仿宋_GB2312"/>
          <w:sz w:val="32"/>
          <w:szCs w:val="32"/>
        </w:rPr>
        <w:t>、培训费</w:t>
      </w:r>
      <w:r>
        <w:rPr>
          <w:rFonts w:hint="eastAsia" w:eastAsia="仿宋_GB2312" w:cs="仿宋_GB2312"/>
          <w:sz w:val="32"/>
          <w:szCs w:val="32"/>
          <w:lang w:val="en-US" w:eastAsia="zh-CN"/>
        </w:rPr>
        <w:t>0.34万元</w:t>
      </w:r>
      <w:r>
        <w:rPr>
          <w:rFonts w:hint="eastAsia" w:eastAsia="仿宋_GB2312" w:cs="仿宋_GB2312"/>
          <w:sz w:val="32"/>
          <w:szCs w:val="32"/>
        </w:rPr>
        <w:t>、公务接待费</w:t>
      </w:r>
      <w:r>
        <w:rPr>
          <w:rFonts w:hint="eastAsia" w:eastAsia="仿宋_GB2312" w:cs="仿宋_GB2312"/>
          <w:sz w:val="32"/>
          <w:szCs w:val="32"/>
          <w:lang w:val="en-US" w:eastAsia="zh-CN"/>
        </w:rPr>
        <w:t>0.17万元</w:t>
      </w:r>
      <w:r>
        <w:rPr>
          <w:rFonts w:hint="eastAsia" w:eastAsia="仿宋_GB2312" w:cs="仿宋_GB2312"/>
          <w:sz w:val="32"/>
          <w:szCs w:val="32"/>
        </w:rPr>
        <w:t>、劳务费</w:t>
      </w:r>
      <w:r>
        <w:rPr>
          <w:rFonts w:hint="eastAsia" w:eastAsia="仿宋_GB2312" w:cs="仿宋_GB2312"/>
          <w:sz w:val="32"/>
          <w:szCs w:val="32"/>
          <w:lang w:val="en-US" w:eastAsia="zh-CN"/>
        </w:rPr>
        <w:t>3.92万元</w:t>
      </w:r>
      <w:r>
        <w:rPr>
          <w:rFonts w:hint="eastAsia" w:eastAsia="仿宋_GB2312" w:cs="仿宋_GB2312"/>
          <w:sz w:val="32"/>
          <w:szCs w:val="32"/>
        </w:rPr>
        <w:t>、福利费</w:t>
      </w:r>
      <w:r>
        <w:rPr>
          <w:rFonts w:hint="eastAsia" w:eastAsia="仿宋_GB2312" w:cs="仿宋_GB2312"/>
          <w:sz w:val="32"/>
          <w:szCs w:val="32"/>
          <w:lang w:val="en-US" w:eastAsia="zh-CN"/>
        </w:rPr>
        <w:t>0.92万元</w:t>
      </w:r>
      <w:r>
        <w:rPr>
          <w:rFonts w:hint="eastAsia" w:eastAsia="仿宋_GB2312" w:cs="仿宋_GB2312"/>
          <w:sz w:val="32"/>
          <w:szCs w:val="32"/>
        </w:rPr>
        <w:t>。</w:t>
      </w:r>
    </w:p>
    <w:p w14:paraId="2A2EF222">
      <w:pPr>
        <w:spacing w:line="600" w:lineRule="exact"/>
        <w:ind w:firstLine="640"/>
        <w:outlineLvl w:val="1"/>
        <w:rPr>
          <w:rStyle w:val="32"/>
          <w:rFonts w:ascii="Times New Roman" w:hAnsi="Times New Roman" w:eastAsia="黑体"/>
          <w:b w:val="0"/>
        </w:rPr>
      </w:pPr>
      <w:bookmarkStart w:id="49" w:name="_Toc15377215"/>
      <w:bookmarkStart w:id="50" w:name="_Toc15396609"/>
      <w:bookmarkStart w:id="51" w:name="_Toc27379"/>
      <w:r>
        <w:rPr>
          <w:rFonts w:hint="eastAsia" w:eastAsia="黑体"/>
          <w:sz w:val="32"/>
          <w:szCs w:val="32"/>
        </w:rPr>
        <w:t>七、</w:t>
      </w:r>
      <w:r>
        <w:rPr>
          <w:rStyle w:val="32"/>
          <w:rFonts w:hint="eastAsia" w:ascii="Times New Roman" w:hAnsi="Times New Roman" w:eastAsia="黑体"/>
          <w:b w:val="0"/>
        </w:rPr>
        <w:t>财政拨款</w:t>
      </w:r>
      <w:r>
        <w:rPr>
          <w:rStyle w:val="32"/>
          <w:rFonts w:hint="eastAsia" w:ascii="Times New Roman" w:hAnsi="Times New Roman" w:eastAsia="黑体"/>
        </w:rPr>
        <w:t>“</w:t>
      </w:r>
      <w:r>
        <w:rPr>
          <w:rStyle w:val="32"/>
          <w:rFonts w:hint="eastAsia" w:ascii="Times New Roman" w:hAnsi="Times New Roman" w:eastAsia="黑体"/>
          <w:b w:val="0"/>
        </w:rPr>
        <w:t>三公”经费支出决算情况说明</w:t>
      </w:r>
      <w:bookmarkEnd w:id="49"/>
      <w:bookmarkEnd w:id="50"/>
      <w:bookmarkEnd w:id="51"/>
    </w:p>
    <w:p w14:paraId="1C545BEA">
      <w:pPr>
        <w:spacing w:line="600" w:lineRule="exact"/>
        <w:ind w:firstLine="643" w:firstLineChars="200"/>
        <w:outlineLvl w:val="2"/>
        <w:rPr>
          <w:rFonts w:eastAsia="楷体_GB2312" w:cs="楷体_GB2312"/>
          <w:b/>
          <w:sz w:val="32"/>
          <w:szCs w:val="32"/>
        </w:rPr>
      </w:pPr>
      <w:bookmarkStart w:id="52" w:name="_Toc15377216"/>
      <w:bookmarkStart w:id="53" w:name="_Toc19742"/>
      <w:r>
        <w:rPr>
          <w:rFonts w:hint="eastAsia" w:eastAsia="楷体_GB2312" w:cs="楷体_GB2312"/>
          <w:b/>
          <w:sz w:val="32"/>
          <w:szCs w:val="32"/>
        </w:rPr>
        <w:t>（一）“三公”经费财政拨款支出决算总体情况说明</w:t>
      </w:r>
      <w:bookmarkEnd w:id="52"/>
      <w:bookmarkEnd w:id="53"/>
    </w:p>
    <w:p w14:paraId="7E91930A">
      <w:pPr>
        <w:spacing w:line="600" w:lineRule="exact"/>
        <w:ind w:firstLine="640"/>
        <w:rPr>
          <w:rFonts w:ascii="仿宋" w:hAnsi="仿宋" w:eastAsia="仿宋"/>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0.17万元，完成预算73.11%，</w:t>
      </w:r>
      <w:r>
        <w:rPr>
          <w:rFonts w:hint="eastAsia" w:eastAsia="仿宋_GB2312" w:cs="仿宋_GB2312"/>
          <w:sz w:val="32"/>
          <w:szCs w:val="32"/>
        </w:rPr>
        <w:t>较上年度增加</w:t>
      </w:r>
      <w:r>
        <w:rPr>
          <w:rFonts w:hint="eastAsia" w:eastAsia="仿宋_GB2312" w:cs="仿宋_GB2312"/>
          <w:sz w:val="32"/>
          <w:szCs w:val="32"/>
          <w:lang w:val="en-US" w:eastAsia="zh-CN"/>
        </w:rPr>
        <w:t>0.17</w:t>
      </w:r>
      <w:r>
        <w:rPr>
          <w:rFonts w:hint="eastAsia" w:eastAsia="仿宋_GB2312" w:cs="仿宋_GB2312"/>
          <w:sz w:val="32"/>
          <w:szCs w:val="32"/>
        </w:rPr>
        <w:t>万元，增长</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增加接待</w:t>
      </w:r>
      <w:r>
        <w:rPr>
          <w:rFonts w:hint="eastAsia" w:ascii="仿宋" w:hAnsi="仿宋" w:eastAsia="仿宋"/>
          <w:sz w:val="32"/>
          <w:szCs w:val="32"/>
          <w:lang w:val="en-US" w:eastAsia="zh-CN"/>
        </w:rPr>
        <w:t>媒体采访活动</w:t>
      </w:r>
      <w:r>
        <w:rPr>
          <w:rFonts w:hint="eastAsia" w:ascii="仿宋" w:hAnsi="仿宋" w:eastAsia="仿宋"/>
          <w:sz w:val="32"/>
          <w:szCs w:val="32"/>
        </w:rPr>
        <w:t>。</w:t>
      </w:r>
    </w:p>
    <w:p w14:paraId="66AE32EB">
      <w:pPr>
        <w:spacing w:line="600" w:lineRule="exact"/>
        <w:ind w:firstLine="643" w:firstLineChars="200"/>
        <w:outlineLvl w:val="2"/>
        <w:rPr>
          <w:rFonts w:eastAsia="楷体_GB2312" w:cs="楷体_GB2312"/>
          <w:b/>
          <w:sz w:val="32"/>
          <w:szCs w:val="32"/>
        </w:rPr>
      </w:pPr>
      <w:bookmarkStart w:id="54" w:name="_Toc15377217"/>
      <w:bookmarkStart w:id="55" w:name="_Toc23292"/>
      <w:r>
        <w:rPr>
          <w:rFonts w:hint="eastAsia" w:eastAsia="楷体_GB2312" w:cs="楷体_GB2312"/>
          <w:b/>
          <w:sz w:val="32"/>
          <w:szCs w:val="32"/>
        </w:rPr>
        <w:t>（二）“三公”经费财政拨款支出决算具体情况说明</w:t>
      </w:r>
      <w:bookmarkEnd w:id="54"/>
      <w:bookmarkEnd w:id="55"/>
    </w:p>
    <w:p w14:paraId="0CBC31A0">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%；公务用车购置及运行维护费支出决算0万元，占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%；公务接待费支出决算0.17万元，占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14:paraId="4846D483">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_GB2312" w:hAnsi="仿宋_GB2312" w:eastAsia="仿宋_GB2312" w:cs="仿宋_GB2312"/>
          <w:sz w:val="32"/>
          <w:szCs w:val="32"/>
        </w:rPr>
      </w:pPr>
      <w:r>
        <w:drawing>
          <wp:inline distT="0" distB="0" distL="114300" distR="114300">
            <wp:extent cx="3724275" cy="2057400"/>
            <wp:effectExtent l="4445" t="5080" r="5080" b="13970"/>
            <wp:docPr id="109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B2E5E8">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w:t>
      </w:r>
    </w:p>
    <w:p w14:paraId="1037F41D">
      <w:pPr>
        <w:spacing w:line="600" w:lineRule="exact"/>
        <w:ind w:firstLine="640"/>
        <w:rPr>
          <w:rFonts w:hint="eastAsia" w:ascii="仿宋_GB2312" w:eastAsia="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r>
        <w:rPr>
          <w:rFonts w:hint="eastAsia" w:ascii="仿宋_GB2312" w:eastAsia="仿宋_GB2312"/>
          <w:sz w:val="32"/>
          <w:szCs w:val="32"/>
        </w:rPr>
        <w:t>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度持平。阿坝州媒体服务中心</w:t>
      </w:r>
      <w:r>
        <w:rPr>
          <w:rFonts w:hint="eastAsia" w:ascii="仿宋_GB2312" w:eastAsia="仿宋_GB2312"/>
          <w:sz w:val="32"/>
          <w:szCs w:val="32"/>
        </w:rPr>
        <w:t>不涉及因公出国（境）业务。</w:t>
      </w:r>
    </w:p>
    <w:p w14:paraId="22307359">
      <w:pPr>
        <w:spacing w:line="600" w:lineRule="exact"/>
        <w:ind w:firstLine="643" w:firstLineChars="200"/>
        <w:rPr>
          <w:rFonts w:hint="default" w:ascii="仿宋_GB2312" w:eastAsia="仿宋_GB2312"/>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_GB2312" w:eastAsia="仿宋_GB2312"/>
          <w:sz w:val="32"/>
          <w:szCs w:val="32"/>
          <w:lang w:eastAsia="zh-CN"/>
        </w:rPr>
        <w:t>阿坝州媒体服务中心</w:t>
      </w:r>
      <w:r>
        <w:rPr>
          <w:rFonts w:hint="eastAsia" w:ascii="仿宋_GB2312" w:eastAsia="仿宋_GB2312"/>
          <w:sz w:val="32"/>
          <w:szCs w:val="32"/>
        </w:rPr>
        <w:t>不涉及公务用车购置及运行维护费支出</w:t>
      </w:r>
      <w:r>
        <w:rPr>
          <w:rFonts w:hint="eastAsia" w:ascii="仿宋_GB2312" w:eastAsia="仿宋_GB2312"/>
          <w:sz w:val="32"/>
          <w:szCs w:val="32"/>
          <w:lang w:eastAsia="zh-CN"/>
        </w:rPr>
        <w:t>，公务用车资产帐入在中共阿坝州委宣传部帐面中。</w:t>
      </w:r>
    </w:p>
    <w:p w14:paraId="3629D1DC">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eastAsia="zh-CN"/>
        </w:rPr>
        <w:t>度</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阿坝州媒体服务中心</w:t>
      </w:r>
      <w:r>
        <w:rPr>
          <w:rFonts w:hint="eastAsia" w:ascii="仿宋_GB2312" w:eastAsia="仿宋_GB2312"/>
          <w:sz w:val="32"/>
          <w:szCs w:val="32"/>
        </w:rPr>
        <w:t>不涉及公务用车购置支出。</w:t>
      </w:r>
    </w:p>
    <w:p w14:paraId="12E70AB5">
      <w:pPr>
        <w:keepNext w:val="0"/>
        <w:keepLines w:val="0"/>
        <w:pageBreakBefore w:val="0"/>
        <w:widowControl w:val="0"/>
        <w:kinsoku/>
        <w:wordWrap/>
        <w:overflowPunct/>
        <w:topLinePunct w:val="0"/>
        <w:bidi w:val="0"/>
        <w:snapToGrid/>
        <w:spacing w:line="240" w:lineRule="auto"/>
        <w:ind w:firstLine="643" w:firstLineChars="200"/>
        <w:textAlignment w:val="auto"/>
        <w:rPr>
          <w:rFonts w:hint="eastAsia" w:ascii="仿宋_GB2312" w:eastAsia="仿宋_GB2312"/>
          <w:sz w:val="32"/>
          <w:szCs w:val="32"/>
          <w:lang w:eastAsia="zh-CN"/>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阿坝州媒体服务中心</w:t>
      </w:r>
      <w:r>
        <w:rPr>
          <w:rFonts w:hint="eastAsia" w:ascii="仿宋_GB2312" w:eastAsia="仿宋_GB2312"/>
          <w:sz w:val="32"/>
          <w:szCs w:val="32"/>
        </w:rPr>
        <w:t>不涉及公务用车运行维护费支出</w:t>
      </w:r>
      <w:r>
        <w:rPr>
          <w:rFonts w:hint="eastAsia" w:ascii="仿宋_GB2312" w:eastAsia="仿宋_GB2312"/>
          <w:sz w:val="32"/>
          <w:szCs w:val="32"/>
          <w:lang w:eastAsia="zh-CN"/>
        </w:rPr>
        <w:t>，公务用车资产帐入在中共阿坝州委宣传部帐面中。</w:t>
      </w:r>
    </w:p>
    <w:p w14:paraId="6984FB66">
      <w:pPr>
        <w:keepNext w:val="0"/>
        <w:keepLines w:val="0"/>
        <w:pageBreakBefore w:val="0"/>
        <w:widowControl w:val="0"/>
        <w:kinsoku/>
        <w:wordWrap/>
        <w:overflowPunct/>
        <w:topLinePunct w:val="0"/>
        <w:bidi w:val="0"/>
        <w:snapToGrid/>
        <w:spacing w:line="240" w:lineRule="auto"/>
        <w:ind w:firstLine="640"/>
        <w:textAlignment w:val="auto"/>
        <w:rPr>
          <w:rFonts w:ascii="仿宋" w:hAnsi="仿宋" w:eastAsia="仿宋"/>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0.17万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公务接待费支出决算比2023年度增加</w:t>
      </w:r>
      <w:r>
        <w:rPr>
          <w:rFonts w:hint="eastAsia" w:eastAsia="仿宋_GB2312" w:cs="仿宋_GB2312"/>
          <w:sz w:val="32"/>
          <w:szCs w:val="32"/>
          <w:lang w:val="en-US" w:eastAsia="zh-CN"/>
        </w:rPr>
        <w:t>0.17</w:t>
      </w:r>
      <w:r>
        <w:rPr>
          <w:rFonts w:hint="eastAsia" w:eastAsia="仿宋_GB2312" w:cs="仿宋_GB2312"/>
          <w:sz w:val="32"/>
          <w:szCs w:val="32"/>
        </w:rPr>
        <w:t>万元，增长</w:t>
      </w:r>
      <w:r>
        <w:rPr>
          <w:rFonts w:hint="eastAsia" w:eastAsia="仿宋_GB2312" w:cs="仿宋_GB2312"/>
          <w:sz w:val="32"/>
          <w:szCs w:val="32"/>
          <w:lang w:val="en-US" w:eastAsia="zh-CN"/>
        </w:rPr>
        <w:t>100</w:t>
      </w:r>
      <w:r>
        <w:rPr>
          <w:rFonts w:hint="eastAsia" w:eastAsia="仿宋_GB2312" w:cs="仿宋_GB2312"/>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增加接待</w:t>
      </w:r>
      <w:r>
        <w:rPr>
          <w:rFonts w:hint="eastAsia" w:ascii="仿宋" w:hAnsi="仿宋" w:eastAsia="仿宋"/>
          <w:sz w:val="32"/>
          <w:szCs w:val="32"/>
          <w:lang w:val="en-US" w:eastAsia="zh-CN"/>
        </w:rPr>
        <w:t>媒体采访活动</w:t>
      </w:r>
      <w:r>
        <w:rPr>
          <w:rFonts w:hint="eastAsia" w:ascii="仿宋" w:hAnsi="仿宋" w:eastAsia="仿宋"/>
          <w:sz w:val="32"/>
          <w:szCs w:val="32"/>
        </w:rPr>
        <w:t>。</w:t>
      </w:r>
    </w:p>
    <w:p w14:paraId="3215538F">
      <w:pPr>
        <w:keepNext w:val="0"/>
        <w:keepLines w:val="0"/>
        <w:pageBreakBefore w:val="0"/>
        <w:widowControl w:val="0"/>
        <w:kinsoku/>
        <w:wordWrap/>
        <w:overflowPunct/>
        <w:topLinePunct w:val="0"/>
        <w:bidi w:val="0"/>
        <w:snapToGrid/>
        <w:spacing w:line="240" w:lineRule="auto"/>
        <w:ind w:firstLine="640"/>
        <w:textAlignment w:val="auto"/>
        <w:rPr>
          <w:rFonts w:ascii="仿宋_GB2312" w:eastAsia="仿宋_GB2312"/>
          <w:sz w:val="32"/>
          <w:szCs w:val="32"/>
        </w:rPr>
      </w:pPr>
      <w:r>
        <w:rPr>
          <w:rFonts w:hint="eastAsia" w:eastAsia="仿宋_GB2312" w:cs="仿宋_GB2312"/>
          <w:b/>
          <w:bCs/>
          <w:sz w:val="32"/>
          <w:szCs w:val="32"/>
        </w:rPr>
        <w:t>国内公务接待支</w:t>
      </w:r>
      <w:r>
        <w:rPr>
          <w:rFonts w:hint="eastAsia" w:ascii="仿宋_GB2312" w:hAnsi="仿宋_GB2312" w:eastAsia="仿宋_GB2312" w:cs="仿宋_GB2312"/>
          <w:b/>
          <w:bCs/>
          <w:sz w:val="32"/>
          <w:szCs w:val="32"/>
        </w:rPr>
        <w:t>出0.17万</w:t>
      </w:r>
      <w:r>
        <w:rPr>
          <w:rFonts w:hint="eastAsia" w:eastAsia="仿宋_GB2312" w:cs="仿宋_GB2312"/>
          <w:b/>
          <w:bCs/>
          <w:sz w:val="32"/>
          <w:szCs w:val="32"/>
        </w:rPr>
        <w:t>元，</w:t>
      </w:r>
      <w:r>
        <w:rPr>
          <w:rFonts w:hint="eastAsia" w:eastAsia="仿宋_GB2312" w:cs="仿宋_GB2312"/>
          <w:sz w:val="32"/>
          <w:szCs w:val="32"/>
        </w:rPr>
        <w:t>主要用于</w:t>
      </w:r>
      <w:r>
        <w:rPr>
          <w:rFonts w:hint="eastAsia" w:ascii="仿宋_GB2312" w:eastAsia="仿宋_GB2312"/>
          <w:sz w:val="32"/>
          <w:szCs w:val="32"/>
          <w:lang w:eastAsia="zh-CN"/>
        </w:rPr>
        <w:t>开展活动、媒体采访等</w:t>
      </w:r>
      <w:r>
        <w:rPr>
          <w:rFonts w:hint="eastAsia" w:ascii="仿宋_GB2312" w:eastAsia="仿宋_GB2312"/>
          <w:sz w:val="32"/>
          <w:szCs w:val="32"/>
        </w:rPr>
        <w:t>执行公务、开展业务活动开支的用餐费等。国内公务接待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0.17</w:t>
      </w:r>
      <w:r>
        <w:rPr>
          <w:rFonts w:hint="eastAsia" w:ascii="仿宋_GB2312" w:eastAsia="仿宋_GB2312"/>
          <w:sz w:val="32"/>
          <w:szCs w:val="32"/>
        </w:rPr>
        <w:t>万元，具体内容包括：</w:t>
      </w:r>
      <w:r>
        <w:rPr>
          <w:rFonts w:hint="eastAsia" w:ascii="仿宋_GB2312" w:eastAsia="仿宋_GB2312"/>
          <w:sz w:val="32"/>
          <w:szCs w:val="32"/>
          <w:lang w:eastAsia="zh-CN"/>
        </w:rPr>
        <w:t>开展</w:t>
      </w:r>
      <w:r>
        <w:rPr>
          <w:rFonts w:hint="eastAsia" w:ascii="仿宋_GB2312" w:eastAsia="仿宋_GB2312"/>
          <w:sz w:val="32"/>
          <w:szCs w:val="32"/>
          <w:lang w:val="en-US" w:eastAsia="zh-CN"/>
        </w:rPr>
        <w:t>媒体采访报道等接待0.17万元</w:t>
      </w:r>
      <w:r>
        <w:rPr>
          <w:rFonts w:hint="eastAsia" w:ascii="仿宋_GB2312" w:eastAsia="仿宋_GB2312"/>
          <w:sz w:val="32"/>
          <w:szCs w:val="32"/>
        </w:rPr>
        <w:t>）。</w:t>
      </w:r>
    </w:p>
    <w:p w14:paraId="4B442419">
      <w:pPr>
        <w:keepNext w:val="0"/>
        <w:keepLines w:val="0"/>
        <w:pageBreakBefore w:val="0"/>
        <w:widowControl w:val="0"/>
        <w:kinsoku/>
        <w:wordWrap/>
        <w:overflowPunct/>
        <w:topLinePunct w:val="0"/>
        <w:bidi w:val="0"/>
        <w:snapToGrid/>
        <w:spacing w:line="240" w:lineRule="auto"/>
        <w:ind w:firstLine="643" w:firstLineChars="200"/>
        <w:textAlignment w:val="auto"/>
        <w:rPr>
          <w:rFonts w:ascii="仿宋_GB2312" w:eastAsia="仿宋_GB2312"/>
          <w:sz w:val="32"/>
          <w:szCs w:val="32"/>
        </w:rPr>
      </w:pPr>
      <w:bookmarkStart w:id="56" w:name="_Toc15377218"/>
      <w:bookmarkStart w:id="57" w:name="_Toc15396610"/>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E34DF92">
      <w:pPr>
        <w:keepNext w:val="0"/>
        <w:keepLines w:val="0"/>
        <w:pageBreakBefore w:val="0"/>
        <w:widowControl w:val="0"/>
        <w:kinsoku/>
        <w:wordWrap/>
        <w:overflowPunct/>
        <w:topLinePunct w:val="0"/>
        <w:bidi w:val="0"/>
        <w:snapToGrid/>
        <w:spacing w:line="240" w:lineRule="auto"/>
        <w:ind w:firstLine="640"/>
        <w:textAlignment w:val="auto"/>
        <w:outlineLvl w:val="1"/>
        <w:rPr>
          <w:rStyle w:val="32"/>
          <w:rFonts w:ascii="Times New Roman" w:hAnsi="Times New Roman" w:eastAsia="黑体"/>
        </w:rPr>
      </w:pPr>
      <w:bookmarkStart w:id="58" w:name="_Toc2486"/>
      <w:r>
        <w:rPr>
          <w:rFonts w:hint="eastAsia" w:eastAsia="黑体"/>
          <w:sz w:val="32"/>
          <w:szCs w:val="32"/>
        </w:rPr>
        <w:t>八、</w:t>
      </w:r>
      <w:r>
        <w:rPr>
          <w:rStyle w:val="32"/>
          <w:rFonts w:hint="eastAsia" w:ascii="Times New Roman" w:hAnsi="Times New Roman" w:eastAsia="黑体"/>
          <w:b w:val="0"/>
        </w:rPr>
        <w:t>政府性基金预算支出决算情况说明</w:t>
      </w:r>
      <w:bookmarkEnd w:id="56"/>
      <w:bookmarkEnd w:id="57"/>
      <w:bookmarkEnd w:id="58"/>
    </w:p>
    <w:p w14:paraId="54A0681E">
      <w:pPr>
        <w:keepNext w:val="0"/>
        <w:keepLines w:val="0"/>
        <w:pageBreakBefore w:val="0"/>
        <w:widowControl w:val="0"/>
        <w:kinsoku/>
        <w:wordWrap/>
        <w:overflowPunct/>
        <w:topLinePunct w:val="0"/>
        <w:bidi w:val="0"/>
        <w:snapToGrid/>
        <w:spacing w:line="240" w:lineRule="auto"/>
        <w:ind w:firstLine="64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w:t>
      </w:r>
      <w:r>
        <w:rPr>
          <w:rFonts w:hint="eastAsia" w:ascii="仿宋_GB2312" w:eastAsia="仿宋_GB2312"/>
          <w:sz w:val="32"/>
          <w:szCs w:val="32"/>
          <w:lang w:val="en-US" w:eastAsia="zh-CN"/>
        </w:rPr>
        <w:t>持平。</w:t>
      </w:r>
    </w:p>
    <w:p w14:paraId="6BB60A29">
      <w:pPr>
        <w:keepNext w:val="0"/>
        <w:keepLines w:val="0"/>
        <w:pageBreakBefore w:val="0"/>
        <w:widowControl w:val="0"/>
        <w:kinsoku/>
        <w:wordWrap/>
        <w:overflowPunct/>
        <w:topLinePunct w:val="0"/>
        <w:bidi w:val="0"/>
        <w:snapToGrid/>
        <w:spacing w:line="240" w:lineRule="auto"/>
        <w:ind w:left="630"/>
        <w:textAlignment w:val="auto"/>
        <w:outlineLvl w:val="1"/>
        <w:rPr>
          <w:rStyle w:val="32"/>
          <w:rFonts w:ascii="Times New Roman" w:hAnsi="Times New Roman" w:eastAsia="黑体"/>
          <w:b w:val="0"/>
        </w:rPr>
      </w:pPr>
      <w:bookmarkStart w:id="59" w:name="_Toc15396611"/>
      <w:bookmarkStart w:id="60" w:name="_Toc15377219"/>
      <w:bookmarkStart w:id="61" w:name="_Toc21562"/>
      <w:r>
        <w:rPr>
          <w:rStyle w:val="32"/>
          <w:rFonts w:hint="eastAsia" w:ascii="Times New Roman" w:hAnsi="Times New Roman" w:eastAsia="黑体"/>
          <w:b w:val="0"/>
        </w:rPr>
        <w:t>九、国有资本经营预算支出决算情况说明</w:t>
      </w:r>
      <w:bookmarkEnd w:id="59"/>
      <w:bookmarkEnd w:id="60"/>
      <w:bookmarkEnd w:id="61"/>
    </w:p>
    <w:p w14:paraId="07BAAA2C">
      <w:pPr>
        <w:keepNext w:val="0"/>
        <w:keepLines w:val="0"/>
        <w:pageBreakBefore w:val="0"/>
        <w:widowControl w:val="0"/>
        <w:kinsoku/>
        <w:wordWrap/>
        <w:overflowPunct/>
        <w:topLinePunct w:val="0"/>
        <w:bidi w:val="0"/>
        <w:snapToGrid/>
        <w:spacing w:line="240" w:lineRule="auto"/>
        <w:ind w:firstLine="640"/>
        <w:textAlignment w:val="auto"/>
        <w:rPr>
          <w:rFonts w:hint="default" w:ascii="仿宋_GB2312" w:eastAsia="仿宋_GB2312"/>
          <w:sz w:val="32"/>
          <w:szCs w:val="32"/>
          <w:lang w:val="en-US" w:eastAsia="zh-CN"/>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w:t>
      </w:r>
      <w:r>
        <w:rPr>
          <w:rFonts w:hint="eastAsia" w:ascii="仿宋_GB2312" w:eastAsia="仿宋_GB2312"/>
          <w:sz w:val="32"/>
          <w:szCs w:val="32"/>
          <w:lang w:val="en-US" w:eastAsia="zh-CN"/>
        </w:rPr>
        <w:t>持平。</w:t>
      </w:r>
    </w:p>
    <w:p w14:paraId="5904AD66">
      <w:pPr>
        <w:keepNext w:val="0"/>
        <w:keepLines w:val="0"/>
        <w:pageBreakBefore w:val="0"/>
        <w:widowControl w:val="0"/>
        <w:kinsoku/>
        <w:wordWrap/>
        <w:overflowPunct/>
        <w:topLinePunct w:val="0"/>
        <w:bidi w:val="0"/>
        <w:snapToGrid/>
        <w:spacing w:line="240" w:lineRule="auto"/>
        <w:ind w:left="630"/>
        <w:textAlignment w:val="auto"/>
        <w:outlineLvl w:val="1"/>
        <w:rPr>
          <w:rStyle w:val="32"/>
          <w:rFonts w:ascii="Times New Roman" w:hAnsi="Times New Roman" w:eastAsia="黑体"/>
          <w:b w:val="0"/>
        </w:rPr>
      </w:pPr>
      <w:bookmarkStart w:id="62" w:name="_Toc15396612"/>
      <w:bookmarkStart w:id="63" w:name="_Toc15377221"/>
      <w:bookmarkStart w:id="64" w:name="_Toc4485"/>
      <w:r>
        <w:rPr>
          <w:rStyle w:val="32"/>
          <w:rFonts w:hint="eastAsia" w:ascii="Times New Roman" w:hAnsi="Times New Roman" w:eastAsia="黑体"/>
          <w:b w:val="0"/>
        </w:rPr>
        <w:t>十、其他重要事项的情况说明</w:t>
      </w:r>
      <w:bookmarkEnd w:id="62"/>
      <w:bookmarkEnd w:id="63"/>
      <w:bookmarkEnd w:id="64"/>
    </w:p>
    <w:p w14:paraId="40AA7FFA">
      <w:pPr>
        <w:keepNext w:val="0"/>
        <w:keepLines w:val="0"/>
        <w:pageBreakBefore w:val="0"/>
        <w:widowControl w:val="0"/>
        <w:kinsoku/>
        <w:wordWrap/>
        <w:overflowPunct/>
        <w:topLinePunct w:val="0"/>
        <w:bidi w:val="0"/>
        <w:snapToGrid/>
        <w:spacing w:line="240" w:lineRule="auto"/>
        <w:ind w:firstLine="643" w:firstLineChars="200"/>
        <w:textAlignment w:val="auto"/>
        <w:outlineLvl w:val="2"/>
        <w:rPr>
          <w:rFonts w:eastAsia="楷体_GB2312" w:cs="楷体_GB2312"/>
          <w:b/>
          <w:sz w:val="32"/>
          <w:szCs w:val="32"/>
        </w:rPr>
      </w:pPr>
      <w:bookmarkStart w:id="65" w:name="_Toc15377222"/>
      <w:bookmarkStart w:id="66" w:name="_Toc24657"/>
      <w:r>
        <w:rPr>
          <w:rFonts w:hint="eastAsia" w:eastAsia="楷体_GB2312" w:cs="楷体_GB2312"/>
          <w:b/>
          <w:sz w:val="32"/>
          <w:szCs w:val="32"/>
        </w:rPr>
        <w:t>（一）机关运行经费支出情况</w:t>
      </w:r>
      <w:bookmarkEnd w:id="65"/>
      <w:bookmarkEnd w:id="66"/>
    </w:p>
    <w:p w14:paraId="7CE67151">
      <w:pPr>
        <w:keepNext w:val="0"/>
        <w:keepLines w:val="0"/>
        <w:pageBreakBefore w:val="0"/>
        <w:widowControl w:val="0"/>
        <w:kinsoku/>
        <w:wordWrap/>
        <w:overflowPunct/>
        <w:topLinePunct w:val="0"/>
        <w:bidi w:val="0"/>
        <w:snapToGrid/>
        <w:spacing w:line="240" w:lineRule="auto"/>
        <w:ind w:firstLine="640" w:firstLineChars="200"/>
        <w:textAlignment w:val="auto"/>
      </w:pPr>
      <w:r>
        <w:rPr>
          <w:rFonts w:hint="eastAsia" w:eastAsia="仿宋_GB2312" w:cs="仿宋_GB2312"/>
          <w:sz w:val="32"/>
          <w:szCs w:val="32"/>
        </w:rPr>
        <w:t>2024年度</w:t>
      </w:r>
      <w:r>
        <w:rPr>
          <w:rFonts w:hint="eastAsia" w:ascii="仿宋_GB2312" w:hAnsi="仿宋_GB2312" w:eastAsia="仿宋_GB2312" w:cs="仿宋_GB2312"/>
          <w:sz w:val="32"/>
          <w:szCs w:val="32"/>
        </w:rPr>
        <w:t>，阿坝州媒体服务中心机关运行经费支出0万</w:t>
      </w:r>
      <w:r>
        <w:rPr>
          <w:rFonts w:hint="eastAsia" w:eastAsia="仿宋_GB2312" w:cs="仿宋_GB2312"/>
          <w:sz w:val="32"/>
          <w:szCs w:val="32"/>
        </w:rPr>
        <w:t>元，比2023年度增加/减少</w:t>
      </w:r>
      <w:r>
        <w:rPr>
          <w:rFonts w:hint="eastAsia" w:eastAsia="仿宋_GB2312" w:cs="仿宋_GB2312"/>
          <w:sz w:val="32"/>
          <w:szCs w:val="32"/>
          <w:lang w:val="en-US" w:eastAsia="zh-CN"/>
        </w:rPr>
        <w:t>0</w:t>
      </w:r>
      <w:r>
        <w:rPr>
          <w:rFonts w:hint="eastAsia" w:eastAsia="仿宋_GB2312" w:cs="仿宋_GB2312"/>
          <w:sz w:val="32"/>
          <w:szCs w:val="32"/>
        </w:rPr>
        <w:t>万元，与2023年度</w:t>
      </w:r>
      <w:r>
        <w:rPr>
          <w:rFonts w:hint="eastAsia" w:eastAsia="仿宋_GB2312" w:cs="仿宋_GB2312"/>
          <w:sz w:val="32"/>
          <w:szCs w:val="32"/>
          <w:lang w:eastAsia="zh-CN"/>
        </w:rPr>
        <w:t>决算数持平</w:t>
      </w:r>
      <w:r>
        <w:rPr>
          <w:rFonts w:hint="eastAsia" w:ascii="仿宋_GB2312" w:eastAsia="仿宋_GB2312"/>
          <w:sz w:val="32"/>
          <w:szCs w:val="32"/>
          <w:lang w:val="en-US" w:eastAsia="zh-CN"/>
        </w:rPr>
        <w:t>。</w:t>
      </w:r>
      <w:r>
        <w:rPr>
          <w:rFonts w:hint="eastAsia" w:ascii="仿宋" w:eastAsia="仿宋"/>
          <w:sz w:val="32"/>
          <w:szCs w:val="32"/>
          <w:lang w:val="en-US" w:eastAsia="zh-CN"/>
        </w:rPr>
        <w:t>主要原因是阿坝州媒体服务中心属事业单位不涉及机关运行经费相关开支。</w:t>
      </w:r>
    </w:p>
    <w:p w14:paraId="67A6C7C7">
      <w:pPr>
        <w:keepNext w:val="0"/>
        <w:keepLines w:val="0"/>
        <w:pageBreakBefore w:val="0"/>
        <w:widowControl w:val="0"/>
        <w:kinsoku/>
        <w:wordWrap/>
        <w:overflowPunct/>
        <w:topLinePunct w:val="0"/>
        <w:bidi w:val="0"/>
        <w:snapToGrid/>
        <w:spacing w:line="240" w:lineRule="auto"/>
        <w:ind w:firstLine="643" w:firstLineChars="200"/>
        <w:textAlignment w:val="auto"/>
        <w:outlineLvl w:val="2"/>
        <w:rPr>
          <w:rFonts w:eastAsia="楷体_GB2312" w:cs="楷体_GB2312"/>
          <w:b/>
          <w:sz w:val="32"/>
          <w:szCs w:val="32"/>
        </w:rPr>
      </w:pPr>
      <w:bookmarkStart w:id="67" w:name="_Toc15377223"/>
      <w:bookmarkStart w:id="68" w:name="_Toc2127"/>
      <w:r>
        <w:rPr>
          <w:rFonts w:hint="eastAsia" w:eastAsia="楷体_GB2312" w:cs="楷体_GB2312"/>
          <w:b/>
          <w:sz w:val="32"/>
          <w:szCs w:val="32"/>
        </w:rPr>
        <w:t>（二）政府采购支出情况</w:t>
      </w:r>
      <w:bookmarkEnd w:id="67"/>
      <w:bookmarkEnd w:id="68"/>
    </w:p>
    <w:p w14:paraId="158D387C">
      <w:pPr>
        <w:keepNext w:val="0"/>
        <w:keepLines w:val="0"/>
        <w:pageBreakBefore w:val="0"/>
        <w:widowControl w:val="0"/>
        <w:kinsoku/>
        <w:wordWrap/>
        <w:overflowPunct/>
        <w:topLinePunct w:val="0"/>
        <w:bidi w:val="0"/>
        <w:snapToGrid/>
        <w:spacing w:line="240" w:lineRule="auto"/>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度，阿坝州媒体服务中心政府采购支出总额0万元，其中：政府采购货物支出0万元、政府采购工程支出0万元、政府采购服务支出0万元。授予中小企业合同金额0万元，占政府采购支出总额的0%，其中：授予小微企业合同金额0万元，占政府采购支出总额的0%。</w:t>
      </w:r>
      <w:r>
        <w:rPr>
          <w:rFonts w:hint="eastAsia" w:eastAsia="仿宋_GB2312" w:cs="仿宋_GB2312"/>
          <w:sz w:val="32"/>
          <w:szCs w:val="32"/>
        </w:rPr>
        <w:t>与2023年度</w:t>
      </w:r>
      <w:r>
        <w:rPr>
          <w:rFonts w:hint="eastAsia" w:eastAsia="仿宋_GB2312" w:cs="仿宋_GB2312"/>
          <w:sz w:val="32"/>
          <w:szCs w:val="32"/>
          <w:lang w:eastAsia="zh-CN"/>
        </w:rPr>
        <w:t>政府采购支出总额相比持平</w:t>
      </w:r>
      <w:r>
        <w:rPr>
          <w:rFonts w:hint="eastAsia" w:ascii="仿宋_GB2312" w:eastAsia="仿宋_GB2312"/>
          <w:sz w:val="32"/>
          <w:szCs w:val="32"/>
          <w:lang w:val="en-US" w:eastAsia="zh-CN"/>
        </w:rPr>
        <w:t>。</w:t>
      </w:r>
    </w:p>
    <w:p w14:paraId="21B95D42">
      <w:pPr>
        <w:keepNext w:val="0"/>
        <w:keepLines w:val="0"/>
        <w:pageBreakBefore w:val="0"/>
        <w:widowControl w:val="0"/>
        <w:kinsoku/>
        <w:wordWrap/>
        <w:overflowPunct/>
        <w:topLinePunct w:val="0"/>
        <w:bidi w:val="0"/>
        <w:snapToGrid/>
        <w:spacing w:line="240" w:lineRule="auto"/>
        <w:ind w:firstLine="643" w:firstLineChars="200"/>
        <w:textAlignment w:val="auto"/>
        <w:outlineLvl w:val="2"/>
        <w:rPr>
          <w:rFonts w:eastAsia="楷体_GB2312" w:cs="楷体_GB2312"/>
          <w:b/>
          <w:sz w:val="32"/>
          <w:szCs w:val="32"/>
        </w:rPr>
      </w:pPr>
      <w:bookmarkStart w:id="69" w:name="_Toc15377224"/>
      <w:bookmarkStart w:id="70" w:name="_Toc6624"/>
      <w:r>
        <w:rPr>
          <w:rFonts w:hint="eastAsia" w:eastAsia="楷体_GB2312" w:cs="楷体_GB2312"/>
          <w:b/>
          <w:sz w:val="32"/>
          <w:szCs w:val="32"/>
        </w:rPr>
        <w:t>（三）国有资产占有使用情况</w:t>
      </w:r>
      <w:bookmarkEnd w:id="69"/>
      <w:bookmarkEnd w:id="70"/>
    </w:p>
    <w:p w14:paraId="0D461716">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eastAsia="仿宋_GB2312" w:cs="仿宋_GB2312"/>
          <w:sz w:val="32"/>
          <w:szCs w:val="32"/>
        </w:rPr>
      </w:pPr>
      <w:r>
        <w:rPr>
          <w:rFonts w:hint="eastAsia" w:ascii="仿宋_GB2312" w:hAnsi="仿宋_GB2312" w:eastAsia="仿宋_GB2312" w:cs="仿宋_GB2312"/>
          <w:sz w:val="32"/>
          <w:szCs w:val="32"/>
        </w:rPr>
        <w:t>截至2024年12月31日，阿坝州媒体服务中心共有车辆0辆，其中：主要负责人用车0辆、机要通信用车0辆、应急保障用车0辆、其他用车0辆。单价100万元（含）以上设备（不含车辆）0台（套）</w:t>
      </w:r>
      <w:r>
        <w:rPr>
          <w:rFonts w:hint="eastAsia" w:eastAsia="仿宋_GB2312" w:cs="仿宋_GB2312"/>
          <w:sz w:val="32"/>
          <w:szCs w:val="32"/>
        </w:rPr>
        <w:t>。</w:t>
      </w:r>
      <w:r>
        <w:rPr>
          <w:rFonts w:hint="eastAsia" w:ascii="仿宋_GB2312" w:eastAsia="仿宋_GB2312"/>
          <w:sz w:val="32"/>
          <w:szCs w:val="32"/>
          <w:lang w:eastAsia="zh-CN"/>
        </w:rPr>
        <w:t>国有资产帐务入在中共阿坝州委宣传部帐务中。</w:t>
      </w:r>
    </w:p>
    <w:p w14:paraId="14FA7ED3">
      <w:pPr>
        <w:keepNext w:val="0"/>
        <w:keepLines w:val="0"/>
        <w:pageBreakBefore w:val="0"/>
        <w:widowControl w:val="0"/>
        <w:kinsoku/>
        <w:wordWrap/>
        <w:overflowPunct/>
        <w:topLinePunct w:val="0"/>
        <w:bidi w:val="0"/>
        <w:snapToGrid/>
        <w:spacing w:line="240" w:lineRule="auto"/>
        <w:ind w:firstLine="643" w:firstLineChars="200"/>
        <w:textAlignment w:val="auto"/>
        <w:outlineLvl w:val="2"/>
        <w:rPr>
          <w:rFonts w:eastAsia="楷体_GB2312" w:cs="楷体_GB2312"/>
          <w:b/>
          <w:sz w:val="32"/>
          <w:szCs w:val="32"/>
        </w:rPr>
      </w:pPr>
      <w:bookmarkStart w:id="71" w:name="_Toc13440"/>
      <w:r>
        <w:rPr>
          <w:rFonts w:hint="eastAsia" w:eastAsia="楷体_GB2312" w:cs="楷体_GB2312"/>
          <w:b/>
          <w:sz w:val="32"/>
          <w:szCs w:val="32"/>
        </w:rPr>
        <w:t>（四）预算绩效管理情况</w:t>
      </w:r>
      <w:bookmarkEnd w:id="71"/>
    </w:p>
    <w:p w14:paraId="1B08326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阿坝州媒体服务中心</w:t>
      </w:r>
      <w:r>
        <w:rPr>
          <w:rFonts w:hint="eastAsia" w:eastAsia="仿宋_GB2312" w:cs="仿宋_GB2312"/>
          <w:sz w:val="32"/>
          <w:szCs w:val="32"/>
        </w:rPr>
        <w:t>在2024年度预算编制阶段，</w:t>
      </w:r>
      <w:r>
        <w:rPr>
          <w:rFonts w:hint="eastAsia" w:ascii="仿宋_GB2312" w:eastAsia="仿宋_GB2312"/>
          <w:sz w:val="32"/>
          <w:szCs w:val="32"/>
        </w:rPr>
        <w:t>组织对</w:t>
      </w:r>
      <w:r>
        <w:rPr>
          <w:rFonts w:hint="eastAsia" w:ascii="仿宋_GB2312" w:eastAsia="仿宋_GB2312"/>
          <w:sz w:val="32"/>
          <w:szCs w:val="32"/>
          <w:lang w:eastAsia="zh-CN"/>
        </w:rPr>
        <w:t>经费支出</w:t>
      </w:r>
      <w:r>
        <w:rPr>
          <w:rFonts w:hint="eastAsia" w:ascii="仿宋_GB2312" w:eastAsia="仿宋_GB2312"/>
          <w:sz w:val="32"/>
          <w:szCs w:val="32"/>
        </w:rPr>
        <w:t>开展了预算事前绩效评估</w:t>
      </w:r>
      <w:r>
        <w:rPr>
          <w:rFonts w:hint="eastAsia" w:ascii="仿宋_GB2312" w:eastAsia="仿宋_GB2312"/>
          <w:sz w:val="32"/>
          <w:szCs w:val="32"/>
          <w:lang w:eastAsia="zh-CN"/>
        </w:rPr>
        <w:t>（阿坝州媒体服务中心无项目预算）</w:t>
      </w:r>
      <w:r>
        <w:rPr>
          <w:rFonts w:hint="eastAsia" w:ascii="仿宋_GB2312" w:eastAsia="仿宋_GB2312"/>
          <w:sz w:val="32"/>
          <w:szCs w:val="32"/>
        </w:rPr>
        <w:t>，</w:t>
      </w:r>
      <w:r>
        <w:rPr>
          <w:rFonts w:hint="eastAsia" w:ascii="仿宋_GB2312" w:eastAsia="仿宋_GB2312"/>
          <w:sz w:val="32"/>
          <w:szCs w:val="32"/>
          <w:lang w:eastAsia="zh-CN"/>
        </w:rPr>
        <w:t>并</w:t>
      </w:r>
      <w:r>
        <w:rPr>
          <w:rFonts w:hint="eastAsia" w:ascii="仿宋_GB2312" w:eastAsia="仿宋_GB2312"/>
          <w:sz w:val="32"/>
          <w:szCs w:val="32"/>
        </w:rPr>
        <w:t>编制了绩效目标，预算执行过程中开展绩效监控，</w:t>
      </w:r>
      <w:r>
        <w:rPr>
          <w:rFonts w:hint="eastAsia" w:ascii="仿宋_GB2312" w:eastAsia="仿宋_GB2312"/>
          <w:sz w:val="32"/>
          <w:szCs w:val="32"/>
          <w:lang w:eastAsia="zh-CN"/>
        </w:rPr>
        <w:t>年终执行完毕后，对支出开展了绩效目标完成情况梳理填报</w:t>
      </w:r>
      <w:r>
        <w:rPr>
          <w:rFonts w:hint="eastAsia" w:ascii="仿宋_GB2312" w:eastAsia="仿宋_GB2312"/>
          <w:sz w:val="32"/>
          <w:szCs w:val="32"/>
        </w:rPr>
        <w:t>。</w:t>
      </w:r>
    </w:p>
    <w:p w14:paraId="5508A16C">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年部门整体支出开展绩效自评，从评价情况来看，阿坝州</w:t>
      </w:r>
      <w:r>
        <w:rPr>
          <w:rFonts w:hint="eastAsia" w:ascii="仿宋_GB2312" w:eastAsia="仿宋_GB2312" w:cs="仿宋_GB2312"/>
          <w:sz w:val="32"/>
          <w:szCs w:val="32"/>
          <w:lang w:eastAsia="zh-CN"/>
        </w:rPr>
        <w:t>媒体服务</w:t>
      </w:r>
      <w:r>
        <w:rPr>
          <w:rFonts w:hint="eastAsia" w:ascii="仿宋_GB2312" w:eastAsia="仿宋_GB2312" w:cs="仿宋_GB2312"/>
          <w:sz w:val="32"/>
          <w:szCs w:val="32"/>
        </w:rPr>
        <w:t>中心需进一步提高预算编制准确度和预算执行进度，绩效目标制定要素完整、程序规范，支出控制有力，部门整体支出绩效良好。</w:t>
      </w:r>
    </w:p>
    <w:p w14:paraId="0B92B33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年度阿坝州</w:t>
      </w:r>
      <w:r>
        <w:rPr>
          <w:rFonts w:hint="eastAsia" w:ascii="仿宋_GB2312" w:eastAsia="仿宋_GB2312" w:cs="仿宋_GB2312"/>
          <w:sz w:val="32"/>
          <w:szCs w:val="32"/>
          <w:lang w:eastAsia="zh-CN"/>
        </w:rPr>
        <w:t>媒体服务</w:t>
      </w:r>
      <w:r>
        <w:rPr>
          <w:rFonts w:hint="eastAsia" w:ascii="仿宋_GB2312" w:eastAsia="仿宋_GB2312" w:cs="仿宋_GB2312"/>
          <w:sz w:val="32"/>
          <w:szCs w:val="32"/>
        </w:rPr>
        <w:t>中心不涉及特定目标类部门预算项目绩效目标自评。</w:t>
      </w:r>
    </w:p>
    <w:p w14:paraId="383932A8">
      <w:pPr>
        <w:spacing w:line="600" w:lineRule="exact"/>
        <w:ind w:firstLine="640"/>
        <w:rPr>
          <w:rFonts w:eastAsia="仿宋_GB2312" w:cs="仿宋_GB2312"/>
          <w:sz w:val="32"/>
          <w:szCs w:val="32"/>
        </w:rPr>
      </w:pPr>
    </w:p>
    <w:p w14:paraId="3825B8DC">
      <w:pPr>
        <w:spacing w:line="600" w:lineRule="exact"/>
        <w:jc w:val="center"/>
        <w:outlineLvl w:val="0"/>
        <w:rPr>
          <w:rFonts w:eastAsia="黑体"/>
          <w:sz w:val="44"/>
          <w:szCs w:val="44"/>
        </w:rPr>
      </w:pPr>
      <w:bookmarkStart w:id="72" w:name="_Toc15396613"/>
      <w:bookmarkStart w:id="73" w:name="_Toc15377225"/>
      <w:bookmarkStart w:id="74" w:name="_Toc29402"/>
      <w:r>
        <w:rPr>
          <w:rFonts w:hint="eastAsia" w:eastAsia="黑体"/>
          <w:sz w:val="44"/>
          <w:szCs w:val="44"/>
        </w:rPr>
        <w:t>第三部分名词解释</w:t>
      </w:r>
      <w:bookmarkEnd w:id="72"/>
      <w:bookmarkEnd w:id="73"/>
      <w:bookmarkEnd w:id="74"/>
    </w:p>
    <w:p w14:paraId="31D74E7E">
      <w:pPr>
        <w:spacing w:line="600" w:lineRule="exact"/>
        <w:jc w:val="left"/>
        <w:rPr>
          <w:b/>
          <w:sz w:val="44"/>
          <w:szCs w:val="44"/>
        </w:rPr>
      </w:pPr>
    </w:p>
    <w:p w14:paraId="120D26DE">
      <w:pPr>
        <w:pStyle w:val="29"/>
        <w:spacing w:line="560" w:lineRule="exact"/>
        <w:ind w:firstLine="640" w:firstLineChars="200"/>
        <w:rPr>
          <w:rFonts w:ascii="仿宋_GB2312" w:eastAsia="仿宋_GB2312"/>
          <w:color w:val="auto"/>
          <w:sz w:val="32"/>
          <w:szCs w:val="32"/>
        </w:rPr>
      </w:pPr>
      <w:bookmarkStart w:id="75" w:name="_Toc15396614"/>
      <w:bookmarkStart w:id="76"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11B4BCF">
      <w:pPr>
        <w:pStyle w:val="29"/>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C8A746F">
      <w:pPr>
        <w:pStyle w:val="29"/>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7BE20E6F">
      <w:pPr>
        <w:pStyle w:val="29"/>
        <w:spacing w:line="56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w:t>
      </w:r>
      <w:r>
        <w:rPr>
          <w:rFonts w:hint="eastAsia" w:ascii="仿宋_GB2312" w:eastAsia="仿宋_GB2312"/>
          <w:color w:val="auto"/>
          <w:sz w:val="32"/>
          <w:szCs w:val="32"/>
          <w:lang w:eastAsia="zh-CN"/>
        </w:rPr>
        <w:t>。</w:t>
      </w:r>
    </w:p>
    <w:p w14:paraId="6BE9C0F7">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使用非财政拨款结余（含专用结余）：指事业单位使用以前年度积累的非财政拨款结余弥补当年收支差额的金额。</w:t>
      </w:r>
    </w:p>
    <w:p w14:paraId="7E727590">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211F25B6">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DC1917E">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2CC080B">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9.一般公共服务支出</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（类）宣传事务</w:t>
      </w: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（款）事业运行</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反映事业单位</w:t>
      </w:r>
      <w:r>
        <w:rPr>
          <w:rFonts w:hint="eastAsia" w:ascii="仿宋_GB2312" w:eastAsia="仿宋_GB2312"/>
          <w:color w:val="000000"/>
          <w:sz w:val="32"/>
          <w:szCs w:val="32"/>
        </w:rPr>
        <w:t>的基本支出</w:t>
      </w:r>
      <w:r>
        <w:rPr>
          <w:rFonts w:hint="eastAsia" w:ascii="仿宋_GB2312" w:eastAsia="仿宋_GB2312"/>
          <w:color w:val="000000"/>
          <w:sz w:val="32"/>
          <w:szCs w:val="32"/>
          <w:lang w:eastAsia="zh-CN"/>
        </w:rPr>
        <w:t>，不包括行政单位（包括实行公务员管理的事业单位）后勤服务中心、医务室等附属事业单位</w:t>
      </w:r>
      <w:r>
        <w:rPr>
          <w:rFonts w:hint="eastAsia" w:ascii="仿宋_GB2312" w:eastAsia="仿宋_GB2312"/>
          <w:color w:val="000000"/>
          <w:sz w:val="32"/>
          <w:szCs w:val="32"/>
        </w:rPr>
        <w:t>。</w:t>
      </w:r>
    </w:p>
    <w:p w14:paraId="73EADEE8">
      <w:pPr>
        <w:pStyle w:val="2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.社会保障和就业支出</w:t>
      </w:r>
      <w:r>
        <w:rPr>
          <w:rFonts w:hint="eastAsia" w:ascii="仿宋_GB2312" w:eastAsia="仿宋_GB2312"/>
          <w:sz w:val="32"/>
          <w:szCs w:val="32"/>
          <w:lang w:val="en-US" w:eastAsia="zh-CN"/>
        </w:rPr>
        <w:t>208</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lang w:val="en-US" w:eastAsia="zh-CN"/>
        </w:rPr>
        <w:t>05</w:t>
      </w:r>
      <w:r>
        <w:rPr>
          <w:rFonts w:hint="eastAsia" w:ascii="仿宋_GB2312" w:eastAsia="仿宋_GB2312"/>
          <w:sz w:val="32"/>
          <w:szCs w:val="32"/>
        </w:rPr>
        <w:t>（款）机关事业单位基本养老保险缴费</w:t>
      </w:r>
      <w:r>
        <w:rPr>
          <w:rFonts w:hint="eastAsia" w:ascii="仿宋_GB2312" w:eastAsia="仿宋_GB2312"/>
          <w:sz w:val="32"/>
          <w:szCs w:val="32"/>
          <w:lang w:eastAsia="zh-CN"/>
        </w:rPr>
        <w:t>指出</w:t>
      </w:r>
      <w:r>
        <w:rPr>
          <w:rFonts w:hint="eastAsia" w:ascii="仿宋_GB2312" w:eastAsia="仿宋_GB2312"/>
          <w:sz w:val="32"/>
          <w:szCs w:val="32"/>
          <w:lang w:val="en-US" w:eastAsia="zh-CN"/>
        </w:rPr>
        <w:t>05</w:t>
      </w:r>
      <w:r>
        <w:rPr>
          <w:rFonts w:hint="eastAsia" w:ascii="仿宋_GB2312" w:eastAsia="仿宋_GB2312"/>
          <w:sz w:val="32"/>
          <w:szCs w:val="32"/>
        </w:rPr>
        <w:t>（项）：指机关事业单位实施养老保险制度由单位缴纳的基本养老保险费支出。</w:t>
      </w:r>
    </w:p>
    <w:p w14:paraId="72FCB5E1">
      <w:pPr>
        <w:pStyle w:val="29"/>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.社会保障和就业支出</w:t>
      </w:r>
      <w:r>
        <w:rPr>
          <w:rFonts w:hint="eastAsia" w:ascii="仿宋_GB2312" w:eastAsia="仿宋_GB2312"/>
          <w:sz w:val="32"/>
          <w:szCs w:val="32"/>
          <w:lang w:val="en-US" w:eastAsia="zh-CN"/>
        </w:rPr>
        <w:t>208</w:t>
      </w:r>
      <w:r>
        <w:rPr>
          <w:rFonts w:hint="eastAsia" w:ascii="仿宋_GB2312" w:eastAsia="仿宋_GB2312"/>
          <w:sz w:val="32"/>
          <w:szCs w:val="32"/>
        </w:rPr>
        <w:t>（类）行政事业单位</w:t>
      </w:r>
      <w:r>
        <w:rPr>
          <w:rFonts w:hint="eastAsia" w:ascii="仿宋_GB2312" w:eastAsia="仿宋_GB2312"/>
          <w:sz w:val="32"/>
          <w:szCs w:val="32"/>
          <w:lang w:eastAsia="zh-CN"/>
        </w:rPr>
        <w:t>养老支出</w:t>
      </w:r>
      <w:r>
        <w:rPr>
          <w:rFonts w:hint="eastAsia" w:ascii="仿宋_GB2312" w:eastAsia="仿宋_GB2312"/>
          <w:sz w:val="32"/>
          <w:szCs w:val="32"/>
          <w:lang w:val="en-US" w:eastAsia="zh-CN"/>
        </w:rPr>
        <w:t>05</w:t>
      </w:r>
      <w:r>
        <w:rPr>
          <w:rFonts w:hint="eastAsia" w:ascii="仿宋_GB2312" w:eastAsia="仿宋_GB2312"/>
          <w:sz w:val="32"/>
          <w:szCs w:val="32"/>
        </w:rPr>
        <w:t>（款）机关事业单位</w:t>
      </w:r>
      <w:r>
        <w:rPr>
          <w:rFonts w:hint="eastAsia" w:ascii="仿宋_GB2312" w:eastAsia="仿宋_GB2312"/>
          <w:sz w:val="32"/>
          <w:szCs w:val="32"/>
          <w:lang w:eastAsia="zh-CN"/>
        </w:rPr>
        <w:t>职业年金</w:t>
      </w:r>
      <w:r>
        <w:rPr>
          <w:rFonts w:hint="eastAsia" w:ascii="仿宋_GB2312" w:eastAsia="仿宋_GB2312"/>
          <w:sz w:val="32"/>
          <w:szCs w:val="32"/>
        </w:rPr>
        <w:t>缴费</w:t>
      </w:r>
      <w:r>
        <w:rPr>
          <w:rFonts w:hint="eastAsia" w:ascii="仿宋_GB2312" w:eastAsia="仿宋_GB2312"/>
          <w:sz w:val="32"/>
          <w:szCs w:val="32"/>
          <w:lang w:eastAsia="zh-CN"/>
        </w:rPr>
        <w:t>指出</w:t>
      </w:r>
      <w:r>
        <w:rPr>
          <w:rFonts w:hint="eastAsia" w:ascii="仿宋_GB2312" w:eastAsia="仿宋_GB2312"/>
          <w:sz w:val="32"/>
          <w:szCs w:val="32"/>
          <w:lang w:val="en-US" w:eastAsia="zh-CN"/>
        </w:rPr>
        <w:t>06</w:t>
      </w:r>
      <w:r>
        <w:rPr>
          <w:rFonts w:hint="eastAsia" w:ascii="仿宋_GB2312" w:eastAsia="仿宋_GB2312"/>
          <w:sz w:val="32"/>
          <w:szCs w:val="32"/>
        </w:rPr>
        <w:t>（项）：指机关事业单位实施养老保险制度由单位实际缴纳的职业年金支出。</w:t>
      </w:r>
    </w:p>
    <w:p w14:paraId="57E835AF">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lang w:val="en-US" w:eastAsia="zh-CN"/>
        </w:rPr>
        <w:t>210</w:t>
      </w:r>
      <w:r>
        <w:rPr>
          <w:rFonts w:hint="eastAsia" w:ascii="仿宋_GB2312" w:eastAsia="仿宋_GB2312"/>
          <w:color w:val="000000"/>
          <w:sz w:val="32"/>
          <w:szCs w:val="32"/>
        </w:rPr>
        <w:t>（类）行政事业单位医疗</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（款）事业单位医疗</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（项）：指由事业单位缴纳的医疗保险费支出。</w:t>
      </w:r>
    </w:p>
    <w:p w14:paraId="09988B90">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hint="eastAsia" w:ascii="仿宋_GB2312" w:eastAsia="仿宋_GB2312"/>
          <w:color w:val="000000"/>
          <w:sz w:val="32"/>
          <w:szCs w:val="32"/>
          <w:lang w:eastAsia="zh-CN"/>
        </w:rPr>
        <w:t>卫生健康支出</w:t>
      </w:r>
      <w:r>
        <w:rPr>
          <w:rFonts w:hint="eastAsia" w:ascii="仿宋_GB2312" w:eastAsia="仿宋_GB2312"/>
          <w:color w:val="000000"/>
          <w:sz w:val="32"/>
          <w:szCs w:val="32"/>
          <w:lang w:val="en-US" w:eastAsia="zh-CN"/>
        </w:rPr>
        <w:t>210210</w:t>
      </w:r>
      <w:r>
        <w:rPr>
          <w:rFonts w:hint="eastAsia" w:ascii="仿宋_GB2312" w:eastAsia="仿宋_GB2312"/>
          <w:color w:val="000000"/>
          <w:sz w:val="32"/>
          <w:szCs w:val="32"/>
        </w:rPr>
        <w:t>（类）行政事业单位医疗</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（款）其他行政事业单位医疗支出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（项）：指由事业单位缴纳的机关事业单位补充医保支出。</w:t>
      </w:r>
    </w:p>
    <w:p w14:paraId="6B9B11F4">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14.住房保障支出</w:t>
      </w:r>
      <w:r>
        <w:rPr>
          <w:rFonts w:hint="eastAsia" w:ascii="仿宋_GB2312" w:eastAsia="仿宋_GB2312"/>
          <w:color w:val="000000"/>
          <w:sz w:val="32"/>
          <w:szCs w:val="32"/>
          <w:lang w:val="en-US" w:eastAsia="zh-CN"/>
        </w:rPr>
        <w:t>221</w:t>
      </w:r>
      <w:r>
        <w:rPr>
          <w:rFonts w:hint="eastAsia" w:ascii="仿宋_GB2312" w:eastAsia="仿宋_GB2312"/>
          <w:color w:val="000000"/>
          <w:sz w:val="32"/>
          <w:szCs w:val="32"/>
        </w:rPr>
        <w:t>（类）住房改革支出</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（款）住房公积金</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（项）：按人力资源和社会保障部、财政部规定的基本工资和津补贴以及规定比例为职工缴纳的住房公积金。</w:t>
      </w:r>
    </w:p>
    <w:p w14:paraId="3BD9A231">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077BEE56">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DD78DB3">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8BAD729">
      <w:pPr>
        <w:pStyle w:val="29"/>
        <w:spacing w:line="576"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CE3292F">
      <w:pPr>
        <w:pStyle w:val="29"/>
        <w:spacing w:line="576"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75"/>
    <w:p w14:paraId="01E98BA1">
      <w:pPr>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br w:type="page"/>
      </w:r>
    </w:p>
    <w:p w14:paraId="6D46FE74">
      <w:pPr>
        <w:spacing w:line="600" w:lineRule="exact"/>
        <w:jc w:val="center"/>
        <w:outlineLvl w:val="0"/>
        <w:rPr>
          <w:rStyle w:val="31"/>
          <w:rFonts w:ascii="黑体" w:hAnsi="黑体" w:eastAsia="黑体"/>
          <w:b w:val="0"/>
        </w:rPr>
      </w:pPr>
      <w:bookmarkStart w:id="77" w:name="_Toc22664"/>
      <w:r>
        <w:rPr>
          <w:rFonts w:hint="eastAsia" w:ascii="Times New Roman" w:hAnsi="Times New Roman" w:eastAsia="宋体" w:cs="Times New Roman"/>
          <w:b/>
          <w:bCs/>
          <w:kern w:val="44"/>
          <w:sz w:val="44"/>
          <w:szCs w:val="44"/>
          <w:lang w:val="en-US" w:eastAsia="zh-CN" w:bidi="ar-SA"/>
        </w:rPr>
        <w:t>第四部分 附件</w:t>
      </w:r>
      <w:bookmarkEnd w:id="77"/>
    </w:p>
    <w:p w14:paraId="5F7CD37E">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14:paraId="5E937649">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阿坝州媒体服务中心</w:t>
      </w:r>
    </w:p>
    <w:p w14:paraId="5475AA8C">
      <w:pPr>
        <w:bidi w:val="0"/>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2024年度</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eastAsia" w:ascii="方正小标宋简体" w:hAnsi="宋体" w:eastAsia="方正小标宋简体"/>
          <w:sz w:val="44"/>
          <w:szCs w:val="44"/>
          <w:lang w:eastAsia="zh-CN"/>
        </w:rPr>
        <w:t>的</w:t>
      </w:r>
      <w:r>
        <w:rPr>
          <w:rFonts w:hint="eastAsia" w:ascii="方正小标宋简体" w:hAnsi="宋体" w:eastAsia="方正小标宋简体"/>
          <w:sz w:val="44"/>
          <w:szCs w:val="44"/>
        </w:rPr>
        <w:t>报告</w:t>
      </w:r>
    </w:p>
    <w:p w14:paraId="0AB096D6">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eastAsia" w:ascii="Times New Roman" w:hAnsi="Times New Roman" w:cs="Times New Roman"/>
          <w:sz w:val="32"/>
          <w:szCs w:val="32"/>
          <w:lang w:val="en-US" w:eastAsia="zh-CN"/>
        </w:rPr>
      </w:pPr>
    </w:p>
    <w:p w14:paraId="688C6E15">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w:t>
      </w:r>
      <w:r>
        <w:rPr>
          <w:rFonts w:hint="eastAsia" w:ascii="Times New Roman" w:hAnsi="Times New Roman" w:eastAsia="仿宋_GB2312" w:cs="Times New Roman"/>
          <w:sz w:val="32"/>
          <w:szCs w:val="32"/>
          <w:lang w:val="en-US" w:eastAsia="zh-CN"/>
        </w:rPr>
        <w:t>照根据《阿坝州财政局</w:t>
      </w:r>
      <w:bookmarkStart w:id="78" w:name="bookmark6"/>
      <w:r>
        <w:rPr>
          <w:rFonts w:hint="eastAsia" w:ascii="Times New Roman" w:hAnsi="Times New Roman" w:eastAsia="仿宋_GB2312" w:cs="Times New Roman"/>
          <w:sz w:val="32"/>
          <w:szCs w:val="32"/>
          <w:lang w:val="en-US" w:eastAsia="zh-CN"/>
        </w:rPr>
        <w:t>关于开展2025年州级部门预算绩效自评工作的通知</w:t>
      </w:r>
      <w:bookmarkEnd w:id="78"/>
      <w:r>
        <w:rPr>
          <w:rFonts w:hint="eastAsia" w:ascii="Times New Roman" w:hAnsi="Times New Roman" w:eastAsia="仿宋_GB2312" w:cs="Times New Roman"/>
          <w:sz w:val="32"/>
          <w:szCs w:val="32"/>
          <w:lang w:val="en-US" w:eastAsia="zh-CN"/>
        </w:rPr>
        <w:t>》（阿州财监绩〔2025〕4号）文件要求，阿坝州媒体服务中心（阿坝州新时代文明实践促进中心）属州委宣传部的下属机构，工作及项目经费未分开，赓</w:t>
      </w:r>
      <w:r>
        <w:rPr>
          <w:rFonts w:hint="default" w:ascii="Times New Roman" w:hAnsi="Times New Roman" w:eastAsia="仿宋_GB2312" w:cs="Times New Roman"/>
          <w:sz w:val="32"/>
          <w:szCs w:val="32"/>
          <w:lang w:val="en-US" w:eastAsia="zh-CN"/>
        </w:rPr>
        <w:t>即成立以</w:t>
      </w:r>
      <w:r>
        <w:rPr>
          <w:rFonts w:hint="eastAsia" w:ascii="Times New Roman" w:hAnsi="Times New Roman" w:eastAsia="仿宋_GB2312" w:cs="Times New Roman"/>
          <w:sz w:val="32"/>
          <w:szCs w:val="32"/>
          <w:lang w:val="en-US" w:eastAsia="zh-CN"/>
        </w:rPr>
        <w:t>州委宣传部</w:t>
      </w:r>
      <w:r>
        <w:rPr>
          <w:rFonts w:hint="default" w:ascii="Times New Roman" w:hAnsi="Times New Roman" w:eastAsia="仿宋_GB2312" w:cs="Times New Roman"/>
          <w:sz w:val="32"/>
          <w:szCs w:val="32"/>
          <w:lang w:val="en-US" w:eastAsia="zh-CN"/>
        </w:rPr>
        <w:t>办公室、</w:t>
      </w:r>
      <w:r>
        <w:rPr>
          <w:rFonts w:hint="eastAsia" w:ascii="Times New Roman" w:hAnsi="Times New Roman" w:eastAsia="仿宋_GB2312" w:cs="Times New Roman"/>
          <w:sz w:val="32"/>
          <w:szCs w:val="32"/>
          <w:lang w:val="en-US" w:eastAsia="zh-CN"/>
        </w:rPr>
        <w:t>各科室</w:t>
      </w:r>
      <w:r>
        <w:rPr>
          <w:rFonts w:hint="default" w:ascii="Times New Roman" w:hAnsi="Times New Roman" w:eastAsia="仿宋_GB2312" w:cs="Times New Roman"/>
          <w:sz w:val="32"/>
          <w:szCs w:val="32"/>
          <w:lang w:val="en-US" w:eastAsia="zh-CN"/>
        </w:rPr>
        <w:t>负责人为成员，分管财务领导为组长的</w:t>
      </w:r>
      <w:r>
        <w:rPr>
          <w:rFonts w:hint="eastAsia" w:ascii="Times New Roman" w:hAnsi="Times New Roman" w:eastAsia="仿宋_GB2312" w:cs="Times New Roman"/>
          <w:sz w:val="32"/>
          <w:szCs w:val="32"/>
          <w:lang w:val="en-US" w:eastAsia="zh-CN"/>
        </w:rPr>
        <w:t>整体支出</w:t>
      </w:r>
      <w:r>
        <w:rPr>
          <w:rFonts w:hint="default" w:ascii="Times New Roman" w:hAnsi="Times New Roman" w:eastAsia="仿宋_GB2312" w:cs="Times New Roman"/>
          <w:sz w:val="32"/>
          <w:szCs w:val="32"/>
          <w:lang w:val="en-US" w:eastAsia="zh-CN"/>
        </w:rPr>
        <w:t>执行情况自查小组，全面梳理总结</w:t>
      </w:r>
      <w:r>
        <w:rPr>
          <w:rFonts w:hint="eastAsia"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lang w:val="en-US" w:eastAsia="zh-CN"/>
        </w:rPr>
        <w:t>预算执行情况，</w:t>
      </w:r>
      <w:r>
        <w:rPr>
          <w:rFonts w:hint="eastAsia" w:ascii="Times New Roman" w:hAnsi="Times New Roman" w:eastAsia="仿宋_GB2312" w:cs="Times New Roman"/>
          <w:sz w:val="32"/>
          <w:szCs w:val="32"/>
          <w:lang w:val="en-US" w:eastAsia="zh-CN"/>
        </w:rPr>
        <w:t>并逐一对照评分细则自评</w:t>
      </w:r>
      <w:r>
        <w:rPr>
          <w:rFonts w:hint="default" w:ascii="Times New Roman" w:hAnsi="Times New Roman" w:eastAsia="仿宋_GB2312" w:cs="Times New Roman"/>
          <w:sz w:val="32"/>
          <w:szCs w:val="32"/>
          <w:lang w:val="en-US" w:eastAsia="zh-CN"/>
        </w:rPr>
        <w:t>，现将</w:t>
      </w:r>
      <w:r>
        <w:rPr>
          <w:rFonts w:hint="eastAsia" w:ascii="Times New Roman" w:hAnsi="Times New Roman" w:eastAsia="仿宋_GB2312" w:cs="Times New Roman"/>
          <w:sz w:val="32"/>
          <w:szCs w:val="32"/>
          <w:lang w:val="en-US" w:eastAsia="zh-CN"/>
        </w:rPr>
        <w:t>预算绩效评价</w:t>
      </w:r>
      <w:r>
        <w:rPr>
          <w:rFonts w:hint="default" w:ascii="Times New Roman" w:hAnsi="Times New Roman" w:eastAsia="仿宋_GB2312" w:cs="Times New Roman"/>
          <w:sz w:val="32"/>
          <w:szCs w:val="32"/>
          <w:lang w:val="en-US" w:eastAsia="zh-CN"/>
        </w:rPr>
        <w:t>情况报告如下。</w:t>
      </w:r>
    </w:p>
    <w:p w14:paraId="5C0AC8BF">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cs="Times New Roman"/>
          <w:sz w:val="32"/>
          <w:szCs w:val="32"/>
          <w:lang w:val="zh-CN" w:eastAsia="zh-CN"/>
        </w:rPr>
      </w:pPr>
      <w:r>
        <w:rPr>
          <w:rFonts w:hint="eastAsia" w:cs="Times New Roman"/>
          <w:sz w:val="32"/>
          <w:szCs w:val="32"/>
          <w:lang w:val="en-US" w:eastAsia="zh-CN"/>
        </w:rPr>
        <w:t>一、</w:t>
      </w:r>
      <w:r>
        <w:rPr>
          <w:rFonts w:hint="eastAsia" w:cs="Times New Roman"/>
          <w:sz w:val="32"/>
          <w:szCs w:val="32"/>
          <w:lang w:val="zh-CN" w:eastAsia="zh-CN"/>
        </w:rPr>
        <w:t>单位基本情况</w:t>
      </w:r>
    </w:p>
    <w:p w14:paraId="2F3BC633">
      <w:pPr>
        <w:pStyle w:val="6"/>
        <w:spacing w:before="0" w:beforeAutospacing="0" w:after="0" w:afterAutospacing="0"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（一）机构组成。</w:t>
      </w:r>
      <w:r>
        <w:rPr>
          <w:rFonts w:hint="eastAsia" w:ascii="Times New Roman" w:hAnsi="Times New Roman" w:eastAsia="仿宋_GB2312" w:cs="Times New Roman"/>
          <w:sz w:val="32"/>
          <w:szCs w:val="32"/>
          <w:lang w:val="en-US" w:eastAsia="zh-CN"/>
        </w:rPr>
        <w:t>阿坝州媒体服务中心（阿坝州新时代文明实践促进中心）</w:t>
      </w:r>
      <w:r>
        <w:rPr>
          <w:rFonts w:hint="eastAsia" w:ascii="Times New Roman" w:hAnsi="Times New Roman" w:eastAsia="仿宋_GB2312" w:cs="Times New Roman"/>
          <w:kern w:val="2"/>
          <w:sz w:val="32"/>
          <w:szCs w:val="32"/>
          <w:lang w:val="en-US" w:eastAsia="zh-CN" w:bidi="ar-SA"/>
        </w:rPr>
        <w:t>属中共阿坝州委宣传部下属</w:t>
      </w:r>
      <w:r>
        <w:rPr>
          <w:rFonts w:hint="eastAsia" w:ascii="Times New Roman" w:hAnsi="Times New Roman" w:cs="Times New Roman"/>
          <w:kern w:val="2"/>
          <w:sz w:val="32"/>
          <w:szCs w:val="32"/>
          <w:lang w:val="en-US" w:eastAsia="zh-CN" w:bidi="ar-SA"/>
        </w:rPr>
        <w:t>2个</w:t>
      </w:r>
      <w:r>
        <w:rPr>
          <w:rFonts w:hint="eastAsia" w:ascii="Times New Roman" w:hAnsi="Times New Roman" w:eastAsia="仿宋_GB2312" w:cs="Times New Roman"/>
          <w:kern w:val="2"/>
          <w:sz w:val="32"/>
          <w:szCs w:val="32"/>
          <w:lang w:val="en-US" w:eastAsia="zh-CN" w:bidi="ar-SA"/>
        </w:rPr>
        <w:t>事业单位。</w:t>
      </w:r>
    </w:p>
    <w:p w14:paraId="2BE641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Times New Roman"/>
          <w:sz w:val="32"/>
          <w:lang w:eastAsia="zh-CN"/>
        </w:rPr>
      </w:pPr>
      <w:r>
        <w:rPr>
          <w:rFonts w:hint="eastAsia" w:ascii="Times New Roman" w:hAnsi="Times New Roman" w:eastAsia="仿宋_GB2312" w:cs="Times New Roman"/>
          <w:kern w:val="2"/>
          <w:sz w:val="32"/>
          <w:szCs w:val="32"/>
          <w:lang w:val="zh-CN" w:eastAsia="zh-CN" w:bidi="ar-SA"/>
        </w:rPr>
        <w:t>（二）机构职能。</w:t>
      </w:r>
      <w:r>
        <w:rPr>
          <w:rFonts w:hint="eastAsia" w:ascii="仿宋_GB2312" w:hAnsi="仿宋" w:eastAsia="仿宋_GB2312"/>
          <w:sz w:val="32"/>
        </w:rPr>
        <w:t>协调配合</w:t>
      </w:r>
      <w:r>
        <w:rPr>
          <w:rFonts w:hint="eastAsia" w:ascii="仿宋_GB2312" w:hAnsi="仿宋" w:eastAsia="仿宋_GB2312" w:cs="Times New Roman"/>
          <w:sz w:val="32"/>
        </w:rPr>
        <w:t>外宣媒体开展舆论反制常态化工作，向媒体提供新闻素材</w:t>
      </w:r>
      <w:r>
        <w:rPr>
          <w:rFonts w:hint="eastAsia" w:ascii="仿宋_GB2312" w:hAnsi="仿宋" w:eastAsia="仿宋_GB2312" w:cs="Times New Roman"/>
          <w:sz w:val="32"/>
          <w:lang w:eastAsia="zh-CN"/>
        </w:rPr>
        <w:t>，</w:t>
      </w:r>
      <w:r>
        <w:rPr>
          <w:rFonts w:hint="eastAsia" w:ascii="仿宋_GB2312" w:hAnsi="仿宋" w:eastAsia="仿宋_GB2312" w:cs="Times New Roman"/>
          <w:sz w:val="32"/>
        </w:rPr>
        <w:t>承担文明实践工作的具体组织实施，提出全州文明实践工作规划和年度工作计划建议;指导全州新时代文明实践志愿服务队伍建设;发布文明实践志愿服务项目:协助开展理论宣讲、知识讲座、模范评选、文艺演出等活动;指导各县(市)、乡镇、村(社区)开展文明实践工作</w:t>
      </w:r>
      <w:r>
        <w:rPr>
          <w:rFonts w:hint="eastAsia" w:ascii="仿宋_GB2312" w:hAnsi="仿宋" w:eastAsia="仿宋_GB2312" w:cs="Times New Roman"/>
          <w:sz w:val="32"/>
          <w:lang w:eastAsia="zh-CN"/>
        </w:rPr>
        <w:t>。</w:t>
      </w:r>
    </w:p>
    <w:p w14:paraId="03178938">
      <w:pPr>
        <w:widowControl/>
        <w:adjustRightInd w:val="0"/>
        <w:snapToGrid w:val="0"/>
        <w:spacing w:line="580" w:lineRule="exact"/>
        <w:ind w:firstLine="640" w:firstLineChars="200"/>
        <w:contextualSpacing/>
        <w:jc w:val="left"/>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（三）人员概况。</w:t>
      </w:r>
      <w:r>
        <w:rPr>
          <w:rFonts w:hint="eastAsia" w:ascii="Times New Roman" w:hAnsi="Times New Roman" w:eastAsia="仿宋_GB2312" w:cs="Times New Roman"/>
          <w:kern w:val="2"/>
          <w:sz w:val="32"/>
          <w:szCs w:val="32"/>
          <w:lang w:val="en-US" w:eastAsia="zh-CN" w:bidi="ar-SA"/>
        </w:rPr>
        <w:t>编制14个，其中：</w:t>
      </w:r>
      <w:r>
        <w:rPr>
          <w:rFonts w:hint="eastAsia" w:ascii="Times New Roman" w:hAnsi="Times New Roman" w:eastAsia="仿宋_GB2312" w:cs="Times New Roman"/>
          <w:sz w:val="32"/>
          <w:szCs w:val="32"/>
          <w:lang w:val="en-US" w:eastAsia="zh-CN"/>
        </w:rPr>
        <w:t>阿坝州媒体服务中心9个，阿坝州新时代文明实践促进中心5个</w:t>
      </w:r>
      <w:r>
        <w:rPr>
          <w:rFonts w:hint="eastAsia" w:ascii="Times New Roman" w:hAnsi="Times New Roman" w:eastAsia="仿宋_GB2312" w:cs="Times New Roman"/>
          <w:kern w:val="2"/>
          <w:sz w:val="32"/>
          <w:szCs w:val="32"/>
          <w:lang w:val="en-US" w:eastAsia="zh-CN" w:bidi="ar-SA"/>
        </w:rPr>
        <w:t>，2024年</w:t>
      </w:r>
      <w:r>
        <w:rPr>
          <w:rFonts w:hint="eastAsia" w:eastAsia="仿宋_GB2312" w:cs="Times New Roman"/>
          <w:kern w:val="2"/>
          <w:sz w:val="32"/>
          <w:szCs w:val="32"/>
          <w:lang w:val="en-US" w:eastAsia="zh-CN" w:bidi="ar-SA"/>
        </w:rPr>
        <w:t>度</w:t>
      </w:r>
      <w:r>
        <w:rPr>
          <w:rFonts w:hint="eastAsia" w:ascii="Times New Roman" w:hAnsi="Times New Roman" w:eastAsia="仿宋_GB2312" w:cs="Times New Roman"/>
          <w:kern w:val="2"/>
          <w:sz w:val="32"/>
          <w:szCs w:val="32"/>
          <w:lang w:val="en-US" w:eastAsia="zh-CN" w:bidi="ar-SA"/>
        </w:rPr>
        <w:t>末实有人数6人，比上年增加2人，无退休人员。</w:t>
      </w:r>
    </w:p>
    <w:p w14:paraId="147EB200">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cs="Times New Roman"/>
          <w:sz w:val="32"/>
          <w:szCs w:val="32"/>
          <w:lang w:val="en-US" w:eastAsia="zh-CN"/>
        </w:rPr>
      </w:pPr>
      <w:r>
        <w:rPr>
          <w:rFonts w:hint="default" w:cs="Times New Roman"/>
          <w:sz w:val="32"/>
          <w:szCs w:val="32"/>
          <w:lang w:val="en-US" w:eastAsia="zh-CN"/>
        </w:rPr>
        <w:t>二、部门资金收支情况</w:t>
      </w:r>
    </w:p>
    <w:p w14:paraId="68A9C260">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cs="Times New Roman"/>
          <w:sz w:val="32"/>
          <w:szCs w:val="32"/>
          <w:lang w:val="zh-CN" w:eastAsia="zh-CN"/>
        </w:rPr>
      </w:pPr>
      <w:r>
        <w:rPr>
          <w:rFonts w:hint="default" w:cs="Times New Roman"/>
          <w:sz w:val="32"/>
          <w:szCs w:val="32"/>
          <w:lang w:val="zh-CN" w:eastAsia="zh-CN"/>
        </w:rPr>
        <w:t>（一）</w:t>
      </w:r>
      <w:r>
        <w:rPr>
          <w:rFonts w:hint="eastAsia" w:cs="Times New Roman"/>
          <w:sz w:val="32"/>
          <w:szCs w:val="32"/>
          <w:lang w:val="zh-CN" w:eastAsia="zh-CN"/>
        </w:rPr>
        <w:t>收入情况</w:t>
      </w:r>
      <w:r>
        <w:rPr>
          <w:rFonts w:hint="default" w:cs="Times New Roman"/>
          <w:sz w:val="32"/>
          <w:szCs w:val="32"/>
          <w:lang w:val="zh-CN" w:eastAsia="zh-CN"/>
        </w:rPr>
        <w:t>。</w:t>
      </w:r>
    </w:p>
    <w:p w14:paraId="14269B85">
      <w:pPr>
        <w:spacing w:line="576"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阿坝州媒体服务</w:t>
      </w:r>
      <w:r>
        <w:rPr>
          <w:rFonts w:hint="eastAsia" w:ascii="Times New Roman" w:hAnsi="Times New Roman" w:eastAsia="仿宋_GB2312" w:cs="Times New Roman"/>
          <w:kern w:val="2"/>
          <w:sz w:val="32"/>
          <w:szCs w:val="32"/>
          <w:lang w:val="en-US" w:eastAsia="zh-CN" w:bidi="ar-SA"/>
        </w:rPr>
        <w:t>中心2024年</w:t>
      </w:r>
      <w:r>
        <w:rPr>
          <w:rFonts w:hint="eastAsia" w:eastAsia="仿宋_GB2312" w:cs="Times New Roman"/>
          <w:kern w:val="2"/>
          <w:sz w:val="32"/>
          <w:szCs w:val="32"/>
          <w:lang w:val="en-US" w:eastAsia="zh-CN" w:bidi="ar-SA"/>
        </w:rPr>
        <w:t>度</w:t>
      </w:r>
      <w:r>
        <w:rPr>
          <w:rFonts w:hint="eastAsia" w:ascii="Times New Roman" w:hAnsi="Times New Roman" w:eastAsia="仿宋_GB2312" w:cs="Times New Roman"/>
          <w:kern w:val="2"/>
          <w:sz w:val="32"/>
          <w:szCs w:val="32"/>
          <w:lang w:val="en-US" w:eastAsia="zh-CN" w:bidi="ar-SA"/>
        </w:rPr>
        <w:t>年初预算收入1355268.11元（无项目），其中：事业运行1002979.07元，机关事业单位基本养老保险缴费119825.28元，机关事业单位职业年金缴费支出59912.64元，事业单位医疗58613.52元，其他行政事业单位医疗支出13269.6元，住房公积金100668元。决算报表收入与年初预算收入一致。</w:t>
      </w:r>
    </w:p>
    <w:p w14:paraId="6081B518">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cs="Times New Roman"/>
          <w:sz w:val="32"/>
          <w:szCs w:val="32"/>
          <w:lang w:val="zh-CN" w:eastAsia="zh-CN"/>
        </w:rPr>
      </w:pPr>
      <w:r>
        <w:rPr>
          <w:rFonts w:hint="default" w:cs="Times New Roman"/>
          <w:sz w:val="32"/>
          <w:szCs w:val="32"/>
          <w:lang w:val="zh-CN" w:eastAsia="zh-CN"/>
        </w:rPr>
        <w:t>（</w:t>
      </w:r>
      <w:r>
        <w:rPr>
          <w:rFonts w:hint="eastAsia" w:cs="Times New Roman"/>
          <w:sz w:val="32"/>
          <w:szCs w:val="32"/>
          <w:lang w:val="zh-CN" w:eastAsia="zh-CN"/>
        </w:rPr>
        <w:t>二</w:t>
      </w:r>
      <w:r>
        <w:rPr>
          <w:rFonts w:hint="default" w:cs="Times New Roman"/>
          <w:sz w:val="32"/>
          <w:szCs w:val="32"/>
          <w:lang w:val="zh-CN" w:eastAsia="zh-CN"/>
        </w:rPr>
        <w:t>）</w:t>
      </w:r>
      <w:r>
        <w:rPr>
          <w:rFonts w:hint="eastAsia" w:cs="Times New Roman"/>
          <w:sz w:val="32"/>
          <w:szCs w:val="32"/>
          <w:lang w:val="zh-CN" w:eastAsia="zh-CN"/>
        </w:rPr>
        <w:t>支出情况</w:t>
      </w:r>
      <w:r>
        <w:rPr>
          <w:rFonts w:hint="default" w:cs="Times New Roman"/>
          <w:sz w:val="32"/>
          <w:szCs w:val="32"/>
          <w:lang w:val="zh-CN" w:eastAsia="zh-CN"/>
        </w:rPr>
        <w:t>。</w:t>
      </w:r>
    </w:p>
    <w:p w14:paraId="6E2794D0">
      <w:pPr>
        <w:spacing w:line="576"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阿坝州媒体服务</w:t>
      </w:r>
      <w:r>
        <w:rPr>
          <w:rFonts w:hint="eastAsia" w:ascii="Times New Roman" w:hAnsi="Times New Roman" w:eastAsia="仿宋_GB2312" w:cs="Times New Roman"/>
          <w:kern w:val="2"/>
          <w:sz w:val="32"/>
          <w:szCs w:val="32"/>
          <w:lang w:val="en-US" w:eastAsia="zh-CN" w:bidi="ar-SA"/>
        </w:rPr>
        <w:t>中心2024年年初预算支出1355268.11元（无项目），其中：事业运行1002979.07元，机关事业单位基本养老保险缴费119825.28元，机关事业单位职业年金缴费支出59912.64元，事业单位医疗58613.52元，其他行政事业单位医疗支出13269.6元，住房公积金100668元。决算报表收入与年初预算收入一致。</w:t>
      </w:r>
    </w:p>
    <w:p w14:paraId="7B5F9C89">
      <w:pPr>
        <w:spacing w:line="576"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结余分配和结转结余情况</w:t>
      </w:r>
      <w:r>
        <w:rPr>
          <w:rFonts w:hint="eastAsia" w:eastAsia="仿宋_GB2312" w:cs="Times New Roman"/>
          <w:kern w:val="2"/>
          <w:sz w:val="32"/>
          <w:szCs w:val="32"/>
          <w:lang w:val="zh-CN" w:eastAsia="zh-CN" w:bidi="ar-SA"/>
        </w:rPr>
        <w:t>，</w:t>
      </w:r>
      <w:r>
        <w:rPr>
          <w:rFonts w:hint="eastAsia" w:ascii="Times New Roman" w:hAnsi="Times New Roman" w:eastAsia="仿宋_GB2312" w:cs="Times New Roman"/>
          <w:kern w:val="2"/>
          <w:sz w:val="32"/>
          <w:szCs w:val="32"/>
          <w:lang w:val="en-US" w:eastAsia="zh-CN" w:bidi="ar-SA"/>
        </w:rPr>
        <w:t>无。</w:t>
      </w:r>
    </w:p>
    <w:p w14:paraId="4DF99877">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cs="Times New Roman"/>
          <w:sz w:val="32"/>
          <w:szCs w:val="32"/>
          <w:lang w:val="zh-CN" w:eastAsia="zh-CN"/>
        </w:rPr>
      </w:pPr>
      <w:r>
        <w:rPr>
          <w:rFonts w:hint="default" w:cs="Times New Roman"/>
          <w:sz w:val="32"/>
          <w:szCs w:val="32"/>
          <w:lang w:val="zh-CN" w:eastAsia="zh-CN"/>
        </w:rPr>
        <w:t>三、部门预算绩效分析</w:t>
      </w:r>
    </w:p>
    <w:p w14:paraId="48B93164">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（一）</w:t>
      </w:r>
      <w:r>
        <w:rPr>
          <w:rFonts w:hint="eastAsia" w:ascii="Times New Roman" w:hAnsi="Times New Roman" w:eastAsia="仿宋_GB2312" w:cs="Times New Roman"/>
          <w:kern w:val="2"/>
          <w:sz w:val="32"/>
          <w:szCs w:val="32"/>
          <w:lang w:val="zh-CN" w:eastAsia="zh-CN" w:bidi="ar-SA"/>
        </w:rPr>
        <w:t>部门预算</w:t>
      </w:r>
      <w:r>
        <w:rPr>
          <w:rFonts w:hint="default" w:ascii="Times New Roman" w:hAnsi="Times New Roman" w:eastAsia="仿宋_GB2312" w:cs="Times New Roman"/>
          <w:kern w:val="2"/>
          <w:sz w:val="32"/>
          <w:szCs w:val="32"/>
          <w:lang w:val="zh-CN" w:eastAsia="zh-CN" w:bidi="ar-SA"/>
        </w:rPr>
        <w:t>总体绩效分析。根据部门预算绩效评价指标体系“总体绩效”涉及</w:t>
      </w:r>
      <w:r>
        <w:rPr>
          <w:rFonts w:hint="eastAsia" w:ascii="Times New Roman" w:hAnsi="Times New Roman" w:eastAsia="仿宋_GB2312" w:cs="Times New Roman"/>
          <w:kern w:val="2"/>
          <w:sz w:val="32"/>
          <w:szCs w:val="32"/>
          <w:lang w:val="zh-CN" w:eastAsia="zh-CN" w:bidi="ar-SA"/>
        </w:rPr>
        <w:t>二、三级</w:t>
      </w:r>
      <w:r>
        <w:rPr>
          <w:rFonts w:hint="default" w:ascii="Times New Roman" w:hAnsi="Times New Roman" w:eastAsia="仿宋_GB2312" w:cs="Times New Roman"/>
          <w:kern w:val="2"/>
          <w:sz w:val="32"/>
          <w:szCs w:val="32"/>
          <w:lang w:val="zh-CN" w:eastAsia="zh-CN" w:bidi="ar-SA"/>
        </w:rPr>
        <w:t>指标进行</w:t>
      </w:r>
      <w:r>
        <w:rPr>
          <w:rFonts w:hint="eastAsia" w:ascii="Times New Roman" w:hAnsi="Times New Roman" w:eastAsia="仿宋_GB2312" w:cs="Times New Roman"/>
          <w:kern w:val="2"/>
          <w:sz w:val="32"/>
          <w:szCs w:val="32"/>
          <w:lang w:val="zh-CN" w:eastAsia="zh-CN" w:bidi="ar-SA"/>
        </w:rPr>
        <w:t>逐项</w:t>
      </w:r>
      <w:r>
        <w:rPr>
          <w:rFonts w:hint="default" w:ascii="Times New Roman" w:hAnsi="Times New Roman" w:eastAsia="仿宋_GB2312" w:cs="Times New Roman"/>
          <w:kern w:val="2"/>
          <w:sz w:val="32"/>
          <w:szCs w:val="32"/>
          <w:lang w:val="zh-CN" w:eastAsia="zh-CN" w:bidi="ar-SA"/>
        </w:rPr>
        <w:t>绩效分析</w:t>
      </w:r>
      <w:r>
        <w:rPr>
          <w:rFonts w:hint="eastAsia" w:ascii="Times New Roman" w:hAnsi="Times New Roman" w:eastAsia="仿宋_GB2312" w:cs="Times New Roman"/>
          <w:kern w:val="2"/>
          <w:sz w:val="32"/>
          <w:szCs w:val="32"/>
          <w:lang w:val="zh-CN" w:eastAsia="zh-CN" w:bidi="ar-SA"/>
        </w:rPr>
        <w:t>并评分</w:t>
      </w:r>
      <w:r>
        <w:rPr>
          <w:rFonts w:hint="default" w:ascii="Times New Roman" w:hAnsi="Times New Roman" w:eastAsia="仿宋_GB2312" w:cs="Times New Roman"/>
          <w:kern w:val="2"/>
          <w:sz w:val="32"/>
          <w:szCs w:val="32"/>
          <w:lang w:val="zh-CN" w:eastAsia="zh-CN" w:bidi="ar-SA"/>
        </w:rPr>
        <w:t>，依次包括履职效能、预算管理、财务管理、资产管理、采购管理等情况。</w:t>
      </w:r>
    </w:p>
    <w:p w14:paraId="174EA393">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1.履职效能（15分）：本部门高度重视预算绩效管理工作，2021年6月印发《中共阿坝州委宣传部部门绩效目标管理暂行办法》，督促各科室、讲师团及直属事业单位加强资金支出管理，合理配置资源，提高财政资金使用效益。2022年按照州财政局《加强预算绩效管理工作的通知》（阿州财﹝2022﹞93号）和《阿坝州财政支出绩效评价操作规程》（阿州财绩﹝2022﹞15号），本部门制定《绩效评价操作规程（暂行）》《绩效评价实施细则（暂行）》，确保预算绩效评估目标设置科学合理，评估过程客观、公正，资金使用发挥最大效益。</w:t>
      </w:r>
    </w:p>
    <w:p w14:paraId="4455938F">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一是利用事前绩效评估，有效推动预算理性决策。为进一步强化绩效源头管控，在申报2024年部门预算时，组织项目资金使用科室、讲师团和直属事业单位对申报项目开展预算事前绩效评估。所有新增项目一律完成事前绩效评价工作，结合往年度绩效评价工作情况，有效推动预算理性决策。</w:t>
      </w:r>
    </w:p>
    <w:p w14:paraId="556EFB9E">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二是结合事中绩效运行监控，实现项目绩效动态跟踪。按照州财政局对绩效运行监控工作部署，结合绩效目标完成进度及完成可能性等情况，有效实现项目绩效动态跟踪。</w:t>
      </w:r>
    </w:p>
    <w:p w14:paraId="169A4575">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三是狠抓事后绩效评价，着力提升资金使用效益。年度周期结束后，积极组织开展上一年度项目绩效评价工作，由各科室对上一年项目进行自评形成自查报告和自评表，重在查漏补缺，不断修正完善工作内容、方式方法和流程。2024年7月30日（2024年第16次部务会）对2024年1-6月预算执行情况进行了审议，督促资金执行情况，有效提升了资金使用效益。</w:t>
      </w:r>
    </w:p>
    <w:p w14:paraId="38F20BE7">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自评得分：12分。</w:t>
      </w:r>
    </w:p>
    <w:p w14:paraId="674428B9">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w:t>
      </w:r>
      <w:r>
        <w:rPr>
          <w:rFonts w:hint="default" w:ascii="Times New Roman" w:hAnsi="Times New Roman" w:eastAsia="仿宋_GB2312" w:cs="Times New Roman"/>
          <w:kern w:val="2"/>
          <w:sz w:val="32"/>
          <w:szCs w:val="32"/>
          <w:lang w:val="zh-CN" w:eastAsia="zh-CN" w:bidi="ar-SA"/>
        </w:rPr>
        <w:t>预算管理</w:t>
      </w:r>
      <w:r>
        <w:rPr>
          <w:rFonts w:hint="eastAsia" w:ascii="Times New Roman" w:hAnsi="Times New Roman" w:eastAsia="仿宋_GB2312" w:cs="Times New Roman"/>
          <w:kern w:val="2"/>
          <w:sz w:val="32"/>
          <w:szCs w:val="32"/>
          <w:lang w:val="zh-CN" w:eastAsia="zh-CN" w:bidi="ar-SA"/>
        </w:rPr>
        <w:t>（25分）。</w:t>
      </w:r>
    </w:p>
    <w:p w14:paraId="4FCB814A">
      <w:pPr>
        <w:spacing w:line="576" w:lineRule="exact"/>
        <w:ind w:firstLine="640" w:firstLineChars="200"/>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1）预算编制质量（8分）。按照阿坝州财政局《关于编制州级2024-2026年支出规划和2024年部门预算的通知》（阿州财预（2023）57号）等文件精神及《预算法》、实施条例等预算编制的法律、法规，掌握预算编制的相关政策，结合本单位制定2024年度工作情况，坚持统筹兼顾、突出重点、厉行节约、从严控制非急需支出、非刚性支出的原则编制预算。及时召开专题会议，组织财务人员及各科室负责人进行预算的编制，核对人员编制、工资、等基础信息，实施更新单位基础信息库，准确编制部门预算，将部门预算收入全面纳入预算管理，全面完整地反映部门的真实收入情况。以2023年10月31日（即10月工资基金审核变动表）为基本预算编制基准期，采用人员经费按标准、日常公用经费按定额，编制2024年一般公共财政预算。自评得分：7分。</w:t>
      </w:r>
    </w:p>
    <w:p w14:paraId="5AC5B838">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（2）单位收入统筹（4分）。阿坝州媒体服务中心与州委宣传部人员及经费统筹使用，自评得分4分。</w:t>
      </w:r>
    </w:p>
    <w:p w14:paraId="0EB4CC99">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（3）支出执行进度（6分）。2024年预算数</w:t>
      </w:r>
      <w:r>
        <w:rPr>
          <w:rFonts w:hint="eastAsia" w:ascii="Times New Roman" w:hAnsi="Times New Roman" w:eastAsia="仿宋_GB2312" w:cs="Times New Roman"/>
          <w:kern w:val="2"/>
          <w:sz w:val="32"/>
          <w:szCs w:val="32"/>
          <w:lang w:val="en-US" w:eastAsia="zh-CN" w:bidi="ar-SA"/>
        </w:rPr>
        <w:t>1355268.11</w:t>
      </w:r>
      <w:r>
        <w:rPr>
          <w:rFonts w:hint="eastAsia" w:ascii="Times New Roman" w:hAnsi="Times New Roman" w:eastAsia="仿宋_GB2312" w:cs="Times New Roman"/>
          <w:kern w:val="2"/>
          <w:sz w:val="32"/>
          <w:szCs w:val="32"/>
          <w:lang w:val="zh-CN" w:eastAsia="zh-CN" w:bidi="ar-SA"/>
        </w:rPr>
        <w:t>万元，其中：1-6月预算执行数</w:t>
      </w:r>
      <w:r>
        <w:rPr>
          <w:rFonts w:hint="eastAsia" w:ascii="Times New Roman" w:hAnsi="Times New Roman" w:eastAsia="仿宋_GB2312" w:cs="Times New Roman"/>
          <w:kern w:val="2"/>
          <w:sz w:val="32"/>
          <w:szCs w:val="32"/>
          <w:lang w:val="en-US" w:eastAsia="zh-CN" w:bidi="ar-SA"/>
        </w:rPr>
        <w:t>711472.08</w:t>
      </w:r>
      <w:r>
        <w:rPr>
          <w:rFonts w:hint="eastAsia" w:ascii="Times New Roman" w:hAnsi="Times New Roman" w:eastAsia="仿宋_GB2312" w:cs="Times New Roman"/>
          <w:kern w:val="2"/>
          <w:sz w:val="32"/>
          <w:szCs w:val="32"/>
          <w:lang w:val="zh-CN" w:eastAsia="zh-CN" w:bidi="ar-SA"/>
        </w:rPr>
        <w:t>万元、支出预警金额0.00元、支出违规金额0.00元；1-10月预算执行数</w:t>
      </w:r>
      <w:r>
        <w:rPr>
          <w:rFonts w:hint="eastAsia" w:ascii="Times New Roman" w:hAnsi="Times New Roman" w:eastAsia="仿宋_GB2312" w:cs="Times New Roman"/>
          <w:kern w:val="2"/>
          <w:sz w:val="32"/>
          <w:szCs w:val="32"/>
          <w:lang w:val="en-US" w:eastAsia="zh-CN" w:bidi="ar-SA"/>
        </w:rPr>
        <w:t>1135543.88</w:t>
      </w:r>
      <w:r>
        <w:rPr>
          <w:rFonts w:hint="eastAsia" w:ascii="Times New Roman" w:hAnsi="Times New Roman" w:eastAsia="仿宋_GB2312" w:cs="Times New Roman"/>
          <w:kern w:val="2"/>
          <w:sz w:val="32"/>
          <w:szCs w:val="32"/>
          <w:lang w:val="zh-CN" w:eastAsia="zh-CN" w:bidi="ar-SA"/>
        </w:rPr>
        <w:t>万元、支出预警金额</w:t>
      </w:r>
      <w:r>
        <w:rPr>
          <w:rFonts w:hint="eastAsia" w:ascii="Times New Roman" w:hAnsi="Times New Roman" w:eastAsia="仿宋_GB2312" w:cs="Times New Roman"/>
          <w:kern w:val="2"/>
          <w:sz w:val="32"/>
          <w:szCs w:val="32"/>
          <w:lang w:val="en-US" w:eastAsia="zh-CN" w:bidi="ar-SA"/>
        </w:rPr>
        <w:t>0.00</w:t>
      </w:r>
      <w:r>
        <w:rPr>
          <w:rFonts w:hint="eastAsia" w:ascii="Times New Roman" w:hAnsi="Times New Roman" w:eastAsia="仿宋_GB2312" w:cs="Times New Roman"/>
          <w:kern w:val="2"/>
          <w:sz w:val="32"/>
          <w:szCs w:val="32"/>
          <w:lang w:val="zh-CN" w:eastAsia="zh-CN" w:bidi="ar-SA"/>
        </w:rPr>
        <w:t>万元、支出违规金额0.00元。自评得分：4.5分。</w:t>
      </w:r>
    </w:p>
    <w:p w14:paraId="608DFD24">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（4）预算年终结余（2分）。2024年年底部门整体预算结余率</w:t>
      </w:r>
      <w:r>
        <w:rPr>
          <w:rFonts w:hint="eastAsia" w:ascii="Times New Roman" w:hAnsi="Times New Roman"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%。自查得分：</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分。</w:t>
      </w:r>
    </w:p>
    <w:p w14:paraId="1F95D084">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（5）严控一般性支出（5分）。严格按规定压减一般性支出，年初一般性支出预算数</w:t>
      </w:r>
      <w:r>
        <w:rPr>
          <w:rFonts w:hint="eastAsia" w:eastAsia="仿宋_GB2312" w:cs="Times New Roman"/>
          <w:kern w:val="2"/>
          <w:sz w:val="32"/>
          <w:szCs w:val="32"/>
          <w:lang w:val="en-US" w:eastAsia="zh-CN" w:bidi="ar-SA"/>
        </w:rPr>
        <w:t>17.89</w:t>
      </w:r>
      <w:r>
        <w:rPr>
          <w:rFonts w:hint="eastAsia" w:ascii="Times New Roman" w:hAnsi="Times New Roman" w:eastAsia="仿宋_GB2312" w:cs="Times New Roman"/>
          <w:kern w:val="2"/>
          <w:sz w:val="32"/>
          <w:szCs w:val="32"/>
          <w:lang w:val="zh-CN" w:eastAsia="zh-CN" w:bidi="ar-SA"/>
        </w:rPr>
        <w:t>万元，执行一般性支出决算数</w:t>
      </w:r>
      <w:r>
        <w:rPr>
          <w:rFonts w:hint="eastAsia" w:eastAsia="仿宋_GB2312" w:cs="Times New Roman"/>
          <w:kern w:val="2"/>
          <w:sz w:val="32"/>
          <w:szCs w:val="32"/>
          <w:lang w:val="en-US" w:eastAsia="zh-CN" w:bidi="ar-SA"/>
        </w:rPr>
        <w:t>11.01</w:t>
      </w:r>
      <w:r>
        <w:rPr>
          <w:rFonts w:hint="eastAsia" w:ascii="Times New Roman" w:hAnsi="Times New Roman" w:eastAsia="仿宋_GB2312" w:cs="Times New Roman"/>
          <w:kern w:val="2"/>
          <w:sz w:val="32"/>
          <w:szCs w:val="32"/>
          <w:lang w:val="zh-CN" w:eastAsia="zh-CN" w:bidi="ar-SA"/>
        </w:rPr>
        <w:t>万元，占预算数的</w:t>
      </w:r>
      <w:r>
        <w:rPr>
          <w:rFonts w:hint="eastAsia" w:eastAsia="仿宋_GB2312" w:cs="Times New Roman"/>
          <w:kern w:val="2"/>
          <w:sz w:val="32"/>
          <w:szCs w:val="32"/>
          <w:lang w:val="en-US" w:eastAsia="zh-CN" w:bidi="ar-SA"/>
        </w:rPr>
        <w:t>61.54</w:t>
      </w:r>
      <w:r>
        <w:rPr>
          <w:rFonts w:hint="eastAsia" w:ascii="Times New Roman" w:hAnsi="Times New Roman" w:eastAsia="仿宋_GB2312" w:cs="Times New Roman"/>
          <w:kern w:val="2"/>
          <w:sz w:val="32"/>
          <w:szCs w:val="32"/>
          <w:lang w:val="zh-CN" w:eastAsia="zh-CN" w:bidi="ar-SA"/>
        </w:rPr>
        <w:t>%。自查得分：4分。</w:t>
      </w:r>
    </w:p>
    <w:p w14:paraId="4F6776B9">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3.财务管理（10分）。</w:t>
      </w:r>
    </w:p>
    <w:p w14:paraId="5207C464">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1）财务管理制度（4分）。我部在财务管理过程中，逐步建立健全《财务管理制度》、《财务核算制度》、《财务报销制度》等制度，单位主要领导对本单位的财务工作负总责，分管财务领导对本单位财务工作负管理和监督责任，办公室及财务人员负责管理具体财务工作。各科室经办人员对经办事项费用支出原始凭证的真实性、合法性、完整性负直接责任；各科室负责人对科室经办的项目经费支出有规范管理和核实真实性责任；财务人员具体经办财会事项，负责会计核算票据和资料的真实性、合法性、完整性。严格按照《行政单位会计制度》和《行政单位财务规则》的规定设置会计科目，建立了科学有效的会计核算方式，财务支出的性质和类型必须符合现行财务规章制度、财政和审计的要求、符合中央八项规定等要求，按程序依法依规列支。各项经济活动均真实、合法、准确、及时的反应在会计账目上，建立健全内部控制制度，积极配合财政部门开展预算、决算考评工作。自查得4分。</w:t>
      </w:r>
    </w:p>
    <w:p w14:paraId="60D74293">
      <w:pPr>
        <w:pStyle w:val="17"/>
        <w:widowControl w:val="0"/>
        <w:autoSpaceDE w:val="0"/>
        <w:spacing w:before="0" w:beforeAutospacing="0" w:after="0" w:afterAutospacing="0" w:line="576"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（2）财务岗位设置（2分）。</w:t>
      </w:r>
    </w:p>
    <w:p w14:paraId="0B9EB28A">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本部门合理设置财务工作岗位，明确职责权限，并严格落实不相容岗位相分离的原则，部门设置有财务岗位（办公室主任、会计、出纳岗位），明确岗位职责权限，严格实行不相容岗位分离，岗位间职责清晰，四川省政府财政管理信息系统数字证书(U-KBY)由两人分别管理，各岗位按照工作流程有序进行。自评得分2分。</w:t>
      </w:r>
    </w:p>
    <w:p w14:paraId="197EF6C4">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3）资金使用规范（4分）。本部门资金严格按照相关办法进行使用，坚持量入为出、确保重点、厉行节约、注重实效、重大经济事项支出由中心会集体决策研究决定的原则，保证资金使用合法合规杜绝超支现象的发生。单位资金使用符合相关财务管理制度规定，未滥发津补贴，报销符合财务规定。自评得分4分。</w:t>
      </w:r>
    </w:p>
    <w:p w14:paraId="499799F7">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4.资产管理（9分）。</w:t>
      </w:r>
      <w:r>
        <w:rPr>
          <w:rFonts w:hint="eastAsia" w:eastAsia="仿宋_GB2312" w:cs="Times New Roman"/>
          <w:kern w:val="2"/>
          <w:sz w:val="32"/>
          <w:szCs w:val="32"/>
          <w:lang w:val="zh-CN" w:eastAsia="zh-CN" w:bidi="ar-SA"/>
        </w:rPr>
        <w:t>阿坝州媒体服务中心与州委宣传部人员、经费、资产未分离，资产入在州委宣传部帐中</w:t>
      </w:r>
      <w:r>
        <w:rPr>
          <w:rFonts w:hint="eastAsia" w:ascii="Times New Roman" w:hAnsi="Times New Roman" w:eastAsia="仿宋_GB2312" w:cs="Times New Roman"/>
          <w:kern w:val="2"/>
          <w:sz w:val="32"/>
          <w:szCs w:val="32"/>
          <w:lang w:val="zh-CN" w:eastAsia="zh-CN" w:bidi="ar-SA"/>
        </w:rPr>
        <w:t>。</w:t>
      </w:r>
    </w:p>
    <w:p w14:paraId="40AB696F">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自评得分9分。</w:t>
      </w:r>
    </w:p>
    <w:p w14:paraId="0DBA8DAF">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5.采购管理(6分)。</w:t>
      </w:r>
    </w:p>
    <w:p w14:paraId="724DE1CD">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zh-CN" w:eastAsia="zh-CN" w:bidi="ar-SA"/>
        </w:rPr>
        <w:t>阿坝州媒体服务中心与州委宣传部人员、经费、资产未分离，不涉及采购。</w:t>
      </w:r>
      <w:r>
        <w:rPr>
          <w:rFonts w:hint="eastAsia" w:ascii="Times New Roman" w:hAnsi="Times New Roman" w:eastAsia="仿宋_GB2312" w:cs="Times New Roman"/>
          <w:kern w:val="2"/>
          <w:sz w:val="32"/>
          <w:szCs w:val="32"/>
          <w:lang w:val="zh-CN" w:eastAsia="zh-CN" w:bidi="ar-SA"/>
        </w:rPr>
        <w:t>自评得分</w:t>
      </w: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zh-CN" w:eastAsia="zh-CN" w:bidi="ar-SA"/>
        </w:rPr>
        <w:t>分。</w:t>
      </w:r>
    </w:p>
    <w:p w14:paraId="358FB78B">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（二）部门预算项目绩效分析（35）。</w:t>
      </w:r>
    </w:p>
    <w:p w14:paraId="54948E72">
      <w:pPr>
        <w:spacing w:line="576" w:lineRule="exact"/>
        <w:ind w:firstLine="640" w:firstLineChars="200"/>
        <w:rPr>
          <w:rFonts w:hint="default"/>
          <w:lang w:val="en-US" w:eastAsia="zh-CN"/>
        </w:rPr>
      </w:pPr>
      <w:r>
        <w:rPr>
          <w:rFonts w:hint="eastAsia" w:eastAsia="仿宋_GB2312" w:cs="Times New Roman"/>
          <w:kern w:val="2"/>
          <w:sz w:val="32"/>
          <w:szCs w:val="32"/>
          <w:lang w:val="zh-CN" w:eastAsia="zh-CN" w:bidi="ar-SA"/>
        </w:rPr>
        <w:t>阿坝州媒体服务中心与州委宣传部人员、经费、资产未分离，项目设在州委宣传部中，阿坝州媒体服务中心无项目。自评得分</w:t>
      </w:r>
      <w:r>
        <w:rPr>
          <w:rFonts w:hint="eastAsia" w:eastAsia="仿宋_GB2312" w:cs="Times New Roman"/>
          <w:kern w:val="2"/>
          <w:sz w:val="32"/>
          <w:szCs w:val="32"/>
          <w:lang w:val="en-US" w:eastAsia="zh-CN" w:bidi="ar-SA"/>
        </w:rPr>
        <w:t>35分。</w:t>
      </w:r>
    </w:p>
    <w:p w14:paraId="55B57D8A">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cs="Times New Roman"/>
          <w:sz w:val="32"/>
          <w:szCs w:val="32"/>
          <w:lang w:val="en-US" w:eastAsia="zh-CN"/>
        </w:rPr>
      </w:pPr>
      <w:r>
        <w:rPr>
          <w:rFonts w:hint="eastAsia" w:cs="Times New Roman"/>
          <w:sz w:val="32"/>
          <w:szCs w:val="32"/>
          <w:lang w:val="en-US" w:eastAsia="zh-CN"/>
        </w:rPr>
        <w:t>四、评价结论及建议</w:t>
      </w:r>
    </w:p>
    <w:p w14:paraId="50D966D5">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cs="Times New Roman"/>
          <w:sz w:val="32"/>
          <w:szCs w:val="32"/>
          <w:lang w:val="zh-CN" w:eastAsia="zh-CN"/>
        </w:rPr>
      </w:pPr>
      <w:r>
        <w:rPr>
          <w:rFonts w:hint="eastAsia" w:cs="Times New Roman"/>
          <w:sz w:val="32"/>
          <w:szCs w:val="32"/>
          <w:lang w:val="zh-CN" w:eastAsia="zh-CN"/>
        </w:rPr>
        <w:t>（一）评价结论。</w:t>
      </w:r>
    </w:p>
    <w:p w14:paraId="5B36352F">
      <w:pPr>
        <w:spacing w:line="576"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通过部门整体支出绩效评价部门自评满分为94分，通过自评得分8</w:t>
      </w: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95分。</w:t>
      </w:r>
    </w:p>
    <w:p w14:paraId="18C46796">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cs="Times New Roman"/>
          <w:sz w:val="32"/>
          <w:szCs w:val="32"/>
          <w:lang w:val="en-US" w:eastAsia="zh-CN"/>
        </w:rPr>
      </w:pPr>
      <w:r>
        <w:rPr>
          <w:rFonts w:hint="eastAsia" w:cs="Times New Roman"/>
          <w:sz w:val="32"/>
          <w:szCs w:val="32"/>
          <w:lang w:val="zh-CN" w:eastAsia="zh-CN"/>
        </w:rPr>
        <w:t>（二）存在问题。</w:t>
      </w:r>
    </w:p>
    <w:p w14:paraId="3EEFAAE1">
      <w:pPr>
        <w:spacing w:line="576" w:lineRule="exact"/>
        <w:ind w:firstLine="640" w:firstLineChars="200"/>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一是预算编制准确度有待提高，存在期末人员经费追加、减情况；二是</w:t>
      </w:r>
      <w:r>
        <w:rPr>
          <w:rFonts w:hint="eastAsia" w:ascii="Times New Roman" w:hAnsi="Times New Roman" w:eastAsia="仿宋_GB2312" w:cs="Times New Roman"/>
          <w:kern w:val="2"/>
          <w:sz w:val="32"/>
          <w:szCs w:val="32"/>
          <w:lang w:val="zh-CN" w:eastAsia="zh-CN" w:bidi="ar-SA"/>
        </w:rPr>
        <w:t>预算编制工作有待细化。预算编制不够明确和细化，预算编制的合理性需要提高，预算执行力度还要进一步加强。</w:t>
      </w:r>
    </w:p>
    <w:p w14:paraId="7FCDD784">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cs="Times New Roman"/>
          <w:sz w:val="32"/>
          <w:szCs w:val="32"/>
          <w:lang w:val="zh-CN" w:eastAsia="zh-CN"/>
        </w:rPr>
      </w:pPr>
      <w:r>
        <w:rPr>
          <w:rFonts w:hint="eastAsia" w:cs="Times New Roman"/>
          <w:sz w:val="32"/>
          <w:szCs w:val="32"/>
          <w:lang w:val="zh-CN" w:eastAsia="zh-CN"/>
        </w:rPr>
        <w:t>（三）改进建议。</w:t>
      </w:r>
    </w:p>
    <w:p w14:paraId="75E072DC">
      <w:pPr>
        <w:spacing w:line="576" w:lineRule="exact"/>
        <w:ind w:firstLine="640" w:firstLineChars="200"/>
        <w:rPr>
          <w:rFonts w:hint="default" w:eastAsia="仿宋_GB2312"/>
          <w:lang w:val="en-US" w:eastAsia="zh-CN"/>
        </w:rPr>
      </w:pPr>
      <w:r>
        <w:rPr>
          <w:rFonts w:hint="eastAsia" w:ascii="Times New Roman" w:hAnsi="Times New Roman" w:eastAsia="仿宋_GB2312" w:cs="Times New Roman"/>
          <w:kern w:val="2"/>
          <w:sz w:val="32"/>
          <w:szCs w:val="32"/>
          <w:lang w:val="en-US" w:eastAsia="zh-CN" w:bidi="ar-SA"/>
        </w:rPr>
        <w:t>一是通过近年预决算数据对比，科学编制预算，未雨绸缪尽量做好年度规划，降低经费追、加减比例；二是加强每月预算执行监控，及时督促相关各项经费执行；三是加强财务管理，严格财务审核。加强单位财务管理，健全单位财务管理制度体系，规范单位财务行为。在费用报账支付时，按照预算规定的费用项目和用途进行资金使用审核、列报支付、财务核算，杜绝超支现象的发生；四是完善资产管理。严格编制政府采购年初预算和计划，规范各类资产的购置审批制度、资产采购制度、使用管理制度、资产处置和报废审批制度、资产管理岗位职责制度等，加强单位内部的资产管理工作。</w:t>
      </w:r>
    </w:p>
    <w:p w14:paraId="13C506B0">
      <w:pPr>
        <w:spacing w:line="600" w:lineRule="exact"/>
        <w:jc w:val="center"/>
        <w:outlineLvl w:val="9"/>
        <w:rPr>
          <w:rFonts w:hint="eastAsia"/>
          <w:sz w:val="32"/>
          <w:szCs w:val="32"/>
        </w:rPr>
        <w:sectPr>
          <w:footerReference r:id="rId11" w:type="first"/>
          <w:footerReference r:id="rId10" w:type="default"/>
          <w:pgSz w:w="11906" w:h="16838"/>
          <w:pgMar w:top="1440" w:right="1800" w:bottom="1440" w:left="1800" w:header="851" w:footer="992" w:gutter="0"/>
          <w:pgNumType w:fmt="decimal" w:start="1"/>
          <w:cols w:space="425" w:num="1"/>
          <w:titlePg/>
          <w:docGrid w:type="lines" w:linePitch="312" w:charSpace="0"/>
        </w:sectPr>
      </w:pPr>
    </w:p>
    <w:p w14:paraId="2022047D">
      <w:pPr>
        <w:spacing w:line="600" w:lineRule="exact"/>
        <w:jc w:val="center"/>
        <w:outlineLvl w:val="0"/>
        <w:rPr>
          <w:rFonts w:hint="eastAsia" w:ascii="Times New Roman" w:hAnsi="Times New Roman" w:eastAsia="宋体" w:cs="Times New Roman"/>
          <w:b/>
          <w:bCs/>
          <w:kern w:val="44"/>
          <w:sz w:val="44"/>
          <w:szCs w:val="44"/>
          <w:lang w:val="en-US" w:eastAsia="zh-CN" w:bidi="ar-SA"/>
        </w:rPr>
      </w:pPr>
      <w:bookmarkStart w:id="79" w:name="_Toc8954"/>
      <w:bookmarkStart w:id="80" w:name="_Toc15396618"/>
      <w:r>
        <w:rPr>
          <w:rFonts w:hint="eastAsia" w:ascii="Times New Roman" w:hAnsi="Times New Roman" w:eastAsia="宋体" w:cs="Times New Roman"/>
          <w:b/>
          <w:bCs/>
          <w:kern w:val="44"/>
          <w:sz w:val="44"/>
          <w:szCs w:val="44"/>
          <w:lang w:val="en-US" w:eastAsia="zh-CN" w:bidi="ar-SA"/>
        </w:rPr>
        <w:t>第五部分 附表</w:t>
      </w:r>
      <w:bookmarkEnd w:id="76"/>
      <w:bookmarkEnd w:id="79"/>
      <w:bookmarkEnd w:id="80"/>
      <w:bookmarkStart w:id="81" w:name="_Toc15396619"/>
    </w:p>
    <w:p w14:paraId="071AEE01">
      <w:pPr>
        <w:pStyle w:val="16"/>
        <w:adjustRightInd w:val="0"/>
        <w:snapToGrid w:val="0"/>
        <w:spacing w:line="560" w:lineRule="exact"/>
        <w:jc w:val="left"/>
        <w:rPr>
          <w:rFonts w:eastAsia="仿宋_GB2312" w:cs="仿宋_GB2312"/>
          <w:sz w:val="32"/>
          <w:szCs w:val="32"/>
        </w:rPr>
      </w:pPr>
    </w:p>
    <w:p w14:paraId="75EA4EB7">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81"/>
    </w:p>
    <w:p w14:paraId="18A68399">
      <w:pPr>
        <w:pStyle w:val="16"/>
        <w:adjustRightInd w:val="0"/>
        <w:snapToGrid w:val="0"/>
        <w:spacing w:line="560" w:lineRule="exact"/>
        <w:jc w:val="left"/>
        <w:rPr>
          <w:rFonts w:eastAsia="仿宋_GB2312" w:cs="仿宋_GB2312"/>
          <w:sz w:val="32"/>
          <w:szCs w:val="32"/>
        </w:rPr>
      </w:pPr>
      <w:bookmarkStart w:id="82" w:name="_Toc15396620"/>
      <w:r>
        <w:rPr>
          <w:rFonts w:hint="eastAsia" w:eastAsia="仿宋_GB2312" w:cs="仿宋_GB2312"/>
          <w:sz w:val="32"/>
          <w:szCs w:val="32"/>
        </w:rPr>
        <w:t>二、收入决算表</w:t>
      </w:r>
      <w:bookmarkEnd w:id="82"/>
    </w:p>
    <w:p w14:paraId="32141A96">
      <w:pPr>
        <w:pStyle w:val="16"/>
        <w:adjustRightInd w:val="0"/>
        <w:snapToGrid w:val="0"/>
        <w:spacing w:line="560" w:lineRule="exact"/>
        <w:jc w:val="left"/>
        <w:rPr>
          <w:rFonts w:eastAsia="仿宋_GB2312" w:cs="仿宋_GB2312"/>
          <w:sz w:val="32"/>
          <w:szCs w:val="32"/>
        </w:rPr>
      </w:pPr>
      <w:bookmarkStart w:id="83" w:name="_Toc15396621"/>
      <w:r>
        <w:rPr>
          <w:rFonts w:hint="eastAsia" w:eastAsia="仿宋_GB2312" w:cs="仿宋_GB2312"/>
          <w:sz w:val="32"/>
          <w:szCs w:val="32"/>
        </w:rPr>
        <w:t>三、支出决算表</w:t>
      </w:r>
      <w:bookmarkEnd w:id="83"/>
    </w:p>
    <w:p w14:paraId="6955A220">
      <w:pPr>
        <w:pStyle w:val="16"/>
        <w:adjustRightInd w:val="0"/>
        <w:snapToGrid w:val="0"/>
        <w:spacing w:line="560" w:lineRule="exact"/>
        <w:jc w:val="left"/>
        <w:rPr>
          <w:rFonts w:eastAsia="仿宋_GB2312" w:cs="仿宋_GB2312"/>
          <w:sz w:val="32"/>
          <w:szCs w:val="32"/>
        </w:rPr>
      </w:pPr>
      <w:bookmarkStart w:id="84" w:name="_Toc15396622"/>
      <w:r>
        <w:rPr>
          <w:rFonts w:hint="eastAsia" w:eastAsia="仿宋_GB2312" w:cs="仿宋_GB2312"/>
          <w:sz w:val="32"/>
          <w:szCs w:val="32"/>
        </w:rPr>
        <w:t>四、财政拨款收入支出决算总表</w:t>
      </w:r>
      <w:bookmarkEnd w:id="84"/>
    </w:p>
    <w:p w14:paraId="5AB95B89">
      <w:pPr>
        <w:pStyle w:val="16"/>
        <w:adjustRightInd w:val="0"/>
        <w:snapToGrid w:val="0"/>
        <w:spacing w:line="560" w:lineRule="exact"/>
        <w:jc w:val="left"/>
        <w:rPr>
          <w:rFonts w:eastAsia="仿宋_GB2312" w:cs="仿宋_GB2312"/>
          <w:sz w:val="32"/>
          <w:szCs w:val="32"/>
        </w:rPr>
      </w:pPr>
      <w:bookmarkStart w:id="85" w:name="_Toc15396623"/>
      <w:r>
        <w:rPr>
          <w:rFonts w:hint="eastAsia" w:eastAsia="仿宋_GB2312" w:cs="仿宋_GB2312"/>
          <w:sz w:val="32"/>
          <w:szCs w:val="32"/>
        </w:rPr>
        <w:t>五、财政拨款支出决算明细表</w:t>
      </w:r>
      <w:bookmarkEnd w:id="85"/>
      <w:bookmarkStart w:id="86" w:name="_Toc15396624"/>
    </w:p>
    <w:p w14:paraId="07970586">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86"/>
    </w:p>
    <w:p w14:paraId="3730B757">
      <w:pPr>
        <w:pStyle w:val="16"/>
        <w:adjustRightInd w:val="0"/>
        <w:snapToGrid w:val="0"/>
        <w:spacing w:line="560" w:lineRule="exact"/>
        <w:jc w:val="left"/>
        <w:rPr>
          <w:rFonts w:eastAsia="仿宋_GB2312" w:cs="仿宋_GB2312"/>
          <w:sz w:val="32"/>
          <w:szCs w:val="32"/>
        </w:rPr>
      </w:pPr>
      <w:bookmarkStart w:id="87" w:name="_Toc15396625"/>
      <w:r>
        <w:rPr>
          <w:rFonts w:hint="eastAsia" w:eastAsia="仿宋_GB2312" w:cs="仿宋_GB2312"/>
          <w:sz w:val="32"/>
          <w:szCs w:val="32"/>
        </w:rPr>
        <w:t>七、一般公共预算财政拨款支出决算明细表</w:t>
      </w:r>
      <w:bookmarkEnd w:id="87"/>
    </w:p>
    <w:p w14:paraId="3932F96E">
      <w:pPr>
        <w:pStyle w:val="16"/>
        <w:adjustRightInd w:val="0"/>
        <w:snapToGrid w:val="0"/>
        <w:spacing w:line="560" w:lineRule="exact"/>
        <w:jc w:val="left"/>
        <w:rPr>
          <w:rFonts w:eastAsia="仿宋_GB2312" w:cs="仿宋_GB2312"/>
          <w:sz w:val="32"/>
          <w:szCs w:val="32"/>
        </w:rPr>
      </w:pPr>
      <w:bookmarkStart w:id="88" w:name="_Toc15396626"/>
      <w:r>
        <w:rPr>
          <w:rFonts w:hint="eastAsia" w:eastAsia="仿宋_GB2312" w:cs="仿宋_GB2312"/>
          <w:sz w:val="32"/>
          <w:szCs w:val="32"/>
        </w:rPr>
        <w:t>八、一般公共预算财政拨款基本支出决算表</w:t>
      </w:r>
      <w:bookmarkEnd w:id="88"/>
    </w:p>
    <w:p w14:paraId="7E3D6937">
      <w:pPr>
        <w:pStyle w:val="16"/>
        <w:adjustRightInd w:val="0"/>
        <w:snapToGrid w:val="0"/>
        <w:spacing w:line="560" w:lineRule="exact"/>
        <w:jc w:val="left"/>
        <w:rPr>
          <w:rFonts w:eastAsia="仿宋_GB2312" w:cs="仿宋_GB2312"/>
          <w:sz w:val="32"/>
          <w:szCs w:val="32"/>
        </w:rPr>
      </w:pPr>
      <w:bookmarkStart w:id="89" w:name="_Toc15396627"/>
      <w:r>
        <w:rPr>
          <w:rFonts w:hint="eastAsia" w:eastAsia="仿宋_GB2312" w:cs="仿宋_GB2312"/>
          <w:sz w:val="32"/>
          <w:szCs w:val="32"/>
        </w:rPr>
        <w:t>九、一般公共预算财政拨款项目支出决算表</w:t>
      </w:r>
      <w:bookmarkEnd w:id="89"/>
    </w:p>
    <w:p w14:paraId="5989C5B7">
      <w:pPr>
        <w:pStyle w:val="16"/>
        <w:adjustRightInd w:val="0"/>
        <w:snapToGrid w:val="0"/>
        <w:spacing w:line="560" w:lineRule="exact"/>
        <w:jc w:val="left"/>
        <w:rPr>
          <w:rFonts w:eastAsia="仿宋_GB2312" w:cs="仿宋_GB2312"/>
          <w:sz w:val="32"/>
          <w:szCs w:val="32"/>
        </w:rPr>
      </w:pPr>
      <w:bookmarkStart w:id="90" w:name="_Toc15396628"/>
      <w:r>
        <w:rPr>
          <w:rFonts w:hint="eastAsia" w:eastAsia="仿宋_GB2312" w:cs="仿宋_GB2312"/>
          <w:sz w:val="32"/>
          <w:szCs w:val="32"/>
        </w:rPr>
        <w:t>十、</w:t>
      </w:r>
      <w:bookmarkEnd w:id="90"/>
      <w:r>
        <w:rPr>
          <w:rFonts w:hint="eastAsia" w:eastAsia="仿宋_GB2312" w:cs="仿宋_GB2312"/>
          <w:sz w:val="32"/>
          <w:szCs w:val="32"/>
        </w:rPr>
        <w:t>政府性基金预算财政拨款收入支出决算表</w:t>
      </w:r>
    </w:p>
    <w:p w14:paraId="4E54629D">
      <w:pPr>
        <w:pStyle w:val="16"/>
        <w:adjustRightInd w:val="0"/>
        <w:snapToGrid w:val="0"/>
        <w:spacing w:line="560" w:lineRule="exact"/>
        <w:jc w:val="left"/>
        <w:rPr>
          <w:rFonts w:eastAsia="仿宋_GB2312" w:cs="仿宋_GB2312"/>
          <w:sz w:val="32"/>
          <w:szCs w:val="32"/>
        </w:rPr>
      </w:pPr>
      <w:bookmarkStart w:id="91" w:name="_Toc15396629"/>
      <w:r>
        <w:rPr>
          <w:rFonts w:hint="eastAsia" w:eastAsia="仿宋_GB2312" w:cs="仿宋_GB2312"/>
          <w:sz w:val="32"/>
          <w:szCs w:val="32"/>
        </w:rPr>
        <w:t>十一、</w:t>
      </w:r>
      <w:bookmarkEnd w:id="91"/>
      <w:r>
        <w:rPr>
          <w:rFonts w:hint="eastAsia" w:eastAsia="仿宋_GB2312" w:cs="仿宋_GB2312"/>
          <w:sz w:val="32"/>
          <w:szCs w:val="32"/>
        </w:rPr>
        <w:t>国有资本经营预算财政拨款收入支出决算表</w:t>
      </w:r>
    </w:p>
    <w:p w14:paraId="5D4A84E4">
      <w:pPr>
        <w:pStyle w:val="16"/>
        <w:adjustRightInd w:val="0"/>
        <w:snapToGrid w:val="0"/>
        <w:spacing w:line="560" w:lineRule="exact"/>
        <w:jc w:val="left"/>
        <w:rPr>
          <w:rFonts w:eastAsia="仿宋_GB2312" w:cs="仿宋_GB2312"/>
          <w:sz w:val="32"/>
          <w:szCs w:val="32"/>
        </w:rPr>
      </w:pPr>
      <w:bookmarkStart w:id="92" w:name="_Toc15396630"/>
      <w:r>
        <w:rPr>
          <w:rFonts w:hint="eastAsia" w:eastAsia="仿宋_GB2312" w:cs="仿宋_GB2312"/>
          <w:sz w:val="32"/>
          <w:szCs w:val="32"/>
        </w:rPr>
        <w:t>十二、</w:t>
      </w:r>
      <w:bookmarkEnd w:id="92"/>
      <w:r>
        <w:rPr>
          <w:rFonts w:hint="eastAsia" w:eastAsia="仿宋_GB2312" w:cs="仿宋_GB2312"/>
          <w:sz w:val="32"/>
          <w:szCs w:val="32"/>
        </w:rPr>
        <w:t>国有资本经营预算财政拨款支出决算表</w:t>
      </w:r>
    </w:p>
    <w:p w14:paraId="79CA6C7B">
      <w:pPr>
        <w:pStyle w:val="16"/>
        <w:adjustRightInd w:val="0"/>
        <w:snapToGrid w:val="0"/>
        <w:spacing w:line="560" w:lineRule="exact"/>
        <w:jc w:val="left"/>
        <w:rPr>
          <w:rFonts w:eastAsia="仿宋_GB2312" w:cs="仿宋_GB2312"/>
          <w:sz w:val="32"/>
          <w:szCs w:val="32"/>
        </w:rPr>
      </w:pPr>
      <w:bookmarkStart w:id="93" w:name="_Toc15396631"/>
      <w:r>
        <w:rPr>
          <w:rFonts w:hint="eastAsia" w:eastAsia="仿宋_GB2312" w:cs="仿宋_GB2312"/>
          <w:sz w:val="32"/>
          <w:szCs w:val="32"/>
        </w:rPr>
        <w:t>十三、</w:t>
      </w:r>
      <w:bookmarkEnd w:id="93"/>
      <w:r>
        <w:rPr>
          <w:rFonts w:hint="eastAsia" w:eastAsia="仿宋_GB2312" w:cs="仿宋_GB2312"/>
          <w:sz w:val="32"/>
          <w:szCs w:val="32"/>
        </w:rPr>
        <w:t>财政拨款“三公”经费支出决算表</w:t>
      </w:r>
    </w:p>
    <w:p w14:paraId="44F7959F"/>
    <w:sectPr>
      <w:footerReference r:id="rId13" w:type="first"/>
      <w:footerReference r:id="rId12"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86B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E738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AE738B">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185EACBC">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0482">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F6F74">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EF6F74">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D2BE">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741C3">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D741C3">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24A2">
    <w:pPr>
      <w:pStyle w:val="1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8E255">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588E255">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7112488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4CCB">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D8C2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5D8C2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40A0">
    <w:pPr>
      <w:pStyle w:val="11"/>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2D4A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52D4A2">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1E84D5D6">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E8EF">
    <w:pPr>
      <w:pStyle w:val="11"/>
      <w:rPr>
        <w:rFonts w:hint="eastAsia"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F2209">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62F2209">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F1F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sdt>
                          <w:sdtPr>
                            <w:id w:val="147452655"/>
                          </w:sdtPr>
                          <w:sdtContent>
                            <w:p w14:paraId="3B33BF32">
                              <w:pPr>
                                <w:pStyle w:val="11"/>
                                <w:jc w:val="center"/>
                              </w:pPr>
                              <w:r>
                                <w:fldChar w:fldCharType="begin"/>
                              </w:r>
                              <w:r>
                                <w:instrText xml:space="preserve">PAGE   \* MERGEFORMAT</w:instrText>
                              </w:r>
                              <w:r>
                                <w:fldChar w:fldCharType="separate"/>
                              </w:r>
                              <w:r>
                                <w:rPr>
                                  <w:lang w:val="zh-CN"/>
                                </w:rPr>
                                <w:t>17</w:t>
                              </w:r>
                              <w:r>
                                <w:fldChar w:fldCharType="end"/>
                              </w:r>
                            </w:p>
                          </w:sdtContent>
                        </w:sdt>
                        <w:p w14:paraId="74ABE4D6"/>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TGiLazwEAAKoDAAAOAAAAAAAAAAEAIAAAAB4BAABkcnMv&#10;ZTJvRG9jLnhtbFBLBQYAAAAABgAGAFkBAABfBQAAAAA=&#10;">
              <v:fill on="f" focussize="0,0"/>
              <v:stroke on="f"/>
              <v:imagedata o:title=""/>
              <o:lock v:ext="edit" aspectratio="f"/>
              <v:textbox inset="0mm,0mm,0mm,0mm" style="mso-fit-shape-to-text:t;">
                <w:txbxContent>
                  <w:sdt>
                    <w:sdtPr>
                      <w:id w:val="147452655"/>
                    </w:sdtPr>
                    <w:sdtContent>
                      <w:p w14:paraId="3B33BF32">
                        <w:pPr>
                          <w:pStyle w:val="11"/>
                          <w:jc w:val="center"/>
                        </w:pPr>
                        <w:r>
                          <w:fldChar w:fldCharType="begin"/>
                        </w:r>
                        <w:r>
                          <w:instrText xml:space="preserve">PAGE   \* MERGEFORMAT</w:instrText>
                        </w:r>
                        <w:r>
                          <w:fldChar w:fldCharType="separate"/>
                        </w:r>
                        <w:r>
                          <w:rPr>
                            <w:lang w:val="zh-CN"/>
                          </w:rPr>
                          <w:t>17</w:t>
                        </w:r>
                        <w:r>
                          <w:fldChar w:fldCharType="end"/>
                        </w:r>
                      </w:p>
                    </w:sdtContent>
                  </w:sdt>
                  <w:p w14:paraId="74ABE4D6"/>
                </w:txbxContent>
              </v:textbox>
            </v:shape>
          </w:pict>
        </mc:Fallback>
      </mc:AlternateContent>
    </w:r>
  </w:p>
  <w:p w14:paraId="101FC0B1">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F24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C01F8B">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q5BH88BAACq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pbl&#10;6lVSqPdYUeGdp9I4vIWB9maOIwUT8aENNn2JEqM86Xu+6quGyGS6tF6t1yWlJOVmh/CLh+s+YHyn&#10;wLJk1DzQA2ZdxekDxrF0LkndHNxqY/IjGvdXgDDHiMpbMN1OTMaJkxWH/TDR20NzJnY9bULNHS0+&#10;Z+a9I6HT0sxGmI39bBx90Icub1Xqjv7NMdJIedLUYYQlhsmhJ8xcp3VLO/Knn6sefrHt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arkEfzwEAAKoDAAAOAAAAAAAAAAEAIAAAAB4BAABkcnMv&#10;ZTJvRG9jLnhtbFBLBQYAAAAABgAGAFkBAABfBQAAAAA=&#10;">
              <v:fill on="f" focussize="0,0"/>
              <v:stroke on="f"/>
              <v:imagedata o:title=""/>
              <o:lock v:ext="edit" aspectratio="f"/>
              <v:textbox inset="0mm,0mm,0mm,0mm" style="mso-fit-shape-to-text:t;">
                <w:txbxContent>
                  <w:p w14:paraId="45C01F8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760C">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BD33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DEBD332">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740D586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8F3D">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0D72"/>
    <w:rsid w:val="003D1FB2"/>
    <w:rsid w:val="003D66DA"/>
    <w:rsid w:val="003E1310"/>
    <w:rsid w:val="003E6F55"/>
    <w:rsid w:val="00406254"/>
    <w:rsid w:val="004223DE"/>
    <w:rsid w:val="00434489"/>
    <w:rsid w:val="00437085"/>
    <w:rsid w:val="00443880"/>
    <w:rsid w:val="004464F4"/>
    <w:rsid w:val="00471401"/>
    <w:rsid w:val="00473F31"/>
    <w:rsid w:val="00475686"/>
    <w:rsid w:val="0048263A"/>
    <w:rsid w:val="00487E5D"/>
    <w:rsid w:val="004A711F"/>
    <w:rsid w:val="004B199D"/>
    <w:rsid w:val="004B4690"/>
    <w:rsid w:val="004E0A2D"/>
    <w:rsid w:val="004E206B"/>
    <w:rsid w:val="004E6DF7"/>
    <w:rsid w:val="004F0424"/>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319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60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5D5335"/>
    <w:rsid w:val="02FEBE30"/>
    <w:rsid w:val="03F8645D"/>
    <w:rsid w:val="04353830"/>
    <w:rsid w:val="046D0EFD"/>
    <w:rsid w:val="04916F1E"/>
    <w:rsid w:val="04BA3565"/>
    <w:rsid w:val="061E35DE"/>
    <w:rsid w:val="066E0107"/>
    <w:rsid w:val="071A17F5"/>
    <w:rsid w:val="07996F6E"/>
    <w:rsid w:val="07D86871"/>
    <w:rsid w:val="07DFD8BA"/>
    <w:rsid w:val="08557D0F"/>
    <w:rsid w:val="08E25FED"/>
    <w:rsid w:val="09867E8F"/>
    <w:rsid w:val="0A2032A3"/>
    <w:rsid w:val="0CA8290A"/>
    <w:rsid w:val="0D35B1ED"/>
    <w:rsid w:val="0E254B6B"/>
    <w:rsid w:val="0E3715B4"/>
    <w:rsid w:val="0E374A26"/>
    <w:rsid w:val="0E601E8E"/>
    <w:rsid w:val="0EE03F97"/>
    <w:rsid w:val="0F1A7C46"/>
    <w:rsid w:val="0F98263C"/>
    <w:rsid w:val="101860EC"/>
    <w:rsid w:val="101F47CC"/>
    <w:rsid w:val="10C055FF"/>
    <w:rsid w:val="11694EBD"/>
    <w:rsid w:val="11772AA4"/>
    <w:rsid w:val="118107EC"/>
    <w:rsid w:val="11876F95"/>
    <w:rsid w:val="11EA1B72"/>
    <w:rsid w:val="12062D4C"/>
    <w:rsid w:val="12633CFA"/>
    <w:rsid w:val="12E24EE2"/>
    <w:rsid w:val="12FB7214"/>
    <w:rsid w:val="13967F39"/>
    <w:rsid w:val="13D50BC4"/>
    <w:rsid w:val="14200928"/>
    <w:rsid w:val="143129D6"/>
    <w:rsid w:val="146B50E8"/>
    <w:rsid w:val="14AE6410"/>
    <w:rsid w:val="14B17F78"/>
    <w:rsid w:val="150A30EB"/>
    <w:rsid w:val="15595889"/>
    <w:rsid w:val="165E0673"/>
    <w:rsid w:val="16B831D5"/>
    <w:rsid w:val="16BB723D"/>
    <w:rsid w:val="17E50567"/>
    <w:rsid w:val="186504BB"/>
    <w:rsid w:val="188B43D5"/>
    <w:rsid w:val="18943BF2"/>
    <w:rsid w:val="18A92683"/>
    <w:rsid w:val="19A445FC"/>
    <w:rsid w:val="1B1C32A5"/>
    <w:rsid w:val="1BE8440E"/>
    <w:rsid w:val="1D155CEE"/>
    <w:rsid w:val="1D1638FE"/>
    <w:rsid w:val="1E312DEB"/>
    <w:rsid w:val="1E3751A9"/>
    <w:rsid w:val="1E740ACF"/>
    <w:rsid w:val="1EFF2F91"/>
    <w:rsid w:val="1FF35744"/>
    <w:rsid w:val="1FF6BC77"/>
    <w:rsid w:val="207F0F4D"/>
    <w:rsid w:val="21352D06"/>
    <w:rsid w:val="2186353C"/>
    <w:rsid w:val="21B55A10"/>
    <w:rsid w:val="23860B96"/>
    <w:rsid w:val="23F70746"/>
    <w:rsid w:val="240371BF"/>
    <w:rsid w:val="244F3473"/>
    <w:rsid w:val="24AD4D8B"/>
    <w:rsid w:val="24C97D99"/>
    <w:rsid w:val="25A718F0"/>
    <w:rsid w:val="25BB59F6"/>
    <w:rsid w:val="25F712C5"/>
    <w:rsid w:val="260F557C"/>
    <w:rsid w:val="267A556E"/>
    <w:rsid w:val="267C5CFF"/>
    <w:rsid w:val="26970054"/>
    <w:rsid w:val="270A41C0"/>
    <w:rsid w:val="270D3E41"/>
    <w:rsid w:val="276E2ACE"/>
    <w:rsid w:val="27BE6347"/>
    <w:rsid w:val="281408E2"/>
    <w:rsid w:val="28254BA7"/>
    <w:rsid w:val="29FD04D3"/>
    <w:rsid w:val="2A0F5745"/>
    <w:rsid w:val="2AF10DF9"/>
    <w:rsid w:val="2BFF7BC6"/>
    <w:rsid w:val="2C055A95"/>
    <w:rsid w:val="2C0F60BD"/>
    <w:rsid w:val="2C8A61B5"/>
    <w:rsid w:val="2DAB78D5"/>
    <w:rsid w:val="2DF04E50"/>
    <w:rsid w:val="2E586DFA"/>
    <w:rsid w:val="2F040D46"/>
    <w:rsid w:val="2F6B035B"/>
    <w:rsid w:val="2FAE5751"/>
    <w:rsid w:val="2FB1A395"/>
    <w:rsid w:val="2FD9A7D8"/>
    <w:rsid w:val="2FDBF714"/>
    <w:rsid w:val="2FE8682E"/>
    <w:rsid w:val="30AB6865"/>
    <w:rsid w:val="319F7F4E"/>
    <w:rsid w:val="32717916"/>
    <w:rsid w:val="32BD1EF1"/>
    <w:rsid w:val="32BE1CA1"/>
    <w:rsid w:val="3304709D"/>
    <w:rsid w:val="33336F44"/>
    <w:rsid w:val="338A5DAD"/>
    <w:rsid w:val="33A773CB"/>
    <w:rsid w:val="349D6851"/>
    <w:rsid w:val="351C687B"/>
    <w:rsid w:val="35E67C73"/>
    <w:rsid w:val="36AA5135"/>
    <w:rsid w:val="36BE0DA7"/>
    <w:rsid w:val="376B6AA6"/>
    <w:rsid w:val="376D39B2"/>
    <w:rsid w:val="37D70711"/>
    <w:rsid w:val="37E16F03"/>
    <w:rsid w:val="37F53A3B"/>
    <w:rsid w:val="389B6C89"/>
    <w:rsid w:val="38D469F0"/>
    <w:rsid w:val="38D62BC9"/>
    <w:rsid w:val="39627CCD"/>
    <w:rsid w:val="397BAF1F"/>
    <w:rsid w:val="39FC0581"/>
    <w:rsid w:val="3AB79AF3"/>
    <w:rsid w:val="3AE834C0"/>
    <w:rsid w:val="3B7EF35A"/>
    <w:rsid w:val="3B9FDB6C"/>
    <w:rsid w:val="3BF5BC2F"/>
    <w:rsid w:val="3C912342"/>
    <w:rsid w:val="3CEB09D4"/>
    <w:rsid w:val="3CEBA265"/>
    <w:rsid w:val="3D98207C"/>
    <w:rsid w:val="3DEE7CF3"/>
    <w:rsid w:val="3E4A3B11"/>
    <w:rsid w:val="3E740A63"/>
    <w:rsid w:val="3E78745D"/>
    <w:rsid w:val="3EE17838"/>
    <w:rsid w:val="3F55381A"/>
    <w:rsid w:val="3F7F7599"/>
    <w:rsid w:val="3FF4CAE0"/>
    <w:rsid w:val="3FF7B227"/>
    <w:rsid w:val="40A50B35"/>
    <w:rsid w:val="41326E0A"/>
    <w:rsid w:val="4194765B"/>
    <w:rsid w:val="428D523A"/>
    <w:rsid w:val="44E268DA"/>
    <w:rsid w:val="450D13D7"/>
    <w:rsid w:val="45506656"/>
    <w:rsid w:val="4618414C"/>
    <w:rsid w:val="482D4AFC"/>
    <w:rsid w:val="486A6C7A"/>
    <w:rsid w:val="49433C95"/>
    <w:rsid w:val="4A627F82"/>
    <w:rsid w:val="4B0E749A"/>
    <w:rsid w:val="4B2477C4"/>
    <w:rsid w:val="4B4F25DA"/>
    <w:rsid w:val="4BD8085A"/>
    <w:rsid w:val="4BE068DB"/>
    <w:rsid w:val="4C0647B3"/>
    <w:rsid w:val="4CB84667"/>
    <w:rsid w:val="4D577224"/>
    <w:rsid w:val="4DBF1CEB"/>
    <w:rsid w:val="4DF0007C"/>
    <w:rsid w:val="4DFE42FC"/>
    <w:rsid w:val="4E630148"/>
    <w:rsid w:val="4E812775"/>
    <w:rsid w:val="4E994025"/>
    <w:rsid w:val="4EAB630A"/>
    <w:rsid w:val="4ECE2238"/>
    <w:rsid w:val="4F833267"/>
    <w:rsid w:val="4FE9BD67"/>
    <w:rsid w:val="4FFB052F"/>
    <w:rsid w:val="500C709E"/>
    <w:rsid w:val="505F76BB"/>
    <w:rsid w:val="509610C9"/>
    <w:rsid w:val="51D76B9C"/>
    <w:rsid w:val="532E7431"/>
    <w:rsid w:val="537E6D0A"/>
    <w:rsid w:val="53F74C96"/>
    <w:rsid w:val="542A455C"/>
    <w:rsid w:val="54F00F59"/>
    <w:rsid w:val="55170BA8"/>
    <w:rsid w:val="553218C9"/>
    <w:rsid w:val="553E1482"/>
    <w:rsid w:val="556065BA"/>
    <w:rsid w:val="56260894"/>
    <w:rsid w:val="567E1AA5"/>
    <w:rsid w:val="56E47B74"/>
    <w:rsid w:val="57175D52"/>
    <w:rsid w:val="574B5DEF"/>
    <w:rsid w:val="57BD3DD4"/>
    <w:rsid w:val="58A91308"/>
    <w:rsid w:val="599734D0"/>
    <w:rsid w:val="5A31039D"/>
    <w:rsid w:val="5AAB7BE7"/>
    <w:rsid w:val="5AF92295"/>
    <w:rsid w:val="5B250254"/>
    <w:rsid w:val="5B8A73CA"/>
    <w:rsid w:val="5BDD79E6"/>
    <w:rsid w:val="5BF561CA"/>
    <w:rsid w:val="5BFF5DFC"/>
    <w:rsid w:val="5C5F735B"/>
    <w:rsid w:val="5CD71FC4"/>
    <w:rsid w:val="5D1F11B5"/>
    <w:rsid w:val="5D623234"/>
    <w:rsid w:val="5D695134"/>
    <w:rsid w:val="5D6B71EC"/>
    <w:rsid w:val="5D7C0758"/>
    <w:rsid w:val="5DAE1B18"/>
    <w:rsid w:val="5DE7D9E5"/>
    <w:rsid w:val="5ECEC941"/>
    <w:rsid w:val="5ED01887"/>
    <w:rsid w:val="5FBF9FF3"/>
    <w:rsid w:val="5FC03B07"/>
    <w:rsid w:val="5FCD4E2C"/>
    <w:rsid w:val="5FEF394A"/>
    <w:rsid w:val="5FF67715"/>
    <w:rsid w:val="604605AA"/>
    <w:rsid w:val="60853630"/>
    <w:rsid w:val="61452399"/>
    <w:rsid w:val="61CB6793"/>
    <w:rsid w:val="624F3EEF"/>
    <w:rsid w:val="62BF3928"/>
    <w:rsid w:val="62F13FD7"/>
    <w:rsid w:val="63B3701E"/>
    <w:rsid w:val="64691DA1"/>
    <w:rsid w:val="647F5392"/>
    <w:rsid w:val="65871107"/>
    <w:rsid w:val="65E66580"/>
    <w:rsid w:val="664B1D71"/>
    <w:rsid w:val="664B4E8E"/>
    <w:rsid w:val="66BA551E"/>
    <w:rsid w:val="67277B67"/>
    <w:rsid w:val="672C3830"/>
    <w:rsid w:val="67A511BB"/>
    <w:rsid w:val="67AA3209"/>
    <w:rsid w:val="698D0931"/>
    <w:rsid w:val="69A00505"/>
    <w:rsid w:val="69B405F3"/>
    <w:rsid w:val="6A7FE5F3"/>
    <w:rsid w:val="6B053271"/>
    <w:rsid w:val="6BC72261"/>
    <w:rsid w:val="6BD3071E"/>
    <w:rsid w:val="6BDD78B3"/>
    <w:rsid w:val="6C4A05C8"/>
    <w:rsid w:val="6C8742B8"/>
    <w:rsid w:val="6DBB2AE7"/>
    <w:rsid w:val="6DBF5E93"/>
    <w:rsid w:val="6DFF077E"/>
    <w:rsid w:val="6E714EF0"/>
    <w:rsid w:val="6E7E3605"/>
    <w:rsid w:val="6E7FDCC7"/>
    <w:rsid w:val="6ED6A62E"/>
    <w:rsid w:val="6EE00B15"/>
    <w:rsid w:val="6EFC51A7"/>
    <w:rsid w:val="6F6FB3EB"/>
    <w:rsid w:val="6F8731EA"/>
    <w:rsid w:val="6FCE6052"/>
    <w:rsid w:val="6FD57C00"/>
    <w:rsid w:val="6FEFFFD8"/>
    <w:rsid w:val="6FF5CC65"/>
    <w:rsid w:val="6FFB47EC"/>
    <w:rsid w:val="6FFF034A"/>
    <w:rsid w:val="70484440"/>
    <w:rsid w:val="705A6FEF"/>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1566E8"/>
    <w:rsid w:val="783E271A"/>
    <w:rsid w:val="78616DE9"/>
    <w:rsid w:val="78E875D7"/>
    <w:rsid w:val="79086DAD"/>
    <w:rsid w:val="7925031F"/>
    <w:rsid w:val="79D7FD79"/>
    <w:rsid w:val="79EE5BA4"/>
    <w:rsid w:val="7A894339"/>
    <w:rsid w:val="7AD284E8"/>
    <w:rsid w:val="7AFF7572"/>
    <w:rsid w:val="7B0816F7"/>
    <w:rsid w:val="7B6C7DFB"/>
    <w:rsid w:val="7B711213"/>
    <w:rsid w:val="7BBFBED0"/>
    <w:rsid w:val="7BC3E394"/>
    <w:rsid w:val="7BFB3BC9"/>
    <w:rsid w:val="7C1F3737"/>
    <w:rsid w:val="7CBFC87B"/>
    <w:rsid w:val="7CDE03E9"/>
    <w:rsid w:val="7CFE0F48"/>
    <w:rsid w:val="7D272ABC"/>
    <w:rsid w:val="7D7EC23E"/>
    <w:rsid w:val="7E6913DD"/>
    <w:rsid w:val="7E8ADEBF"/>
    <w:rsid w:val="7EEF11D3"/>
    <w:rsid w:val="7EFE4840"/>
    <w:rsid w:val="7F0971A6"/>
    <w:rsid w:val="7F1827C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Title"/>
    <w:basedOn w:val="1"/>
    <w:next w:val="1"/>
    <w:qFormat/>
    <w:uiPriority w:val="0"/>
    <w:pPr>
      <w:jc w:val="center"/>
      <w:outlineLvl w:val="0"/>
    </w:pPr>
    <w:rPr>
      <w:rFonts w:ascii="Calibri Light" w:hAnsi="Calibri Light" w:eastAsia="黑体"/>
      <w:b/>
      <w:bCs/>
      <w:sz w:val="44"/>
      <w:szCs w:val="32"/>
      <w:lang w:val="zh-CN"/>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7"/>
    <w:next w:val="1"/>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普通(网站) Char"/>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chart" Target="charts/chart7.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5&#24180;\2024&#24180;&#37096;&#38376;&#20915;&#31639;&#20844;&#24320;\&#23186;&#20307;&#26381;&#21153;&#20013;&#24515;\&#21333;&#20301;&#20844;&#24320;&#34920;&#26684;&#21046;&#20316;&#22270;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图1　收入、支出决算总计变动情况</a:t>
            </a:r>
          </a:p>
        </c:rich>
      </c:tx>
      <c:layout/>
      <c:overlay val="0"/>
    </c:title>
    <c:autoTitleDeleted val="0"/>
    <c:plotArea>
      <c:layout/>
      <c:barChart>
        <c:barDir val="col"/>
        <c:grouping val="stacked"/>
        <c:varyColors val="0"/>
        <c:ser>
          <c:idx val="0"/>
          <c:order val="0"/>
          <c:tx>
            <c:strRef>
              <c:f>[单位公开表格制作图1.xls]Sheet1!$A$2</c:f>
              <c:strCache>
                <c:ptCount val="1"/>
                <c:pt idx="0">
                  <c:v>图1　收、支决算总计变动情况</c:v>
                </c:pt>
              </c:strCache>
            </c:strRef>
          </c:tx>
          <c:invertIfNegative val="0"/>
          <c:dLbls>
            <c:delete val="1"/>
          </c:dLbls>
          <c:cat>
            <c:strRef>
              <c:f>[单位公开表格制作图1.xls]Sheet1!$B$1:$C$1</c:f>
              <c:strCache>
                <c:ptCount val="2"/>
                <c:pt idx="0">
                  <c:v>2024（万元）</c:v>
                </c:pt>
                <c:pt idx="1">
                  <c:v>2023（万元）</c:v>
                </c:pt>
              </c:strCache>
            </c:strRef>
          </c:cat>
          <c:val>
            <c:numRef>
              <c:f>[单位公开表格制作图1.xls]Sheet1!$B$2:$C$2</c:f>
              <c:numCache>
                <c:formatCode>General</c:formatCode>
                <c:ptCount val="2"/>
                <c:pt idx="0">
                  <c:v>135.53</c:v>
                </c:pt>
                <c:pt idx="1">
                  <c:v>79.07</c:v>
                </c:pt>
              </c:numCache>
            </c:numRef>
          </c:val>
        </c:ser>
        <c:dLbls>
          <c:showLegendKey val="0"/>
          <c:showVal val="0"/>
          <c:showCatName val="0"/>
          <c:showSerName val="0"/>
          <c:showPercent val="0"/>
          <c:showBubbleSize val="0"/>
        </c:dLbls>
        <c:gapWidth val="150"/>
        <c:overlap val="100"/>
        <c:axId val="868235256"/>
        <c:axId val="514883250"/>
      </c:barChart>
      <c:catAx>
        <c:axId val="868235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4883250"/>
        <c:crosses val="autoZero"/>
        <c:auto val="1"/>
        <c:lblAlgn val="ctr"/>
        <c:lblOffset val="100"/>
        <c:noMultiLvlLbl val="0"/>
      </c:catAx>
      <c:valAx>
        <c:axId val="51488325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68235256"/>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af30bd08-a8cc-493c-be86-524c3fe247a2}"/>
      </c:ext>
    </c:extLst>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Pt>
            <c:idx val="7"/>
            <c:bubble3D val="0"/>
            <c:explosion val="0"/>
          </c:dPt>
          <c:dLbls>
            <c:delete val="1"/>
          </c:dLbls>
          <c:cat>
            <c:strRef>
              <c:f>[单位公开表格制作图2.xls]Sheet1!$A$2:$A$9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[单位公开表格制作图2.xls]Sheet1!$B$2:$B$9</c:f>
              <c:numCache>
                <c:formatCode>General</c:formatCode>
                <c:ptCount val="8"/>
                <c:pt idx="0">
                  <c:v>135.53</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33b198e-547a-4946-97f9-54d7beb7ca3d}"/>
      </c:ext>
    </c:extLst>
  </c:chart>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29821143491084"/>
          <c:y val="0.0107962213225371"/>
          <c:w val="0.560996563573883"/>
          <c:h val="0.881241565452092"/>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elete val="1"/>
          </c:dLbls>
          <c:cat>
            <c:strRef>
              <c:f>[单位公开表格制作图3.xls]Sheet1!$A$4:$A$8</c:f>
              <c:strCache>
                <c:ptCount val="5"/>
                <c:pt idx="0">
                  <c:v>基本支出</c:v>
                </c:pt>
                <c:pt idx="1">
                  <c:v>项目支出</c:v>
                </c:pt>
                <c:pt idx="2">
                  <c:v>上缴上级支出</c:v>
                </c:pt>
                <c:pt idx="3">
                  <c:v>经营支出</c:v>
                </c:pt>
                <c:pt idx="4">
                  <c:v>对附属单位补助支出</c:v>
                </c:pt>
              </c:strCache>
            </c:strRef>
          </c:cat>
          <c:val>
            <c:numRef>
              <c:f>[单位公开表格制作图3.xls]Sheet1!$B$4:$B$8</c:f>
              <c:numCache>
                <c:formatCode>General</c:formatCode>
                <c:ptCount val="5"/>
                <c:pt idx="0">
                  <c:v>135.53</c:v>
                </c:pt>
                <c:pt idx="1">
                  <c:v>0</c:v>
                </c:pt>
                <c:pt idx="2">
                  <c:v>0</c:v>
                </c:pt>
                <c:pt idx="3">
                  <c:v>0</c:v>
                </c:pt>
                <c:pt idx="4">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ec7d0a6-b980-4ee2-99b1-737d5743a73d}"/>
      </c:ext>
    </c:extLst>
  </c:chart>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[单位公开表格制作图4.xls]Sheet1!$A$2</c:f>
              <c:strCache>
                <c:ptCount val="1"/>
                <c:pt idx="0">
                  <c:v>图4　财政拨款收、支决算总计变动情况</c:v>
                </c:pt>
              </c:strCache>
            </c:strRef>
          </c:tx>
          <c:invertIfNegative val="0"/>
          <c:dLbls>
            <c:delete val="1"/>
          </c:dLbls>
          <c:cat>
            <c:strRef>
              <c:f>[单位公开表格制作图4.xls]Sheet1!$B$1:$C$1</c:f>
              <c:strCache>
                <c:ptCount val="2"/>
                <c:pt idx="0">
                  <c:v>2024（万元）</c:v>
                </c:pt>
                <c:pt idx="1">
                  <c:v>2023（万元）</c:v>
                </c:pt>
              </c:strCache>
            </c:strRef>
          </c:cat>
          <c:val>
            <c:numRef>
              <c:f>[单位公开表格制作图4.xls]Sheet1!$B$2:$C$2</c:f>
              <c:numCache>
                <c:formatCode>General</c:formatCode>
                <c:ptCount val="2"/>
                <c:pt idx="0">
                  <c:v>135.53</c:v>
                </c:pt>
                <c:pt idx="1">
                  <c:v>79.07</c:v>
                </c:pt>
              </c:numCache>
            </c:numRef>
          </c:val>
        </c:ser>
        <c:dLbls>
          <c:showLegendKey val="0"/>
          <c:showVal val="0"/>
          <c:showCatName val="0"/>
          <c:showSerName val="0"/>
          <c:showPercent val="0"/>
          <c:showBubbleSize val="0"/>
        </c:dLbls>
        <c:gapWidth val="150"/>
        <c:overlap val="100"/>
        <c:axId val="615379987"/>
        <c:axId val="981797294"/>
      </c:barChart>
      <c:catAx>
        <c:axId val="615379987"/>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81797294"/>
        <c:crosses val="autoZero"/>
        <c:auto val="1"/>
        <c:lblAlgn val="ctr"/>
        <c:lblOffset val="100"/>
        <c:noMultiLvlLbl val="0"/>
      </c:catAx>
      <c:valAx>
        <c:axId val="98179729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15379987"/>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12ba9906-c05b-47f4-8806-ae78444ebc12}"/>
      </c:ext>
    </c:extLst>
  </c:chart>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[单位公开表格制作图5.xls]Sheet1!$A$2</c:f>
              <c:strCache>
                <c:ptCount val="1"/>
                <c:pt idx="0">
                  <c:v>图5　一般公共预算财政拨款支出</c:v>
                </c:pt>
              </c:strCache>
            </c:strRef>
          </c:tx>
          <c:invertIfNegative val="0"/>
          <c:dLbls>
            <c:delete val="1"/>
          </c:dLbls>
          <c:cat>
            <c:strRef>
              <c:f>[单位公开表格制作图5.xls]Sheet1!$B$1:$C$1</c:f>
              <c:strCache>
                <c:ptCount val="2"/>
                <c:pt idx="0">
                  <c:v>2024（万元）</c:v>
                </c:pt>
                <c:pt idx="1">
                  <c:v>2023（万元）</c:v>
                </c:pt>
              </c:strCache>
            </c:strRef>
          </c:cat>
          <c:val>
            <c:numRef>
              <c:f>[单位公开表格制作图5.xls]Sheet1!$B$2:$C$2</c:f>
              <c:numCache>
                <c:formatCode>General</c:formatCode>
                <c:ptCount val="2"/>
                <c:pt idx="0">
                  <c:v>135.53</c:v>
                </c:pt>
                <c:pt idx="1">
                  <c:v>79.07</c:v>
                </c:pt>
              </c:numCache>
            </c:numRef>
          </c:val>
        </c:ser>
        <c:dLbls>
          <c:showLegendKey val="0"/>
          <c:showVal val="0"/>
          <c:showCatName val="0"/>
          <c:showSerName val="0"/>
          <c:showPercent val="0"/>
          <c:showBubbleSize val="0"/>
        </c:dLbls>
        <c:gapWidth val="150"/>
        <c:overlap val="100"/>
        <c:axId val="301346042"/>
        <c:axId val="401036532"/>
      </c:barChart>
      <c:catAx>
        <c:axId val="30134604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1036532"/>
        <c:crosses val="autoZero"/>
        <c:auto val="1"/>
        <c:lblAlgn val="ctr"/>
        <c:lblOffset val="100"/>
        <c:noMultiLvlLbl val="0"/>
      </c:catAx>
      <c:valAx>
        <c:axId val="4010365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01346042"/>
        <c:crosses val="autoZero"/>
        <c:crossBetween val="between"/>
      </c:valAx>
      <c:spPr>
        <a:solidFill>
          <a:srgbClr val="FFFFFF">
            <a:alpha val="100000"/>
          </a:srgbClr>
        </a:solidFill>
        <a:ln w="3175">
          <a:noFill/>
        </a:ln>
      </c:spPr>
    </c:plotArea>
    <c:plotVisOnly val="1"/>
    <c:dispBlanksAs val="gap"/>
    <c:showDLblsOverMax val="0"/>
    <c:extLst>
      <c:ext uri="{0b15fc19-7d7d-44ad-8c2d-2c3a37ce22c3}">
        <chartProps xmlns="https://web.wps.cn/et/2018/main" chartId="{cab393ba-5ca2-46ba-88e0-41b9a0d76d33}"/>
      </c:ext>
    </c:extLst>
  </c:chart>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Lbls>
            <c:delete val="1"/>
          </c:dLbls>
          <c:cat>
            <c:strRef>
              <c:f>[单位公开表格制作图6.xls]Sheet1!$A$3:$A$6</c:f>
              <c:strCache>
                <c:ptCount val="4"/>
                <c:pt idx="0">
                  <c:v>住房保障支出</c:v>
                </c:pt>
                <c:pt idx="1">
                  <c:v>卫生健康支出</c:v>
                </c:pt>
                <c:pt idx="2">
                  <c:v>社会保障与服务支出</c:v>
                </c:pt>
                <c:pt idx="3">
                  <c:v>一般公共预算财政拨款支出</c:v>
                </c:pt>
              </c:strCache>
            </c:strRef>
          </c:cat>
          <c:val>
            <c:numRef>
              <c:f>[单位公开表格制作图6.xls]Sheet1!$B$3:$B$6</c:f>
              <c:numCache>
                <c:formatCode>General</c:formatCode>
                <c:ptCount val="4"/>
                <c:pt idx="0">
                  <c:v>10.07</c:v>
                </c:pt>
                <c:pt idx="1">
                  <c:v>7.19</c:v>
                </c:pt>
                <c:pt idx="2">
                  <c:v>17.97</c:v>
                </c:pt>
                <c:pt idx="3">
                  <c:v>100.3</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91f9aa9-1ed0-4c45-a006-21cf4a1c8fe2}"/>
      </c:ext>
    </c:extLst>
  </c:chart>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dPt>
          <c:dLbls>
            <c:delete val="1"/>
          </c:dLbls>
          <c:cat>
            <c:strRef>
              <c:f>[单位公开表格制作图7.xls]Sheet1!$A$3:$A$5</c:f>
              <c:strCache>
                <c:ptCount val="3"/>
                <c:pt idx="0">
                  <c:v>公务接待费支出</c:v>
                </c:pt>
                <c:pt idx="1">
                  <c:v>因公出国费支出</c:v>
                </c:pt>
                <c:pt idx="2">
                  <c:v>公务用车运行费支出</c:v>
                </c:pt>
              </c:strCache>
            </c:strRef>
          </c:cat>
          <c:val>
            <c:numRef>
              <c:f>[单位公开表格制作图7.xls]Sheet1!$B$3:$B$5</c:f>
              <c:numCache>
                <c:formatCode>General</c:formatCode>
                <c:ptCount val="3"/>
                <c:pt idx="0">
                  <c:v>0.17</c:v>
                </c:pt>
                <c:pt idx="1">
                  <c:v>0</c:v>
                </c:pt>
                <c:pt idx="2">
                  <c:v>0</c:v>
                </c:pt>
              </c:numCache>
            </c:numRef>
          </c:val>
        </c:ser>
        <c:dLbls>
          <c:showLegendKey val="0"/>
          <c:showVal val="0"/>
          <c:showCatName val="0"/>
          <c:showSerName val="0"/>
          <c:showPercent val="0"/>
          <c:showBubbleSize val="0"/>
          <c:showLeaderLines val="0"/>
        </c:dLbls>
        <c:firstSliceAng val="0"/>
      </c:pieChart>
      <c:spPr>
        <a:noFill/>
        <a:ln w="3175">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58e6161-6dcd-4089-81c6-7bfef1560db3}"/>
      </c:ext>
    </c:extLst>
  </c:chart>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9834</Words>
  <Characters>10622</Characters>
  <Lines>60</Lines>
  <Paragraphs>17</Paragraphs>
  <TotalTime>1</TotalTime>
  <ScaleCrop>false</ScaleCrop>
  <LinksUpToDate>false</LinksUpToDate>
  <CharactersWithSpaces>10718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2025-09-02T00:41:00Z</dcterms:created>
  <dc:creator>曹颖</dc:creator>
  <cp:lastModifiedBy>梦影</cp:lastModifiedBy>
  <cp:lastPrinted>2025-08-06T17:34:00Z</cp:lastPrinted>
  <dcterms:modified xsi:type="dcterms:W3CDTF">2025-09-04T04:44:54Z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231A1E6C5AF44C2C8D0F4671EAA7B4D4_13</vt:lpwstr>
  </property>
  <property fmtid="{D5CDD505-2E9C-101B-9397-08002B2CF9AE}" pid="4" name="KSOTemplateDocerSaveRecord">
    <vt:lpwstr>eyJoZGlkIjoiZjc3MzgyZGU5NDBmZDdlNDY2ZjkyNjM3OTBhZTMxZGEiLCJ1c2VySWQiOiI0NjIxMjYzMzQifQ==</vt:lpwstr>
  </property>
</Properties>
</file>