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BC35E">
      <w:pPr>
        <w:outlineLvl w:val="0"/>
        <w:rPr>
          <w:rFonts w:ascii="仿宋_GB2312" w:eastAsia="仿宋_GB2312"/>
          <w:sz w:val="32"/>
          <w:szCs w:val="32"/>
        </w:rPr>
      </w:pPr>
      <w:bookmarkStart w:id="0" w:name="_Toc10882"/>
      <w:bookmarkStart w:id="1" w:name="_Toc11521"/>
      <w:bookmarkStart w:id="2" w:name="_Toc15377425"/>
      <w:bookmarkStart w:id="3" w:name="_Toc15396597"/>
      <w:bookmarkStart w:id="4" w:name="_Toc15378441"/>
      <w:bookmarkStart w:id="5" w:name="_Toc15396475"/>
      <w:bookmarkStart w:id="6" w:name="_Toc15377193"/>
      <w:bookmarkStart w:id="7" w:name="_Toc15306267"/>
      <w:r>
        <w:rPr>
          <w:rFonts w:hint="eastAsia" w:ascii="仿宋_GB2312" w:eastAsia="仿宋_GB2312"/>
          <w:sz w:val="32"/>
          <w:szCs w:val="32"/>
        </w:rPr>
        <w:t>附件</w:t>
      </w:r>
      <w:r>
        <w:rPr>
          <w:rFonts w:ascii="仿宋_GB2312" w:eastAsia="仿宋_GB2312"/>
          <w:sz w:val="32"/>
          <w:szCs w:val="32"/>
        </w:rPr>
        <w:t>2</w:t>
      </w:r>
      <w:bookmarkEnd w:id="0"/>
      <w:bookmarkEnd w:id="1"/>
    </w:p>
    <w:p w14:paraId="44C0C9B1">
      <w:pPr>
        <w:spacing w:line="600" w:lineRule="exact"/>
        <w:jc w:val="center"/>
        <w:outlineLvl w:val="9"/>
        <w:rPr>
          <w:rFonts w:ascii="方正小标宋简体" w:eastAsia="方正小标宋简体"/>
          <w:sz w:val="72"/>
          <w:szCs w:val="72"/>
        </w:rPr>
      </w:pPr>
    </w:p>
    <w:p w14:paraId="7BEA2AA6">
      <w:pPr>
        <w:spacing w:line="600" w:lineRule="exact"/>
        <w:jc w:val="center"/>
        <w:outlineLvl w:val="9"/>
        <w:rPr>
          <w:rFonts w:ascii="方正小标宋简体" w:eastAsia="方正小标宋简体"/>
          <w:sz w:val="72"/>
          <w:szCs w:val="72"/>
        </w:rPr>
      </w:pPr>
    </w:p>
    <w:p w14:paraId="46832BC5">
      <w:pPr>
        <w:spacing w:line="600" w:lineRule="exact"/>
        <w:jc w:val="center"/>
        <w:outlineLvl w:val="9"/>
        <w:rPr>
          <w:rFonts w:ascii="方正小标宋简体" w:eastAsia="方正小标宋简体"/>
          <w:sz w:val="72"/>
          <w:szCs w:val="72"/>
        </w:rPr>
      </w:pPr>
    </w:p>
    <w:p w14:paraId="7ABD8370">
      <w:pPr>
        <w:adjustRightInd w:val="0"/>
        <w:snapToGrid w:val="0"/>
        <w:spacing w:line="360" w:lineRule="auto"/>
        <w:jc w:val="center"/>
        <w:outlineLvl w:val="0"/>
        <w:rPr>
          <w:rFonts w:ascii="方正小标宋简体" w:eastAsia="方正小标宋简体" w:cs="方正小标宋简体"/>
          <w:sz w:val="72"/>
          <w:szCs w:val="72"/>
        </w:rPr>
      </w:pPr>
      <w:bookmarkStart w:id="8" w:name="_Toc14503"/>
      <w:bookmarkStart w:id="9" w:name="_Toc29561"/>
      <w:r>
        <w:rPr>
          <w:rFonts w:hint="eastAsia" w:ascii="方正小标宋简体" w:eastAsia="方正小标宋简体" w:cs="方正小标宋简体"/>
          <w:sz w:val="72"/>
          <w:szCs w:val="72"/>
        </w:rPr>
        <w:t>2021年度</w:t>
      </w:r>
      <w:bookmarkEnd w:id="2"/>
      <w:bookmarkEnd w:id="3"/>
      <w:bookmarkEnd w:id="4"/>
      <w:bookmarkEnd w:id="5"/>
      <w:bookmarkEnd w:id="6"/>
      <w:bookmarkEnd w:id="8"/>
      <w:bookmarkEnd w:id="9"/>
    </w:p>
    <w:p w14:paraId="382B30D3">
      <w:pPr>
        <w:adjustRightInd w:val="0"/>
        <w:snapToGrid w:val="0"/>
        <w:spacing w:line="360" w:lineRule="auto"/>
        <w:jc w:val="center"/>
        <w:outlineLvl w:val="0"/>
        <w:rPr>
          <w:rFonts w:ascii="方正小标宋简体" w:eastAsia="方正小标宋简体" w:cs="方正小标宋简体"/>
          <w:sz w:val="72"/>
          <w:szCs w:val="72"/>
        </w:rPr>
      </w:pPr>
      <w:bookmarkStart w:id="10" w:name="_Toc15396598"/>
      <w:bookmarkStart w:id="11" w:name="_Toc10021"/>
      <w:bookmarkStart w:id="12" w:name="_Toc15377426"/>
      <w:bookmarkStart w:id="13" w:name="_Toc15396476"/>
      <w:bookmarkStart w:id="14" w:name="_Toc20657"/>
      <w:bookmarkStart w:id="15" w:name="_Toc15378442"/>
      <w:bookmarkStart w:id="16" w:name="_Toc15377194"/>
      <w:r>
        <w:rPr>
          <w:rFonts w:ascii="方正小标宋简体" w:eastAsia="方正小标宋简体" w:cs="方正小标宋简体"/>
          <w:sz w:val="72"/>
          <w:szCs w:val="72"/>
        </w:rPr>
        <w:t>阿坝州</w:t>
      </w:r>
      <w:bookmarkEnd w:id="7"/>
      <w:bookmarkStart w:id="17" w:name="_Toc15306268"/>
      <w:r>
        <w:rPr>
          <w:rFonts w:hint="eastAsia" w:ascii="方正小标宋简体" w:eastAsia="方正小标宋简体" w:cs="方正小标宋简体"/>
          <w:sz w:val="72"/>
          <w:szCs w:val="72"/>
          <w:lang w:val="en-US" w:eastAsia="zh-CN"/>
        </w:rPr>
        <w:t>科学技术协会</w:t>
      </w:r>
      <w:r>
        <w:rPr>
          <w:rFonts w:hint="eastAsia" w:ascii="方正小标宋简体" w:eastAsia="方正小标宋简体" w:cs="方正小标宋简体"/>
          <w:sz w:val="72"/>
          <w:szCs w:val="72"/>
        </w:rPr>
        <w:t>部门决算</w:t>
      </w:r>
      <w:bookmarkEnd w:id="10"/>
      <w:bookmarkEnd w:id="11"/>
      <w:bookmarkEnd w:id="12"/>
      <w:bookmarkEnd w:id="13"/>
      <w:bookmarkEnd w:id="14"/>
      <w:bookmarkEnd w:id="15"/>
      <w:bookmarkEnd w:id="16"/>
      <w:bookmarkEnd w:id="17"/>
    </w:p>
    <w:p w14:paraId="002CD120">
      <w:pPr>
        <w:adjustRightInd w:val="0"/>
        <w:snapToGrid w:val="0"/>
        <w:spacing w:line="360" w:lineRule="auto"/>
        <w:jc w:val="center"/>
        <w:outlineLvl w:val="9"/>
        <w:rPr>
          <w:rFonts w:ascii="方正小标宋简体" w:eastAsia="方正小标宋简体"/>
          <w:sz w:val="52"/>
          <w:szCs w:val="52"/>
        </w:rPr>
      </w:pPr>
    </w:p>
    <w:p w14:paraId="7614E0B3">
      <w:pPr>
        <w:pStyle w:val="7"/>
      </w:pPr>
    </w:p>
    <w:p w14:paraId="7A54EDA2">
      <w:pPr>
        <w:pStyle w:val="7"/>
        <w:spacing w:before="93"/>
      </w:pPr>
    </w:p>
    <w:p w14:paraId="5500B1F6">
      <w:pPr>
        <w:pStyle w:val="7"/>
        <w:spacing w:before="93"/>
      </w:pPr>
    </w:p>
    <w:p w14:paraId="50472EBC">
      <w:pPr>
        <w:pStyle w:val="7"/>
        <w:spacing w:before="93"/>
      </w:pPr>
    </w:p>
    <w:p w14:paraId="58C9A6B9">
      <w:pPr>
        <w:pStyle w:val="7"/>
        <w:spacing w:before="93"/>
      </w:pPr>
    </w:p>
    <w:p w14:paraId="459361E2">
      <w:pPr>
        <w:pStyle w:val="7"/>
        <w:spacing w:before="93"/>
      </w:pPr>
    </w:p>
    <w:p w14:paraId="76333DC3">
      <w:pPr>
        <w:widowControl/>
        <w:jc w:val="center"/>
        <w:rPr>
          <w:rFonts w:ascii="黑体" w:eastAsia="黑体"/>
          <w:sz w:val="48"/>
          <w:szCs w:val="48"/>
        </w:rPr>
      </w:pPr>
      <w:r>
        <w:rPr>
          <w:rFonts w:hint="eastAsia" w:ascii="仿宋_GB2312" w:eastAsia="仿宋_GB2312" w:cs="仿宋_GB2312"/>
          <w:sz w:val="32"/>
          <w:szCs w:val="32"/>
        </w:rPr>
        <w:t>已经保密审查、内容审定，同意对外公开</w:t>
      </w:r>
      <w:r>
        <w:rPr>
          <w:rFonts w:ascii="方正小标宋简体" w:eastAsia="方正小标宋简体"/>
          <w:sz w:val="36"/>
          <w:szCs w:val="36"/>
        </w:rPr>
        <w:br w:type="page"/>
      </w:r>
      <w:r>
        <w:rPr>
          <w:rFonts w:hint="eastAsia" w:ascii="黑体" w:eastAsia="黑体"/>
          <w:sz w:val="48"/>
          <w:szCs w:val="48"/>
        </w:rPr>
        <w:t>目录</w:t>
      </w:r>
    </w:p>
    <w:p w14:paraId="305197DF">
      <w:pPr>
        <w:widowControl/>
        <w:jc w:val="center"/>
        <w:rPr>
          <w:rFonts w:ascii="黑体" w:eastAsia="黑体" w:cs="Arial"/>
          <w:sz w:val="28"/>
          <w:szCs w:val="28"/>
        </w:rPr>
      </w:pPr>
    </w:p>
    <w:p w14:paraId="71F71FDB">
      <w:pPr>
        <w:pStyle w:val="12"/>
      </w:pPr>
      <w:r>
        <w:rPr>
          <w:rFonts w:hint="eastAsia"/>
        </w:rPr>
        <w:t>公开时间：2022年</w:t>
      </w:r>
      <w:r>
        <w:t>9</w:t>
      </w:r>
      <w:r>
        <w:rPr>
          <w:rFonts w:hint="eastAsia"/>
        </w:rPr>
        <w:t>月29日</w:t>
      </w:r>
    </w:p>
    <w:p w14:paraId="10852D63"/>
    <w:sdt>
      <w:sdtPr>
        <w:rPr>
          <w:rFonts w:ascii="宋体" w:hAnsi="宋体" w:eastAsia="宋体" w:cs="Times New Roman"/>
          <w:kern w:val="2"/>
          <w:sz w:val="21"/>
          <w:szCs w:val="24"/>
          <w:lang w:val="en-US" w:eastAsia="zh-CN" w:bidi="ar-SA"/>
        </w:rPr>
        <w:id w:val="147473939"/>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14:paraId="0B0412D9">
          <w:pPr>
            <w:spacing w:before="0" w:beforeLines="0" w:after="0" w:afterLines="0" w:line="240" w:lineRule="auto"/>
            <w:ind w:left="0" w:leftChars="0" w:right="0" w:rightChars="0" w:firstLine="0" w:firstLineChars="0"/>
            <w:jc w:val="center"/>
          </w:pPr>
          <w:bookmarkStart w:id="18" w:name="_Toc15377196"/>
          <w:bookmarkStart w:id="19" w:name="_Toc15396599"/>
        </w:p>
        <w:p w14:paraId="4FC25BF3">
          <w:pPr>
            <w:pStyle w:val="12"/>
            <w:tabs>
              <w:tab w:val="right" w:leader="dot" w:pos="8306"/>
              <w:tab w:val="clear" w:pos="8296"/>
            </w:tabs>
          </w:pPr>
          <w:r>
            <w:fldChar w:fldCharType="begin"/>
          </w:r>
          <w:r>
            <w:instrText xml:space="preserve">TOC \o "1-2" \h \u </w:instrText>
          </w:r>
          <w:r>
            <w:fldChar w:fldCharType="separate"/>
          </w:r>
        </w:p>
        <w:p w14:paraId="414B8BAE">
          <w:pPr>
            <w:pStyle w:val="12"/>
            <w:tabs>
              <w:tab w:val="right" w:leader="dot" w:pos="8306"/>
              <w:tab w:val="clear" w:pos="8296"/>
            </w:tabs>
          </w:pPr>
          <w:r>
            <w:fldChar w:fldCharType="begin"/>
          </w:r>
          <w:r>
            <w:instrText xml:space="preserve"> HYPERLINK \l _Toc23708 </w:instrText>
          </w:r>
          <w:r>
            <w:fldChar w:fldCharType="separate"/>
          </w:r>
          <w:r>
            <w:rPr>
              <w:rFonts w:hint="eastAsia" w:ascii="黑体" w:eastAsia="黑体"/>
            </w:rPr>
            <w:t xml:space="preserve">第一部分 </w:t>
          </w:r>
          <w:r>
            <w:rPr>
              <w:rFonts w:hint="eastAsia" w:ascii="黑体" w:eastAsia="黑体"/>
              <w:bCs w:val="0"/>
            </w:rPr>
            <w:t>部门概况</w:t>
          </w:r>
          <w:r>
            <w:tab/>
          </w:r>
          <w:r>
            <w:fldChar w:fldCharType="begin"/>
          </w:r>
          <w:r>
            <w:instrText xml:space="preserve"> PAGEREF _Toc23708 \h </w:instrText>
          </w:r>
          <w:r>
            <w:fldChar w:fldCharType="separate"/>
          </w:r>
          <w:r>
            <w:t>4</w:t>
          </w:r>
          <w:r>
            <w:fldChar w:fldCharType="end"/>
          </w:r>
          <w:r>
            <w:fldChar w:fldCharType="end"/>
          </w:r>
        </w:p>
        <w:p w14:paraId="16DB69B3">
          <w:pPr>
            <w:pStyle w:val="13"/>
            <w:tabs>
              <w:tab w:val="right" w:leader="dot" w:pos="8306"/>
              <w:tab w:val="clear" w:pos="8296"/>
            </w:tabs>
          </w:pPr>
          <w:r>
            <w:fldChar w:fldCharType="begin"/>
          </w:r>
          <w:r>
            <w:instrText xml:space="preserve"> HYPERLINK \l _Toc5682 </w:instrText>
          </w:r>
          <w:r>
            <w:fldChar w:fldCharType="separate"/>
          </w:r>
          <w:r>
            <w:rPr>
              <w:rFonts w:hint="eastAsia" w:ascii="黑体" w:eastAsia="黑体"/>
            </w:rPr>
            <w:t>一、基</w:t>
          </w:r>
          <w:r>
            <w:rPr>
              <w:rFonts w:hint="eastAsia" w:ascii="黑体" w:eastAsia="黑体"/>
              <w:bCs w:val="0"/>
            </w:rPr>
            <w:t>本职能及主要工作</w:t>
          </w:r>
          <w:r>
            <w:tab/>
          </w:r>
          <w:r>
            <w:fldChar w:fldCharType="begin"/>
          </w:r>
          <w:r>
            <w:instrText xml:space="preserve"> PAGEREF _Toc5682 \h </w:instrText>
          </w:r>
          <w:r>
            <w:fldChar w:fldCharType="separate"/>
          </w:r>
          <w:r>
            <w:t>4</w:t>
          </w:r>
          <w:r>
            <w:fldChar w:fldCharType="end"/>
          </w:r>
          <w:r>
            <w:fldChar w:fldCharType="end"/>
          </w:r>
        </w:p>
        <w:p w14:paraId="67AA5A7D">
          <w:pPr>
            <w:pStyle w:val="13"/>
            <w:tabs>
              <w:tab w:val="right" w:leader="dot" w:pos="8306"/>
              <w:tab w:val="clear" w:pos="8296"/>
            </w:tabs>
          </w:pPr>
          <w:r>
            <w:fldChar w:fldCharType="begin"/>
          </w:r>
          <w:r>
            <w:instrText xml:space="preserve"> HYPERLINK \l _Toc13337 </w:instrText>
          </w:r>
          <w:r>
            <w:fldChar w:fldCharType="separate"/>
          </w:r>
          <w:r>
            <w:rPr>
              <w:rFonts w:hint="eastAsia" w:ascii="黑体" w:eastAsia="黑体"/>
            </w:rPr>
            <w:t>二、机</w:t>
          </w:r>
          <w:r>
            <w:rPr>
              <w:rFonts w:hint="eastAsia" w:ascii="黑体" w:eastAsia="黑体"/>
              <w:bCs w:val="0"/>
            </w:rPr>
            <w:t>构设置</w:t>
          </w:r>
          <w:r>
            <w:tab/>
          </w:r>
          <w:r>
            <w:fldChar w:fldCharType="begin"/>
          </w:r>
          <w:r>
            <w:instrText xml:space="preserve"> PAGEREF _Toc13337 \h </w:instrText>
          </w:r>
          <w:r>
            <w:fldChar w:fldCharType="separate"/>
          </w:r>
          <w:r>
            <w:t>15</w:t>
          </w:r>
          <w:r>
            <w:fldChar w:fldCharType="end"/>
          </w:r>
          <w:r>
            <w:fldChar w:fldCharType="end"/>
          </w:r>
        </w:p>
        <w:p w14:paraId="1869F85A">
          <w:pPr>
            <w:pStyle w:val="12"/>
            <w:tabs>
              <w:tab w:val="right" w:leader="dot" w:pos="8306"/>
              <w:tab w:val="clear" w:pos="8296"/>
            </w:tabs>
          </w:pPr>
          <w:r>
            <w:fldChar w:fldCharType="begin"/>
          </w:r>
          <w:r>
            <w:instrText xml:space="preserve"> HYPERLINK \l _Toc16807 </w:instrText>
          </w:r>
          <w:r>
            <w:fldChar w:fldCharType="separate"/>
          </w:r>
          <w:r>
            <w:rPr>
              <w:rFonts w:hint="eastAsia" w:ascii="黑体" w:eastAsia="黑体"/>
            </w:rPr>
            <w:t>第二部分 2021年度</w:t>
          </w:r>
          <w:r>
            <w:rPr>
              <w:rFonts w:hint="eastAsia" w:ascii="黑体" w:eastAsia="黑体"/>
              <w:bCs/>
            </w:rPr>
            <w:t>部门决算情况说明</w:t>
          </w:r>
          <w:r>
            <w:tab/>
          </w:r>
          <w:r>
            <w:fldChar w:fldCharType="begin"/>
          </w:r>
          <w:r>
            <w:instrText xml:space="preserve"> PAGEREF _Toc16807 \h </w:instrText>
          </w:r>
          <w:r>
            <w:fldChar w:fldCharType="separate"/>
          </w:r>
          <w:r>
            <w:t>16</w:t>
          </w:r>
          <w:r>
            <w:fldChar w:fldCharType="end"/>
          </w:r>
          <w:r>
            <w:fldChar w:fldCharType="end"/>
          </w:r>
        </w:p>
        <w:p w14:paraId="4D2B5152">
          <w:pPr>
            <w:pStyle w:val="13"/>
            <w:tabs>
              <w:tab w:val="right" w:leader="dot" w:pos="8306"/>
              <w:tab w:val="clear" w:pos="8296"/>
            </w:tabs>
          </w:pPr>
          <w:r>
            <w:fldChar w:fldCharType="begin"/>
          </w:r>
          <w:r>
            <w:instrText xml:space="preserve"> HYPERLINK \l _Toc32166 </w:instrText>
          </w:r>
          <w:r>
            <w:fldChar w:fldCharType="separate"/>
          </w:r>
          <w:r>
            <w:rPr>
              <w:rFonts w:hint="default" w:ascii="黑体" w:eastAsia="黑体"/>
            </w:rPr>
            <w:t xml:space="preserve">一、 </w:t>
          </w:r>
          <w:r>
            <w:rPr>
              <w:rFonts w:hint="eastAsia" w:ascii="黑体" w:eastAsia="黑体"/>
              <w:szCs w:val="32"/>
            </w:rPr>
            <w:t>收</w:t>
          </w:r>
          <w:r>
            <w:rPr>
              <w:rFonts w:hint="eastAsia" w:ascii="黑体" w:eastAsia="黑体"/>
            </w:rPr>
            <w:t>入支出决算总体情况说明</w:t>
          </w:r>
          <w:r>
            <w:tab/>
          </w:r>
          <w:r>
            <w:fldChar w:fldCharType="begin"/>
          </w:r>
          <w:r>
            <w:instrText xml:space="preserve"> PAGEREF _Toc32166 \h </w:instrText>
          </w:r>
          <w:r>
            <w:fldChar w:fldCharType="separate"/>
          </w:r>
          <w:r>
            <w:t>16</w:t>
          </w:r>
          <w:r>
            <w:fldChar w:fldCharType="end"/>
          </w:r>
          <w:r>
            <w:fldChar w:fldCharType="end"/>
          </w:r>
        </w:p>
        <w:p w14:paraId="1D30B038">
          <w:pPr>
            <w:pStyle w:val="13"/>
            <w:tabs>
              <w:tab w:val="right" w:leader="dot" w:pos="8306"/>
              <w:tab w:val="clear" w:pos="8296"/>
            </w:tabs>
          </w:pPr>
          <w:r>
            <w:fldChar w:fldCharType="begin"/>
          </w:r>
          <w:r>
            <w:instrText xml:space="preserve"> HYPERLINK \l _Toc13236 </w:instrText>
          </w:r>
          <w:r>
            <w:fldChar w:fldCharType="separate"/>
          </w:r>
          <w:r>
            <w:rPr>
              <w:rFonts w:hint="default" w:ascii="黑体" w:eastAsia="黑体"/>
            </w:rPr>
            <w:t xml:space="preserve">二、 </w:t>
          </w:r>
          <w:r>
            <w:rPr>
              <w:rFonts w:hint="eastAsia" w:ascii="黑体" w:eastAsia="黑体"/>
              <w:szCs w:val="32"/>
            </w:rPr>
            <w:t>收</w:t>
          </w:r>
          <w:r>
            <w:rPr>
              <w:rFonts w:hint="eastAsia" w:ascii="黑体" w:eastAsia="黑体"/>
            </w:rPr>
            <w:t>入决算情况说明</w:t>
          </w:r>
          <w:r>
            <w:tab/>
          </w:r>
          <w:r>
            <w:fldChar w:fldCharType="begin"/>
          </w:r>
          <w:r>
            <w:instrText xml:space="preserve"> PAGEREF _Toc13236 \h </w:instrText>
          </w:r>
          <w:r>
            <w:fldChar w:fldCharType="separate"/>
          </w:r>
          <w:r>
            <w:t>16</w:t>
          </w:r>
          <w:r>
            <w:fldChar w:fldCharType="end"/>
          </w:r>
          <w:r>
            <w:fldChar w:fldCharType="end"/>
          </w:r>
        </w:p>
        <w:p w14:paraId="2B77F4CA">
          <w:pPr>
            <w:pStyle w:val="13"/>
            <w:tabs>
              <w:tab w:val="right" w:leader="dot" w:pos="8306"/>
              <w:tab w:val="clear" w:pos="8296"/>
            </w:tabs>
          </w:pPr>
          <w:r>
            <w:fldChar w:fldCharType="begin"/>
          </w:r>
          <w:r>
            <w:instrText xml:space="preserve"> HYPERLINK \l _Toc23049 </w:instrText>
          </w:r>
          <w:r>
            <w:fldChar w:fldCharType="separate"/>
          </w:r>
          <w:r>
            <w:rPr>
              <w:rFonts w:hint="default" w:ascii="黑体" w:eastAsia="黑体"/>
            </w:rPr>
            <w:t xml:space="preserve">三、 </w:t>
          </w:r>
          <w:r>
            <w:rPr>
              <w:rFonts w:hint="eastAsia" w:ascii="黑体" w:eastAsia="黑体"/>
              <w:szCs w:val="32"/>
            </w:rPr>
            <w:t>支</w:t>
          </w:r>
          <w:r>
            <w:rPr>
              <w:rFonts w:hint="eastAsia" w:ascii="黑体" w:eastAsia="黑体"/>
            </w:rPr>
            <w:t>出决算情况说明</w:t>
          </w:r>
          <w:r>
            <w:tab/>
          </w:r>
          <w:r>
            <w:fldChar w:fldCharType="begin"/>
          </w:r>
          <w:r>
            <w:instrText xml:space="preserve"> PAGEREF _Toc23049 \h </w:instrText>
          </w:r>
          <w:r>
            <w:fldChar w:fldCharType="separate"/>
          </w:r>
          <w:r>
            <w:t>17</w:t>
          </w:r>
          <w:r>
            <w:fldChar w:fldCharType="end"/>
          </w:r>
          <w:r>
            <w:fldChar w:fldCharType="end"/>
          </w:r>
        </w:p>
        <w:p w14:paraId="50F26FDC">
          <w:pPr>
            <w:pStyle w:val="13"/>
            <w:tabs>
              <w:tab w:val="right" w:leader="dot" w:pos="8306"/>
              <w:tab w:val="clear" w:pos="8296"/>
            </w:tabs>
          </w:pPr>
          <w:r>
            <w:fldChar w:fldCharType="begin"/>
          </w:r>
          <w:r>
            <w:instrText xml:space="preserve"> HYPERLINK \l _Toc6680 </w:instrText>
          </w:r>
          <w:r>
            <w:fldChar w:fldCharType="separate"/>
          </w:r>
          <w:r>
            <w:rPr>
              <w:rFonts w:hint="eastAsia" w:ascii="黑体" w:eastAsia="黑体"/>
              <w:szCs w:val="32"/>
            </w:rPr>
            <w:t>四、财</w:t>
          </w:r>
          <w:r>
            <w:rPr>
              <w:rFonts w:hint="eastAsia" w:ascii="黑体" w:eastAsia="黑体"/>
            </w:rPr>
            <w:t>政拨款收入支出决算总体情况说明</w:t>
          </w:r>
          <w:r>
            <w:tab/>
          </w:r>
          <w:r>
            <w:fldChar w:fldCharType="begin"/>
          </w:r>
          <w:r>
            <w:instrText xml:space="preserve"> PAGEREF _Toc6680 \h </w:instrText>
          </w:r>
          <w:r>
            <w:fldChar w:fldCharType="separate"/>
          </w:r>
          <w:r>
            <w:t>18</w:t>
          </w:r>
          <w:r>
            <w:fldChar w:fldCharType="end"/>
          </w:r>
          <w:r>
            <w:fldChar w:fldCharType="end"/>
          </w:r>
        </w:p>
        <w:p w14:paraId="68E5DF5A">
          <w:pPr>
            <w:pStyle w:val="13"/>
            <w:tabs>
              <w:tab w:val="right" w:leader="dot" w:pos="8306"/>
              <w:tab w:val="clear" w:pos="8296"/>
            </w:tabs>
          </w:pPr>
          <w:r>
            <w:fldChar w:fldCharType="begin"/>
          </w:r>
          <w:r>
            <w:instrText xml:space="preserve"> HYPERLINK \l _Toc6197 </w:instrText>
          </w:r>
          <w:r>
            <w:fldChar w:fldCharType="separate"/>
          </w:r>
          <w:r>
            <w:rPr>
              <w:rFonts w:hint="eastAsia" w:ascii="黑体" w:eastAsia="黑体"/>
              <w:szCs w:val="32"/>
            </w:rPr>
            <w:t>五、一</w:t>
          </w:r>
          <w:r>
            <w:rPr>
              <w:rFonts w:hint="eastAsia" w:ascii="黑体" w:eastAsia="黑体"/>
            </w:rPr>
            <w:t>般公共预算财政拨款支出决算情况说明</w:t>
          </w:r>
          <w:r>
            <w:tab/>
          </w:r>
          <w:r>
            <w:fldChar w:fldCharType="begin"/>
          </w:r>
          <w:r>
            <w:instrText xml:space="preserve"> PAGEREF _Toc6197 \h </w:instrText>
          </w:r>
          <w:r>
            <w:fldChar w:fldCharType="separate"/>
          </w:r>
          <w:r>
            <w:t>19</w:t>
          </w:r>
          <w:r>
            <w:fldChar w:fldCharType="end"/>
          </w:r>
          <w:r>
            <w:fldChar w:fldCharType="end"/>
          </w:r>
        </w:p>
        <w:p w14:paraId="054ADBED">
          <w:pPr>
            <w:pStyle w:val="13"/>
            <w:tabs>
              <w:tab w:val="right" w:leader="dot" w:pos="8306"/>
              <w:tab w:val="clear" w:pos="8296"/>
            </w:tabs>
          </w:pPr>
          <w:r>
            <w:fldChar w:fldCharType="begin"/>
          </w:r>
          <w:r>
            <w:instrText xml:space="preserve"> HYPERLINK \l _Toc30286 </w:instrText>
          </w:r>
          <w:r>
            <w:fldChar w:fldCharType="separate"/>
          </w:r>
          <w:r>
            <w:rPr>
              <w:rFonts w:hint="eastAsia" w:ascii="黑体" w:eastAsia="黑体"/>
              <w:szCs w:val="32"/>
            </w:rPr>
            <w:t>六、一</w:t>
          </w:r>
          <w:r>
            <w:rPr>
              <w:rFonts w:hint="eastAsia" w:ascii="黑体" w:eastAsia="黑体"/>
            </w:rPr>
            <w:t>般公共预算财政拨款基本支出决算情况说明</w:t>
          </w:r>
          <w:r>
            <w:tab/>
          </w:r>
          <w:r>
            <w:fldChar w:fldCharType="begin"/>
          </w:r>
          <w:r>
            <w:instrText xml:space="preserve"> PAGEREF _Toc30286 \h </w:instrText>
          </w:r>
          <w:r>
            <w:fldChar w:fldCharType="separate"/>
          </w:r>
          <w:r>
            <w:t>21</w:t>
          </w:r>
          <w:r>
            <w:fldChar w:fldCharType="end"/>
          </w:r>
          <w:r>
            <w:fldChar w:fldCharType="end"/>
          </w:r>
        </w:p>
        <w:p w14:paraId="67C62CDA">
          <w:pPr>
            <w:pStyle w:val="13"/>
            <w:tabs>
              <w:tab w:val="right" w:leader="dot" w:pos="8306"/>
              <w:tab w:val="clear" w:pos="8296"/>
            </w:tabs>
          </w:pPr>
          <w:r>
            <w:fldChar w:fldCharType="begin"/>
          </w:r>
          <w:r>
            <w:instrText xml:space="preserve"> HYPERLINK \l _Toc2658 </w:instrText>
          </w:r>
          <w:r>
            <w:fldChar w:fldCharType="separate"/>
          </w:r>
          <w:r>
            <w:rPr>
              <w:rFonts w:hint="eastAsia" w:ascii="黑体" w:eastAsia="黑体"/>
              <w:szCs w:val="32"/>
            </w:rPr>
            <w:t>七、</w:t>
          </w:r>
          <w:r>
            <w:rPr>
              <w:rFonts w:hint="eastAsia" w:ascii="黑体" w:eastAsia="黑体"/>
            </w:rPr>
            <w:t>“三公”经费财政拨款支出决算情况说明</w:t>
          </w:r>
          <w:r>
            <w:tab/>
          </w:r>
          <w:r>
            <w:fldChar w:fldCharType="begin"/>
          </w:r>
          <w:r>
            <w:instrText xml:space="preserve"> PAGEREF _Toc2658 \h </w:instrText>
          </w:r>
          <w:r>
            <w:fldChar w:fldCharType="separate"/>
          </w:r>
          <w:r>
            <w:t>22</w:t>
          </w:r>
          <w:r>
            <w:fldChar w:fldCharType="end"/>
          </w:r>
          <w:r>
            <w:fldChar w:fldCharType="end"/>
          </w:r>
        </w:p>
        <w:p w14:paraId="5E6AAEF5">
          <w:pPr>
            <w:pStyle w:val="13"/>
            <w:tabs>
              <w:tab w:val="right" w:leader="dot" w:pos="8306"/>
              <w:tab w:val="clear" w:pos="8296"/>
            </w:tabs>
          </w:pPr>
          <w:r>
            <w:fldChar w:fldCharType="begin"/>
          </w:r>
          <w:r>
            <w:instrText xml:space="preserve"> HYPERLINK \l _Toc10490 </w:instrText>
          </w:r>
          <w:r>
            <w:fldChar w:fldCharType="separate"/>
          </w:r>
          <w:r>
            <w:rPr>
              <w:rFonts w:hint="eastAsia" w:ascii="黑体" w:eastAsia="黑体"/>
              <w:szCs w:val="32"/>
            </w:rPr>
            <w:t>八、</w:t>
          </w:r>
          <w:r>
            <w:rPr>
              <w:rFonts w:hint="eastAsia" w:ascii="黑体" w:eastAsia="黑体"/>
            </w:rPr>
            <w:t>政府性基金预算支出决算情况说明</w:t>
          </w:r>
          <w:r>
            <w:tab/>
          </w:r>
          <w:r>
            <w:fldChar w:fldCharType="begin"/>
          </w:r>
          <w:r>
            <w:instrText xml:space="preserve"> PAGEREF _Toc10490 \h </w:instrText>
          </w:r>
          <w:r>
            <w:fldChar w:fldCharType="separate"/>
          </w:r>
          <w:r>
            <w:t>24</w:t>
          </w:r>
          <w:r>
            <w:fldChar w:fldCharType="end"/>
          </w:r>
          <w:r>
            <w:fldChar w:fldCharType="end"/>
          </w:r>
        </w:p>
        <w:p w14:paraId="5190975B">
          <w:pPr>
            <w:pStyle w:val="13"/>
            <w:tabs>
              <w:tab w:val="right" w:leader="dot" w:pos="8306"/>
              <w:tab w:val="clear" w:pos="8296"/>
            </w:tabs>
          </w:pPr>
          <w:r>
            <w:fldChar w:fldCharType="begin"/>
          </w:r>
          <w:r>
            <w:instrText xml:space="preserve"> HYPERLINK \l _Toc25320 </w:instrText>
          </w:r>
          <w:r>
            <w:fldChar w:fldCharType="separate"/>
          </w:r>
          <w:r>
            <w:rPr>
              <w:rFonts w:hint="eastAsia" w:ascii="黑体" w:eastAsia="黑体"/>
            </w:rPr>
            <w:t>九、 国有资本经营预算支出决算情况说明</w:t>
          </w:r>
          <w:r>
            <w:tab/>
          </w:r>
          <w:r>
            <w:fldChar w:fldCharType="begin"/>
          </w:r>
          <w:r>
            <w:instrText xml:space="preserve"> PAGEREF _Toc25320 \h </w:instrText>
          </w:r>
          <w:r>
            <w:fldChar w:fldCharType="separate"/>
          </w:r>
          <w:r>
            <w:t>24</w:t>
          </w:r>
          <w:r>
            <w:fldChar w:fldCharType="end"/>
          </w:r>
          <w:r>
            <w:fldChar w:fldCharType="end"/>
          </w:r>
        </w:p>
        <w:p w14:paraId="22A1EA63">
          <w:pPr>
            <w:pStyle w:val="13"/>
            <w:tabs>
              <w:tab w:val="right" w:leader="dot" w:pos="8306"/>
              <w:tab w:val="clear" w:pos="8296"/>
            </w:tabs>
          </w:pPr>
          <w:r>
            <w:fldChar w:fldCharType="begin"/>
          </w:r>
          <w:r>
            <w:instrText xml:space="preserve"> HYPERLINK \l _Toc16750 </w:instrText>
          </w:r>
          <w:r>
            <w:fldChar w:fldCharType="separate"/>
          </w:r>
          <w:r>
            <w:rPr>
              <w:rFonts w:hint="eastAsia" w:ascii="黑体" w:eastAsia="黑体"/>
            </w:rPr>
            <w:t>十、 其他重要事项的情况说明</w:t>
          </w:r>
          <w:r>
            <w:tab/>
          </w:r>
          <w:r>
            <w:fldChar w:fldCharType="begin"/>
          </w:r>
          <w:r>
            <w:instrText xml:space="preserve"> PAGEREF _Toc16750 \h </w:instrText>
          </w:r>
          <w:r>
            <w:fldChar w:fldCharType="separate"/>
          </w:r>
          <w:r>
            <w:t>24</w:t>
          </w:r>
          <w:r>
            <w:fldChar w:fldCharType="end"/>
          </w:r>
          <w:r>
            <w:fldChar w:fldCharType="end"/>
          </w:r>
        </w:p>
        <w:p w14:paraId="0CDAD2C3">
          <w:pPr>
            <w:pStyle w:val="12"/>
            <w:tabs>
              <w:tab w:val="right" w:leader="dot" w:pos="8306"/>
              <w:tab w:val="clear" w:pos="8296"/>
            </w:tabs>
          </w:pPr>
          <w:r>
            <w:fldChar w:fldCharType="begin"/>
          </w:r>
          <w:r>
            <w:instrText xml:space="preserve"> HYPERLINK \l _Toc22678 </w:instrText>
          </w:r>
          <w:r>
            <w:fldChar w:fldCharType="separate"/>
          </w:r>
          <w:r>
            <w:rPr>
              <w:rFonts w:hint="eastAsia" w:ascii="黑体" w:eastAsia="黑体"/>
            </w:rPr>
            <w:t xml:space="preserve">第三部分 </w:t>
          </w:r>
          <w:r>
            <w:rPr>
              <w:rFonts w:hint="eastAsia" w:ascii="黑体" w:eastAsia="黑体"/>
              <w:szCs w:val="44"/>
            </w:rPr>
            <w:t>名</w:t>
          </w:r>
          <w:r>
            <w:rPr>
              <w:rFonts w:hint="eastAsia" w:ascii="黑体" w:eastAsia="黑体"/>
            </w:rPr>
            <w:t>词解释</w:t>
          </w:r>
          <w:r>
            <w:tab/>
          </w:r>
          <w:r>
            <w:fldChar w:fldCharType="begin"/>
          </w:r>
          <w:r>
            <w:instrText xml:space="preserve"> PAGEREF _Toc22678 \h </w:instrText>
          </w:r>
          <w:r>
            <w:fldChar w:fldCharType="separate"/>
          </w:r>
          <w:r>
            <w:t>26</w:t>
          </w:r>
          <w:r>
            <w:fldChar w:fldCharType="end"/>
          </w:r>
          <w:r>
            <w:fldChar w:fldCharType="end"/>
          </w:r>
        </w:p>
        <w:p w14:paraId="1B582740">
          <w:pPr>
            <w:pStyle w:val="12"/>
            <w:tabs>
              <w:tab w:val="right" w:leader="dot" w:pos="8306"/>
              <w:tab w:val="clear" w:pos="8296"/>
            </w:tabs>
            <w:jc w:val="both"/>
          </w:pPr>
          <w:r>
            <w:fldChar w:fldCharType="begin"/>
          </w:r>
          <w:r>
            <w:instrText xml:space="preserve"> HYPERLINK \l _Toc22953 </w:instrText>
          </w:r>
          <w:r>
            <w:fldChar w:fldCharType="separate"/>
          </w:r>
          <w:r>
            <w:rPr>
              <w:rFonts w:hint="eastAsia" w:ascii="黑体" w:eastAsia="黑体"/>
              <w:szCs w:val="44"/>
            </w:rPr>
            <w:t>第</w:t>
          </w:r>
          <w:r>
            <w:rPr>
              <w:rFonts w:hint="eastAsia" w:ascii="黑体" w:eastAsia="黑体"/>
            </w:rPr>
            <w:t>四部分 附件</w:t>
          </w:r>
          <w:r>
            <w:tab/>
          </w:r>
          <w:r>
            <w:fldChar w:fldCharType="begin"/>
          </w:r>
          <w:r>
            <w:instrText xml:space="preserve"> PAGEREF _Toc22953 \h </w:instrText>
          </w:r>
          <w:r>
            <w:fldChar w:fldCharType="separate"/>
          </w:r>
          <w:r>
            <w:t>29</w:t>
          </w:r>
          <w:r>
            <w:fldChar w:fldCharType="end"/>
          </w:r>
          <w:r>
            <w:fldChar w:fldCharType="end"/>
          </w:r>
        </w:p>
        <w:p w14:paraId="5ED4D0EA">
          <w:pPr>
            <w:pStyle w:val="13"/>
            <w:tabs>
              <w:tab w:val="right" w:leader="dot" w:pos="8306"/>
              <w:tab w:val="clear" w:pos="8296"/>
            </w:tabs>
          </w:pPr>
          <w:r>
            <w:fldChar w:fldCharType="begin"/>
          </w:r>
          <w:r>
            <w:instrText xml:space="preserve"> HYPERLINK \l _Toc21184 </w:instrText>
          </w:r>
          <w:r>
            <w:fldChar w:fldCharType="separate"/>
          </w:r>
          <w:r>
            <w:rPr>
              <w:rFonts w:hint="eastAsia" w:ascii="黑体" w:eastAsia="黑体" w:cs="黑体"/>
              <w:szCs w:val="32"/>
            </w:rPr>
            <w:t>附件</w:t>
          </w:r>
          <w:r>
            <w:tab/>
          </w:r>
          <w:r>
            <w:fldChar w:fldCharType="begin"/>
          </w:r>
          <w:r>
            <w:instrText xml:space="preserve"> PAGEREF _Toc21184 \h </w:instrText>
          </w:r>
          <w:r>
            <w:fldChar w:fldCharType="separate"/>
          </w:r>
          <w:r>
            <w:t>29</w:t>
          </w:r>
          <w:r>
            <w:fldChar w:fldCharType="end"/>
          </w:r>
          <w:r>
            <w:fldChar w:fldCharType="end"/>
          </w:r>
        </w:p>
        <w:p w14:paraId="0F5829BC">
          <w:pPr>
            <w:pStyle w:val="13"/>
            <w:tabs>
              <w:tab w:val="right" w:leader="dot" w:pos="8306"/>
              <w:tab w:val="clear" w:pos="8296"/>
            </w:tabs>
          </w:pPr>
          <w:r>
            <w:fldChar w:fldCharType="begin"/>
          </w:r>
          <w:r>
            <w:instrText xml:space="preserve"> HYPERLINK \l _Toc7105 </w:instrText>
          </w:r>
          <w:r>
            <w:fldChar w:fldCharType="separate"/>
          </w:r>
          <w:r>
            <w:rPr>
              <w:rFonts w:hint="eastAsia" w:ascii="黑体" w:hAnsi="宋体" w:eastAsia="黑体"/>
              <w:szCs w:val="32"/>
            </w:rPr>
            <w:t>一、</w:t>
          </w:r>
          <w:r>
            <w:rPr>
              <w:rFonts w:hint="eastAsia" w:ascii="黑体" w:hAnsi="宋体" w:eastAsia="黑体"/>
              <w:szCs w:val="32"/>
              <w:lang w:val="zh-CN"/>
            </w:rPr>
            <w:t>项目概况</w:t>
          </w:r>
          <w:r>
            <w:tab/>
          </w:r>
          <w:r>
            <w:fldChar w:fldCharType="begin"/>
          </w:r>
          <w:r>
            <w:instrText xml:space="preserve"> PAGEREF _Toc7105 \h </w:instrText>
          </w:r>
          <w:r>
            <w:fldChar w:fldCharType="separate"/>
          </w:r>
          <w:r>
            <w:t>38</w:t>
          </w:r>
          <w:r>
            <w:fldChar w:fldCharType="end"/>
          </w:r>
          <w:r>
            <w:fldChar w:fldCharType="end"/>
          </w:r>
        </w:p>
        <w:p w14:paraId="2E49D173">
          <w:pPr>
            <w:pStyle w:val="13"/>
            <w:tabs>
              <w:tab w:val="right" w:leader="dot" w:pos="8306"/>
              <w:tab w:val="clear" w:pos="8296"/>
            </w:tabs>
          </w:pPr>
          <w:r>
            <w:fldChar w:fldCharType="begin"/>
          </w:r>
          <w:r>
            <w:instrText xml:space="preserve"> HYPERLINK \l _Toc24895 </w:instrText>
          </w:r>
          <w:r>
            <w:fldChar w:fldCharType="separate"/>
          </w:r>
          <w:r>
            <w:rPr>
              <w:rFonts w:hint="eastAsia" w:ascii="黑体" w:hAnsi="宋体" w:eastAsia="黑体"/>
              <w:szCs w:val="32"/>
            </w:rPr>
            <w:t>二、项目资金申报及使用情况</w:t>
          </w:r>
          <w:r>
            <w:tab/>
          </w:r>
          <w:r>
            <w:fldChar w:fldCharType="begin"/>
          </w:r>
          <w:r>
            <w:instrText xml:space="preserve"> PAGEREF _Toc24895 \h </w:instrText>
          </w:r>
          <w:r>
            <w:fldChar w:fldCharType="separate"/>
          </w:r>
          <w:r>
            <w:t>39</w:t>
          </w:r>
          <w:r>
            <w:fldChar w:fldCharType="end"/>
          </w:r>
          <w:r>
            <w:fldChar w:fldCharType="end"/>
          </w:r>
        </w:p>
        <w:p w14:paraId="25E89850">
          <w:pPr>
            <w:pStyle w:val="13"/>
            <w:tabs>
              <w:tab w:val="right" w:leader="dot" w:pos="8306"/>
              <w:tab w:val="clear" w:pos="8296"/>
            </w:tabs>
          </w:pPr>
          <w:r>
            <w:fldChar w:fldCharType="begin"/>
          </w:r>
          <w:r>
            <w:instrText xml:space="preserve"> HYPERLINK \l _Toc11265 </w:instrText>
          </w:r>
          <w:r>
            <w:fldChar w:fldCharType="separate"/>
          </w:r>
          <w:r>
            <w:rPr>
              <w:rFonts w:hint="eastAsia" w:ascii="黑体" w:hAnsi="宋体" w:eastAsia="黑体"/>
              <w:szCs w:val="32"/>
            </w:rPr>
            <w:t>三、项目实施及管理情况</w:t>
          </w:r>
          <w:r>
            <w:tab/>
          </w:r>
          <w:r>
            <w:fldChar w:fldCharType="begin"/>
          </w:r>
          <w:r>
            <w:instrText xml:space="preserve"> PAGEREF _Toc11265 \h </w:instrText>
          </w:r>
          <w:r>
            <w:fldChar w:fldCharType="separate"/>
          </w:r>
          <w:r>
            <w:t>40</w:t>
          </w:r>
          <w:r>
            <w:fldChar w:fldCharType="end"/>
          </w:r>
          <w:r>
            <w:fldChar w:fldCharType="end"/>
          </w:r>
        </w:p>
        <w:p w14:paraId="0E780B19">
          <w:pPr>
            <w:pStyle w:val="13"/>
            <w:tabs>
              <w:tab w:val="right" w:leader="dot" w:pos="8306"/>
              <w:tab w:val="clear" w:pos="8296"/>
            </w:tabs>
          </w:pPr>
          <w:r>
            <w:fldChar w:fldCharType="begin"/>
          </w:r>
          <w:r>
            <w:instrText xml:space="preserve"> HYPERLINK \l _Toc11068 </w:instrText>
          </w:r>
          <w:r>
            <w:fldChar w:fldCharType="separate"/>
          </w:r>
          <w:r>
            <w:rPr>
              <w:rFonts w:hint="eastAsia" w:ascii="黑体" w:hAnsi="宋体" w:eastAsia="黑体"/>
              <w:szCs w:val="32"/>
            </w:rPr>
            <w:t>四、项目绩效情况</w:t>
          </w:r>
          <w:r>
            <w:tab/>
          </w:r>
          <w:r>
            <w:fldChar w:fldCharType="begin"/>
          </w:r>
          <w:r>
            <w:instrText xml:space="preserve"> PAGEREF _Toc11068 \h </w:instrText>
          </w:r>
          <w:r>
            <w:fldChar w:fldCharType="separate"/>
          </w:r>
          <w:r>
            <w:t>40</w:t>
          </w:r>
          <w:r>
            <w:fldChar w:fldCharType="end"/>
          </w:r>
          <w:r>
            <w:fldChar w:fldCharType="end"/>
          </w:r>
        </w:p>
        <w:p w14:paraId="7E82ECE6">
          <w:pPr>
            <w:pStyle w:val="13"/>
            <w:tabs>
              <w:tab w:val="right" w:leader="dot" w:pos="8306"/>
              <w:tab w:val="clear" w:pos="8296"/>
            </w:tabs>
          </w:pPr>
          <w:r>
            <w:fldChar w:fldCharType="begin"/>
          </w:r>
          <w:r>
            <w:instrText xml:space="preserve"> HYPERLINK \l _Toc15226 </w:instrText>
          </w:r>
          <w:r>
            <w:fldChar w:fldCharType="separate"/>
          </w:r>
          <w:r>
            <w:rPr>
              <w:rFonts w:hint="eastAsia" w:ascii="黑体" w:hAnsi="宋体" w:eastAsia="黑体"/>
              <w:szCs w:val="32"/>
            </w:rPr>
            <w:t>五、评价结论及建议</w:t>
          </w:r>
          <w:r>
            <w:tab/>
          </w:r>
          <w:r>
            <w:fldChar w:fldCharType="begin"/>
          </w:r>
          <w:r>
            <w:instrText xml:space="preserve"> PAGEREF _Toc15226 \h </w:instrText>
          </w:r>
          <w:r>
            <w:fldChar w:fldCharType="separate"/>
          </w:r>
          <w:r>
            <w:t>41</w:t>
          </w:r>
          <w:r>
            <w:fldChar w:fldCharType="end"/>
          </w:r>
          <w:r>
            <w:fldChar w:fldCharType="end"/>
          </w:r>
        </w:p>
        <w:p w14:paraId="0E2A1DD3">
          <w:pPr>
            <w:pStyle w:val="12"/>
            <w:tabs>
              <w:tab w:val="right" w:leader="dot" w:pos="8306"/>
              <w:tab w:val="clear" w:pos="8296"/>
            </w:tabs>
          </w:pPr>
          <w:r>
            <w:fldChar w:fldCharType="begin"/>
          </w:r>
          <w:r>
            <w:instrText xml:space="preserve"> HYPERLINK \l _Toc7075 </w:instrText>
          </w:r>
          <w:r>
            <w:fldChar w:fldCharType="separate"/>
          </w:r>
          <w:r>
            <w:rPr>
              <w:rFonts w:hint="eastAsia" w:ascii="黑体" w:eastAsia="黑体"/>
              <w:szCs w:val="44"/>
            </w:rPr>
            <w:t>第</w:t>
          </w:r>
          <w:r>
            <w:rPr>
              <w:rFonts w:hint="eastAsia" w:ascii="黑体" w:eastAsia="黑体"/>
            </w:rPr>
            <w:t>五部分 附表</w:t>
          </w:r>
          <w:r>
            <w:tab/>
          </w:r>
          <w:r>
            <w:fldChar w:fldCharType="begin"/>
          </w:r>
          <w:r>
            <w:instrText xml:space="preserve"> PAGEREF _Toc7075 \h </w:instrText>
          </w:r>
          <w:r>
            <w:fldChar w:fldCharType="separate"/>
          </w:r>
          <w:r>
            <w:t>43</w:t>
          </w:r>
          <w:r>
            <w:fldChar w:fldCharType="end"/>
          </w:r>
          <w:r>
            <w:fldChar w:fldCharType="end"/>
          </w:r>
        </w:p>
        <w:p w14:paraId="04EE778E">
          <w:pPr>
            <w:pStyle w:val="13"/>
            <w:tabs>
              <w:tab w:val="right" w:leader="dot" w:pos="8306"/>
              <w:tab w:val="clear" w:pos="8296"/>
            </w:tabs>
          </w:pPr>
        </w:p>
        <w:p w14:paraId="50FECE5D">
          <w:r>
            <w:fldChar w:fldCharType="end"/>
          </w:r>
        </w:p>
      </w:sdtContent>
    </w:sdt>
    <w:p w14:paraId="3488C7D4">
      <w:pPr>
        <w:pStyle w:val="4"/>
        <w:jc w:val="center"/>
        <w:rPr>
          <w:rStyle w:val="18"/>
          <w:rFonts w:ascii="黑体" w:eastAsia="黑体"/>
          <w:b/>
          <w:bCs w:val="0"/>
        </w:rPr>
      </w:pPr>
      <w:bookmarkStart w:id="20" w:name="_Toc23708"/>
      <w:r>
        <w:rPr>
          <w:rFonts w:hint="eastAsia" w:ascii="黑体" w:eastAsia="黑体"/>
          <w:b w:val="0"/>
        </w:rPr>
        <w:t xml:space="preserve">第一部分 </w:t>
      </w:r>
      <w:r>
        <w:rPr>
          <w:rStyle w:val="18"/>
          <w:rFonts w:hint="eastAsia" w:ascii="黑体" w:eastAsia="黑体"/>
          <w:b w:val="0"/>
          <w:bCs w:val="0"/>
        </w:rPr>
        <w:t>部门概况</w:t>
      </w:r>
      <w:bookmarkEnd w:id="18"/>
      <w:bookmarkEnd w:id="19"/>
      <w:bookmarkEnd w:id="20"/>
    </w:p>
    <w:p w14:paraId="0AD57D75">
      <w:pPr>
        <w:widowControl/>
        <w:jc w:val="left"/>
        <w:rPr>
          <w:rFonts w:ascii="黑体" w:eastAsia="黑体"/>
          <w:sz w:val="32"/>
          <w:szCs w:val="32"/>
        </w:rPr>
      </w:pPr>
    </w:p>
    <w:p w14:paraId="704F4177">
      <w:pPr>
        <w:pStyle w:val="5"/>
        <w:rPr>
          <w:rStyle w:val="19"/>
          <w:rFonts w:ascii="仿宋" w:eastAsia="仿宋"/>
          <w:b w:val="0"/>
          <w:bCs w:val="0"/>
        </w:rPr>
      </w:pPr>
      <w:bookmarkStart w:id="21" w:name="_Toc15377197"/>
      <w:bookmarkStart w:id="22" w:name="_Toc5682"/>
      <w:bookmarkStart w:id="23" w:name="_Toc15396600"/>
      <w:bookmarkStart w:id="24" w:name="_Toc6190"/>
      <w:r>
        <w:rPr>
          <w:rFonts w:hint="eastAsia" w:ascii="黑体" w:eastAsia="黑体"/>
          <w:b w:val="0"/>
        </w:rPr>
        <w:t>一、基</w:t>
      </w:r>
      <w:r>
        <w:rPr>
          <w:rStyle w:val="19"/>
          <w:rFonts w:hint="eastAsia" w:ascii="黑体" w:eastAsia="黑体"/>
          <w:b w:val="0"/>
          <w:bCs w:val="0"/>
        </w:rPr>
        <w:t>本职能及主要工作</w:t>
      </w:r>
      <w:bookmarkEnd w:id="21"/>
      <w:bookmarkEnd w:id="22"/>
      <w:bookmarkEnd w:id="23"/>
      <w:bookmarkEnd w:id="24"/>
    </w:p>
    <w:p w14:paraId="2D3DDDB0">
      <w:pPr>
        <w:pStyle w:val="7"/>
        <w:adjustRightInd w:val="0"/>
        <w:snapToGrid w:val="0"/>
        <w:spacing w:before="93" w:line="600" w:lineRule="exact"/>
        <w:ind w:firstLine="672" w:firstLineChars="210"/>
        <w:outlineLvl w:val="2"/>
        <w:rPr>
          <w:rFonts w:hint="eastAsia" w:ascii="仿宋" w:hAnsi="仿宋" w:eastAsia="仿宋"/>
          <w:bCs/>
          <w:color w:val="000000"/>
          <w:sz w:val="32"/>
          <w:szCs w:val="32"/>
        </w:rPr>
      </w:pPr>
      <w:r>
        <w:rPr>
          <w:rFonts w:hint="eastAsia" w:ascii="仿宋" w:hAnsi="仿宋" w:eastAsia="仿宋"/>
          <w:bCs/>
          <w:color w:val="000000"/>
          <w:sz w:val="32"/>
          <w:szCs w:val="32"/>
        </w:rPr>
        <w:t>（一）主要职能。</w:t>
      </w:r>
    </w:p>
    <w:p w14:paraId="1454F571">
      <w:pPr>
        <w:pStyle w:val="7"/>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sz w:val="32"/>
          <w:szCs w:val="32"/>
        </w:rPr>
        <w:t>①开展学术交流，活跃学术思想，促进学科发展，推动决策科学化和民主化。②宏扬科学精神，普及科学知识；科学思想和科学方法，捍卫科学尊严，推广先进技术，开展青少年科学技术教育活动，提高全民族科学文化素质。③反映科技工作者的意见和要求，维护科技工作者的合法权益。组织科技工作者参与科技政策、法规制度，引导科技工作者在全国家和社会事务管理中发挥积极作用。④表彰奖励有突出贡献的优秀科技团体和科技工作者，举荐人才。⑤开展科学论证、咨询服务，提出政策建议，促进科技成果的转化。⑥开展同州外民间科技交流与合作，发展同国外的科技团体和人员的友好交往，促进对外开放。⑦对所属州级学会、协会进行管理，对基层科协进行业务指导。⑧承担州委，州政府和上级科协交办的其它事项</w:t>
      </w:r>
    </w:p>
    <w:p w14:paraId="7DF8304D">
      <w:pPr>
        <w:pStyle w:val="7"/>
        <w:adjustRightInd w:val="0"/>
        <w:snapToGrid w:val="0"/>
        <w:spacing w:before="93" w:beforeLines="0" w:line="600" w:lineRule="exact"/>
        <w:ind w:firstLine="665" w:firstLineChars="208"/>
        <w:outlineLvl w:val="2"/>
        <w:rPr>
          <w:rFonts w:hint="eastAsia" w:ascii="仿宋" w:eastAsia="仿宋"/>
          <w:bCs/>
          <w:sz w:val="32"/>
          <w:szCs w:val="32"/>
        </w:rPr>
      </w:pPr>
      <w:bookmarkStart w:id="25" w:name="_Toc15377199"/>
      <w:bookmarkStart w:id="26" w:name="_Toc15378446"/>
      <w:r>
        <w:rPr>
          <w:rFonts w:hint="eastAsia" w:ascii="仿宋" w:eastAsia="仿宋"/>
          <w:bCs/>
          <w:sz w:val="32"/>
          <w:szCs w:val="32"/>
        </w:rPr>
        <w:t>（二）</w:t>
      </w:r>
      <w:r>
        <w:rPr>
          <w:rFonts w:ascii="仿宋" w:eastAsia="仿宋"/>
          <w:bCs/>
          <w:sz w:val="32"/>
          <w:szCs w:val="32"/>
        </w:rPr>
        <w:t>20</w:t>
      </w:r>
      <w:r>
        <w:rPr>
          <w:rFonts w:hint="eastAsia" w:ascii="仿宋" w:eastAsia="仿宋"/>
          <w:bCs/>
          <w:sz w:val="32"/>
          <w:szCs w:val="32"/>
        </w:rPr>
        <w:t>21年重点工作完成情况。</w:t>
      </w:r>
      <w:bookmarkEnd w:id="25"/>
      <w:bookmarkEnd w:id="26"/>
    </w:p>
    <w:p w14:paraId="37805DD2">
      <w:pPr>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2021年，在州委、州政府的坚强领导下，在省科协的大力关心指导下，州科协领导班子紧紧围绕州委、州政府中心工作，扎实开展各项工作，科协治理体系不断完善、治理能力不断增强，服务水平和服务质量不断提高，班子的向心力、凝聚力、战斗力进一步增强，政治判断力、政治领悟力、政治执行力进一步升华。</w:t>
      </w:r>
    </w:p>
    <w:p w14:paraId="1D0D5441">
      <w:pPr>
        <w:spacing w:line="576" w:lineRule="exact"/>
        <w:ind w:firstLine="640" w:firstLineChars="200"/>
        <w:outlineLvl w:val="1"/>
        <w:rPr>
          <w:rFonts w:hint="eastAsia" w:ascii="黑体" w:eastAsia="黑体"/>
          <w:sz w:val="32"/>
          <w:szCs w:val="32"/>
        </w:rPr>
      </w:pPr>
      <w:bookmarkStart w:id="27" w:name="_Toc14636"/>
      <w:bookmarkStart w:id="28" w:name="_Toc21646"/>
      <w:r>
        <w:rPr>
          <w:rFonts w:hint="eastAsia" w:ascii="黑体" w:eastAsia="黑体"/>
          <w:sz w:val="32"/>
          <w:szCs w:val="32"/>
          <w:lang w:val="en-US" w:eastAsia="zh-CN"/>
        </w:rPr>
        <w:t>1.</w:t>
      </w:r>
      <w:r>
        <w:rPr>
          <w:rFonts w:hint="eastAsia" w:ascii="黑体" w:eastAsia="黑体"/>
          <w:sz w:val="32"/>
          <w:szCs w:val="32"/>
        </w:rPr>
        <w:t>加强理论学习，提高政治站位</w:t>
      </w:r>
      <w:bookmarkEnd w:id="27"/>
      <w:bookmarkEnd w:id="28"/>
    </w:p>
    <w:p w14:paraId="0911981D">
      <w:pPr>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全年，组织开展党组理论学习中心组学习、党组会前学纪学法、支部党员学习、全体干部职工学习会等共计70余次。深入习近平新时代中国特色社会主义思想，学习习近平总书记在十九届五中、六中全会、庆祝中国共产党成立100周年大会、“七一”建党、党史学习教育动员大会、全国脱贫攻坚总结表彰大会、中央经济工作会等发表的重要讲话精神，学习党章、《关于新形势下党内政治生活的若干准则》《中国共产党党内监督条例》《中共中央关于党的百年奋斗重大成就和历史经验的决</w:t>
      </w:r>
      <w:r>
        <w:rPr>
          <w:rFonts w:hint="eastAsia" w:ascii="仿宋_GB2312" w:eastAsia="仿宋_GB2312"/>
          <w:sz w:val="32"/>
          <w:szCs w:val="32"/>
          <w:lang w:val="en-US" w:eastAsia="zh-CN"/>
        </w:rPr>
        <w:t>议</w:t>
      </w:r>
      <w:bookmarkStart w:id="184" w:name="_GoBack"/>
      <w:bookmarkEnd w:id="184"/>
      <w:r>
        <w:rPr>
          <w:rFonts w:hint="eastAsia" w:ascii="仿宋_GB2312" w:eastAsia="仿宋_GB2312"/>
          <w:sz w:val="32"/>
          <w:szCs w:val="32"/>
        </w:rPr>
        <w:t>》和党中央关于民主生活会的有关要求，学习《中共四川省委关于深入学习贯彻党的十九届六中全会精神巩固党史学习教育成果的决定》和《中共阿坝州委关于提高政治判断力、政治领悟力、政治执行力，在落实中创新、在创新中落实，促进高质量发展的决定》，学习省委第十一届八次、九次、十次全会和州委十一届十次、十一次、十二次全会，以及全州第十二次党代会精神、州第十三届人代会精神和政协阿坝州第十五届会议精神，深化学习领悟，提高政治素养，把握时代要求，进一步增强思想自觉、行动自觉。</w:t>
      </w:r>
    </w:p>
    <w:p w14:paraId="06A215A8">
      <w:pPr>
        <w:spacing w:line="576" w:lineRule="exact"/>
        <w:ind w:firstLine="640" w:firstLineChars="200"/>
        <w:outlineLvl w:val="1"/>
        <w:rPr>
          <w:rFonts w:hint="eastAsia" w:ascii="黑体" w:eastAsia="黑体"/>
          <w:sz w:val="32"/>
          <w:szCs w:val="32"/>
        </w:rPr>
      </w:pPr>
      <w:bookmarkStart w:id="29" w:name="_Toc27385"/>
      <w:bookmarkStart w:id="30" w:name="_Toc2040"/>
      <w:r>
        <w:rPr>
          <w:rFonts w:hint="eastAsia" w:ascii="黑体" w:eastAsia="黑体"/>
          <w:sz w:val="32"/>
          <w:szCs w:val="32"/>
          <w:lang w:val="en-US" w:eastAsia="zh-CN"/>
        </w:rPr>
        <w:t>2.</w:t>
      </w:r>
      <w:r>
        <w:rPr>
          <w:rFonts w:hint="eastAsia" w:ascii="黑体" w:eastAsia="黑体"/>
          <w:sz w:val="32"/>
          <w:szCs w:val="32"/>
        </w:rPr>
        <w:t>立足科协定位，作出科协贡献</w:t>
      </w:r>
      <w:bookmarkEnd w:id="29"/>
      <w:bookmarkEnd w:id="30"/>
    </w:p>
    <w:p w14:paraId="65C52ED2">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1</w:t>
      </w:r>
      <w:r>
        <w:rPr>
          <w:rFonts w:hint="eastAsia" w:ascii="仿宋_GB2312" w:eastAsia="仿宋_GB2312"/>
          <w:b/>
          <w:bCs/>
          <w:sz w:val="32"/>
          <w:szCs w:val="32"/>
          <w:lang w:eastAsia="zh-CN"/>
        </w:rPr>
        <w:t>）</w:t>
      </w:r>
      <w:r>
        <w:rPr>
          <w:rFonts w:hint="eastAsia" w:ascii="仿宋_GB2312" w:eastAsia="仿宋_GB2312"/>
          <w:b/>
          <w:bCs/>
          <w:sz w:val="32"/>
          <w:szCs w:val="32"/>
        </w:rPr>
        <w:t>“天府科技云”服务提质增效。</w:t>
      </w:r>
      <w:r>
        <w:rPr>
          <w:rFonts w:hint="eastAsia" w:ascii="仿宋_GB2312" w:eastAsia="仿宋_GB2312"/>
          <w:sz w:val="32"/>
          <w:szCs w:val="32"/>
        </w:rPr>
        <w:t>把科协各项业务工作融入天府科技云服务，统筹推进。积极开展全员“保姆式”服务工作，按照“一人一策”“一单一策”服务标准，领导干部和党员同志带头，以身作则、率先垂范，全州科协系统财政供养人员全员参与，全年“保姆”服务单数553单，完成数量406单。全州科技“保姆”24小时全程在线挖掘科技供需、促成项目对接合作，高质量完成了12月15-17日在成都召开的首届“科创会”，遴选科技项目100个，推介重点项目56个，达成意向性合作22项，金额1800余万元。</w:t>
      </w:r>
    </w:p>
    <w:p w14:paraId="1F909AE0">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2</w:t>
      </w:r>
      <w:r>
        <w:rPr>
          <w:rFonts w:hint="eastAsia" w:ascii="仿宋_GB2312" w:eastAsia="仿宋_GB2312"/>
          <w:b/>
          <w:bCs/>
          <w:sz w:val="32"/>
          <w:szCs w:val="32"/>
          <w:lang w:eastAsia="zh-CN"/>
        </w:rPr>
        <w:t>）</w:t>
      </w:r>
      <w:r>
        <w:rPr>
          <w:rFonts w:hint="eastAsia" w:ascii="仿宋_GB2312" w:eastAsia="仿宋_GB2312"/>
          <w:b/>
          <w:bCs/>
          <w:sz w:val="32"/>
          <w:szCs w:val="32"/>
        </w:rPr>
        <w:t>主动作为，加强阵地建设。</w:t>
      </w:r>
      <w:r>
        <w:rPr>
          <w:rFonts w:hint="eastAsia" w:ascii="仿宋_GB2312" w:eastAsia="仿宋_GB2312"/>
          <w:sz w:val="32"/>
          <w:szCs w:val="32"/>
        </w:rPr>
        <w:t>州科协班子积极贯彻新发展理念，认真谋划科协在阿坝州“十四五”经济发展主要目标和2035年远景目标中的重要作用。一是稳中求进提高“天府科技云”注册率，丰富推送内容，提升使用者科学文化素质，平台累计注册科技工作者20634人，注册组织机构用户1810户；二是将科技馆建设纳入政府联席群团会议议题，协同有关部门落实了州科技馆项目建设的资金和场地问题。</w:t>
      </w:r>
    </w:p>
    <w:p w14:paraId="19AB5DE2">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3</w:t>
      </w:r>
      <w:r>
        <w:rPr>
          <w:rFonts w:hint="eastAsia" w:ascii="仿宋_GB2312" w:eastAsia="仿宋_GB2312"/>
          <w:b/>
          <w:bCs/>
          <w:sz w:val="32"/>
          <w:szCs w:val="32"/>
          <w:lang w:eastAsia="zh-CN"/>
        </w:rPr>
        <w:t>）</w:t>
      </w:r>
      <w:r>
        <w:rPr>
          <w:rFonts w:hint="eastAsia" w:ascii="仿宋_GB2312" w:eastAsia="仿宋_GB2312"/>
          <w:b/>
          <w:bCs/>
          <w:sz w:val="32"/>
          <w:szCs w:val="32"/>
        </w:rPr>
        <w:t>强化宣传，提高全民科学素质。</w:t>
      </w:r>
      <w:r>
        <w:rPr>
          <w:rFonts w:hint="eastAsia" w:ascii="仿宋_GB2312" w:eastAsia="仿宋_GB2312"/>
          <w:sz w:val="32"/>
          <w:szCs w:val="32"/>
        </w:rPr>
        <w:t>以提高全民科学素质为目标，围绕各类主题活动加强科普宣传，开展了8次主题宣传活动，</w:t>
      </w:r>
      <w:r>
        <w:rPr>
          <w:rFonts w:hint="eastAsia" w:ascii="仿宋_GB2312" w:eastAsia="仿宋_GB2312"/>
          <w:sz w:val="30"/>
          <w:szCs w:val="30"/>
        </w:rPr>
        <w:t>发放了科普宣传资料5000余册、科普宣传用品600余条，接受咨询服务的群众达800余人次</w:t>
      </w:r>
      <w:r>
        <w:rPr>
          <w:rFonts w:hint="eastAsia" w:ascii="仿宋_GB2312" w:eastAsia="仿宋_GB2312"/>
          <w:sz w:val="32"/>
          <w:szCs w:val="32"/>
        </w:rPr>
        <w:t>。</w:t>
      </w:r>
    </w:p>
    <w:p w14:paraId="78847427">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4</w:t>
      </w:r>
      <w:r>
        <w:rPr>
          <w:rFonts w:hint="eastAsia" w:ascii="仿宋_GB2312" w:eastAsia="仿宋_GB2312"/>
          <w:b/>
          <w:bCs/>
          <w:sz w:val="32"/>
          <w:szCs w:val="32"/>
          <w:lang w:eastAsia="zh-CN"/>
        </w:rPr>
        <w:t>）</w:t>
      </w:r>
      <w:r>
        <w:rPr>
          <w:rFonts w:hint="eastAsia" w:ascii="仿宋_GB2312" w:eastAsia="仿宋_GB2312"/>
          <w:b/>
          <w:bCs/>
          <w:sz w:val="32"/>
          <w:szCs w:val="32"/>
        </w:rPr>
        <w:t>青少年科教工作显著增强。</w:t>
      </w:r>
      <w:r>
        <w:rPr>
          <w:rFonts w:hint="eastAsia" w:ascii="仿宋_GB2312" w:eastAsia="仿宋_GB2312"/>
          <w:sz w:val="32"/>
          <w:szCs w:val="32"/>
        </w:rPr>
        <w:t>开展科技主题活动4期；开办创客科学等课程110节次；组织参加科技辅导员比赛团体和个人赛，均获得了三等奖；组织参加了“天府科技云服务”第二届科学传播大赛，组织参赛的5个项目共获得6项奖励，阿坝州科协获“优秀组织奖”；组织参加四川省第36届青少年科技创新大赛，在全州收集了科技创新作品60件作品参加大赛，获得了青少年科技创新成果二等奖3个、三等奖5个、辅导员科技创新成果三等奖1个、科学幻想绘画二等奖1个、三等奖4个、科技实践活动三等奖2个、青少年科学影像作品一等奖1个、三等奖2个、专项奖1个、基层赛事优秀组织单位3个、阿坝州科协荣获市级优秀组织单位；联合成都航空职业技术学院，在松潘开展了中小学“方程式飞机”设计与飞行比赛，设定了若干赛项和若干奖项获得者；邀请省科幻世界杂志社的特邀专家和州内优秀的青少年科技创新工作者为全州青少年科技工作组织者和骨干科技教师在马尔康开展了首届青少年科技创新工作培训会。</w:t>
      </w:r>
    </w:p>
    <w:p w14:paraId="2834D494">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5</w:t>
      </w:r>
      <w:r>
        <w:rPr>
          <w:rFonts w:hint="eastAsia" w:ascii="仿宋_GB2312" w:eastAsia="仿宋_GB2312"/>
          <w:b/>
          <w:bCs/>
          <w:sz w:val="32"/>
          <w:szCs w:val="32"/>
          <w:lang w:eastAsia="zh-CN"/>
        </w:rPr>
        <w:t>）</w:t>
      </w:r>
      <w:r>
        <w:rPr>
          <w:rFonts w:hint="eastAsia" w:ascii="仿宋_GB2312" w:eastAsia="仿宋_GB2312"/>
          <w:b/>
          <w:bCs/>
          <w:sz w:val="32"/>
          <w:szCs w:val="32"/>
        </w:rPr>
        <w:t>助力地区经济社会发展。</w:t>
      </w:r>
      <w:r>
        <w:rPr>
          <w:rFonts w:hint="eastAsia" w:ascii="仿宋_GB2312" w:eastAsia="仿宋_GB2312"/>
          <w:sz w:val="32"/>
          <w:szCs w:val="32"/>
        </w:rPr>
        <w:t>一是深入推进科普惠农项目实施。完成了2021年四川省科普专项资金361万的项目分配工作，阿坝州科普惠农兴村项目的组织申报、评审、报批等工作，今年的项目经费已下达到各县。二是乡土人才大赛成绩优异，组织全州11名选手参加四川省第五届农村乡土人才大赛取得优异成绩。大赛中，阿坝州选手表现突出，获两银、三铜、一最佳人气、六乡村贡献奖。</w:t>
      </w:r>
    </w:p>
    <w:p w14:paraId="3384FA4C">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6</w:t>
      </w:r>
      <w:r>
        <w:rPr>
          <w:rFonts w:hint="eastAsia" w:ascii="仿宋_GB2312" w:eastAsia="仿宋_GB2312"/>
          <w:b/>
          <w:bCs/>
          <w:sz w:val="32"/>
          <w:szCs w:val="32"/>
          <w:lang w:eastAsia="zh-CN"/>
        </w:rPr>
        <w:t>）</w:t>
      </w:r>
      <w:r>
        <w:rPr>
          <w:rFonts w:hint="eastAsia" w:ascii="仿宋_GB2312" w:eastAsia="仿宋_GB2312"/>
          <w:b/>
          <w:bCs/>
          <w:sz w:val="32"/>
          <w:szCs w:val="32"/>
        </w:rPr>
        <w:t>加强学（协）会建设。一是</w:t>
      </w:r>
      <w:r>
        <w:rPr>
          <w:rFonts w:hint="eastAsia" w:ascii="仿宋_GB2312" w:eastAsia="仿宋_GB2312"/>
          <w:sz w:val="32"/>
          <w:szCs w:val="32"/>
        </w:rPr>
        <w:t>积极开展学术论文征集活动。向全州各县科协、各州级学（协）会、企事业科协广泛征集科技学术论文，并经定向约稿等，收集各行业学术论文111篇。</w:t>
      </w:r>
      <w:r>
        <w:rPr>
          <w:rFonts w:hint="eastAsia" w:ascii="仿宋_GB2312" w:eastAsia="仿宋_GB2312"/>
          <w:b/>
          <w:bCs/>
          <w:sz w:val="32"/>
          <w:szCs w:val="32"/>
        </w:rPr>
        <w:t>二是</w:t>
      </w:r>
      <w:r>
        <w:rPr>
          <w:rFonts w:hint="eastAsia" w:ascii="仿宋_GB2312" w:eastAsia="仿宋_GB2312"/>
          <w:sz w:val="32"/>
          <w:szCs w:val="32"/>
        </w:rPr>
        <w:t>积极开展第五个“全国科技工作者日”活动。组织指导各县（市）科协、各学（协）会等开展全国科技工作者日活动，动员全州科协、科技局系统围绕“众心向党、自立自强”活动主题积极组织开展本年度的全国科技工作者日活动。该项工作被省科协评为全省优秀组织单位（六个市州）之一。</w:t>
      </w:r>
      <w:r>
        <w:rPr>
          <w:rFonts w:hint="eastAsia" w:ascii="仿宋_GB2312" w:eastAsia="仿宋_GB2312"/>
          <w:b/>
          <w:bCs/>
          <w:sz w:val="32"/>
          <w:szCs w:val="32"/>
        </w:rPr>
        <w:t>三是</w:t>
      </w:r>
      <w:r>
        <w:rPr>
          <w:rFonts w:hint="eastAsia" w:ascii="仿宋_GB2312" w:eastAsia="仿宋_GB2312"/>
          <w:sz w:val="32"/>
          <w:szCs w:val="32"/>
        </w:rPr>
        <w:t>积极推荐最美科技工作者。根据中共四川省委宣传部、省科协等五个部门的安排布置，州科协联合州委宣传部、州科技局向全州各基层单位广泛动员推荐我州最美科技工作者。</w:t>
      </w:r>
    </w:p>
    <w:p w14:paraId="61EF974E">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lang w:eastAsia="zh-CN"/>
        </w:rPr>
        <w:t>（</w:t>
      </w:r>
      <w:r>
        <w:rPr>
          <w:rFonts w:hint="eastAsia" w:ascii="仿宋_GB2312" w:eastAsia="仿宋_GB2312"/>
          <w:b/>
          <w:bCs/>
          <w:sz w:val="32"/>
          <w:szCs w:val="32"/>
          <w:lang w:val="en-US" w:eastAsia="zh-CN"/>
        </w:rPr>
        <w:t>7</w:t>
      </w:r>
      <w:r>
        <w:rPr>
          <w:rFonts w:hint="eastAsia" w:ascii="仿宋_GB2312" w:eastAsia="仿宋_GB2312"/>
          <w:b/>
          <w:bCs/>
          <w:sz w:val="32"/>
          <w:szCs w:val="32"/>
          <w:lang w:eastAsia="zh-CN"/>
        </w:rPr>
        <w:t>）</w:t>
      </w:r>
      <w:r>
        <w:rPr>
          <w:rFonts w:hint="eastAsia" w:ascii="仿宋_GB2312" w:eastAsia="仿宋_GB2312"/>
          <w:b/>
          <w:bCs/>
          <w:sz w:val="32"/>
          <w:szCs w:val="32"/>
        </w:rPr>
        <w:t>做好脱贫攻坚和“两联一进”工作。</w:t>
      </w:r>
      <w:r>
        <w:rPr>
          <w:rFonts w:hint="eastAsia" w:ascii="仿宋_GB2312" w:eastAsia="仿宋_GB2312"/>
          <w:sz w:val="32"/>
          <w:szCs w:val="32"/>
        </w:rPr>
        <w:t>强化服务倾注真情。针对帮扶的联系寺和贫困户困难，主动协调县乡有关单位，积极项目申报等相关事宜。</w:t>
      </w:r>
      <w:r>
        <w:rPr>
          <w:rFonts w:hint="eastAsia" w:ascii="仿宋_GB2312" w:eastAsia="仿宋_GB2312"/>
          <w:b/>
          <w:bCs/>
          <w:sz w:val="32"/>
          <w:szCs w:val="32"/>
        </w:rPr>
        <w:t>一是</w:t>
      </w:r>
      <w:r>
        <w:rPr>
          <w:rFonts w:hint="eastAsia" w:ascii="仿宋_GB2312" w:eastAsia="仿宋_GB2312"/>
          <w:sz w:val="32"/>
          <w:szCs w:val="32"/>
        </w:rPr>
        <w:t>积极为阿斯玛村阿坝小组开展农村房屋确权问题。该村一直存在的历史遗留问题就是阿坝小组村民在阿坝县上不了户，不能进行房屋确权等，在单位的关心和帮助下，这个问题得到了州、县两级的重视，现已在开展相关工作;</w:t>
      </w:r>
      <w:r>
        <w:rPr>
          <w:rFonts w:hint="eastAsia" w:ascii="仿宋_GB2312" w:eastAsia="仿宋_GB2312"/>
          <w:b/>
          <w:bCs/>
          <w:sz w:val="32"/>
          <w:szCs w:val="32"/>
        </w:rPr>
        <w:t>二是</w:t>
      </w:r>
      <w:r>
        <w:rPr>
          <w:rFonts w:hint="eastAsia" w:ascii="仿宋_GB2312" w:eastAsia="仿宋_GB2312"/>
          <w:sz w:val="32"/>
          <w:szCs w:val="32"/>
        </w:rPr>
        <w:t>积极科普宣传，科普讲座等。2021年上半年，州科协将脱贫攻坚和业务工作有机结合，到阿斯玛村开展工作5次，到阿坝县开展工作3次，参与干部50余人次，走访群众300余户；开展集中宣讲4次，组织文娱活动2次，参与群众1100余人次；发放慰问物资30000余元；提供春耕备耕服务指导2次，开展防汛指导3次，谋划集体经济发展措施2次，针对阿斯玛村发展壮大集体及加强科普阵地建设等给予了实用有效的建议，并给予了15万元项目补助资金；与阿斯玛村开展支部共建活动2次，与党员干部交心谈心43人次；向僧人捐赠藏汉英大词典7套，科普资料500余册，科普环保袋、围腰200余个；根据群众需求，组织专家编译印制《牦牛主要疫病防治》科普书籍1000册；组织省、州专家对阿斯玛村1名肢残儿童进行了详细检查及会诊；向联系群众及僧人捐款1300元。</w:t>
      </w:r>
    </w:p>
    <w:p w14:paraId="40C03479">
      <w:pPr>
        <w:spacing w:line="576" w:lineRule="exact"/>
        <w:ind w:firstLine="640" w:firstLineChars="200"/>
        <w:outlineLvl w:val="1"/>
        <w:rPr>
          <w:rFonts w:hint="eastAsia" w:ascii="仿宋_GB2312" w:eastAsia="仿宋_GB2312"/>
          <w:sz w:val="32"/>
          <w:szCs w:val="32"/>
        </w:rPr>
      </w:pPr>
      <w:bookmarkStart w:id="31" w:name="_Toc11210"/>
      <w:bookmarkStart w:id="32" w:name="_Toc16281"/>
      <w:r>
        <w:rPr>
          <w:rFonts w:hint="eastAsia" w:ascii="黑体" w:eastAsia="黑体"/>
          <w:sz w:val="32"/>
          <w:szCs w:val="32"/>
        </w:rPr>
        <w:t>三、加强党的建设，落实党风廉政工</w:t>
      </w:r>
      <w:r>
        <w:rPr>
          <w:rFonts w:hint="eastAsia" w:ascii="仿宋_GB2312" w:eastAsia="仿宋_GB2312"/>
          <w:sz w:val="32"/>
          <w:szCs w:val="32"/>
        </w:rPr>
        <w:t>作</w:t>
      </w:r>
      <w:bookmarkEnd w:id="31"/>
      <w:bookmarkEnd w:id="32"/>
    </w:p>
    <w:p w14:paraId="7FF73F90">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rPr>
        <w:t>1.加强支部建设。</w:t>
      </w:r>
      <w:r>
        <w:rPr>
          <w:rFonts w:hint="eastAsia" w:ascii="仿宋_GB2312" w:eastAsia="仿宋_GB2312"/>
          <w:sz w:val="32"/>
          <w:szCs w:val="32"/>
        </w:rPr>
        <w:t>选优配强了支部委员，深入开展“三分类三升级”工作，开展了党员积分制管理。全年，开展主题党日活动12次，召开党员大会6次、支委会12次，党组书记、支部书记上党课4次，与帮扶村联合开展共建活动2次。</w:t>
      </w:r>
    </w:p>
    <w:p w14:paraId="18919587">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rPr>
        <w:t>2.加强党风廉政建设。一是</w:t>
      </w:r>
      <w:r>
        <w:rPr>
          <w:rFonts w:hint="eastAsia" w:ascii="仿宋_GB2312" w:eastAsia="仿宋_GB2312"/>
          <w:sz w:val="32"/>
          <w:szCs w:val="32"/>
        </w:rPr>
        <w:t>深化“四风”纠治。深入推进机关作风建设，班子成员带头转作风、纠“四风”，深入查找机关内部存在的形式主义、官僚主义问题，大力整治庸政、怠政、懒政、不作为、慢作为、乱作为等问题。</w:t>
      </w:r>
      <w:r>
        <w:rPr>
          <w:rFonts w:hint="eastAsia" w:ascii="仿宋_GB2312" w:eastAsia="仿宋_GB2312"/>
          <w:b/>
          <w:bCs/>
          <w:sz w:val="32"/>
          <w:szCs w:val="32"/>
        </w:rPr>
        <w:t>二是</w:t>
      </w:r>
      <w:r>
        <w:rPr>
          <w:rFonts w:hint="eastAsia" w:ascii="仿宋_GB2312" w:eastAsia="仿宋_GB2312"/>
          <w:sz w:val="32"/>
          <w:szCs w:val="32"/>
        </w:rPr>
        <w:t>深化“四为”体检。结合党史学习教育活动，扎实推进“四为”体检，真正做到谋划工作，作“想为敢为、勤为善为”的科技工作者，扎实推进“我为群众办实事”，着力解决科技难题问题，让党联系群众的纽带更坚韧，桥梁更坚固。</w:t>
      </w:r>
    </w:p>
    <w:p w14:paraId="2A74892F">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rPr>
        <w:t>3.紧抓意识形态工作。</w:t>
      </w:r>
      <w:r>
        <w:rPr>
          <w:rFonts w:hint="eastAsia" w:ascii="仿宋_GB2312" w:eastAsia="仿宋_GB2312"/>
          <w:sz w:val="32"/>
          <w:szCs w:val="32"/>
        </w:rPr>
        <w:t>领导班子高度重视意识形态工作，成要求把意识形态工作作为党的建设的重要内容，将意识形态工作纳入民主生活会对照检查和班子述职内容，成立了由党组书记任组长，班子成员任副组长的意识形态工作领导小组，明确提出领导班子对意识形态工作负主体责任，党组书记是第一责任人，必须旗帜鲜明地站在意识形态工作第一线，带头抓意识形态工作。全年党组研究意识形态工作3次。</w:t>
      </w:r>
    </w:p>
    <w:p w14:paraId="1432D819">
      <w:pPr>
        <w:spacing w:line="576" w:lineRule="exact"/>
        <w:ind w:firstLine="640" w:firstLineChars="200"/>
        <w:outlineLvl w:val="1"/>
        <w:rPr>
          <w:rFonts w:hint="eastAsia" w:ascii="黑体" w:eastAsia="黑体"/>
          <w:sz w:val="32"/>
          <w:szCs w:val="32"/>
        </w:rPr>
      </w:pPr>
      <w:bookmarkStart w:id="33" w:name="_Toc26896"/>
      <w:bookmarkStart w:id="34" w:name="_Toc2841"/>
      <w:r>
        <w:rPr>
          <w:rFonts w:hint="eastAsia" w:ascii="黑体" w:eastAsia="黑体"/>
          <w:sz w:val="32"/>
          <w:szCs w:val="32"/>
        </w:rPr>
        <w:t>四、带好队伍，加强自身建设</w:t>
      </w:r>
      <w:bookmarkEnd w:id="33"/>
      <w:bookmarkEnd w:id="34"/>
    </w:p>
    <w:p w14:paraId="2E39D47F">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rPr>
        <w:t>1.强化廉政建设。</w:t>
      </w:r>
      <w:r>
        <w:rPr>
          <w:rFonts w:hint="eastAsia" w:ascii="仿宋_GB2312" w:eastAsia="仿宋_GB2312"/>
          <w:sz w:val="32"/>
          <w:szCs w:val="32"/>
        </w:rPr>
        <w:t>扎实开展机关廉政文化建设活动，不断筑牢全会干部职工思想道德防线，尤其注重把廉政谈话、交心谈心作为关心干部、帮助干部、爱护干部和促进会机关党风廉政建设的一项重要举措，开展集体廉政谈话1次。各分管领导听取分管部（室）、队（馆）党风廉政建设情况汇报2次。结合党史学习教育活动的开展，组织专题学习会12次，组织全会干部职工前往卓克基廉政教育基地、汶川映秀震中纪念馆、马尔康“红军长征在阿坝”浮雕墙、阿坝州博物馆等地开展警示教育活动4次。利用“阿坝科协”微信公众号，在各个节假日前，在“阿坝科协”微信公众号平台上推送了廉洁提醒。同时，通过信息、微信等方式向全系统党员干部发送廉政过节提醒，提醒全体党员干部职工严格落实中央八项规定精神，持续加强作风建设，做好廉洁表率，戒奢以俭、廉洁过节、文明过节。</w:t>
      </w:r>
    </w:p>
    <w:p w14:paraId="727A3BD1">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rPr>
        <w:t>2.铸造高效干部队伍。</w:t>
      </w:r>
      <w:r>
        <w:rPr>
          <w:rFonts w:hint="eastAsia" w:ascii="仿宋_GB2312" w:eastAsia="仿宋_GB2312"/>
          <w:sz w:val="32"/>
          <w:szCs w:val="32"/>
        </w:rPr>
        <w:t>为提升干部职工思想认识，提高工作能力和工作水平，刺激干部职工主动作为意识，一名参公同志得到提拔，调任一名事业同志到青少年部工作，积极筹备好“一报告两评议”工作，对新提拔的科级干部和对班子选人用人工作进行了民主评议。人员提拔与调任中严格遵守了相关规定。</w:t>
      </w:r>
    </w:p>
    <w:p w14:paraId="202B6A71">
      <w:pPr>
        <w:spacing w:line="576" w:lineRule="exact"/>
        <w:ind w:firstLine="640" w:firstLineChars="200"/>
        <w:outlineLvl w:val="1"/>
        <w:rPr>
          <w:rFonts w:hint="eastAsia" w:ascii="黑体" w:eastAsia="黑体"/>
          <w:sz w:val="32"/>
          <w:szCs w:val="32"/>
        </w:rPr>
      </w:pPr>
      <w:bookmarkStart w:id="35" w:name="_Toc20034"/>
      <w:bookmarkStart w:id="36" w:name="_Toc30244"/>
      <w:r>
        <w:rPr>
          <w:rFonts w:hint="eastAsia" w:ascii="黑体" w:eastAsia="黑体"/>
          <w:sz w:val="32"/>
          <w:szCs w:val="32"/>
        </w:rPr>
        <w:t>五、强化责任分工，落实各项综合工作</w:t>
      </w:r>
      <w:bookmarkEnd w:id="35"/>
      <w:bookmarkEnd w:id="36"/>
    </w:p>
    <w:p w14:paraId="440317B0">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rPr>
        <w:t>1.开展普法依法治理工作。</w:t>
      </w:r>
      <w:r>
        <w:rPr>
          <w:rFonts w:hint="eastAsia" w:ascii="仿宋_GB2312" w:eastAsia="仿宋_GB2312"/>
          <w:sz w:val="32"/>
          <w:szCs w:val="32"/>
        </w:rPr>
        <w:t>一是开展依法治州工作。今年，组织干部职工集中学习了《宪法》《民法典》《传染病防治法》《突发事件应对法》等法律法规。全年开展会前学纪学法20余次。二是“七五普法”工作。建立了中心组学法制度和干部职工学法制度，全年对中央、省、州重要会议精神，习近平总书记对四川工作系列重要指示精神，以及《宪法》《民法典》等法律法规组织开展了学习。结合业务科普宣传工作面向公众开展了法律宣传，在“两联一进”工作中，面向联系群众和联系僧侣开展了法治宣传。利用单位普法宣传角和“天府科技云服务”平台，组织开展了学习讨论。</w:t>
      </w:r>
    </w:p>
    <w:p w14:paraId="73B7DDC6">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rPr>
        <w:t>2.抓好维护社会稳定工作。</w:t>
      </w:r>
      <w:r>
        <w:rPr>
          <w:rFonts w:hint="eastAsia" w:ascii="仿宋_GB2312" w:eastAsia="仿宋_GB2312"/>
          <w:sz w:val="32"/>
          <w:szCs w:val="32"/>
        </w:rPr>
        <w:t>领导班子高度重视社会稳定工作，在维稳敏感期成立了单位24小时应急管理工作领导小组，将工作落实到人，每天对辖区进行全覆盖巡视，排查一切安全隐患，确保社会安全。在开展“两联一进”、脱贫攻坚以及基层调研中，面向基层群众开展了“感党恩”教育，开展了党的十九大和十九届五中、六中全会精神宣讲活动和爱国主义宣讲活动。</w:t>
      </w:r>
    </w:p>
    <w:p w14:paraId="09373919">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rPr>
        <w:t>3.抓好安全生产工作。</w:t>
      </w:r>
      <w:r>
        <w:rPr>
          <w:rFonts w:hint="eastAsia" w:ascii="仿宋_GB2312" w:eastAsia="仿宋_GB2312"/>
          <w:sz w:val="32"/>
          <w:szCs w:val="32"/>
        </w:rPr>
        <w:t>为切实抓好安全生产工作，确保国家集体财产安全和职工生命安全，我单位把安全生产重点工作、重大问题纳入党组研究，专门成立了安全生产工作领导小组，明确了安全生产工作分管领导，全年，在“安全生产月”活动期间张贴了安全宣传标语，在单位举办了“安全责任，重在落实”安全讲座，开展了消防安全培训。</w:t>
      </w:r>
    </w:p>
    <w:p w14:paraId="188E2C46">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rPr>
        <w:t>4.落实节能减排工作。</w:t>
      </w:r>
      <w:r>
        <w:rPr>
          <w:rFonts w:hint="eastAsia" w:ascii="仿宋_GB2312" w:eastAsia="仿宋_GB2312"/>
          <w:sz w:val="32"/>
          <w:szCs w:val="32"/>
        </w:rPr>
        <w:t>按照机关事务管理局建设节约型社会、大力开展行政机关节能减排工作要求，我单位及时在干部职工大会上学习传达了有关节能减排文件精神，成立了节能减排工作领导小组，明确工作目标，落实工作责任。厉行节约用电，严格控制办公用品消耗。</w:t>
      </w:r>
    </w:p>
    <w:p w14:paraId="48E0CBC8">
      <w:pPr>
        <w:spacing w:line="560" w:lineRule="exact"/>
        <w:ind w:firstLine="643" w:firstLineChars="200"/>
        <w:rPr>
          <w:rFonts w:hint="eastAsia" w:ascii="仿宋_GB2312" w:eastAsia="仿宋_GB2312"/>
          <w:sz w:val="32"/>
          <w:szCs w:val="32"/>
        </w:rPr>
      </w:pPr>
      <w:r>
        <w:rPr>
          <w:rFonts w:hint="eastAsia" w:ascii="仿宋_GB2312" w:eastAsia="仿宋_GB2312"/>
          <w:b/>
          <w:bCs/>
          <w:sz w:val="32"/>
          <w:szCs w:val="32"/>
        </w:rPr>
        <w:t>5.开展社会治安综合治理工作。</w:t>
      </w:r>
      <w:r>
        <w:rPr>
          <w:rFonts w:hint="eastAsia" w:ascii="仿宋_GB2312" w:eastAsia="仿宋_GB2312"/>
          <w:sz w:val="32"/>
          <w:szCs w:val="32"/>
        </w:rPr>
        <w:t>今年，综治工作取得了明显的成效，主要表现:一是全年单位内部未发生一起群体性事件，信访工作达到了“四无”;定期走访各部室、职工家庭，帮助排查、化解各类矛盾和纠纷;本单位无一人参与邪教组织。二是没有发生一起刑事案件和治安案件，也没有发生一起安全事故;本单位人员无一人参与黄、赌、毒等社会丑恶现象;未发生职工犯罪案件。三是开展“修枝断根正形”工作。建立由党组书记牵头、分管领导组织、明确专人负责的工作机制。召开党组会学习文件精神，对标对表对清单把自己摆进去，对表现特征和表现形式逐一查摆自身问题，党组及班子成员画己画像、实事求是分别作了表态发言，起到良好带头作用。同时，召开职工会对文件进行扩大学习，要求全体干部职工对照“三类三十条”清单作对照表态发言。经组织开展，我单位全体干部职工无“两面人”“骑墙派”表现现象。</w:t>
      </w:r>
    </w:p>
    <w:p w14:paraId="0D10FFB4">
      <w:pPr>
        <w:spacing w:line="576" w:lineRule="exact"/>
        <w:ind w:firstLine="643" w:firstLineChars="200"/>
        <w:rPr>
          <w:rFonts w:hint="eastAsia" w:ascii="仿宋_GB2312" w:eastAsia="仿宋_GB2312"/>
          <w:sz w:val="32"/>
          <w:szCs w:val="32"/>
        </w:rPr>
      </w:pPr>
      <w:r>
        <w:rPr>
          <w:rFonts w:hint="eastAsia" w:ascii="仿宋_GB2312" w:eastAsia="仿宋_GB2312"/>
          <w:b/>
          <w:bCs/>
          <w:sz w:val="32"/>
          <w:szCs w:val="32"/>
        </w:rPr>
        <w:t>6.做好防灾减灾工作。</w:t>
      </w:r>
      <w:r>
        <w:rPr>
          <w:rFonts w:hint="eastAsia" w:ascii="仿宋_GB2312" w:eastAsia="仿宋_GB2312"/>
          <w:sz w:val="32"/>
          <w:szCs w:val="32"/>
        </w:rPr>
        <w:t>一是通过科普宣传、科普进寺院、进学校、进社区、两联一进，开展防灾减灾，草原森林防火知识，现场发放了相关知识手册和宣传资料。悬挂科普挂图进行安全宣传教育，提醒每个人都应该牢固树立“防优于抗”“减先于救”的思想，全面提高防灾减灾知识，切实增强自身防控意识，提高自救互救能力，尽量避免或减少灭害造成的损失。二是结合全国第13个防灾减灾日，紧紧围绕“防范化解灾害风险、筑牢安全发展基础”这一主题、邀请有关专家、工程师为科技工作者做《叠溪地震灾情调查、救灾与一些误区澄清》专题科普讲座，同时开展现场科普宣传。</w:t>
      </w:r>
    </w:p>
    <w:p w14:paraId="22085BFE">
      <w:pPr>
        <w:spacing w:line="576" w:lineRule="exact"/>
        <w:ind w:firstLine="640" w:firstLineChars="200"/>
        <w:outlineLvl w:val="1"/>
        <w:rPr>
          <w:rFonts w:hint="eastAsia" w:ascii="黑体" w:eastAsia="黑体"/>
          <w:sz w:val="32"/>
          <w:szCs w:val="32"/>
        </w:rPr>
      </w:pPr>
      <w:bookmarkStart w:id="37" w:name="_Toc13070"/>
      <w:bookmarkStart w:id="38" w:name="_Toc7759"/>
      <w:r>
        <w:rPr>
          <w:rFonts w:hint="eastAsia" w:ascii="黑体" w:eastAsia="黑体"/>
          <w:sz w:val="32"/>
          <w:szCs w:val="32"/>
        </w:rPr>
        <w:t>六、存在的问题和整改措施</w:t>
      </w:r>
      <w:bookmarkEnd w:id="37"/>
      <w:bookmarkEnd w:id="38"/>
    </w:p>
    <w:p w14:paraId="27348E68">
      <w:pPr>
        <w:spacing w:line="576" w:lineRule="exact"/>
        <w:ind w:firstLine="643" w:firstLineChars="200"/>
        <w:rPr>
          <w:rFonts w:hint="eastAsia" w:ascii="仿宋_GB2312" w:eastAsia="仿宋_GB2312"/>
          <w:b/>
          <w:bCs/>
          <w:sz w:val="32"/>
          <w:szCs w:val="32"/>
        </w:rPr>
      </w:pPr>
      <w:r>
        <w:rPr>
          <w:rFonts w:hint="eastAsia" w:ascii="仿宋_GB2312" w:eastAsia="仿宋_GB2312"/>
          <w:b/>
          <w:bCs/>
          <w:sz w:val="32"/>
          <w:szCs w:val="32"/>
        </w:rPr>
        <w:t>（一）放松理论学习，党性锤炼不够。</w:t>
      </w:r>
    </w:p>
    <w:p w14:paraId="6892B43A">
      <w:pPr>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对马列主义、毛泽东思想、邓小平理论，“三个代表”重要思想、科学发展观和习近平新时代中国特色社会主义思想学习不够，政治理论水平不高，解决问题的能力不强。没有坚持对党性的修养和锤炼，自我进化、自我完善、自我革新、自我提高上做得不够。</w:t>
      </w:r>
    </w:p>
    <w:p w14:paraId="19B69E51">
      <w:pPr>
        <w:spacing w:line="576" w:lineRule="exact"/>
        <w:ind w:firstLine="643" w:firstLineChars="200"/>
        <w:rPr>
          <w:rFonts w:hint="eastAsia" w:ascii="仿宋_GB2312" w:eastAsia="仿宋_GB2312"/>
          <w:b/>
          <w:bCs/>
          <w:sz w:val="32"/>
          <w:szCs w:val="32"/>
        </w:rPr>
      </w:pPr>
      <w:r>
        <w:rPr>
          <w:rFonts w:hint="eastAsia" w:ascii="仿宋_GB2312" w:eastAsia="仿宋_GB2312"/>
          <w:b/>
          <w:bCs/>
          <w:sz w:val="32"/>
          <w:szCs w:val="32"/>
        </w:rPr>
        <w:t>（二）工作作风不严，担当意识不够。</w:t>
      </w:r>
    </w:p>
    <w:p w14:paraId="6616D54D">
      <w:pPr>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担当意识、斗争精神和艰苦奋斗的劲头有所减退，不时有歇一歇、放一放、缓一缓念头，缺乏奋发有为、争优创先的紧迫感、危机感，没有自觉对标宗旨、坚守初心，将新时代的要求内化于心外化于行。</w:t>
      </w:r>
    </w:p>
    <w:p w14:paraId="3D32E0DD">
      <w:pPr>
        <w:spacing w:line="576" w:lineRule="exact"/>
        <w:ind w:firstLine="643" w:firstLineChars="200"/>
        <w:rPr>
          <w:rFonts w:hint="eastAsia" w:ascii="仿宋_GB2312" w:eastAsia="仿宋_GB2312"/>
          <w:b/>
          <w:bCs/>
          <w:sz w:val="32"/>
          <w:szCs w:val="32"/>
        </w:rPr>
      </w:pPr>
      <w:r>
        <w:rPr>
          <w:rFonts w:hint="eastAsia" w:ascii="仿宋_GB2312" w:eastAsia="仿宋_GB2312"/>
          <w:b/>
          <w:bCs/>
          <w:sz w:val="32"/>
          <w:szCs w:val="32"/>
        </w:rPr>
        <w:t>（三）创新意识不足，行动能力不强。</w:t>
      </w:r>
    </w:p>
    <w:p w14:paraId="15EE7B95">
      <w:pPr>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打破惯性思维和路径依赖的革新意识不强，变中求新、变中求进、变中突破的劲头和勇气相当欠缺，思维理念还没有适应形势任务的变化，对科协发展前景思考不够。</w:t>
      </w:r>
    </w:p>
    <w:p w14:paraId="2DC44346">
      <w:pPr>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总的来说，我们的工作与新形势、新任务，与中央、省、州的要求还存在一定的差距，今后，我们将在以下方面进一步加强，不断改进。</w:t>
      </w:r>
    </w:p>
    <w:p w14:paraId="2FAC594D">
      <w:pPr>
        <w:spacing w:line="576" w:lineRule="exact"/>
        <w:ind w:firstLine="643" w:firstLineChars="200"/>
        <w:rPr>
          <w:rFonts w:hint="eastAsia" w:ascii="仿宋_GB2312" w:eastAsia="仿宋_GB2312"/>
          <w:b/>
          <w:bCs/>
          <w:sz w:val="32"/>
          <w:szCs w:val="32"/>
        </w:rPr>
      </w:pPr>
      <w:r>
        <w:rPr>
          <w:rFonts w:hint="eastAsia" w:ascii="仿宋_GB2312" w:eastAsia="仿宋_GB2312"/>
          <w:b/>
          <w:bCs/>
          <w:sz w:val="32"/>
          <w:szCs w:val="32"/>
        </w:rPr>
        <w:t>（</w:t>
      </w:r>
      <w:r>
        <w:rPr>
          <w:rFonts w:hint="eastAsia" w:ascii="仿宋_GB2312" w:eastAsia="仿宋_GB2312"/>
          <w:b/>
          <w:bCs/>
          <w:sz w:val="32"/>
          <w:szCs w:val="32"/>
          <w:lang w:val="en-US" w:eastAsia="zh-CN"/>
        </w:rPr>
        <w:t>四</w:t>
      </w:r>
      <w:r>
        <w:rPr>
          <w:rFonts w:hint="eastAsia" w:ascii="仿宋_GB2312" w:eastAsia="仿宋_GB2312"/>
          <w:b/>
          <w:bCs/>
          <w:sz w:val="32"/>
          <w:szCs w:val="32"/>
        </w:rPr>
        <w:t>）加强理论学习，提高政治能力。</w:t>
      </w:r>
    </w:p>
    <w:p w14:paraId="421EE3B9">
      <w:pPr>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坚持在学懂弄通上下功夫，把党的政治建设摆在更加突出位置，牢牢把握正确政治方向。坚持不懈学原著、读原文、悟原理，深入学习习近平</w:t>
      </w:r>
      <w:r>
        <w:rPr>
          <w:rFonts w:hint="eastAsia" w:ascii="仿宋_GB2312" w:eastAsia="仿宋_GB2312"/>
          <w:sz w:val="32"/>
          <w:szCs w:val="32"/>
          <w:lang w:val="en-US" w:eastAsia="zh-CN"/>
        </w:rPr>
        <w:t>新时代</w:t>
      </w:r>
      <w:r>
        <w:rPr>
          <w:rFonts w:hint="eastAsia" w:ascii="仿宋_GB2312" w:eastAsia="仿宋_GB2312"/>
          <w:sz w:val="32"/>
          <w:szCs w:val="32"/>
        </w:rPr>
        <w:t>中国特色社会主义思想，贯彻落实党的十九大精神，做到学思践悟、融会贯通、指导实践、推动工作;深入领会贯穿其中的马克思主义信仰、鲜明的人民立场、强烈的历史担当、求真务实的作风、勇于创新的精神和科学方法论，进一步提高政治领悟力、政治判断力、政治执行力。</w:t>
      </w:r>
    </w:p>
    <w:p w14:paraId="4349BE10">
      <w:pPr>
        <w:spacing w:line="576" w:lineRule="exact"/>
        <w:ind w:firstLine="643" w:firstLineChars="200"/>
        <w:rPr>
          <w:rFonts w:hint="eastAsia" w:ascii="仿宋_GB2312" w:eastAsia="仿宋_GB2312"/>
          <w:b/>
          <w:bCs/>
          <w:sz w:val="32"/>
          <w:szCs w:val="32"/>
        </w:rPr>
      </w:pPr>
      <w:r>
        <w:rPr>
          <w:rFonts w:hint="eastAsia" w:ascii="仿宋_GB2312" w:eastAsia="仿宋_GB2312"/>
          <w:b/>
          <w:bCs/>
          <w:sz w:val="32"/>
          <w:szCs w:val="32"/>
        </w:rPr>
        <w:t>(</w:t>
      </w:r>
      <w:r>
        <w:rPr>
          <w:rFonts w:hint="eastAsia" w:ascii="仿宋_GB2312" w:eastAsia="仿宋_GB2312"/>
          <w:b/>
          <w:bCs/>
          <w:sz w:val="32"/>
          <w:szCs w:val="32"/>
          <w:lang w:val="en-US" w:eastAsia="zh-CN"/>
        </w:rPr>
        <w:t>五</w:t>
      </w:r>
      <w:r>
        <w:rPr>
          <w:rFonts w:hint="eastAsia" w:ascii="仿宋_GB2312" w:eastAsia="仿宋_GB2312"/>
          <w:b/>
          <w:bCs/>
          <w:sz w:val="32"/>
          <w:szCs w:val="32"/>
        </w:rPr>
        <w:t>)进一步改进工作作风，增强创新意识。</w:t>
      </w:r>
    </w:p>
    <w:p w14:paraId="6F940B13">
      <w:pPr>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树立一盘棋观念，不等、不靠，主动作为，要以解决思想工作中的实际问题为出发点，以改进机关工作作风、提高工作成效为落脚点，针对工作中的薄弱环节和难点问题，发扬民主、集思广益，创新工作方法，提升工作水平，推动科协工作不断向前发展。</w:t>
      </w:r>
    </w:p>
    <w:p w14:paraId="31F4B4F8">
      <w:pPr>
        <w:spacing w:line="576" w:lineRule="exact"/>
        <w:ind w:firstLine="643" w:firstLineChars="200"/>
        <w:rPr>
          <w:rFonts w:hint="eastAsia" w:ascii="仿宋_GB2312" w:eastAsia="仿宋_GB2312"/>
          <w:b/>
          <w:bCs/>
          <w:sz w:val="32"/>
          <w:szCs w:val="32"/>
        </w:rPr>
      </w:pPr>
      <w:r>
        <w:rPr>
          <w:rFonts w:hint="eastAsia" w:ascii="仿宋_GB2312" w:eastAsia="仿宋_GB2312"/>
          <w:b/>
          <w:bCs/>
          <w:sz w:val="32"/>
          <w:szCs w:val="32"/>
        </w:rPr>
        <w:t>(</w:t>
      </w:r>
      <w:r>
        <w:rPr>
          <w:rFonts w:hint="eastAsia" w:ascii="仿宋_GB2312" w:eastAsia="仿宋_GB2312"/>
          <w:b/>
          <w:bCs/>
          <w:sz w:val="32"/>
          <w:szCs w:val="32"/>
          <w:lang w:val="en-US" w:eastAsia="zh-CN"/>
        </w:rPr>
        <w:t>六</w:t>
      </w:r>
      <w:r>
        <w:rPr>
          <w:rFonts w:hint="eastAsia" w:ascii="仿宋_GB2312" w:eastAsia="仿宋_GB2312"/>
          <w:b/>
          <w:bCs/>
          <w:sz w:val="32"/>
          <w:szCs w:val="32"/>
        </w:rPr>
        <w:t>)进一步发挥模范带头作用，坚持廉洁自律。</w:t>
      </w:r>
    </w:p>
    <w:p w14:paraId="72DDD7D0">
      <w:pPr>
        <w:spacing w:line="576" w:lineRule="exact"/>
        <w:ind w:firstLine="640" w:firstLineChars="200"/>
        <w:rPr>
          <w:rFonts w:hint="eastAsia" w:ascii="仿宋_GB2312" w:eastAsia="仿宋_GB2312"/>
          <w:sz w:val="32"/>
          <w:szCs w:val="32"/>
        </w:rPr>
      </w:pPr>
      <w:r>
        <w:rPr>
          <w:rFonts w:hint="eastAsia" w:ascii="仿宋_GB2312" w:eastAsia="仿宋_GB2312"/>
          <w:sz w:val="32"/>
          <w:szCs w:val="32"/>
        </w:rPr>
        <w:t>加强纪律建设，把守纪律、讲规矩挺在前面。领导干部带头遵守《中国共产党廉洁自律准则》和《中国共产党纪律处分条例》，把准则和条例的各项要求印在心中，落实在实际行动上，廉洁从政，躬身笃行，做好表率。</w:t>
      </w:r>
    </w:p>
    <w:p w14:paraId="18CF6947">
      <w:pPr>
        <w:spacing w:line="576" w:lineRule="exact"/>
        <w:ind w:firstLine="643" w:firstLineChars="200"/>
        <w:rPr>
          <w:rFonts w:hint="eastAsia" w:ascii="仿宋_GB2312" w:eastAsia="仿宋_GB2312"/>
          <w:b/>
          <w:bCs/>
          <w:sz w:val="32"/>
          <w:szCs w:val="32"/>
        </w:rPr>
      </w:pPr>
      <w:r>
        <w:rPr>
          <w:rFonts w:hint="eastAsia" w:ascii="仿宋_GB2312" w:eastAsia="仿宋_GB2312"/>
          <w:b/>
          <w:bCs/>
          <w:sz w:val="32"/>
          <w:szCs w:val="32"/>
        </w:rPr>
        <w:t>（</w:t>
      </w:r>
      <w:r>
        <w:rPr>
          <w:rFonts w:hint="eastAsia" w:ascii="仿宋_GB2312" w:eastAsia="仿宋_GB2312"/>
          <w:b/>
          <w:bCs/>
          <w:sz w:val="32"/>
          <w:szCs w:val="32"/>
          <w:lang w:val="en-US" w:eastAsia="zh-CN"/>
        </w:rPr>
        <w:t>七</w:t>
      </w:r>
      <w:r>
        <w:rPr>
          <w:rFonts w:hint="eastAsia" w:ascii="仿宋_GB2312" w:eastAsia="仿宋_GB2312"/>
          <w:b/>
          <w:bCs/>
          <w:sz w:val="32"/>
          <w:szCs w:val="32"/>
        </w:rPr>
        <w:t>）巩固好党史学习教育成果，喜迎二十大召开。</w:t>
      </w:r>
    </w:p>
    <w:p w14:paraId="6AC5C655">
      <w:pPr>
        <w:spacing w:line="576" w:lineRule="exact"/>
        <w:ind w:firstLine="640" w:firstLineChars="200"/>
      </w:pPr>
      <w:r>
        <w:rPr>
          <w:rFonts w:hint="eastAsia" w:ascii="仿宋_GB2312" w:eastAsia="仿宋_GB2312"/>
          <w:sz w:val="32"/>
          <w:szCs w:val="32"/>
        </w:rPr>
        <w:t>汲取党史学习教育正反经验教训，坚定不移向党中央看齐，不断提高政治判断力、政治领悟力、政治执行力，忠诚拥护“两个确立”，切实增强“四个意识”、坚定“四个自信”、做到“两个维护”，自觉在思想上政治上行动上同党中央保持高度一致，把党中央、省委、州委各项决策部署落实到科协工作中，上下拧成一股绳，心往一处想、劲往一处使，不断推进新时代下全州科协系统的治理能力，助推全州经济发展，以优异成绩迎接二十大的召开。</w:t>
      </w:r>
    </w:p>
    <w:p w14:paraId="396AFF26">
      <w:pPr>
        <w:pStyle w:val="5"/>
        <w:rPr>
          <w:rStyle w:val="19"/>
          <w:b w:val="0"/>
          <w:bCs w:val="0"/>
        </w:rPr>
      </w:pPr>
      <w:bookmarkStart w:id="39" w:name="_Toc15377200"/>
      <w:bookmarkStart w:id="40" w:name="_Toc15396601"/>
      <w:bookmarkStart w:id="41" w:name="_Toc13337"/>
      <w:bookmarkStart w:id="42" w:name="_Toc17711"/>
      <w:r>
        <w:rPr>
          <w:rFonts w:hint="eastAsia" w:ascii="黑体" w:eastAsia="黑体"/>
          <w:b w:val="0"/>
        </w:rPr>
        <w:t>二、机</w:t>
      </w:r>
      <w:r>
        <w:rPr>
          <w:rStyle w:val="19"/>
          <w:rFonts w:hint="eastAsia" w:ascii="黑体" w:eastAsia="黑体"/>
          <w:b w:val="0"/>
          <w:bCs w:val="0"/>
        </w:rPr>
        <w:t>构设置</w:t>
      </w:r>
      <w:bookmarkEnd w:id="39"/>
      <w:bookmarkEnd w:id="40"/>
      <w:bookmarkEnd w:id="41"/>
      <w:bookmarkEnd w:id="42"/>
    </w:p>
    <w:p w14:paraId="455D9F9F">
      <w:pPr>
        <w:pStyle w:val="5"/>
        <w:ind w:firstLine="320" w:firstLineChars="100"/>
        <w:rPr>
          <w:b w:val="0"/>
          <w:bCs w:val="0"/>
        </w:rPr>
      </w:pPr>
      <w:bookmarkStart w:id="43" w:name="_Toc10573"/>
      <w:bookmarkStart w:id="44" w:name="_Toc5165"/>
      <w:r>
        <w:rPr>
          <w:rFonts w:hint="eastAsia" w:ascii="仿宋_GB2312" w:eastAsia="仿宋_GB2312"/>
          <w:b w:val="0"/>
        </w:rPr>
        <w:t>我单位属一级预算单位，</w:t>
      </w:r>
      <w:r>
        <w:rPr>
          <w:rFonts w:hint="eastAsia" w:eastAsia="仿宋"/>
          <w:b w:val="0"/>
        </w:rPr>
        <w:t>下属二级单位</w:t>
      </w:r>
      <w:r>
        <w:rPr>
          <w:rFonts w:eastAsia="仿宋"/>
          <w:b w:val="0"/>
        </w:rPr>
        <w:t>2</w:t>
      </w:r>
      <w:r>
        <w:rPr>
          <w:rFonts w:hint="eastAsia" w:eastAsia="仿宋"/>
          <w:b w:val="0"/>
        </w:rPr>
        <w:t>个，其中</w:t>
      </w:r>
      <w:r>
        <w:rPr>
          <w:rFonts w:hint="eastAsia" w:ascii="仿宋_GB2312" w:eastAsia="仿宋_GB2312"/>
          <w:b w:val="0"/>
        </w:rPr>
        <w:t>其他事业单位</w:t>
      </w:r>
      <w:r>
        <w:rPr>
          <w:rFonts w:ascii="仿宋_GB2312" w:eastAsia="仿宋_GB2312"/>
          <w:b w:val="0"/>
        </w:rPr>
        <w:t>2</w:t>
      </w:r>
      <w:r>
        <w:rPr>
          <w:rFonts w:hint="eastAsia" w:ascii="仿宋_GB2312" w:eastAsia="仿宋_GB2312"/>
          <w:b w:val="0"/>
        </w:rPr>
        <w:t>个。（两个事业单位一套账）。</w:t>
      </w:r>
      <w:bookmarkEnd w:id="43"/>
      <w:bookmarkEnd w:id="44"/>
    </w:p>
    <w:p w14:paraId="00ACFEBA">
      <w:pPr>
        <w:pStyle w:val="7"/>
        <w:adjustRightInd w:val="0"/>
        <w:snapToGrid w:val="0"/>
        <w:spacing w:before="93" w:line="600" w:lineRule="exact"/>
        <w:rPr>
          <w:rFonts w:ascii="仿宋" w:hAnsi="仿宋" w:eastAsia="仿宋"/>
          <w:color w:val="000000"/>
          <w:sz w:val="32"/>
          <w:szCs w:val="32"/>
        </w:rPr>
      </w:pPr>
      <w:r>
        <w:rPr>
          <w:rFonts w:ascii="仿宋" w:hAnsi="仿宋" w:eastAsia="仿宋"/>
          <w:kern w:val="2"/>
          <w:sz w:val="32"/>
          <w:szCs w:val="32"/>
        </w:rPr>
        <w:t xml:space="preserve">  </w:t>
      </w:r>
      <w:r>
        <w:rPr>
          <w:rFonts w:ascii="仿宋" w:hAnsi="仿宋" w:eastAsia="仿宋"/>
          <w:color w:val="000000"/>
          <w:sz w:val="32"/>
          <w:szCs w:val="32"/>
        </w:rPr>
        <w:t xml:space="preserve"> </w:t>
      </w:r>
      <w:r>
        <w:rPr>
          <w:rFonts w:hint="eastAsia" w:ascii="仿宋" w:hAnsi="仿宋" w:eastAsia="仿宋"/>
          <w:color w:val="000000"/>
          <w:sz w:val="32"/>
          <w:szCs w:val="32"/>
        </w:rPr>
        <w:t>纳入</w:t>
      </w:r>
      <w:r>
        <w:rPr>
          <w:rFonts w:ascii="仿宋" w:hAnsi="仿宋" w:eastAsia="仿宋"/>
          <w:color w:val="000000"/>
          <w:sz w:val="32"/>
          <w:szCs w:val="32"/>
        </w:rPr>
        <w:t>20</w:t>
      </w:r>
      <w:r>
        <w:rPr>
          <w:rFonts w:hint="eastAsia" w:ascii="仿宋" w:hAnsi="仿宋" w:eastAsia="仿宋"/>
          <w:color w:val="000000"/>
          <w:sz w:val="32"/>
          <w:szCs w:val="32"/>
          <w:lang w:val="en-US" w:eastAsia="zh-CN"/>
        </w:rPr>
        <w:t>21</w:t>
      </w:r>
      <w:r>
        <w:rPr>
          <w:rFonts w:hint="eastAsia" w:ascii="仿宋" w:hAnsi="仿宋" w:eastAsia="仿宋"/>
          <w:color w:val="000000"/>
          <w:sz w:val="32"/>
          <w:szCs w:val="32"/>
        </w:rPr>
        <w:t>年度部门决算编制范围的二级预算单位包括：</w:t>
      </w:r>
    </w:p>
    <w:p w14:paraId="1967DE2B">
      <w:pPr>
        <w:pStyle w:val="7"/>
        <w:numPr>
          <w:ilvl w:val="0"/>
          <w:numId w:val="1"/>
        </w:numPr>
        <w:adjustRightInd w:val="0"/>
        <w:snapToGrid w:val="0"/>
        <w:spacing w:before="93" w:line="600" w:lineRule="exact"/>
        <w:outlineLvl w:val="2"/>
        <w:rPr>
          <w:rFonts w:ascii="仿宋" w:hAnsi="仿宋" w:eastAsia="仿宋"/>
          <w:color w:val="000000"/>
          <w:sz w:val="32"/>
          <w:szCs w:val="32"/>
        </w:rPr>
      </w:pPr>
      <w:r>
        <w:rPr>
          <w:rFonts w:hint="eastAsia"/>
          <w:sz w:val="32"/>
          <w:szCs w:val="32"/>
        </w:rPr>
        <w:t>阿坝州民族科普工作队</w:t>
      </w:r>
    </w:p>
    <w:p w14:paraId="5D051AEF">
      <w:pPr>
        <w:pStyle w:val="7"/>
        <w:numPr>
          <w:ilvl w:val="0"/>
          <w:numId w:val="1"/>
        </w:numPr>
        <w:adjustRightInd w:val="0"/>
        <w:snapToGrid w:val="0"/>
        <w:spacing w:before="93" w:line="600" w:lineRule="exact"/>
        <w:outlineLvl w:val="2"/>
        <w:rPr>
          <w:rFonts w:ascii="仿宋" w:hAnsi="仿宋" w:eastAsia="仿宋"/>
          <w:color w:val="000000"/>
          <w:sz w:val="32"/>
          <w:szCs w:val="32"/>
        </w:rPr>
      </w:pPr>
      <w:r>
        <w:rPr>
          <w:rFonts w:hint="eastAsia"/>
          <w:sz w:val="32"/>
          <w:szCs w:val="32"/>
        </w:rPr>
        <w:t>阿坝州青少年科技馆</w:t>
      </w:r>
    </w:p>
    <w:p w14:paraId="328FD430">
      <w:pPr>
        <w:widowControl/>
        <w:jc w:val="left"/>
        <w:rPr>
          <w:rFonts w:ascii="仿宋" w:eastAsia="仿宋"/>
          <w:kern w:val="0"/>
          <w:sz w:val="32"/>
          <w:szCs w:val="32"/>
        </w:rPr>
      </w:pPr>
      <w:r>
        <w:rPr>
          <w:rFonts w:ascii="仿宋" w:eastAsia="仿宋"/>
          <w:sz w:val="32"/>
          <w:szCs w:val="32"/>
        </w:rPr>
        <w:br w:type="page"/>
      </w:r>
    </w:p>
    <w:p w14:paraId="6341C149">
      <w:pPr>
        <w:pStyle w:val="4"/>
        <w:ind w:right="440"/>
        <w:jc w:val="center"/>
        <w:rPr>
          <w:rStyle w:val="18"/>
          <w:rFonts w:ascii="黑体" w:eastAsia="黑体"/>
          <w:b w:val="0"/>
          <w:bCs/>
        </w:rPr>
      </w:pPr>
      <w:bookmarkStart w:id="45" w:name="_Toc16807"/>
      <w:bookmarkStart w:id="46" w:name="_Toc15396602"/>
      <w:bookmarkStart w:id="47" w:name="_Toc15377204"/>
      <w:r>
        <w:rPr>
          <w:rFonts w:hint="eastAsia" w:ascii="黑体" w:eastAsia="黑体"/>
          <w:b w:val="0"/>
        </w:rPr>
        <w:t>第二部分 2021年度</w:t>
      </w:r>
      <w:r>
        <w:rPr>
          <w:rStyle w:val="18"/>
          <w:rFonts w:hint="eastAsia" w:ascii="黑体" w:eastAsia="黑体"/>
          <w:b w:val="0"/>
          <w:bCs/>
        </w:rPr>
        <w:t>部门决算情况说明</w:t>
      </w:r>
      <w:bookmarkEnd w:id="45"/>
      <w:bookmarkEnd w:id="46"/>
      <w:bookmarkEnd w:id="47"/>
    </w:p>
    <w:p w14:paraId="40F57599"/>
    <w:p w14:paraId="7A890CEF">
      <w:pPr>
        <w:pStyle w:val="24"/>
        <w:numPr>
          <w:ilvl w:val="0"/>
          <w:numId w:val="2"/>
        </w:numPr>
        <w:spacing w:line="600" w:lineRule="exact"/>
        <w:ind w:firstLineChars="0"/>
        <w:outlineLvl w:val="1"/>
        <w:rPr>
          <w:rStyle w:val="19"/>
          <w:rFonts w:ascii="黑体" w:eastAsia="黑体"/>
          <w:b w:val="0"/>
        </w:rPr>
      </w:pPr>
      <w:bookmarkStart w:id="48" w:name="_Toc15377205"/>
      <w:bookmarkStart w:id="49" w:name="_Toc32166"/>
      <w:bookmarkStart w:id="50" w:name="_Toc15396603"/>
      <w:r>
        <w:rPr>
          <w:rFonts w:hint="eastAsia" w:ascii="黑体" w:eastAsia="黑体"/>
          <w:sz w:val="32"/>
          <w:szCs w:val="32"/>
        </w:rPr>
        <w:t>收</w:t>
      </w:r>
      <w:r>
        <w:rPr>
          <w:rStyle w:val="19"/>
          <w:rFonts w:hint="eastAsia" w:ascii="黑体" w:eastAsia="黑体"/>
          <w:b w:val="0"/>
        </w:rPr>
        <w:t>入支出决算总体情况说明</w:t>
      </w:r>
      <w:bookmarkEnd w:id="48"/>
      <w:bookmarkEnd w:id="49"/>
      <w:bookmarkEnd w:id="50"/>
    </w:p>
    <w:p w14:paraId="4B7B1B92">
      <w:pPr>
        <w:spacing w:line="600" w:lineRule="exact"/>
        <w:ind w:firstLine="640" w:firstLineChars="200"/>
        <w:rPr>
          <w:rFonts w:hint="eastAsia" w:ascii="仿宋" w:eastAsia="仿宋"/>
          <w:sz w:val="32"/>
          <w:szCs w:val="32"/>
        </w:rPr>
      </w:pPr>
      <w:r>
        <w:rPr>
          <w:rFonts w:hint="eastAsia" w:ascii="仿宋" w:eastAsia="仿宋"/>
          <w:sz w:val="32"/>
          <w:szCs w:val="32"/>
        </w:rPr>
        <w:t>2021年度收、支总计</w:t>
      </w:r>
      <w:r>
        <w:rPr>
          <w:rFonts w:hint="eastAsia" w:ascii="仿宋" w:eastAsia="仿宋"/>
          <w:sz w:val="32"/>
          <w:szCs w:val="32"/>
          <w:lang w:val="en-US" w:eastAsia="zh-CN"/>
        </w:rPr>
        <w:t>667.64</w:t>
      </w:r>
      <w:r>
        <w:rPr>
          <w:rFonts w:hint="eastAsia" w:ascii="仿宋" w:eastAsia="仿宋"/>
          <w:sz w:val="32"/>
          <w:szCs w:val="32"/>
        </w:rPr>
        <w:t>万元。与2020年相比，收、支总计各增加</w:t>
      </w:r>
      <w:r>
        <w:rPr>
          <w:rFonts w:hint="eastAsia" w:ascii="仿宋" w:eastAsia="仿宋"/>
          <w:sz w:val="32"/>
          <w:szCs w:val="32"/>
          <w:lang w:val="en-US" w:eastAsia="zh-CN"/>
        </w:rPr>
        <w:t>8.87</w:t>
      </w:r>
      <w:r>
        <w:rPr>
          <w:rFonts w:hint="eastAsia" w:ascii="仿宋" w:eastAsia="仿宋"/>
          <w:sz w:val="32"/>
          <w:szCs w:val="32"/>
        </w:rPr>
        <w:t>万元，增长</w:t>
      </w:r>
      <w:r>
        <w:rPr>
          <w:rFonts w:hint="eastAsia" w:ascii="仿宋" w:eastAsia="仿宋"/>
          <w:sz w:val="32"/>
          <w:szCs w:val="32"/>
          <w:lang w:val="en-US" w:eastAsia="zh-CN"/>
        </w:rPr>
        <w:t>1.35</w:t>
      </w:r>
      <w:r>
        <w:rPr>
          <w:rFonts w:ascii="仿宋" w:eastAsia="仿宋"/>
          <w:sz w:val="32"/>
          <w:szCs w:val="32"/>
        </w:rPr>
        <w:t>%</w:t>
      </w:r>
      <w:r>
        <w:rPr>
          <w:rFonts w:hint="eastAsia" w:ascii="仿宋" w:eastAsia="仿宋"/>
          <w:sz w:val="32"/>
          <w:szCs w:val="32"/>
        </w:rPr>
        <w:t>。</w:t>
      </w:r>
    </w:p>
    <w:p w14:paraId="31B74F86">
      <w:pPr>
        <w:pStyle w:val="2"/>
        <w:rPr>
          <w:rFonts w:hint="eastAsia"/>
        </w:rPr>
      </w:pPr>
      <w:r>
        <w:rPr>
          <w:rFonts w:hint="eastAsia" w:eastAsia="宋体"/>
          <w:lang w:eastAsia="zh-CN"/>
        </w:rPr>
        <w:drawing>
          <wp:anchor distT="0" distB="0" distL="114300" distR="114300" simplePos="0" relativeHeight="251659264" behindDoc="0" locked="0" layoutInCell="1" allowOverlap="1">
            <wp:simplePos x="0" y="0"/>
            <wp:positionH relativeFrom="column">
              <wp:posOffset>344805</wp:posOffset>
            </wp:positionH>
            <wp:positionV relativeFrom="paragraph">
              <wp:posOffset>248285</wp:posOffset>
            </wp:positionV>
            <wp:extent cx="4584065" cy="2755265"/>
            <wp:effectExtent l="0" t="0" r="6985" b="6985"/>
            <wp:wrapSquare wrapText="bothSides"/>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6"/>
                    <a:stretch>
                      <a:fillRect/>
                    </a:stretch>
                  </pic:blipFill>
                  <pic:spPr>
                    <a:xfrm>
                      <a:off x="0" y="0"/>
                      <a:ext cx="4584065" cy="2755265"/>
                    </a:xfrm>
                    <a:prstGeom prst="rect">
                      <a:avLst/>
                    </a:prstGeom>
                  </pic:spPr>
                </pic:pic>
              </a:graphicData>
            </a:graphic>
          </wp:anchor>
        </w:drawing>
      </w:r>
    </w:p>
    <w:p w14:paraId="57992637">
      <w:pPr>
        <w:pStyle w:val="2"/>
        <w:rPr>
          <w:rFonts w:hint="eastAsia"/>
        </w:rPr>
      </w:pPr>
    </w:p>
    <w:p w14:paraId="2569FC3C">
      <w:pPr>
        <w:pStyle w:val="2"/>
        <w:rPr>
          <w:rFonts w:hint="eastAsia"/>
        </w:rPr>
      </w:pPr>
    </w:p>
    <w:p w14:paraId="7C4AAAC4">
      <w:pPr>
        <w:pStyle w:val="2"/>
        <w:rPr>
          <w:rFonts w:hint="eastAsia"/>
        </w:rPr>
      </w:pPr>
    </w:p>
    <w:p w14:paraId="58903EA5">
      <w:pPr>
        <w:pStyle w:val="2"/>
        <w:rPr>
          <w:rFonts w:hint="eastAsia"/>
        </w:rPr>
      </w:pPr>
    </w:p>
    <w:p w14:paraId="37718ECF">
      <w:pPr>
        <w:pStyle w:val="2"/>
        <w:rPr>
          <w:rFonts w:hint="eastAsia"/>
        </w:rPr>
      </w:pPr>
    </w:p>
    <w:p w14:paraId="66D63396">
      <w:pPr>
        <w:pStyle w:val="2"/>
        <w:rPr>
          <w:rFonts w:hint="eastAsia"/>
        </w:rPr>
      </w:pPr>
    </w:p>
    <w:p w14:paraId="7C7FA386">
      <w:pPr>
        <w:pStyle w:val="2"/>
        <w:ind w:left="0" w:leftChars="0" w:firstLine="0" w:firstLineChars="0"/>
        <w:rPr>
          <w:rFonts w:hint="eastAsia" w:eastAsia="宋体"/>
          <w:lang w:eastAsia="zh-CN"/>
        </w:rPr>
      </w:pPr>
    </w:p>
    <w:p w14:paraId="7B84DC0E">
      <w:pPr>
        <w:spacing w:line="600" w:lineRule="exact"/>
        <w:ind w:firstLine="640" w:firstLineChars="200"/>
        <w:rPr>
          <w:rFonts w:ascii="仿宋" w:eastAsia="仿宋"/>
          <w:sz w:val="32"/>
          <w:szCs w:val="32"/>
        </w:rPr>
      </w:pPr>
      <w:r>
        <w:rPr>
          <w:rFonts w:hint="eastAsia" w:ascii="仿宋" w:eastAsia="仿宋"/>
          <w:sz w:val="32"/>
          <w:szCs w:val="32"/>
        </w:rPr>
        <w:t>（图</w:t>
      </w:r>
      <w:r>
        <w:rPr>
          <w:rFonts w:ascii="仿宋" w:eastAsia="仿宋"/>
          <w:sz w:val="32"/>
          <w:szCs w:val="32"/>
        </w:rPr>
        <w:t>1</w:t>
      </w:r>
      <w:r>
        <w:rPr>
          <w:rFonts w:hint="eastAsia" w:ascii="仿宋" w:eastAsia="仿宋"/>
          <w:sz w:val="32"/>
          <w:szCs w:val="32"/>
        </w:rPr>
        <w:t>：收、支决算总计变动情况图）（柱状图）</w:t>
      </w:r>
    </w:p>
    <w:p w14:paraId="49635417">
      <w:pPr>
        <w:spacing w:line="600" w:lineRule="exact"/>
        <w:ind w:firstLine="640" w:firstLineChars="200"/>
        <w:jc w:val="left"/>
        <w:rPr>
          <w:rFonts w:ascii="仿宋_GB2312" w:eastAsia="仿宋_GB2312"/>
          <w:sz w:val="32"/>
          <w:szCs w:val="32"/>
        </w:rPr>
      </w:pPr>
    </w:p>
    <w:p w14:paraId="6722B92D">
      <w:pPr>
        <w:pStyle w:val="24"/>
        <w:numPr>
          <w:ilvl w:val="0"/>
          <w:numId w:val="2"/>
        </w:numPr>
        <w:spacing w:line="600" w:lineRule="exact"/>
        <w:ind w:firstLineChars="0"/>
        <w:outlineLvl w:val="1"/>
        <w:rPr>
          <w:rStyle w:val="19"/>
          <w:rFonts w:ascii="黑体" w:eastAsia="黑体"/>
          <w:b w:val="0"/>
        </w:rPr>
      </w:pPr>
      <w:bookmarkStart w:id="51" w:name="_Toc15377206"/>
      <w:bookmarkStart w:id="52" w:name="_Toc13236"/>
      <w:bookmarkStart w:id="53" w:name="_Toc15396604"/>
      <w:r>
        <w:rPr>
          <w:rFonts w:hint="eastAsia" w:ascii="黑体" w:eastAsia="黑体"/>
          <w:sz w:val="32"/>
          <w:szCs w:val="32"/>
        </w:rPr>
        <w:t>收</w:t>
      </w:r>
      <w:r>
        <w:rPr>
          <w:rStyle w:val="19"/>
          <w:rFonts w:hint="eastAsia" w:ascii="黑体" w:eastAsia="黑体"/>
          <w:b w:val="0"/>
        </w:rPr>
        <w:t>入决算情况说明</w:t>
      </w:r>
      <w:bookmarkEnd w:id="51"/>
      <w:bookmarkEnd w:id="52"/>
      <w:bookmarkEnd w:id="53"/>
    </w:p>
    <w:p w14:paraId="5EE5F567">
      <w:pPr>
        <w:spacing w:line="600" w:lineRule="exact"/>
        <w:ind w:firstLine="640" w:firstLineChars="200"/>
        <w:outlineLvl w:val="1"/>
        <w:rPr>
          <w:rFonts w:ascii="仿宋" w:eastAsia="仿宋"/>
          <w:sz w:val="32"/>
          <w:szCs w:val="32"/>
        </w:rPr>
      </w:pPr>
      <w:bookmarkStart w:id="54" w:name="_Toc10204"/>
      <w:bookmarkStart w:id="55" w:name="_Toc31124"/>
      <w:r>
        <w:rPr>
          <w:rFonts w:ascii="仿宋" w:eastAsia="仿宋"/>
          <w:sz w:val="32"/>
          <w:szCs w:val="32"/>
        </w:rPr>
        <w:t>20</w:t>
      </w:r>
      <w:r>
        <w:rPr>
          <w:rFonts w:hint="eastAsia" w:ascii="仿宋" w:eastAsia="仿宋"/>
          <w:sz w:val="32"/>
          <w:szCs w:val="32"/>
        </w:rPr>
        <w:t>21年本年收入合计</w:t>
      </w:r>
      <w:r>
        <w:rPr>
          <w:rFonts w:hint="eastAsia" w:ascii="仿宋" w:eastAsia="仿宋"/>
          <w:sz w:val="32"/>
          <w:szCs w:val="32"/>
          <w:lang w:val="en-US" w:eastAsia="zh-CN"/>
        </w:rPr>
        <w:t>667.64</w:t>
      </w:r>
      <w:r>
        <w:rPr>
          <w:rFonts w:hint="eastAsia" w:ascii="仿宋" w:eastAsia="仿宋"/>
          <w:sz w:val="32"/>
          <w:szCs w:val="32"/>
        </w:rPr>
        <w:t>万元，其中：一般公共预算财政拨款收入</w:t>
      </w:r>
      <w:r>
        <w:rPr>
          <w:rFonts w:hint="eastAsia" w:ascii="仿宋" w:eastAsia="仿宋"/>
          <w:sz w:val="32"/>
          <w:szCs w:val="32"/>
          <w:lang w:val="en-US" w:eastAsia="zh-CN"/>
        </w:rPr>
        <w:t>667.64</w:t>
      </w:r>
      <w:r>
        <w:rPr>
          <w:rFonts w:hint="eastAsia" w:ascii="仿宋" w:eastAsia="仿宋"/>
          <w:sz w:val="32"/>
          <w:szCs w:val="32"/>
        </w:rPr>
        <w:t>万元，占</w:t>
      </w:r>
      <w:r>
        <w:rPr>
          <w:rFonts w:hint="eastAsia" w:ascii="仿宋" w:eastAsia="仿宋"/>
          <w:sz w:val="32"/>
          <w:szCs w:val="32"/>
          <w:lang w:val="en-US" w:eastAsia="zh-CN"/>
        </w:rPr>
        <w:t>100</w:t>
      </w:r>
      <w:r>
        <w:rPr>
          <w:rFonts w:ascii="仿宋" w:eastAsia="仿宋"/>
          <w:sz w:val="32"/>
          <w:szCs w:val="32"/>
        </w:rPr>
        <w:t>%</w:t>
      </w:r>
      <w:r>
        <w:rPr>
          <w:rFonts w:hint="eastAsia" w:ascii="仿宋" w:eastAsia="仿宋"/>
          <w:sz w:val="32"/>
          <w:szCs w:val="32"/>
        </w:rPr>
        <w:t>；政府性基金预算财政拨款收入</w:t>
      </w:r>
      <w:r>
        <w:rPr>
          <w:rFonts w:hint="eastAsia" w:ascii="仿宋" w:eastAsia="仿宋"/>
          <w:sz w:val="32"/>
          <w:szCs w:val="32"/>
          <w:lang w:val="en-US" w:eastAsia="zh-CN"/>
        </w:rPr>
        <w:t>0</w:t>
      </w:r>
      <w:r>
        <w:rPr>
          <w:rFonts w:hint="eastAsia" w:ascii="仿宋" w:eastAsia="仿宋"/>
          <w:sz w:val="32"/>
          <w:szCs w:val="32"/>
        </w:rPr>
        <w:t>万元，占</w:t>
      </w:r>
      <w:r>
        <w:rPr>
          <w:rFonts w:hint="eastAsia" w:ascii="仿宋" w:eastAsia="仿宋"/>
          <w:sz w:val="32"/>
          <w:szCs w:val="32"/>
          <w:lang w:val="en-US" w:eastAsia="zh-CN"/>
        </w:rPr>
        <w:t>0</w:t>
      </w:r>
      <w:r>
        <w:rPr>
          <w:rFonts w:ascii="仿宋" w:eastAsia="仿宋"/>
          <w:sz w:val="32"/>
          <w:szCs w:val="32"/>
        </w:rPr>
        <w:t>%</w:t>
      </w:r>
      <w:r>
        <w:rPr>
          <w:rFonts w:hint="eastAsia" w:ascii="仿宋" w:eastAsia="仿宋"/>
          <w:sz w:val="32"/>
          <w:szCs w:val="32"/>
        </w:rPr>
        <w:t>；国有资本经营预算财政拨款收入</w:t>
      </w:r>
      <w:r>
        <w:rPr>
          <w:rFonts w:hint="eastAsia" w:ascii="仿宋" w:eastAsia="仿宋"/>
          <w:sz w:val="32"/>
          <w:szCs w:val="32"/>
          <w:lang w:val="en-US" w:eastAsia="zh-CN"/>
        </w:rPr>
        <w:t>0</w:t>
      </w:r>
      <w:r>
        <w:rPr>
          <w:rFonts w:hint="eastAsia" w:ascii="仿宋" w:eastAsia="仿宋"/>
          <w:sz w:val="32"/>
          <w:szCs w:val="32"/>
        </w:rPr>
        <w:t>万元，占</w:t>
      </w:r>
      <w:r>
        <w:rPr>
          <w:rFonts w:hint="eastAsia" w:ascii="仿宋" w:eastAsia="仿宋"/>
          <w:sz w:val="32"/>
          <w:szCs w:val="32"/>
          <w:lang w:val="en-US" w:eastAsia="zh-CN"/>
        </w:rPr>
        <w:t>0</w:t>
      </w:r>
      <w:r>
        <w:rPr>
          <w:rFonts w:ascii="仿宋" w:eastAsia="仿宋"/>
          <w:sz w:val="32"/>
          <w:szCs w:val="32"/>
        </w:rPr>
        <w:t>%</w:t>
      </w:r>
      <w:r>
        <w:rPr>
          <w:rFonts w:hint="eastAsia" w:ascii="仿宋" w:eastAsia="仿宋"/>
          <w:sz w:val="32"/>
          <w:szCs w:val="32"/>
        </w:rPr>
        <w:t>；上级补助收入</w:t>
      </w:r>
      <w:r>
        <w:rPr>
          <w:rFonts w:hint="eastAsia" w:ascii="仿宋" w:eastAsia="仿宋"/>
          <w:sz w:val="32"/>
          <w:szCs w:val="32"/>
          <w:lang w:val="en-US" w:eastAsia="zh-CN"/>
        </w:rPr>
        <w:t>0</w:t>
      </w:r>
      <w:r>
        <w:rPr>
          <w:rFonts w:hint="eastAsia" w:ascii="仿宋" w:eastAsia="仿宋"/>
          <w:sz w:val="32"/>
          <w:szCs w:val="32"/>
        </w:rPr>
        <w:t>万元，占</w:t>
      </w:r>
      <w:r>
        <w:rPr>
          <w:rFonts w:hint="eastAsia" w:ascii="仿宋" w:eastAsia="仿宋"/>
          <w:sz w:val="32"/>
          <w:szCs w:val="32"/>
          <w:lang w:val="en-US" w:eastAsia="zh-CN"/>
        </w:rPr>
        <w:t>0</w:t>
      </w:r>
      <w:r>
        <w:rPr>
          <w:rFonts w:ascii="仿宋" w:eastAsia="仿宋"/>
          <w:sz w:val="32"/>
          <w:szCs w:val="32"/>
        </w:rPr>
        <w:t>%</w:t>
      </w:r>
      <w:r>
        <w:rPr>
          <w:rFonts w:hint="eastAsia" w:ascii="仿宋" w:eastAsia="仿宋"/>
          <w:sz w:val="32"/>
          <w:szCs w:val="32"/>
        </w:rPr>
        <w:t>；事业收入</w:t>
      </w:r>
      <w:r>
        <w:rPr>
          <w:rFonts w:hint="eastAsia" w:ascii="仿宋" w:eastAsia="仿宋"/>
          <w:sz w:val="32"/>
          <w:szCs w:val="32"/>
          <w:lang w:val="en-US" w:eastAsia="zh-CN"/>
        </w:rPr>
        <w:t>0</w:t>
      </w:r>
      <w:r>
        <w:rPr>
          <w:rFonts w:hint="eastAsia" w:ascii="仿宋" w:eastAsia="仿宋"/>
          <w:sz w:val="32"/>
          <w:szCs w:val="32"/>
        </w:rPr>
        <w:t>万元，占</w:t>
      </w:r>
      <w:r>
        <w:rPr>
          <w:rFonts w:hint="eastAsia" w:ascii="仿宋" w:eastAsia="仿宋"/>
          <w:sz w:val="32"/>
          <w:szCs w:val="32"/>
          <w:lang w:val="en-US" w:eastAsia="zh-CN"/>
        </w:rPr>
        <w:t>0</w:t>
      </w:r>
      <w:r>
        <w:rPr>
          <w:rFonts w:ascii="仿宋" w:eastAsia="仿宋"/>
          <w:sz w:val="32"/>
          <w:szCs w:val="32"/>
        </w:rPr>
        <w:t>%</w:t>
      </w:r>
      <w:r>
        <w:rPr>
          <w:rFonts w:hint="eastAsia" w:ascii="仿宋" w:eastAsia="仿宋"/>
          <w:sz w:val="32"/>
          <w:szCs w:val="32"/>
        </w:rPr>
        <w:t>；经营收入</w:t>
      </w:r>
      <w:r>
        <w:rPr>
          <w:rFonts w:hint="eastAsia" w:ascii="仿宋" w:eastAsia="仿宋"/>
          <w:sz w:val="32"/>
          <w:szCs w:val="32"/>
          <w:lang w:val="en-US" w:eastAsia="zh-CN"/>
        </w:rPr>
        <w:t>0</w:t>
      </w:r>
      <w:r>
        <w:rPr>
          <w:rFonts w:hint="eastAsia" w:ascii="仿宋" w:eastAsia="仿宋"/>
          <w:sz w:val="32"/>
          <w:szCs w:val="32"/>
        </w:rPr>
        <w:t>万元，占</w:t>
      </w:r>
      <w:r>
        <w:rPr>
          <w:rFonts w:hint="eastAsia" w:ascii="仿宋" w:eastAsia="仿宋"/>
          <w:sz w:val="32"/>
          <w:szCs w:val="32"/>
          <w:lang w:val="en-US" w:eastAsia="zh-CN"/>
        </w:rPr>
        <w:t>0</w:t>
      </w:r>
      <w:r>
        <w:rPr>
          <w:rFonts w:ascii="仿宋" w:eastAsia="仿宋"/>
          <w:sz w:val="32"/>
          <w:szCs w:val="32"/>
        </w:rPr>
        <w:t>%</w:t>
      </w:r>
      <w:r>
        <w:rPr>
          <w:rFonts w:hint="eastAsia" w:ascii="仿宋" w:eastAsia="仿宋"/>
          <w:sz w:val="32"/>
          <w:szCs w:val="32"/>
        </w:rPr>
        <w:t>；附属单位上缴收入</w:t>
      </w:r>
      <w:r>
        <w:rPr>
          <w:rFonts w:hint="eastAsia" w:ascii="仿宋" w:eastAsia="仿宋"/>
          <w:sz w:val="32"/>
          <w:szCs w:val="32"/>
          <w:lang w:val="en-US" w:eastAsia="zh-CN"/>
        </w:rPr>
        <w:t>0</w:t>
      </w:r>
      <w:r>
        <w:rPr>
          <w:rFonts w:hint="eastAsia" w:ascii="仿宋" w:eastAsia="仿宋"/>
          <w:sz w:val="32"/>
          <w:szCs w:val="32"/>
        </w:rPr>
        <w:t>万元，占</w:t>
      </w:r>
      <w:r>
        <w:rPr>
          <w:rFonts w:hint="eastAsia" w:ascii="仿宋" w:eastAsia="仿宋"/>
          <w:sz w:val="32"/>
          <w:szCs w:val="32"/>
          <w:lang w:val="en-US" w:eastAsia="zh-CN"/>
        </w:rPr>
        <w:t>0</w:t>
      </w:r>
      <w:r>
        <w:rPr>
          <w:rFonts w:ascii="仿宋" w:eastAsia="仿宋"/>
          <w:sz w:val="32"/>
          <w:szCs w:val="32"/>
        </w:rPr>
        <w:t>%</w:t>
      </w:r>
      <w:r>
        <w:rPr>
          <w:rFonts w:hint="eastAsia" w:ascii="仿宋" w:eastAsia="仿宋"/>
          <w:sz w:val="32"/>
          <w:szCs w:val="32"/>
        </w:rPr>
        <w:t>；其他收入</w:t>
      </w:r>
      <w:r>
        <w:rPr>
          <w:rFonts w:hint="eastAsia" w:ascii="仿宋" w:eastAsia="仿宋"/>
          <w:sz w:val="32"/>
          <w:szCs w:val="32"/>
          <w:lang w:val="en-US" w:eastAsia="zh-CN"/>
        </w:rPr>
        <w:t>0</w:t>
      </w:r>
      <w:r>
        <w:rPr>
          <w:rFonts w:hint="eastAsia" w:ascii="仿宋" w:eastAsia="仿宋"/>
          <w:sz w:val="32"/>
          <w:szCs w:val="32"/>
        </w:rPr>
        <w:t>万元，占</w:t>
      </w:r>
      <w:r>
        <w:rPr>
          <w:rFonts w:hint="eastAsia" w:ascii="仿宋" w:eastAsia="仿宋"/>
          <w:sz w:val="32"/>
          <w:szCs w:val="32"/>
          <w:lang w:val="en-US" w:eastAsia="zh-CN"/>
        </w:rPr>
        <w:t>0</w:t>
      </w:r>
      <w:r>
        <w:rPr>
          <w:rFonts w:ascii="仿宋" w:eastAsia="仿宋"/>
          <w:sz w:val="32"/>
          <w:szCs w:val="32"/>
        </w:rPr>
        <w:t>%</w:t>
      </w:r>
      <w:r>
        <w:rPr>
          <w:rFonts w:hint="eastAsia" w:ascii="仿宋" w:eastAsia="仿宋"/>
          <w:sz w:val="32"/>
          <w:szCs w:val="32"/>
        </w:rPr>
        <w:t>。</w:t>
      </w:r>
      <w:bookmarkEnd w:id="54"/>
      <w:bookmarkEnd w:id="55"/>
    </w:p>
    <w:p w14:paraId="405D5257">
      <w:pPr>
        <w:spacing w:line="600" w:lineRule="exact"/>
        <w:ind w:firstLine="643" w:firstLineChars="200"/>
        <w:outlineLvl w:val="1"/>
        <w:rPr>
          <w:rFonts w:ascii="仿宋" w:eastAsia="仿宋"/>
          <w:b/>
          <w:sz w:val="32"/>
          <w:szCs w:val="32"/>
        </w:rPr>
      </w:pPr>
      <w:bookmarkStart w:id="56" w:name="_Toc12144"/>
      <w:bookmarkStart w:id="57" w:name="_Toc19233"/>
      <w:r>
        <w:rPr>
          <w:rFonts w:hint="eastAsia" w:ascii="仿宋" w:eastAsia="仿宋"/>
          <w:b/>
          <w:sz w:val="32"/>
          <w:szCs w:val="32"/>
        </w:rPr>
        <w:t>（注：数据来源于财决</w:t>
      </w:r>
      <w:r>
        <w:rPr>
          <w:rFonts w:ascii="仿宋" w:eastAsia="仿宋"/>
          <w:b/>
          <w:sz w:val="32"/>
          <w:szCs w:val="32"/>
        </w:rPr>
        <w:t>01表</w:t>
      </w:r>
      <w:r>
        <w:rPr>
          <w:rFonts w:hint="eastAsia" w:ascii="仿宋" w:eastAsia="仿宋"/>
          <w:b/>
          <w:sz w:val="32"/>
          <w:szCs w:val="32"/>
        </w:rPr>
        <w:t>，仅罗列本部门涉及的收入。</w:t>
      </w:r>
      <w:r>
        <w:rPr>
          <w:rFonts w:ascii="仿宋" w:eastAsia="仿宋"/>
          <w:b/>
          <w:sz w:val="32"/>
          <w:szCs w:val="32"/>
        </w:rPr>
        <w:t>）</w:t>
      </w:r>
      <w:bookmarkEnd w:id="56"/>
      <w:bookmarkEnd w:id="57"/>
    </w:p>
    <w:p w14:paraId="74CC20B2">
      <w:pPr>
        <w:pStyle w:val="2"/>
        <w:rPr>
          <w:rFonts w:hint="eastAsia" w:ascii="仿宋" w:eastAsia="仿宋"/>
          <w:sz w:val="32"/>
          <w:szCs w:val="32"/>
          <w:lang w:eastAsia="zh-CN"/>
        </w:rPr>
      </w:pPr>
      <w:r>
        <w:rPr>
          <w:rFonts w:hint="eastAsia" w:ascii="仿宋" w:eastAsia="仿宋"/>
          <w:sz w:val="32"/>
          <w:szCs w:val="32"/>
          <w:lang w:eastAsia="zh-CN"/>
        </w:rPr>
        <w:drawing>
          <wp:anchor distT="0" distB="0" distL="114300" distR="114300" simplePos="0" relativeHeight="251660288" behindDoc="0" locked="0" layoutInCell="1" allowOverlap="1">
            <wp:simplePos x="0" y="0"/>
            <wp:positionH relativeFrom="column">
              <wp:posOffset>367030</wp:posOffset>
            </wp:positionH>
            <wp:positionV relativeFrom="paragraph">
              <wp:posOffset>258445</wp:posOffset>
            </wp:positionV>
            <wp:extent cx="4584065" cy="2755265"/>
            <wp:effectExtent l="0" t="0" r="6985" b="6985"/>
            <wp:wrapSquare wrapText="bothSides"/>
            <wp:docPr id="5" name="图片 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
                    <pic:cNvPicPr>
                      <a:picLocks noChangeAspect="1"/>
                    </pic:cNvPicPr>
                  </pic:nvPicPr>
                  <pic:blipFill>
                    <a:blip r:embed="rId7"/>
                    <a:stretch>
                      <a:fillRect/>
                    </a:stretch>
                  </pic:blipFill>
                  <pic:spPr>
                    <a:xfrm>
                      <a:off x="0" y="0"/>
                      <a:ext cx="4584065" cy="2755265"/>
                    </a:xfrm>
                    <a:prstGeom prst="rect">
                      <a:avLst/>
                    </a:prstGeom>
                  </pic:spPr>
                </pic:pic>
              </a:graphicData>
            </a:graphic>
          </wp:anchor>
        </w:drawing>
      </w:r>
    </w:p>
    <w:p w14:paraId="3A15D3E7">
      <w:pPr>
        <w:spacing w:line="600" w:lineRule="exact"/>
        <w:rPr>
          <w:rFonts w:hint="eastAsia" w:ascii="仿宋" w:eastAsia="仿宋"/>
          <w:sz w:val="32"/>
          <w:szCs w:val="32"/>
        </w:rPr>
      </w:pPr>
    </w:p>
    <w:p w14:paraId="631236C2">
      <w:pPr>
        <w:spacing w:line="600" w:lineRule="exact"/>
        <w:rPr>
          <w:rFonts w:hint="eastAsia" w:ascii="仿宋" w:eastAsia="仿宋"/>
          <w:sz w:val="32"/>
          <w:szCs w:val="32"/>
        </w:rPr>
      </w:pPr>
    </w:p>
    <w:p w14:paraId="75EFD78A">
      <w:pPr>
        <w:spacing w:line="600" w:lineRule="exact"/>
        <w:rPr>
          <w:rFonts w:hint="eastAsia" w:ascii="仿宋" w:eastAsia="仿宋"/>
          <w:sz w:val="32"/>
          <w:szCs w:val="32"/>
        </w:rPr>
      </w:pPr>
    </w:p>
    <w:p w14:paraId="0377566E">
      <w:pPr>
        <w:spacing w:line="600" w:lineRule="exact"/>
        <w:rPr>
          <w:rFonts w:hint="eastAsia" w:ascii="仿宋" w:eastAsia="仿宋"/>
          <w:sz w:val="32"/>
          <w:szCs w:val="32"/>
        </w:rPr>
      </w:pPr>
    </w:p>
    <w:p w14:paraId="625C4F89">
      <w:pPr>
        <w:spacing w:line="600" w:lineRule="exact"/>
        <w:rPr>
          <w:rFonts w:hint="eastAsia" w:ascii="仿宋" w:eastAsia="仿宋"/>
          <w:sz w:val="32"/>
          <w:szCs w:val="32"/>
        </w:rPr>
      </w:pPr>
    </w:p>
    <w:p w14:paraId="7CFFDD30">
      <w:pPr>
        <w:spacing w:line="600" w:lineRule="exact"/>
        <w:rPr>
          <w:rFonts w:hint="eastAsia" w:ascii="仿宋" w:eastAsia="仿宋"/>
          <w:sz w:val="32"/>
          <w:szCs w:val="32"/>
        </w:rPr>
      </w:pPr>
    </w:p>
    <w:p w14:paraId="04827D56">
      <w:pPr>
        <w:spacing w:line="600" w:lineRule="exact"/>
        <w:rPr>
          <w:rFonts w:hint="eastAsia" w:ascii="仿宋" w:eastAsia="仿宋"/>
          <w:sz w:val="32"/>
          <w:szCs w:val="32"/>
        </w:rPr>
      </w:pPr>
    </w:p>
    <w:p w14:paraId="0DEEEE41">
      <w:pPr>
        <w:spacing w:line="600" w:lineRule="exact"/>
        <w:ind w:firstLine="1280" w:firstLineChars="400"/>
        <w:rPr>
          <w:rFonts w:ascii="仿宋" w:eastAsia="仿宋"/>
          <w:sz w:val="32"/>
          <w:szCs w:val="32"/>
        </w:rPr>
      </w:pPr>
      <w:r>
        <w:rPr>
          <w:rFonts w:hint="eastAsia" w:ascii="仿宋" w:eastAsia="仿宋"/>
          <w:sz w:val="32"/>
          <w:szCs w:val="32"/>
        </w:rPr>
        <w:t>（图2：收入决算结构图）（饼状图）</w:t>
      </w:r>
    </w:p>
    <w:p w14:paraId="0178EBC2">
      <w:pPr>
        <w:spacing w:line="600" w:lineRule="exact"/>
        <w:ind w:firstLine="640" w:firstLineChars="200"/>
        <w:rPr>
          <w:rFonts w:ascii="仿宋_GB2312" w:eastAsia="仿宋_GB2312"/>
          <w:sz w:val="32"/>
          <w:szCs w:val="32"/>
        </w:rPr>
      </w:pPr>
    </w:p>
    <w:p w14:paraId="274AC070">
      <w:pPr>
        <w:pStyle w:val="24"/>
        <w:numPr>
          <w:ilvl w:val="0"/>
          <w:numId w:val="2"/>
        </w:numPr>
        <w:spacing w:line="600" w:lineRule="exact"/>
        <w:ind w:firstLineChars="0"/>
        <w:outlineLvl w:val="1"/>
        <w:rPr>
          <w:rStyle w:val="19"/>
          <w:rFonts w:ascii="黑体" w:eastAsia="黑体"/>
          <w:b w:val="0"/>
        </w:rPr>
      </w:pPr>
      <w:bookmarkStart w:id="58" w:name="_Toc23049"/>
      <w:bookmarkStart w:id="59" w:name="_Toc15377207"/>
      <w:bookmarkStart w:id="60" w:name="_Toc15396605"/>
      <w:r>
        <w:rPr>
          <w:rFonts w:hint="eastAsia" w:ascii="黑体" w:eastAsia="黑体"/>
          <w:sz w:val="32"/>
          <w:szCs w:val="32"/>
        </w:rPr>
        <w:t>支</w:t>
      </w:r>
      <w:r>
        <w:rPr>
          <w:rStyle w:val="19"/>
          <w:rFonts w:hint="eastAsia" w:ascii="黑体" w:eastAsia="黑体"/>
          <w:b w:val="0"/>
        </w:rPr>
        <w:t>出决算情况说明</w:t>
      </w:r>
      <w:bookmarkEnd w:id="58"/>
      <w:bookmarkEnd w:id="59"/>
      <w:bookmarkEnd w:id="60"/>
    </w:p>
    <w:p w14:paraId="63876E48">
      <w:pPr>
        <w:spacing w:line="600" w:lineRule="exact"/>
        <w:ind w:firstLine="640" w:firstLineChars="200"/>
        <w:outlineLvl w:val="1"/>
        <w:rPr>
          <w:rFonts w:ascii="仿宋" w:eastAsia="仿宋"/>
          <w:sz w:val="32"/>
          <w:szCs w:val="32"/>
        </w:rPr>
      </w:pPr>
      <w:bookmarkStart w:id="61" w:name="_Toc11360"/>
      <w:bookmarkStart w:id="62" w:name="_Toc7000"/>
      <w:r>
        <w:rPr>
          <w:rFonts w:ascii="仿宋" w:eastAsia="仿宋"/>
          <w:sz w:val="32"/>
          <w:szCs w:val="32"/>
        </w:rPr>
        <w:t>20</w:t>
      </w:r>
      <w:r>
        <w:rPr>
          <w:rFonts w:hint="eastAsia" w:ascii="仿宋" w:eastAsia="仿宋"/>
          <w:sz w:val="32"/>
          <w:szCs w:val="32"/>
        </w:rPr>
        <w:t>21年本年支出合计</w:t>
      </w:r>
      <w:r>
        <w:rPr>
          <w:rFonts w:hint="eastAsia" w:ascii="仿宋" w:eastAsia="仿宋"/>
          <w:sz w:val="32"/>
          <w:szCs w:val="32"/>
          <w:lang w:val="en-US" w:eastAsia="zh-CN"/>
        </w:rPr>
        <w:t>667.64</w:t>
      </w:r>
      <w:r>
        <w:rPr>
          <w:rFonts w:hint="eastAsia" w:ascii="仿宋" w:eastAsia="仿宋"/>
          <w:sz w:val="32"/>
          <w:szCs w:val="32"/>
        </w:rPr>
        <w:t>万元，其中：基本支出</w:t>
      </w:r>
      <w:r>
        <w:rPr>
          <w:rFonts w:hint="eastAsia" w:ascii="仿宋" w:eastAsia="仿宋"/>
          <w:sz w:val="32"/>
          <w:szCs w:val="32"/>
          <w:lang w:val="en-US" w:eastAsia="zh-CN"/>
        </w:rPr>
        <w:t>465.12</w:t>
      </w:r>
      <w:r>
        <w:rPr>
          <w:rFonts w:hint="eastAsia" w:ascii="仿宋" w:eastAsia="仿宋"/>
          <w:sz w:val="32"/>
          <w:szCs w:val="32"/>
        </w:rPr>
        <w:t>万元，占</w:t>
      </w:r>
      <w:r>
        <w:rPr>
          <w:rFonts w:hint="eastAsia" w:ascii="仿宋" w:eastAsia="仿宋"/>
          <w:sz w:val="32"/>
          <w:szCs w:val="32"/>
          <w:lang w:val="en-US" w:eastAsia="zh-CN"/>
        </w:rPr>
        <w:t>69.67</w:t>
      </w:r>
      <w:r>
        <w:rPr>
          <w:rFonts w:ascii="仿宋" w:eastAsia="仿宋"/>
          <w:sz w:val="32"/>
          <w:szCs w:val="32"/>
        </w:rPr>
        <w:t>%</w:t>
      </w:r>
      <w:r>
        <w:rPr>
          <w:rFonts w:hint="eastAsia" w:ascii="仿宋" w:eastAsia="仿宋"/>
          <w:sz w:val="32"/>
          <w:szCs w:val="32"/>
        </w:rPr>
        <w:t>；项目支出</w:t>
      </w:r>
      <w:r>
        <w:rPr>
          <w:rFonts w:hint="eastAsia" w:ascii="仿宋" w:eastAsia="仿宋"/>
          <w:sz w:val="32"/>
          <w:szCs w:val="32"/>
          <w:lang w:val="en-US" w:eastAsia="zh-CN"/>
        </w:rPr>
        <w:t>202.52</w:t>
      </w:r>
      <w:r>
        <w:rPr>
          <w:rFonts w:hint="eastAsia" w:ascii="仿宋" w:eastAsia="仿宋"/>
          <w:sz w:val="32"/>
          <w:szCs w:val="32"/>
        </w:rPr>
        <w:t>万元，占</w:t>
      </w:r>
      <w:r>
        <w:rPr>
          <w:rFonts w:hint="eastAsia" w:ascii="仿宋" w:eastAsia="仿宋"/>
          <w:sz w:val="32"/>
          <w:szCs w:val="32"/>
          <w:lang w:val="en-US" w:eastAsia="zh-CN"/>
        </w:rPr>
        <w:t>30.33</w:t>
      </w:r>
      <w:r>
        <w:rPr>
          <w:rFonts w:ascii="仿宋" w:eastAsia="仿宋"/>
          <w:sz w:val="32"/>
          <w:szCs w:val="32"/>
        </w:rPr>
        <w:t>%</w:t>
      </w:r>
      <w:r>
        <w:rPr>
          <w:rFonts w:hint="eastAsia" w:ascii="仿宋" w:eastAsia="仿宋"/>
          <w:sz w:val="32"/>
          <w:szCs w:val="32"/>
        </w:rPr>
        <w:t>；上缴上级支出</w:t>
      </w:r>
      <w:r>
        <w:rPr>
          <w:rFonts w:hint="eastAsia" w:ascii="仿宋" w:eastAsia="仿宋"/>
          <w:sz w:val="32"/>
          <w:szCs w:val="32"/>
          <w:lang w:val="en-US" w:eastAsia="zh-CN"/>
        </w:rPr>
        <w:t>0</w:t>
      </w:r>
      <w:r>
        <w:rPr>
          <w:rFonts w:hint="eastAsia" w:ascii="仿宋" w:eastAsia="仿宋"/>
          <w:sz w:val="32"/>
          <w:szCs w:val="32"/>
        </w:rPr>
        <w:t>万元，占</w:t>
      </w:r>
      <w:r>
        <w:rPr>
          <w:rFonts w:hint="eastAsia" w:ascii="仿宋" w:eastAsia="仿宋"/>
          <w:sz w:val="32"/>
          <w:szCs w:val="32"/>
          <w:lang w:val="en-US" w:eastAsia="zh-CN"/>
        </w:rPr>
        <w:t>0</w:t>
      </w:r>
      <w:r>
        <w:rPr>
          <w:rFonts w:ascii="仿宋" w:eastAsia="仿宋"/>
          <w:sz w:val="32"/>
          <w:szCs w:val="32"/>
        </w:rPr>
        <w:t>%</w:t>
      </w:r>
      <w:r>
        <w:rPr>
          <w:rFonts w:hint="eastAsia" w:ascii="仿宋" w:eastAsia="仿宋"/>
          <w:sz w:val="32"/>
          <w:szCs w:val="32"/>
        </w:rPr>
        <w:t>；经营支出</w:t>
      </w:r>
      <w:r>
        <w:rPr>
          <w:rFonts w:hint="eastAsia" w:ascii="仿宋" w:eastAsia="仿宋"/>
          <w:sz w:val="32"/>
          <w:szCs w:val="32"/>
          <w:lang w:val="en-US" w:eastAsia="zh-CN"/>
        </w:rPr>
        <w:t>0</w:t>
      </w:r>
      <w:r>
        <w:rPr>
          <w:rFonts w:hint="eastAsia" w:ascii="仿宋" w:eastAsia="仿宋"/>
          <w:sz w:val="32"/>
          <w:szCs w:val="32"/>
        </w:rPr>
        <w:t>万元，占</w:t>
      </w:r>
      <w:r>
        <w:rPr>
          <w:rFonts w:hint="eastAsia" w:ascii="仿宋" w:eastAsia="仿宋"/>
          <w:sz w:val="32"/>
          <w:szCs w:val="32"/>
          <w:lang w:val="en-US" w:eastAsia="zh-CN"/>
        </w:rPr>
        <w:t>0</w:t>
      </w:r>
      <w:r>
        <w:rPr>
          <w:rFonts w:ascii="仿宋" w:eastAsia="仿宋"/>
          <w:sz w:val="32"/>
          <w:szCs w:val="32"/>
        </w:rPr>
        <w:t>%</w:t>
      </w:r>
      <w:r>
        <w:rPr>
          <w:rFonts w:hint="eastAsia" w:ascii="仿宋" w:eastAsia="仿宋"/>
          <w:sz w:val="32"/>
          <w:szCs w:val="32"/>
        </w:rPr>
        <w:t>；对附属单位补助支出</w:t>
      </w:r>
      <w:r>
        <w:rPr>
          <w:rFonts w:hint="eastAsia" w:ascii="仿宋" w:eastAsia="仿宋"/>
          <w:sz w:val="32"/>
          <w:szCs w:val="32"/>
          <w:lang w:val="en-US" w:eastAsia="zh-CN"/>
        </w:rPr>
        <w:t>0</w:t>
      </w:r>
      <w:r>
        <w:rPr>
          <w:rFonts w:hint="eastAsia" w:ascii="仿宋" w:eastAsia="仿宋"/>
          <w:sz w:val="32"/>
          <w:szCs w:val="32"/>
        </w:rPr>
        <w:t>万元，占</w:t>
      </w:r>
      <w:r>
        <w:rPr>
          <w:rFonts w:hint="eastAsia" w:ascii="仿宋" w:eastAsia="仿宋"/>
          <w:sz w:val="32"/>
          <w:szCs w:val="32"/>
          <w:lang w:val="en-US" w:eastAsia="zh-CN"/>
        </w:rPr>
        <w:t>0</w:t>
      </w:r>
      <w:r>
        <w:rPr>
          <w:rFonts w:ascii="仿宋" w:eastAsia="仿宋"/>
          <w:sz w:val="32"/>
          <w:szCs w:val="32"/>
        </w:rPr>
        <w:t>%</w:t>
      </w:r>
      <w:r>
        <w:rPr>
          <w:rFonts w:hint="eastAsia" w:ascii="仿宋" w:eastAsia="仿宋"/>
          <w:sz w:val="32"/>
          <w:szCs w:val="32"/>
        </w:rPr>
        <w:t>。</w:t>
      </w:r>
      <w:bookmarkEnd w:id="61"/>
      <w:bookmarkEnd w:id="62"/>
    </w:p>
    <w:p w14:paraId="60217F85">
      <w:pPr>
        <w:spacing w:line="600" w:lineRule="exact"/>
        <w:ind w:firstLine="643" w:firstLineChars="200"/>
        <w:outlineLvl w:val="1"/>
        <w:rPr>
          <w:rFonts w:ascii="仿宋" w:eastAsia="仿宋"/>
          <w:b/>
          <w:sz w:val="32"/>
          <w:szCs w:val="32"/>
        </w:rPr>
      </w:pPr>
      <w:bookmarkStart w:id="63" w:name="_Toc25209"/>
      <w:bookmarkStart w:id="64" w:name="_Toc17607"/>
      <w:r>
        <w:rPr>
          <w:rFonts w:hint="eastAsia" w:ascii="仿宋" w:eastAsia="仿宋"/>
          <w:b/>
          <w:sz w:val="32"/>
          <w:szCs w:val="32"/>
        </w:rPr>
        <w:t>（注：数据来源于财决</w:t>
      </w:r>
      <w:r>
        <w:rPr>
          <w:rFonts w:ascii="仿宋" w:eastAsia="仿宋"/>
          <w:b/>
          <w:sz w:val="32"/>
          <w:szCs w:val="32"/>
        </w:rPr>
        <w:t>04</w:t>
      </w:r>
      <w:r>
        <w:rPr>
          <w:rFonts w:hint="eastAsia" w:ascii="仿宋" w:eastAsia="仿宋"/>
          <w:b/>
          <w:sz w:val="32"/>
          <w:szCs w:val="32"/>
        </w:rPr>
        <w:t>表，仅罗列本部门涉及的支出。）</w:t>
      </w:r>
      <w:bookmarkEnd w:id="63"/>
      <w:bookmarkEnd w:id="64"/>
    </w:p>
    <w:p w14:paraId="41B2FF29">
      <w:pPr>
        <w:spacing w:line="600" w:lineRule="exact"/>
        <w:ind w:firstLine="640"/>
        <w:rPr>
          <w:rFonts w:ascii="仿宋" w:eastAsia="仿宋"/>
          <w:sz w:val="32"/>
          <w:szCs w:val="32"/>
          <w:shd w:val="pct10" w:color="auto" w:fill="FFFFFF"/>
        </w:rPr>
      </w:pPr>
    </w:p>
    <w:p w14:paraId="72408E2A">
      <w:pPr>
        <w:pStyle w:val="2"/>
        <w:rPr>
          <w:rFonts w:ascii="仿宋" w:eastAsia="仿宋"/>
          <w:sz w:val="32"/>
          <w:szCs w:val="32"/>
          <w:shd w:val="pct10" w:color="auto" w:fill="FFFFFF"/>
        </w:rPr>
      </w:pPr>
    </w:p>
    <w:p w14:paraId="78EB95AB">
      <w:pPr>
        <w:pStyle w:val="2"/>
        <w:rPr>
          <w:rFonts w:ascii="仿宋" w:eastAsia="仿宋"/>
          <w:sz w:val="32"/>
          <w:szCs w:val="32"/>
          <w:shd w:val="pct10" w:color="auto" w:fill="FFFFFF"/>
        </w:rPr>
      </w:pPr>
    </w:p>
    <w:p w14:paraId="03E69CA5">
      <w:pPr>
        <w:pStyle w:val="2"/>
        <w:rPr>
          <w:rFonts w:ascii="仿宋" w:eastAsia="仿宋"/>
          <w:sz w:val="32"/>
          <w:szCs w:val="32"/>
          <w:shd w:val="pct10" w:color="auto" w:fill="FFFFFF"/>
        </w:rPr>
      </w:pPr>
    </w:p>
    <w:p w14:paraId="4252F314">
      <w:pPr>
        <w:pStyle w:val="2"/>
        <w:rPr>
          <w:rFonts w:ascii="仿宋" w:eastAsia="仿宋"/>
          <w:sz w:val="32"/>
          <w:szCs w:val="32"/>
          <w:shd w:val="pct10" w:color="auto" w:fill="FFFFFF"/>
        </w:rPr>
      </w:pPr>
    </w:p>
    <w:p w14:paraId="6DFC7B79">
      <w:pPr>
        <w:pStyle w:val="2"/>
        <w:rPr>
          <w:rFonts w:ascii="仿宋" w:eastAsia="仿宋"/>
          <w:sz w:val="32"/>
          <w:szCs w:val="32"/>
          <w:shd w:val="pct10" w:color="auto" w:fill="FFFFFF"/>
        </w:rPr>
      </w:pPr>
      <w:r>
        <w:rPr>
          <w:rFonts w:hint="eastAsia" w:ascii="仿宋" w:eastAsia="仿宋"/>
          <w:sz w:val="32"/>
          <w:szCs w:val="32"/>
          <w:shd w:val="pct10" w:color="auto" w:fill="FFFFFF"/>
          <w:lang w:eastAsia="zh-CN"/>
        </w:rPr>
        <w:drawing>
          <wp:anchor distT="0" distB="0" distL="114300" distR="114300" simplePos="0" relativeHeight="251661312" behindDoc="0" locked="0" layoutInCell="1" allowOverlap="1">
            <wp:simplePos x="0" y="0"/>
            <wp:positionH relativeFrom="column">
              <wp:posOffset>504190</wp:posOffset>
            </wp:positionH>
            <wp:positionV relativeFrom="paragraph">
              <wp:posOffset>237490</wp:posOffset>
            </wp:positionV>
            <wp:extent cx="4584065" cy="2755265"/>
            <wp:effectExtent l="0" t="0" r="6985" b="6985"/>
            <wp:wrapSquare wrapText="bothSides"/>
            <wp:docPr id="6"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
                    <pic:cNvPicPr>
                      <a:picLocks noChangeAspect="1"/>
                    </pic:cNvPicPr>
                  </pic:nvPicPr>
                  <pic:blipFill>
                    <a:blip r:embed="rId8"/>
                    <a:stretch>
                      <a:fillRect/>
                    </a:stretch>
                  </pic:blipFill>
                  <pic:spPr>
                    <a:xfrm>
                      <a:off x="0" y="0"/>
                      <a:ext cx="4584065" cy="2755265"/>
                    </a:xfrm>
                    <a:prstGeom prst="rect">
                      <a:avLst/>
                    </a:prstGeom>
                  </pic:spPr>
                </pic:pic>
              </a:graphicData>
            </a:graphic>
          </wp:anchor>
        </w:drawing>
      </w:r>
    </w:p>
    <w:p w14:paraId="6BE1867F">
      <w:pPr>
        <w:pStyle w:val="2"/>
        <w:rPr>
          <w:rFonts w:ascii="仿宋" w:eastAsia="仿宋"/>
          <w:sz w:val="32"/>
          <w:szCs w:val="32"/>
          <w:shd w:val="pct10" w:color="auto" w:fill="FFFFFF"/>
        </w:rPr>
      </w:pPr>
    </w:p>
    <w:p w14:paraId="2B7F43C1">
      <w:pPr>
        <w:pStyle w:val="2"/>
        <w:rPr>
          <w:rFonts w:ascii="仿宋" w:eastAsia="仿宋"/>
          <w:sz w:val="32"/>
          <w:szCs w:val="32"/>
          <w:shd w:val="pct10" w:color="auto" w:fill="FFFFFF"/>
        </w:rPr>
      </w:pPr>
    </w:p>
    <w:p w14:paraId="47C7517B">
      <w:pPr>
        <w:pStyle w:val="2"/>
        <w:rPr>
          <w:rFonts w:ascii="仿宋" w:eastAsia="仿宋"/>
          <w:sz w:val="32"/>
          <w:szCs w:val="32"/>
          <w:shd w:val="pct10" w:color="auto" w:fill="FFFFFF"/>
        </w:rPr>
      </w:pPr>
    </w:p>
    <w:p w14:paraId="1BA04320">
      <w:pPr>
        <w:pStyle w:val="2"/>
        <w:rPr>
          <w:rFonts w:ascii="仿宋" w:eastAsia="仿宋"/>
          <w:sz w:val="32"/>
          <w:szCs w:val="32"/>
          <w:shd w:val="pct10" w:color="auto" w:fill="FFFFFF"/>
        </w:rPr>
      </w:pPr>
    </w:p>
    <w:p w14:paraId="087284BB">
      <w:pPr>
        <w:pStyle w:val="2"/>
        <w:rPr>
          <w:rFonts w:ascii="仿宋" w:eastAsia="仿宋"/>
          <w:sz w:val="32"/>
          <w:szCs w:val="32"/>
          <w:shd w:val="pct10" w:color="auto" w:fill="FFFFFF"/>
        </w:rPr>
      </w:pPr>
    </w:p>
    <w:p w14:paraId="16B537FD">
      <w:pPr>
        <w:pStyle w:val="2"/>
        <w:rPr>
          <w:rFonts w:ascii="仿宋" w:eastAsia="仿宋"/>
          <w:sz w:val="32"/>
          <w:szCs w:val="32"/>
          <w:shd w:val="pct10" w:color="auto" w:fill="FFFFFF"/>
        </w:rPr>
      </w:pPr>
    </w:p>
    <w:p w14:paraId="7E3C643A">
      <w:pPr>
        <w:pStyle w:val="2"/>
        <w:rPr>
          <w:rFonts w:hint="eastAsia" w:ascii="仿宋" w:eastAsia="仿宋"/>
          <w:sz w:val="32"/>
          <w:szCs w:val="32"/>
          <w:shd w:val="pct10" w:color="auto" w:fill="FFFFFF"/>
          <w:lang w:eastAsia="zh-CN"/>
        </w:rPr>
      </w:pPr>
    </w:p>
    <w:p w14:paraId="51F0CA4E">
      <w:pPr>
        <w:spacing w:line="600" w:lineRule="exact"/>
        <w:ind w:firstLine="640" w:firstLineChars="200"/>
        <w:rPr>
          <w:rFonts w:ascii="仿宋" w:eastAsia="仿宋"/>
          <w:sz w:val="32"/>
          <w:szCs w:val="32"/>
        </w:rPr>
      </w:pPr>
      <w:r>
        <w:rPr>
          <w:rFonts w:hint="eastAsia" w:ascii="仿宋" w:eastAsia="仿宋"/>
          <w:sz w:val="32"/>
          <w:szCs w:val="32"/>
        </w:rPr>
        <w:t>（图3：支出决算结构图）（饼状图）</w:t>
      </w:r>
    </w:p>
    <w:p w14:paraId="30F16D32">
      <w:pPr>
        <w:spacing w:line="600" w:lineRule="exact"/>
        <w:ind w:firstLine="640" w:firstLineChars="200"/>
        <w:rPr>
          <w:rFonts w:ascii="仿宋_GB2312" w:eastAsia="仿宋_GB2312"/>
          <w:sz w:val="32"/>
          <w:szCs w:val="32"/>
        </w:rPr>
      </w:pPr>
    </w:p>
    <w:p w14:paraId="7EB7808E">
      <w:pPr>
        <w:spacing w:line="600" w:lineRule="exact"/>
        <w:ind w:firstLine="640" w:firstLineChars="200"/>
        <w:outlineLvl w:val="1"/>
        <w:rPr>
          <w:rStyle w:val="19"/>
          <w:rFonts w:ascii="黑体" w:eastAsia="黑体"/>
          <w:b w:val="0"/>
        </w:rPr>
      </w:pPr>
      <w:bookmarkStart w:id="65" w:name="_Toc15377208"/>
      <w:bookmarkStart w:id="66" w:name="_Toc15396606"/>
      <w:bookmarkStart w:id="67" w:name="_Toc6680"/>
      <w:r>
        <w:rPr>
          <w:rFonts w:hint="eastAsia" w:ascii="黑体" w:eastAsia="黑体"/>
          <w:sz w:val="32"/>
          <w:szCs w:val="32"/>
        </w:rPr>
        <w:t>四、财</w:t>
      </w:r>
      <w:r>
        <w:rPr>
          <w:rStyle w:val="19"/>
          <w:rFonts w:hint="eastAsia" w:ascii="黑体" w:eastAsia="黑体"/>
          <w:b w:val="0"/>
        </w:rPr>
        <w:t>政拨款收入支出决算总体情况说明</w:t>
      </w:r>
      <w:bookmarkEnd w:id="65"/>
      <w:bookmarkEnd w:id="66"/>
      <w:bookmarkEnd w:id="67"/>
    </w:p>
    <w:p w14:paraId="71939F2F">
      <w:pPr>
        <w:spacing w:line="600" w:lineRule="exact"/>
        <w:ind w:firstLine="640"/>
        <w:rPr>
          <w:rFonts w:ascii="仿宋" w:eastAsia="仿宋"/>
          <w:b/>
          <w:sz w:val="32"/>
          <w:szCs w:val="32"/>
        </w:rPr>
      </w:pPr>
      <w:r>
        <w:rPr>
          <w:rFonts w:ascii="仿宋" w:eastAsia="仿宋"/>
          <w:sz w:val="32"/>
          <w:szCs w:val="32"/>
        </w:rPr>
        <w:t>20</w:t>
      </w:r>
      <w:r>
        <w:rPr>
          <w:rFonts w:hint="eastAsia" w:ascii="仿宋" w:eastAsia="仿宋"/>
          <w:sz w:val="32"/>
          <w:szCs w:val="32"/>
        </w:rPr>
        <w:t>21年财政拨款收、支总计</w:t>
      </w:r>
      <w:r>
        <w:rPr>
          <w:rFonts w:hint="eastAsia" w:ascii="仿宋" w:eastAsia="仿宋"/>
          <w:sz w:val="32"/>
          <w:szCs w:val="32"/>
          <w:lang w:val="en-US" w:eastAsia="zh-CN"/>
        </w:rPr>
        <w:t>667.64</w:t>
      </w:r>
      <w:r>
        <w:rPr>
          <w:rFonts w:hint="eastAsia" w:ascii="仿宋" w:eastAsia="仿宋"/>
          <w:sz w:val="32"/>
          <w:szCs w:val="32"/>
        </w:rPr>
        <w:t>万元。与</w:t>
      </w:r>
      <w:r>
        <w:rPr>
          <w:rFonts w:ascii="仿宋" w:eastAsia="仿宋"/>
          <w:sz w:val="32"/>
          <w:szCs w:val="32"/>
        </w:rPr>
        <w:t>20</w:t>
      </w:r>
      <w:r>
        <w:rPr>
          <w:rFonts w:hint="eastAsia" w:ascii="仿宋" w:eastAsia="仿宋"/>
          <w:sz w:val="32"/>
          <w:szCs w:val="32"/>
        </w:rPr>
        <w:t>20年相比，财政拨款收、支总计各增加</w:t>
      </w:r>
      <w:r>
        <w:rPr>
          <w:rFonts w:hint="eastAsia" w:ascii="仿宋" w:eastAsia="仿宋"/>
          <w:sz w:val="32"/>
          <w:szCs w:val="32"/>
          <w:lang w:val="en-US" w:eastAsia="zh-CN"/>
        </w:rPr>
        <w:t>8.87</w:t>
      </w:r>
      <w:r>
        <w:rPr>
          <w:rFonts w:hint="eastAsia" w:ascii="仿宋" w:eastAsia="仿宋"/>
          <w:sz w:val="32"/>
          <w:szCs w:val="32"/>
        </w:rPr>
        <w:t>万元，增长</w:t>
      </w:r>
      <w:r>
        <w:rPr>
          <w:rFonts w:hint="eastAsia" w:ascii="仿宋" w:eastAsia="仿宋"/>
          <w:sz w:val="32"/>
          <w:szCs w:val="32"/>
          <w:lang w:val="en-US" w:eastAsia="zh-CN"/>
        </w:rPr>
        <w:t>1.35</w:t>
      </w:r>
      <w:r>
        <w:rPr>
          <w:rFonts w:ascii="仿宋" w:eastAsia="仿宋"/>
          <w:sz w:val="32"/>
          <w:szCs w:val="32"/>
        </w:rPr>
        <w:t>%</w:t>
      </w:r>
      <w:r>
        <w:rPr>
          <w:rFonts w:hint="eastAsia" w:ascii="仿宋" w:eastAsia="仿宋"/>
          <w:sz w:val="32"/>
          <w:szCs w:val="32"/>
        </w:rPr>
        <w:t>。</w:t>
      </w:r>
      <w:r>
        <w:rPr>
          <w:rFonts w:hint="eastAsia" w:ascii="仿宋" w:eastAsia="仿宋"/>
          <w:b/>
          <w:sz w:val="32"/>
          <w:szCs w:val="32"/>
        </w:rPr>
        <w:t>（注：数据来源于财决</w:t>
      </w:r>
      <w:r>
        <w:rPr>
          <w:rFonts w:ascii="仿宋" w:eastAsia="仿宋"/>
          <w:b/>
          <w:sz w:val="32"/>
          <w:szCs w:val="32"/>
        </w:rPr>
        <w:t>01-1</w:t>
      </w:r>
      <w:r>
        <w:rPr>
          <w:rFonts w:hint="eastAsia" w:ascii="仿宋" w:eastAsia="仿宋"/>
          <w:b/>
          <w:sz w:val="32"/>
          <w:szCs w:val="32"/>
        </w:rPr>
        <w:t>表</w:t>
      </w:r>
      <w:r>
        <w:rPr>
          <w:rFonts w:ascii="仿宋" w:eastAsia="仿宋"/>
          <w:b/>
          <w:sz w:val="32"/>
          <w:szCs w:val="32"/>
        </w:rPr>
        <w:t>）</w:t>
      </w:r>
    </w:p>
    <w:p w14:paraId="4AE6CF4D">
      <w:pPr>
        <w:spacing w:line="600" w:lineRule="exact"/>
        <w:rPr>
          <w:rFonts w:ascii="仿宋" w:eastAsia="仿宋"/>
          <w:sz w:val="32"/>
          <w:szCs w:val="32"/>
        </w:rPr>
      </w:pPr>
    </w:p>
    <w:p w14:paraId="7843C7DF">
      <w:pPr>
        <w:pStyle w:val="2"/>
        <w:rPr>
          <w:rFonts w:ascii="仿宋" w:eastAsia="仿宋"/>
          <w:sz w:val="32"/>
          <w:szCs w:val="32"/>
        </w:rPr>
      </w:pPr>
    </w:p>
    <w:p w14:paraId="51ED2A83">
      <w:pPr>
        <w:pStyle w:val="2"/>
        <w:rPr>
          <w:rFonts w:ascii="仿宋" w:eastAsia="仿宋"/>
          <w:sz w:val="32"/>
          <w:szCs w:val="32"/>
        </w:rPr>
      </w:pPr>
    </w:p>
    <w:p w14:paraId="0F7CA40B">
      <w:pPr>
        <w:pStyle w:val="2"/>
        <w:rPr>
          <w:rFonts w:ascii="仿宋" w:eastAsia="仿宋"/>
          <w:sz w:val="32"/>
          <w:szCs w:val="32"/>
        </w:rPr>
      </w:pPr>
    </w:p>
    <w:p w14:paraId="476C04A2">
      <w:pPr>
        <w:pStyle w:val="2"/>
        <w:rPr>
          <w:rFonts w:ascii="仿宋" w:eastAsia="仿宋"/>
          <w:sz w:val="32"/>
          <w:szCs w:val="32"/>
        </w:rPr>
      </w:pPr>
    </w:p>
    <w:p w14:paraId="2969C519">
      <w:pPr>
        <w:pStyle w:val="2"/>
        <w:ind w:left="0" w:leftChars="0" w:firstLine="0" w:firstLineChars="0"/>
        <w:rPr>
          <w:rFonts w:ascii="仿宋" w:eastAsia="仿宋"/>
          <w:sz w:val="32"/>
          <w:szCs w:val="32"/>
        </w:rPr>
      </w:pPr>
    </w:p>
    <w:p w14:paraId="1E793719">
      <w:pPr>
        <w:pStyle w:val="2"/>
        <w:rPr>
          <w:rFonts w:ascii="仿宋" w:eastAsia="仿宋"/>
          <w:sz w:val="32"/>
          <w:szCs w:val="32"/>
        </w:rPr>
      </w:pPr>
      <w:r>
        <w:rPr>
          <w:rFonts w:hint="eastAsia" w:ascii="仿宋" w:eastAsia="仿宋"/>
          <w:sz w:val="32"/>
          <w:szCs w:val="32"/>
          <w:lang w:eastAsia="zh-CN"/>
        </w:rPr>
        <w:drawing>
          <wp:anchor distT="0" distB="0" distL="114300" distR="114300" simplePos="0" relativeHeight="251662336" behindDoc="0" locked="0" layoutInCell="1" allowOverlap="1">
            <wp:simplePos x="0" y="0"/>
            <wp:positionH relativeFrom="column">
              <wp:posOffset>722630</wp:posOffset>
            </wp:positionH>
            <wp:positionV relativeFrom="paragraph">
              <wp:posOffset>237490</wp:posOffset>
            </wp:positionV>
            <wp:extent cx="4584065" cy="2755265"/>
            <wp:effectExtent l="0" t="0" r="6985" b="6985"/>
            <wp:wrapSquare wrapText="bothSides"/>
            <wp:docPr id="7" name="图片 7"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1"/>
                    <pic:cNvPicPr>
                      <a:picLocks noChangeAspect="1"/>
                    </pic:cNvPicPr>
                  </pic:nvPicPr>
                  <pic:blipFill>
                    <a:blip r:embed="rId9"/>
                    <a:stretch>
                      <a:fillRect/>
                    </a:stretch>
                  </pic:blipFill>
                  <pic:spPr>
                    <a:xfrm>
                      <a:off x="0" y="0"/>
                      <a:ext cx="4584065" cy="2755265"/>
                    </a:xfrm>
                    <a:prstGeom prst="rect">
                      <a:avLst/>
                    </a:prstGeom>
                  </pic:spPr>
                </pic:pic>
              </a:graphicData>
            </a:graphic>
          </wp:anchor>
        </w:drawing>
      </w:r>
    </w:p>
    <w:p w14:paraId="4759519D">
      <w:pPr>
        <w:spacing w:line="600" w:lineRule="exact"/>
        <w:ind w:firstLine="640" w:firstLineChars="200"/>
        <w:rPr>
          <w:rFonts w:ascii="仿宋" w:eastAsia="仿宋"/>
          <w:b/>
          <w:sz w:val="32"/>
          <w:szCs w:val="32"/>
        </w:rPr>
      </w:pPr>
      <w:r>
        <w:rPr>
          <w:rFonts w:hint="eastAsia" w:ascii="仿宋" w:eastAsia="仿宋"/>
          <w:sz w:val="32"/>
          <w:szCs w:val="32"/>
        </w:rPr>
        <w:t>（图4：财政拨款收、支决算总计变动情况）（柱状图）</w:t>
      </w:r>
    </w:p>
    <w:p w14:paraId="1B65A243">
      <w:pPr>
        <w:spacing w:line="600" w:lineRule="exact"/>
        <w:ind w:firstLine="640" w:firstLineChars="200"/>
        <w:outlineLvl w:val="1"/>
        <w:rPr>
          <w:rStyle w:val="19"/>
          <w:rFonts w:ascii="黑体" w:eastAsia="黑体"/>
          <w:b w:val="0"/>
        </w:rPr>
      </w:pPr>
      <w:bookmarkStart w:id="68" w:name="_Toc15396607"/>
      <w:bookmarkStart w:id="69" w:name="_Toc6197"/>
      <w:bookmarkStart w:id="70" w:name="_Toc15377209"/>
      <w:r>
        <w:rPr>
          <w:rFonts w:hint="eastAsia" w:ascii="黑体" w:eastAsia="黑体"/>
          <w:sz w:val="32"/>
          <w:szCs w:val="32"/>
        </w:rPr>
        <w:t>五、</w:t>
      </w:r>
      <w:r>
        <w:rPr>
          <w:rFonts w:hint="eastAsia" w:ascii="黑体" w:eastAsia="黑体"/>
          <w:b/>
          <w:sz w:val="32"/>
          <w:szCs w:val="32"/>
        </w:rPr>
        <w:t>一</w:t>
      </w:r>
      <w:r>
        <w:rPr>
          <w:rStyle w:val="19"/>
          <w:rFonts w:hint="eastAsia" w:ascii="黑体" w:eastAsia="黑体"/>
          <w:b w:val="0"/>
        </w:rPr>
        <w:t>般公共预算财政拨款支出决算情况说明</w:t>
      </w:r>
      <w:bookmarkEnd w:id="68"/>
      <w:bookmarkEnd w:id="69"/>
      <w:bookmarkEnd w:id="70"/>
    </w:p>
    <w:p w14:paraId="71528C1D">
      <w:pPr>
        <w:spacing w:line="600" w:lineRule="exact"/>
        <w:ind w:firstLine="643" w:firstLineChars="200"/>
        <w:outlineLvl w:val="2"/>
        <w:rPr>
          <w:rFonts w:ascii="仿宋" w:eastAsia="仿宋"/>
          <w:b/>
          <w:sz w:val="32"/>
          <w:szCs w:val="32"/>
        </w:rPr>
      </w:pPr>
      <w:bookmarkStart w:id="71" w:name="_Toc15377210"/>
      <w:r>
        <w:rPr>
          <w:rFonts w:hint="eastAsia" w:ascii="仿宋" w:eastAsia="仿宋"/>
          <w:b/>
          <w:sz w:val="32"/>
          <w:szCs w:val="32"/>
        </w:rPr>
        <w:t>（一）一般公共预算财政拨款支出决算总体情况</w:t>
      </w:r>
      <w:bookmarkEnd w:id="71"/>
    </w:p>
    <w:p w14:paraId="2CA27E5D">
      <w:pPr>
        <w:spacing w:line="600" w:lineRule="exact"/>
        <w:ind w:firstLine="640" w:firstLineChars="200"/>
        <w:rPr>
          <w:rFonts w:ascii="仿宋" w:eastAsia="仿宋"/>
          <w:sz w:val="32"/>
          <w:szCs w:val="32"/>
        </w:rPr>
      </w:pPr>
      <w:r>
        <w:rPr>
          <w:rFonts w:ascii="仿宋" w:eastAsia="仿宋"/>
          <w:sz w:val="32"/>
          <w:szCs w:val="32"/>
        </w:rPr>
        <w:t>20</w:t>
      </w:r>
      <w:r>
        <w:rPr>
          <w:rFonts w:hint="eastAsia" w:ascii="仿宋" w:eastAsia="仿宋"/>
          <w:sz w:val="32"/>
          <w:szCs w:val="32"/>
        </w:rPr>
        <w:t>21年一般公共预算财政拨款支出</w:t>
      </w:r>
      <w:r>
        <w:rPr>
          <w:rFonts w:hint="eastAsia" w:ascii="仿宋" w:eastAsia="仿宋"/>
          <w:sz w:val="32"/>
          <w:szCs w:val="32"/>
          <w:lang w:val="en-US" w:eastAsia="zh-CN"/>
        </w:rPr>
        <w:t>667.64</w:t>
      </w:r>
      <w:r>
        <w:rPr>
          <w:rFonts w:hint="eastAsia" w:ascii="仿宋" w:eastAsia="仿宋"/>
          <w:sz w:val="32"/>
          <w:szCs w:val="32"/>
        </w:rPr>
        <w:t>万元，占本年支出合计的</w:t>
      </w:r>
      <w:r>
        <w:rPr>
          <w:rFonts w:hint="eastAsia" w:ascii="仿宋" w:eastAsia="仿宋"/>
          <w:sz w:val="32"/>
          <w:szCs w:val="32"/>
          <w:lang w:val="en-US" w:eastAsia="zh-CN"/>
        </w:rPr>
        <w:t>100</w:t>
      </w:r>
      <w:r>
        <w:rPr>
          <w:rFonts w:ascii="仿宋" w:eastAsia="仿宋"/>
          <w:sz w:val="32"/>
          <w:szCs w:val="32"/>
        </w:rPr>
        <w:t>%</w:t>
      </w:r>
      <w:r>
        <w:rPr>
          <w:rFonts w:hint="eastAsia" w:ascii="仿宋" w:eastAsia="仿宋"/>
          <w:sz w:val="32"/>
          <w:szCs w:val="32"/>
        </w:rPr>
        <w:t>。与</w:t>
      </w:r>
      <w:r>
        <w:rPr>
          <w:rFonts w:ascii="仿宋" w:eastAsia="仿宋"/>
          <w:sz w:val="32"/>
          <w:szCs w:val="32"/>
        </w:rPr>
        <w:t>20</w:t>
      </w:r>
      <w:r>
        <w:rPr>
          <w:rFonts w:hint="eastAsia" w:ascii="仿宋" w:eastAsia="仿宋"/>
          <w:sz w:val="32"/>
          <w:szCs w:val="32"/>
        </w:rPr>
        <w:t>20年相比，一般公共预算财政拨款支出增加</w:t>
      </w:r>
      <w:r>
        <w:rPr>
          <w:rFonts w:hint="eastAsia" w:ascii="仿宋" w:eastAsia="仿宋"/>
          <w:sz w:val="32"/>
          <w:szCs w:val="32"/>
          <w:lang w:val="en-US" w:eastAsia="zh-CN"/>
        </w:rPr>
        <w:t>8.87</w:t>
      </w:r>
      <w:r>
        <w:rPr>
          <w:rFonts w:hint="eastAsia" w:ascii="仿宋" w:eastAsia="仿宋"/>
          <w:sz w:val="32"/>
          <w:szCs w:val="32"/>
        </w:rPr>
        <w:t>万元，增长</w:t>
      </w:r>
      <w:r>
        <w:rPr>
          <w:rFonts w:hint="eastAsia" w:ascii="仿宋" w:eastAsia="仿宋"/>
          <w:sz w:val="32"/>
          <w:szCs w:val="32"/>
          <w:lang w:val="en-US" w:eastAsia="zh-CN"/>
        </w:rPr>
        <w:t>1.35</w:t>
      </w:r>
      <w:r>
        <w:rPr>
          <w:rFonts w:ascii="仿宋" w:eastAsia="仿宋"/>
          <w:sz w:val="32"/>
          <w:szCs w:val="32"/>
        </w:rPr>
        <w:t>%</w:t>
      </w:r>
      <w:r>
        <w:rPr>
          <w:rFonts w:hint="eastAsia" w:ascii="仿宋" w:eastAsia="仿宋"/>
          <w:sz w:val="32"/>
          <w:szCs w:val="32"/>
        </w:rPr>
        <w:t>。</w:t>
      </w:r>
    </w:p>
    <w:p w14:paraId="3B54A152">
      <w:pPr>
        <w:spacing w:line="600" w:lineRule="exact"/>
        <w:ind w:firstLine="640" w:firstLineChars="200"/>
        <w:rPr>
          <w:rFonts w:ascii="仿宋" w:eastAsia="仿宋"/>
          <w:sz w:val="32"/>
          <w:szCs w:val="32"/>
        </w:rPr>
      </w:pPr>
      <w:r>
        <w:rPr>
          <w:rFonts w:hint="eastAsia" w:ascii="仿宋" w:eastAsia="仿宋"/>
          <w:sz w:val="32"/>
          <w:szCs w:val="32"/>
          <w:lang w:eastAsia="zh-CN"/>
        </w:rPr>
        <w:drawing>
          <wp:anchor distT="0" distB="0" distL="114300" distR="114300" simplePos="0" relativeHeight="251663360" behindDoc="0" locked="0" layoutInCell="1" allowOverlap="1">
            <wp:simplePos x="0" y="0"/>
            <wp:positionH relativeFrom="column">
              <wp:posOffset>276225</wp:posOffset>
            </wp:positionH>
            <wp:positionV relativeFrom="paragraph">
              <wp:posOffset>207010</wp:posOffset>
            </wp:positionV>
            <wp:extent cx="4584065" cy="2755265"/>
            <wp:effectExtent l="0" t="0" r="6985" b="6985"/>
            <wp:wrapSquare wrapText="bothSides"/>
            <wp:docPr id="8" name="图片 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1"/>
                    <pic:cNvPicPr>
                      <a:picLocks noChangeAspect="1"/>
                    </pic:cNvPicPr>
                  </pic:nvPicPr>
                  <pic:blipFill>
                    <a:blip r:embed="rId10"/>
                    <a:stretch>
                      <a:fillRect/>
                    </a:stretch>
                  </pic:blipFill>
                  <pic:spPr>
                    <a:xfrm>
                      <a:off x="0" y="0"/>
                      <a:ext cx="4584065" cy="2755265"/>
                    </a:xfrm>
                    <a:prstGeom prst="rect">
                      <a:avLst/>
                    </a:prstGeom>
                  </pic:spPr>
                </pic:pic>
              </a:graphicData>
            </a:graphic>
          </wp:anchor>
        </w:drawing>
      </w:r>
    </w:p>
    <w:p w14:paraId="3E8638ED">
      <w:pPr>
        <w:pStyle w:val="2"/>
        <w:rPr>
          <w:rFonts w:ascii="仿宋" w:eastAsia="仿宋"/>
          <w:sz w:val="32"/>
          <w:szCs w:val="32"/>
        </w:rPr>
      </w:pPr>
    </w:p>
    <w:p w14:paraId="57DC1E06">
      <w:pPr>
        <w:pStyle w:val="2"/>
        <w:rPr>
          <w:rFonts w:ascii="仿宋" w:eastAsia="仿宋"/>
          <w:sz w:val="32"/>
          <w:szCs w:val="32"/>
        </w:rPr>
      </w:pPr>
    </w:p>
    <w:p w14:paraId="1DEB468C">
      <w:pPr>
        <w:pStyle w:val="2"/>
        <w:rPr>
          <w:rFonts w:ascii="仿宋" w:eastAsia="仿宋"/>
          <w:sz w:val="32"/>
          <w:szCs w:val="32"/>
        </w:rPr>
      </w:pPr>
    </w:p>
    <w:p w14:paraId="401361CA">
      <w:pPr>
        <w:pStyle w:val="2"/>
        <w:rPr>
          <w:rFonts w:ascii="仿宋" w:eastAsia="仿宋"/>
          <w:sz w:val="32"/>
          <w:szCs w:val="32"/>
        </w:rPr>
      </w:pPr>
    </w:p>
    <w:p w14:paraId="42AA25B7">
      <w:pPr>
        <w:pStyle w:val="2"/>
        <w:rPr>
          <w:rFonts w:ascii="仿宋" w:eastAsia="仿宋"/>
          <w:sz w:val="32"/>
          <w:szCs w:val="32"/>
        </w:rPr>
      </w:pPr>
    </w:p>
    <w:p w14:paraId="29ACC35A">
      <w:pPr>
        <w:pStyle w:val="2"/>
        <w:rPr>
          <w:rFonts w:hint="eastAsia" w:ascii="仿宋" w:eastAsia="仿宋"/>
          <w:sz w:val="32"/>
          <w:szCs w:val="32"/>
          <w:lang w:eastAsia="zh-CN"/>
        </w:rPr>
      </w:pPr>
    </w:p>
    <w:p w14:paraId="3EBBFB96">
      <w:pPr>
        <w:pStyle w:val="2"/>
        <w:ind w:left="0" w:leftChars="0" w:firstLine="0" w:firstLineChars="0"/>
        <w:rPr>
          <w:rFonts w:ascii="仿宋" w:eastAsia="仿宋"/>
          <w:sz w:val="32"/>
          <w:szCs w:val="32"/>
        </w:rPr>
      </w:pPr>
    </w:p>
    <w:p w14:paraId="60F33FC1">
      <w:pPr>
        <w:spacing w:line="600" w:lineRule="exact"/>
        <w:ind w:firstLine="640" w:firstLineChars="200"/>
        <w:rPr>
          <w:rFonts w:ascii="仿宋" w:eastAsia="仿宋"/>
          <w:sz w:val="32"/>
          <w:szCs w:val="32"/>
        </w:rPr>
      </w:pPr>
      <w:r>
        <w:rPr>
          <w:rFonts w:hint="eastAsia" w:ascii="仿宋" w:eastAsia="仿宋"/>
          <w:sz w:val="32"/>
          <w:szCs w:val="32"/>
        </w:rPr>
        <w:t>（图5：一般公共预算财政拨款支出决算变动情况）（柱状图）</w:t>
      </w:r>
    </w:p>
    <w:p w14:paraId="0D4BEF3B">
      <w:pPr>
        <w:spacing w:line="600" w:lineRule="exact"/>
        <w:ind w:firstLine="643" w:firstLineChars="200"/>
        <w:outlineLvl w:val="2"/>
        <w:rPr>
          <w:rFonts w:ascii="仿宋" w:eastAsia="仿宋"/>
          <w:b/>
          <w:sz w:val="32"/>
          <w:szCs w:val="32"/>
        </w:rPr>
      </w:pPr>
      <w:bookmarkStart w:id="72" w:name="_Toc15377211"/>
      <w:r>
        <w:rPr>
          <w:rFonts w:hint="eastAsia" w:ascii="仿宋" w:eastAsia="仿宋"/>
          <w:b/>
          <w:sz w:val="32"/>
          <w:szCs w:val="32"/>
        </w:rPr>
        <w:t>（二）一般公共预算财政拨款支出决算结构情况</w:t>
      </w:r>
      <w:bookmarkEnd w:id="72"/>
    </w:p>
    <w:p w14:paraId="272ADFFC">
      <w:pPr>
        <w:spacing w:line="600" w:lineRule="exact"/>
        <w:ind w:firstLine="640"/>
        <w:rPr>
          <w:rFonts w:ascii="仿宋" w:eastAsia="仿宋"/>
          <w:sz w:val="32"/>
          <w:szCs w:val="32"/>
        </w:rPr>
      </w:pPr>
      <w:r>
        <w:rPr>
          <w:rFonts w:ascii="仿宋" w:eastAsia="仿宋"/>
          <w:sz w:val="32"/>
          <w:szCs w:val="32"/>
        </w:rPr>
        <w:t>20</w:t>
      </w:r>
      <w:r>
        <w:rPr>
          <w:rFonts w:hint="eastAsia" w:ascii="仿宋" w:eastAsia="仿宋"/>
          <w:sz w:val="32"/>
          <w:szCs w:val="32"/>
        </w:rPr>
        <w:t>21年一般公共预算财政拨款支出</w:t>
      </w:r>
      <w:r>
        <w:rPr>
          <w:rFonts w:hint="eastAsia" w:ascii="仿宋" w:eastAsia="仿宋"/>
          <w:sz w:val="32"/>
          <w:szCs w:val="32"/>
          <w:lang w:val="en-US" w:eastAsia="zh-CN"/>
        </w:rPr>
        <w:t>667.64</w:t>
      </w:r>
      <w:r>
        <w:rPr>
          <w:rFonts w:hint="eastAsia" w:ascii="仿宋" w:eastAsia="仿宋"/>
          <w:sz w:val="32"/>
          <w:szCs w:val="32"/>
        </w:rPr>
        <w:t>万元，主要用于以下方面</w:t>
      </w:r>
      <w:r>
        <w:rPr>
          <w:rFonts w:ascii="仿宋" w:eastAsia="仿宋"/>
          <w:sz w:val="32"/>
          <w:szCs w:val="32"/>
        </w:rPr>
        <w:t>:</w:t>
      </w:r>
      <w:r>
        <w:rPr>
          <w:rFonts w:hint="eastAsia" w:ascii="仿宋" w:eastAsia="仿宋"/>
          <w:b/>
          <w:sz w:val="32"/>
          <w:szCs w:val="32"/>
        </w:rPr>
        <w:t>科学技术（类）</w:t>
      </w:r>
      <w:r>
        <w:rPr>
          <w:rFonts w:hint="eastAsia" w:ascii="仿宋" w:eastAsia="仿宋"/>
          <w:sz w:val="32"/>
          <w:szCs w:val="32"/>
        </w:rPr>
        <w:t>支出</w:t>
      </w:r>
      <w:r>
        <w:rPr>
          <w:rFonts w:hint="eastAsia" w:ascii="仿宋" w:eastAsia="仿宋"/>
          <w:sz w:val="32"/>
          <w:szCs w:val="32"/>
          <w:lang w:val="en-US" w:eastAsia="zh-CN"/>
        </w:rPr>
        <w:t>593.10</w:t>
      </w:r>
      <w:r>
        <w:rPr>
          <w:rFonts w:hint="eastAsia" w:ascii="仿宋" w:eastAsia="仿宋"/>
          <w:sz w:val="32"/>
          <w:szCs w:val="32"/>
        </w:rPr>
        <w:t>万元，占</w:t>
      </w:r>
      <w:r>
        <w:rPr>
          <w:rFonts w:hint="eastAsia" w:ascii="仿宋" w:eastAsia="仿宋"/>
          <w:sz w:val="32"/>
          <w:szCs w:val="32"/>
          <w:lang w:val="en-US" w:eastAsia="zh-CN"/>
        </w:rPr>
        <w:t>88.83</w:t>
      </w:r>
      <w:r>
        <w:rPr>
          <w:rFonts w:ascii="仿宋" w:eastAsia="仿宋"/>
          <w:sz w:val="32"/>
          <w:szCs w:val="32"/>
        </w:rPr>
        <w:t>%</w:t>
      </w:r>
      <w:r>
        <w:rPr>
          <w:rFonts w:hint="eastAsia" w:ascii="仿宋" w:eastAsia="仿宋"/>
          <w:sz w:val="32"/>
          <w:szCs w:val="32"/>
        </w:rPr>
        <w:t>；</w:t>
      </w:r>
      <w:r>
        <w:rPr>
          <w:rFonts w:hint="eastAsia" w:ascii="仿宋" w:eastAsia="仿宋"/>
          <w:b/>
          <w:sz w:val="32"/>
          <w:szCs w:val="32"/>
        </w:rPr>
        <w:t>社会保障和就业（类）</w:t>
      </w:r>
      <w:r>
        <w:rPr>
          <w:rFonts w:hint="eastAsia" w:ascii="仿宋" w:eastAsia="仿宋"/>
          <w:sz w:val="32"/>
          <w:szCs w:val="32"/>
        </w:rPr>
        <w:t>支出</w:t>
      </w:r>
      <w:r>
        <w:rPr>
          <w:rFonts w:hint="eastAsia" w:ascii="仿宋" w:eastAsia="仿宋"/>
          <w:sz w:val="32"/>
          <w:szCs w:val="32"/>
          <w:lang w:val="en-US" w:eastAsia="zh-CN"/>
        </w:rPr>
        <w:t>34.92</w:t>
      </w:r>
      <w:r>
        <w:rPr>
          <w:rFonts w:hint="eastAsia" w:ascii="仿宋" w:eastAsia="仿宋"/>
          <w:sz w:val="32"/>
          <w:szCs w:val="32"/>
        </w:rPr>
        <w:t>万元，占</w:t>
      </w:r>
      <w:r>
        <w:rPr>
          <w:rFonts w:hint="eastAsia" w:ascii="仿宋" w:eastAsia="仿宋"/>
          <w:sz w:val="32"/>
          <w:szCs w:val="32"/>
          <w:lang w:val="en-US" w:eastAsia="zh-CN"/>
        </w:rPr>
        <w:t>5.23</w:t>
      </w:r>
      <w:r>
        <w:rPr>
          <w:rFonts w:ascii="仿宋" w:eastAsia="仿宋"/>
          <w:sz w:val="32"/>
          <w:szCs w:val="32"/>
        </w:rPr>
        <w:t>%</w:t>
      </w:r>
      <w:r>
        <w:rPr>
          <w:rFonts w:hint="eastAsia" w:ascii="仿宋" w:eastAsia="仿宋"/>
          <w:sz w:val="32"/>
          <w:szCs w:val="32"/>
        </w:rPr>
        <w:t>；</w:t>
      </w:r>
      <w:r>
        <w:rPr>
          <w:rFonts w:hint="eastAsia" w:ascii="仿宋" w:eastAsia="仿宋"/>
          <w:b/>
          <w:bCs/>
          <w:sz w:val="32"/>
          <w:szCs w:val="32"/>
        </w:rPr>
        <w:t>卫生健康支出</w:t>
      </w:r>
      <w:r>
        <w:rPr>
          <w:rFonts w:hint="eastAsia" w:ascii="仿宋" w:eastAsia="仿宋"/>
          <w:b/>
          <w:bCs/>
          <w:sz w:val="32"/>
          <w:szCs w:val="32"/>
          <w:lang w:eastAsia="zh-CN"/>
        </w:rPr>
        <w:t>（</w:t>
      </w:r>
      <w:r>
        <w:rPr>
          <w:rFonts w:hint="eastAsia" w:ascii="仿宋" w:eastAsia="仿宋"/>
          <w:b/>
          <w:bCs/>
          <w:sz w:val="32"/>
          <w:szCs w:val="32"/>
          <w:lang w:val="en-US" w:eastAsia="zh-CN"/>
        </w:rPr>
        <w:t>类</w:t>
      </w:r>
      <w:r>
        <w:rPr>
          <w:rFonts w:hint="eastAsia" w:ascii="仿宋" w:eastAsia="仿宋"/>
          <w:b/>
          <w:bCs/>
          <w:sz w:val="32"/>
          <w:szCs w:val="32"/>
          <w:lang w:eastAsia="zh-CN"/>
        </w:rPr>
        <w:t>）</w:t>
      </w:r>
      <w:r>
        <w:rPr>
          <w:rFonts w:hint="eastAsia" w:ascii="仿宋" w:eastAsia="仿宋"/>
          <w:sz w:val="32"/>
          <w:szCs w:val="32"/>
          <w:lang w:val="en-US" w:eastAsia="zh-CN"/>
        </w:rPr>
        <w:t>16.06</w:t>
      </w:r>
      <w:r>
        <w:rPr>
          <w:rFonts w:hint="eastAsia" w:ascii="仿宋" w:eastAsia="仿宋"/>
          <w:sz w:val="32"/>
          <w:szCs w:val="32"/>
        </w:rPr>
        <w:t>万元，占</w:t>
      </w:r>
      <w:r>
        <w:rPr>
          <w:rFonts w:hint="eastAsia" w:ascii="仿宋" w:eastAsia="仿宋"/>
          <w:sz w:val="32"/>
          <w:szCs w:val="32"/>
          <w:lang w:val="en-US" w:eastAsia="zh-CN"/>
        </w:rPr>
        <w:t>2.41</w:t>
      </w:r>
      <w:r>
        <w:rPr>
          <w:rFonts w:ascii="仿宋" w:eastAsia="仿宋"/>
          <w:sz w:val="32"/>
          <w:szCs w:val="32"/>
        </w:rPr>
        <w:t>%</w:t>
      </w:r>
      <w:r>
        <w:rPr>
          <w:rFonts w:hint="eastAsia" w:ascii="仿宋" w:eastAsia="仿宋"/>
          <w:sz w:val="32"/>
          <w:szCs w:val="32"/>
        </w:rPr>
        <w:t>；</w:t>
      </w:r>
      <w:r>
        <w:rPr>
          <w:rFonts w:hint="eastAsia" w:ascii="仿宋" w:hAnsi="Times New Roman" w:eastAsia="仿宋" w:cs="Times New Roman"/>
          <w:b/>
          <w:sz w:val="32"/>
          <w:szCs w:val="32"/>
        </w:rPr>
        <w:t>住房保障支出</w:t>
      </w:r>
      <w:r>
        <w:rPr>
          <w:rFonts w:hint="eastAsia" w:ascii="仿宋" w:hAnsi="Times New Roman" w:eastAsia="仿宋" w:cs="Times New Roman"/>
          <w:b/>
          <w:sz w:val="32"/>
          <w:szCs w:val="32"/>
          <w:lang w:eastAsia="zh-CN"/>
        </w:rPr>
        <w:t>（</w:t>
      </w:r>
      <w:r>
        <w:rPr>
          <w:rFonts w:hint="eastAsia" w:ascii="仿宋" w:hAnsi="Times New Roman" w:eastAsia="仿宋" w:cs="Times New Roman"/>
          <w:b/>
          <w:sz w:val="32"/>
          <w:szCs w:val="32"/>
          <w:lang w:val="en-US" w:eastAsia="zh-CN"/>
        </w:rPr>
        <w:t>类</w:t>
      </w:r>
      <w:r>
        <w:rPr>
          <w:rFonts w:hint="eastAsia" w:ascii="仿宋" w:hAnsi="Times New Roman" w:eastAsia="仿宋" w:cs="Times New Roman"/>
          <w:b/>
          <w:sz w:val="32"/>
          <w:szCs w:val="32"/>
          <w:lang w:eastAsia="zh-CN"/>
        </w:rPr>
        <w:t>）</w:t>
      </w:r>
      <w:r>
        <w:rPr>
          <w:rFonts w:hint="eastAsia" w:ascii="仿宋" w:eastAsia="仿宋"/>
          <w:sz w:val="32"/>
          <w:szCs w:val="32"/>
          <w:lang w:val="en-US" w:eastAsia="zh-CN"/>
        </w:rPr>
        <w:t>23.56</w:t>
      </w:r>
      <w:r>
        <w:rPr>
          <w:rFonts w:hint="eastAsia" w:ascii="仿宋" w:eastAsia="仿宋"/>
          <w:sz w:val="32"/>
          <w:szCs w:val="32"/>
        </w:rPr>
        <w:t>万元，占</w:t>
      </w:r>
      <w:r>
        <w:rPr>
          <w:rFonts w:hint="eastAsia" w:ascii="仿宋" w:eastAsia="仿宋"/>
          <w:sz w:val="32"/>
          <w:szCs w:val="32"/>
          <w:lang w:val="en-US" w:eastAsia="zh-CN"/>
        </w:rPr>
        <w:t>3.53</w:t>
      </w:r>
      <w:r>
        <w:rPr>
          <w:rFonts w:ascii="仿宋" w:eastAsia="仿宋"/>
          <w:sz w:val="32"/>
          <w:szCs w:val="32"/>
        </w:rPr>
        <w:t>%</w:t>
      </w:r>
      <w:r>
        <w:rPr>
          <w:rFonts w:hint="eastAsia" w:ascii="仿宋" w:eastAsia="仿宋"/>
          <w:sz w:val="32"/>
          <w:szCs w:val="32"/>
        </w:rPr>
        <w:t>。</w:t>
      </w:r>
    </w:p>
    <w:p w14:paraId="55E6D58E">
      <w:pPr>
        <w:spacing w:line="600" w:lineRule="exact"/>
        <w:ind w:firstLine="640"/>
        <w:rPr>
          <w:rFonts w:ascii="仿宋" w:eastAsia="仿宋"/>
          <w:b/>
          <w:sz w:val="32"/>
          <w:szCs w:val="32"/>
        </w:rPr>
      </w:pPr>
      <w:r>
        <w:rPr>
          <w:rFonts w:hint="eastAsia" w:ascii="仿宋" w:eastAsia="仿宋"/>
          <w:b/>
          <w:sz w:val="32"/>
          <w:szCs w:val="32"/>
        </w:rPr>
        <w:t>（注：数据来源于财决01-1表，仅罗列本部门涉及的全部功能分类科目，至类级。）</w:t>
      </w:r>
    </w:p>
    <w:p w14:paraId="61E8FF2E">
      <w:pPr>
        <w:spacing w:line="600" w:lineRule="exact"/>
        <w:ind w:firstLine="640"/>
        <w:rPr>
          <w:rFonts w:ascii="仿宋" w:eastAsia="仿宋"/>
          <w:sz w:val="32"/>
          <w:szCs w:val="32"/>
        </w:rPr>
      </w:pPr>
      <w:r>
        <w:rPr>
          <w:rFonts w:hint="eastAsia" w:ascii="仿宋" w:eastAsia="仿宋"/>
          <w:sz w:val="32"/>
          <w:szCs w:val="32"/>
          <w:lang w:eastAsia="zh-CN"/>
        </w:rPr>
        <w:drawing>
          <wp:anchor distT="0" distB="0" distL="114300" distR="114300" simplePos="0" relativeHeight="251664384" behindDoc="0" locked="0" layoutInCell="1" allowOverlap="1">
            <wp:simplePos x="0" y="0"/>
            <wp:positionH relativeFrom="column">
              <wp:posOffset>48260</wp:posOffset>
            </wp:positionH>
            <wp:positionV relativeFrom="paragraph">
              <wp:posOffset>215900</wp:posOffset>
            </wp:positionV>
            <wp:extent cx="5242560" cy="3468370"/>
            <wp:effectExtent l="0" t="0" r="15240" b="17780"/>
            <wp:wrapSquare wrapText="bothSides"/>
            <wp:docPr id="9" name="图片 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1"/>
                    <pic:cNvPicPr>
                      <a:picLocks noChangeAspect="1"/>
                    </pic:cNvPicPr>
                  </pic:nvPicPr>
                  <pic:blipFill>
                    <a:blip r:embed="rId11"/>
                    <a:stretch>
                      <a:fillRect/>
                    </a:stretch>
                  </pic:blipFill>
                  <pic:spPr>
                    <a:xfrm>
                      <a:off x="0" y="0"/>
                      <a:ext cx="5242560" cy="3468370"/>
                    </a:xfrm>
                    <a:prstGeom prst="rect">
                      <a:avLst/>
                    </a:prstGeom>
                  </pic:spPr>
                </pic:pic>
              </a:graphicData>
            </a:graphic>
          </wp:anchor>
        </w:drawing>
      </w:r>
    </w:p>
    <w:p w14:paraId="43A2AA73">
      <w:pPr>
        <w:spacing w:line="600" w:lineRule="exact"/>
        <w:rPr>
          <w:rFonts w:ascii="仿宋" w:eastAsia="仿宋"/>
          <w:sz w:val="32"/>
          <w:szCs w:val="32"/>
        </w:rPr>
      </w:pPr>
      <w:r>
        <w:rPr>
          <w:rFonts w:hint="eastAsia" w:ascii="仿宋" w:eastAsia="仿宋"/>
          <w:sz w:val="32"/>
          <w:szCs w:val="32"/>
        </w:rPr>
        <w:t>（图6：一般公共预算财政拨款支出决算结构）（饼状图）</w:t>
      </w:r>
    </w:p>
    <w:p w14:paraId="7234F694">
      <w:pPr>
        <w:spacing w:line="600" w:lineRule="exact"/>
        <w:ind w:firstLine="643" w:firstLineChars="200"/>
        <w:outlineLvl w:val="2"/>
        <w:rPr>
          <w:rFonts w:ascii="仿宋" w:eastAsia="仿宋"/>
          <w:b/>
          <w:sz w:val="32"/>
          <w:szCs w:val="32"/>
        </w:rPr>
      </w:pPr>
      <w:bookmarkStart w:id="73" w:name="_Toc15377212"/>
      <w:r>
        <w:rPr>
          <w:rFonts w:hint="eastAsia" w:ascii="仿宋" w:eastAsia="仿宋"/>
          <w:b/>
          <w:sz w:val="32"/>
          <w:szCs w:val="32"/>
        </w:rPr>
        <w:t>（三）一般公共预算财政拨款支出决算具体情况</w:t>
      </w:r>
      <w:bookmarkEnd w:id="73"/>
    </w:p>
    <w:p w14:paraId="78E40FC4">
      <w:pPr>
        <w:spacing w:line="600" w:lineRule="exact"/>
        <w:ind w:firstLine="643" w:firstLineChars="200"/>
        <w:outlineLvl w:val="1"/>
        <w:rPr>
          <w:rFonts w:ascii="仿宋" w:eastAsia="仿宋"/>
          <w:sz w:val="32"/>
          <w:szCs w:val="32"/>
        </w:rPr>
      </w:pPr>
      <w:bookmarkStart w:id="74" w:name="_Toc2784"/>
      <w:bookmarkStart w:id="75" w:name="_Toc17550"/>
      <w:bookmarkStart w:id="76" w:name="_Toc15378460"/>
      <w:bookmarkStart w:id="77" w:name="_Toc15377213"/>
      <w:bookmarkStart w:id="78" w:name="_Toc15377444"/>
      <w:r>
        <w:rPr>
          <w:rFonts w:hint="eastAsia" w:ascii="仿宋" w:eastAsia="仿宋"/>
          <w:b/>
          <w:sz w:val="32"/>
          <w:szCs w:val="32"/>
        </w:rPr>
        <w:t>2021年一般公共预算支出决算数为</w:t>
      </w:r>
      <w:r>
        <w:rPr>
          <w:rFonts w:hint="eastAsia" w:ascii="仿宋" w:eastAsia="仿宋"/>
          <w:b/>
          <w:sz w:val="32"/>
          <w:szCs w:val="32"/>
          <w:lang w:val="en-US" w:eastAsia="zh-CN"/>
        </w:rPr>
        <w:t>667.64</w:t>
      </w:r>
      <w:r>
        <w:rPr>
          <w:rFonts w:hint="eastAsia" w:ascii="仿宋" w:eastAsia="仿宋"/>
          <w:sz w:val="32"/>
          <w:szCs w:val="32"/>
        </w:rPr>
        <w:t>，</w:t>
      </w:r>
      <w:r>
        <w:rPr>
          <w:rStyle w:val="16"/>
          <w:rFonts w:hint="eastAsia" w:ascii="仿宋" w:eastAsia="仿宋"/>
          <w:bCs/>
          <w:sz w:val="32"/>
          <w:szCs w:val="32"/>
        </w:rPr>
        <w:t>完成预算</w:t>
      </w:r>
      <w:r>
        <w:rPr>
          <w:rStyle w:val="16"/>
          <w:rFonts w:hint="eastAsia" w:ascii="仿宋" w:eastAsia="仿宋"/>
          <w:bCs/>
          <w:sz w:val="32"/>
          <w:szCs w:val="32"/>
          <w:lang w:val="en-US" w:eastAsia="zh-CN"/>
        </w:rPr>
        <w:t>100</w:t>
      </w:r>
      <w:r>
        <w:rPr>
          <w:rStyle w:val="16"/>
          <w:rFonts w:ascii="仿宋" w:eastAsia="仿宋"/>
          <w:bCs/>
          <w:sz w:val="32"/>
          <w:szCs w:val="32"/>
        </w:rPr>
        <w:t>%</w:t>
      </w:r>
      <w:r>
        <w:rPr>
          <w:rStyle w:val="16"/>
          <w:rFonts w:hint="eastAsia" w:ascii="仿宋" w:eastAsia="仿宋"/>
          <w:bCs/>
          <w:sz w:val="32"/>
          <w:szCs w:val="32"/>
        </w:rPr>
        <w:t>。其中：</w:t>
      </w:r>
      <w:bookmarkEnd w:id="74"/>
      <w:bookmarkEnd w:id="75"/>
      <w:bookmarkEnd w:id="76"/>
      <w:bookmarkEnd w:id="77"/>
      <w:bookmarkEnd w:id="78"/>
    </w:p>
    <w:p w14:paraId="555C49AE">
      <w:pPr>
        <w:numPr>
          <w:ilvl w:val="0"/>
          <w:numId w:val="0"/>
        </w:numPr>
        <w:spacing w:line="600" w:lineRule="exact"/>
        <w:ind w:firstLine="643" w:firstLineChars="200"/>
        <w:rPr>
          <w:rStyle w:val="16"/>
          <w:rFonts w:hint="eastAsia" w:ascii="仿宋" w:eastAsia="仿宋"/>
          <w:b w:val="0"/>
          <w:bCs/>
          <w:sz w:val="32"/>
          <w:szCs w:val="32"/>
        </w:rPr>
      </w:pPr>
      <w:r>
        <w:rPr>
          <w:rStyle w:val="16"/>
          <w:rFonts w:hint="eastAsia" w:ascii="仿宋" w:eastAsia="仿宋"/>
          <w:bCs/>
          <w:sz w:val="32"/>
          <w:szCs w:val="32"/>
          <w:lang w:val="en-US" w:eastAsia="zh-CN"/>
        </w:rPr>
        <w:t>1.</w:t>
      </w:r>
      <w:r>
        <w:rPr>
          <w:rStyle w:val="16"/>
          <w:rFonts w:hint="eastAsia" w:ascii="仿宋" w:eastAsia="仿宋"/>
          <w:bCs/>
          <w:sz w:val="32"/>
          <w:szCs w:val="32"/>
        </w:rPr>
        <w:t>科学技术（类）</w:t>
      </w:r>
      <w:r>
        <w:rPr>
          <w:rStyle w:val="16"/>
          <w:rFonts w:hint="eastAsia" w:ascii="仿宋" w:eastAsia="仿宋"/>
          <w:bCs/>
          <w:sz w:val="32"/>
          <w:szCs w:val="32"/>
          <w:lang w:val="en-US" w:eastAsia="zh-CN"/>
        </w:rPr>
        <w:t>206</w:t>
      </w:r>
      <w:r>
        <w:rPr>
          <w:rStyle w:val="16"/>
          <w:rFonts w:hint="eastAsia" w:ascii="仿宋" w:eastAsia="仿宋"/>
          <w:bCs/>
          <w:sz w:val="32"/>
          <w:szCs w:val="32"/>
        </w:rPr>
        <w:t>（款）</w:t>
      </w:r>
      <w:r>
        <w:rPr>
          <w:rStyle w:val="16"/>
          <w:rFonts w:hint="eastAsia" w:ascii="仿宋" w:eastAsia="仿宋"/>
          <w:bCs/>
          <w:sz w:val="32"/>
          <w:szCs w:val="32"/>
          <w:lang w:val="en-US" w:eastAsia="zh-CN"/>
        </w:rPr>
        <w:t>01</w:t>
      </w:r>
      <w:r>
        <w:rPr>
          <w:rStyle w:val="16"/>
          <w:rFonts w:hint="eastAsia" w:ascii="仿宋" w:eastAsia="仿宋"/>
          <w:bCs/>
          <w:sz w:val="32"/>
          <w:szCs w:val="32"/>
        </w:rPr>
        <w:t>（项）</w:t>
      </w:r>
      <w:r>
        <w:rPr>
          <w:rStyle w:val="16"/>
          <w:rFonts w:hint="eastAsia" w:ascii="仿宋" w:eastAsia="仿宋"/>
          <w:bCs/>
          <w:sz w:val="32"/>
          <w:szCs w:val="32"/>
          <w:lang w:val="en-US" w:eastAsia="zh-CN"/>
        </w:rPr>
        <w:t>01</w:t>
      </w:r>
      <w:r>
        <w:rPr>
          <w:rStyle w:val="16"/>
          <w:rFonts w:ascii="仿宋" w:eastAsia="仿宋"/>
          <w:bCs/>
          <w:sz w:val="32"/>
          <w:szCs w:val="32"/>
        </w:rPr>
        <w:t>:</w:t>
      </w:r>
      <w:r>
        <w:rPr>
          <w:rStyle w:val="16"/>
          <w:rFonts w:ascii="仿宋" w:eastAsia="仿宋"/>
          <w:b w:val="0"/>
          <w:bCs/>
          <w:sz w:val="32"/>
          <w:szCs w:val="32"/>
        </w:rPr>
        <w:t xml:space="preserve"> </w:t>
      </w:r>
      <w:r>
        <w:rPr>
          <w:rStyle w:val="16"/>
          <w:rFonts w:hint="eastAsia" w:ascii="仿宋" w:eastAsia="仿宋"/>
          <w:b w:val="0"/>
          <w:bCs/>
          <w:sz w:val="32"/>
          <w:szCs w:val="32"/>
        </w:rPr>
        <w:t>支出决算为</w:t>
      </w:r>
      <w:r>
        <w:rPr>
          <w:rStyle w:val="16"/>
          <w:rFonts w:hint="eastAsia" w:ascii="仿宋" w:eastAsia="仿宋"/>
          <w:b w:val="0"/>
          <w:bCs/>
          <w:sz w:val="32"/>
          <w:szCs w:val="32"/>
          <w:lang w:val="en-US" w:eastAsia="zh-CN"/>
        </w:rPr>
        <w:t>390.58</w:t>
      </w:r>
      <w:r>
        <w:rPr>
          <w:rStyle w:val="16"/>
          <w:rFonts w:hint="eastAsia" w:ascii="仿宋" w:eastAsia="仿宋"/>
          <w:b w:val="0"/>
          <w:bCs/>
          <w:sz w:val="32"/>
          <w:szCs w:val="32"/>
        </w:rPr>
        <w:t>万元，完成预算</w:t>
      </w:r>
      <w:r>
        <w:rPr>
          <w:rStyle w:val="16"/>
          <w:rFonts w:hint="eastAsia" w:ascii="仿宋" w:eastAsia="仿宋"/>
          <w:b w:val="0"/>
          <w:bCs/>
          <w:sz w:val="32"/>
          <w:szCs w:val="32"/>
          <w:lang w:val="en-US" w:eastAsia="zh-CN"/>
        </w:rPr>
        <w:t>100</w:t>
      </w:r>
      <w:r>
        <w:rPr>
          <w:rStyle w:val="16"/>
          <w:rFonts w:ascii="仿宋" w:eastAsia="仿宋"/>
          <w:b w:val="0"/>
          <w:bCs/>
          <w:sz w:val="32"/>
          <w:szCs w:val="32"/>
        </w:rPr>
        <w:t>%</w:t>
      </w:r>
      <w:r>
        <w:rPr>
          <w:rStyle w:val="16"/>
          <w:rFonts w:hint="eastAsia" w:ascii="仿宋" w:eastAsia="仿宋"/>
          <w:b w:val="0"/>
          <w:bCs/>
          <w:sz w:val="32"/>
          <w:szCs w:val="32"/>
        </w:rPr>
        <w:t>。</w:t>
      </w:r>
    </w:p>
    <w:p w14:paraId="62837510">
      <w:pPr>
        <w:spacing w:line="600" w:lineRule="exact"/>
        <w:ind w:firstLine="643" w:firstLineChars="200"/>
        <w:rPr>
          <w:rFonts w:ascii="仿宋" w:eastAsia="仿宋"/>
          <w:b/>
          <w:sz w:val="32"/>
          <w:szCs w:val="32"/>
        </w:rPr>
      </w:pPr>
      <w:r>
        <w:rPr>
          <w:rStyle w:val="16"/>
          <w:rFonts w:hint="eastAsia" w:ascii="仿宋" w:eastAsia="仿宋"/>
          <w:bCs/>
          <w:sz w:val="32"/>
          <w:szCs w:val="32"/>
          <w:lang w:val="en-US" w:eastAsia="zh-CN"/>
        </w:rPr>
        <w:t>2</w:t>
      </w:r>
      <w:r>
        <w:rPr>
          <w:rStyle w:val="16"/>
          <w:rFonts w:ascii="仿宋" w:eastAsia="仿宋"/>
          <w:bCs/>
          <w:sz w:val="32"/>
          <w:szCs w:val="32"/>
        </w:rPr>
        <w:t>.</w:t>
      </w:r>
      <w:r>
        <w:rPr>
          <w:rStyle w:val="16"/>
          <w:rFonts w:hint="eastAsia" w:ascii="仿宋" w:eastAsia="仿宋"/>
          <w:bCs/>
          <w:sz w:val="32"/>
          <w:szCs w:val="32"/>
        </w:rPr>
        <w:t>科学技术（类）</w:t>
      </w:r>
      <w:r>
        <w:rPr>
          <w:rStyle w:val="16"/>
          <w:rFonts w:hint="eastAsia" w:ascii="仿宋" w:eastAsia="仿宋"/>
          <w:bCs/>
          <w:sz w:val="32"/>
          <w:szCs w:val="32"/>
          <w:lang w:val="en-US" w:eastAsia="zh-CN"/>
        </w:rPr>
        <w:t>206</w:t>
      </w:r>
      <w:r>
        <w:rPr>
          <w:rStyle w:val="16"/>
          <w:rFonts w:hint="eastAsia" w:ascii="仿宋" w:eastAsia="仿宋"/>
          <w:bCs/>
          <w:sz w:val="32"/>
          <w:szCs w:val="32"/>
        </w:rPr>
        <w:t>（款）</w:t>
      </w:r>
      <w:r>
        <w:rPr>
          <w:rStyle w:val="16"/>
          <w:rFonts w:hint="eastAsia" w:ascii="仿宋" w:eastAsia="仿宋"/>
          <w:bCs/>
          <w:sz w:val="32"/>
          <w:szCs w:val="32"/>
          <w:lang w:val="en-US" w:eastAsia="zh-CN"/>
        </w:rPr>
        <w:t>01</w:t>
      </w:r>
      <w:r>
        <w:rPr>
          <w:rStyle w:val="16"/>
          <w:rFonts w:hint="eastAsia" w:ascii="仿宋" w:eastAsia="仿宋"/>
          <w:bCs/>
          <w:sz w:val="32"/>
          <w:szCs w:val="32"/>
        </w:rPr>
        <w:t>（项）</w:t>
      </w:r>
      <w:r>
        <w:rPr>
          <w:rStyle w:val="16"/>
          <w:rFonts w:hint="eastAsia" w:ascii="仿宋" w:eastAsia="仿宋"/>
          <w:bCs/>
          <w:sz w:val="32"/>
          <w:szCs w:val="32"/>
          <w:lang w:val="en-US" w:eastAsia="zh-CN"/>
        </w:rPr>
        <w:t>02</w:t>
      </w:r>
      <w:r>
        <w:rPr>
          <w:rStyle w:val="16"/>
          <w:rFonts w:ascii="仿宋" w:eastAsia="仿宋"/>
          <w:bCs/>
          <w:sz w:val="32"/>
          <w:szCs w:val="32"/>
        </w:rPr>
        <w:t>:</w:t>
      </w:r>
      <w:r>
        <w:rPr>
          <w:rStyle w:val="16"/>
          <w:rFonts w:ascii="仿宋" w:eastAsia="仿宋"/>
          <w:b w:val="0"/>
          <w:bCs/>
          <w:sz w:val="32"/>
          <w:szCs w:val="32"/>
        </w:rPr>
        <w:t xml:space="preserve"> </w:t>
      </w:r>
      <w:r>
        <w:rPr>
          <w:rStyle w:val="16"/>
          <w:rFonts w:hint="eastAsia" w:ascii="仿宋" w:eastAsia="仿宋"/>
          <w:b w:val="0"/>
          <w:bCs/>
          <w:sz w:val="32"/>
          <w:szCs w:val="32"/>
        </w:rPr>
        <w:t>支出决算为</w:t>
      </w:r>
      <w:r>
        <w:rPr>
          <w:rStyle w:val="16"/>
          <w:rFonts w:hint="eastAsia" w:ascii="仿宋" w:eastAsia="仿宋"/>
          <w:b w:val="0"/>
          <w:bCs/>
          <w:sz w:val="32"/>
          <w:szCs w:val="32"/>
          <w:lang w:val="en-US" w:eastAsia="zh-CN"/>
        </w:rPr>
        <w:t>76.16</w:t>
      </w:r>
      <w:r>
        <w:rPr>
          <w:rStyle w:val="16"/>
          <w:rFonts w:hint="eastAsia" w:ascii="仿宋" w:eastAsia="仿宋"/>
          <w:b w:val="0"/>
          <w:bCs/>
          <w:sz w:val="32"/>
          <w:szCs w:val="32"/>
        </w:rPr>
        <w:t>万元，完成预算</w:t>
      </w:r>
      <w:r>
        <w:rPr>
          <w:rStyle w:val="16"/>
          <w:rFonts w:hint="eastAsia" w:ascii="仿宋" w:eastAsia="仿宋"/>
          <w:b w:val="0"/>
          <w:bCs/>
          <w:sz w:val="32"/>
          <w:szCs w:val="32"/>
          <w:lang w:val="en-US" w:eastAsia="zh-CN"/>
        </w:rPr>
        <w:t>100</w:t>
      </w:r>
      <w:r>
        <w:rPr>
          <w:rStyle w:val="16"/>
          <w:rFonts w:ascii="仿宋" w:eastAsia="仿宋"/>
          <w:b w:val="0"/>
          <w:bCs/>
          <w:sz w:val="32"/>
          <w:szCs w:val="32"/>
        </w:rPr>
        <w:t>%</w:t>
      </w:r>
      <w:r>
        <w:rPr>
          <w:rStyle w:val="16"/>
          <w:rFonts w:hint="eastAsia" w:ascii="仿宋" w:eastAsia="仿宋"/>
          <w:b w:val="0"/>
          <w:bCs/>
          <w:sz w:val="32"/>
          <w:szCs w:val="32"/>
        </w:rPr>
        <w:t>。</w:t>
      </w:r>
    </w:p>
    <w:p w14:paraId="1F3F489B">
      <w:pPr>
        <w:pStyle w:val="2"/>
        <w:numPr>
          <w:ilvl w:val="0"/>
          <w:numId w:val="0"/>
        </w:numPr>
        <w:ind w:right="0" w:rightChars="0" w:firstLine="643" w:firstLineChars="200"/>
        <w:rPr>
          <w:rStyle w:val="16"/>
          <w:rFonts w:hint="eastAsia" w:ascii="仿宋" w:eastAsia="仿宋"/>
          <w:b w:val="0"/>
          <w:bCs/>
          <w:sz w:val="32"/>
          <w:szCs w:val="32"/>
        </w:rPr>
      </w:pPr>
      <w:r>
        <w:rPr>
          <w:rStyle w:val="16"/>
          <w:rFonts w:ascii="仿宋" w:eastAsia="仿宋"/>
          <w:b/>
          <w:bCs/>
          <w:sz w:val="32"/>
          <w:szCs w:val="32"/>
        </w:rPr>
        <w:t>3.</w:t>
      </w:r>
      <w:r>
        <w:rPr>
          <w:rStyle w:val="16"/>
          <w:rFonts w:hint="eastAsia" w:ascii="仿宋" w:eastAsia="仿宋"/>
          <w:b/>
          <w:bCs/>
          <w:sz w:val="32"/>
          <w:szCs w:val="32"/>
        </w:rPr>
        <w:t>科学技术（类）</w:t>
      </w:r>
      <w:r>
        <w:rPr>
          <w:rStyle w:val="16"/>
          <w:rFonts w:hint="eastAsia" w:ascii="仿宋" w:eastAsia="仿宋"/>
          <w:b/>
          <w:bCs/>
          <w:sz w:val="32"/>
          <w:szCs w:val="32"/>
          <w:lang w:val="en-US" w:eastAsia="zh-CN"/>
        </w:rPr>
        <w:t>206</w:t>
      </w:r>
      <w:r>
        <w:rPr>
          <w:rStyle w:val="16"/>
          <w:rFonts w:hint="eastAsia" w:ascii="仿宋" w:eastAsia="仿宋"/>
          <w:b/>
          <w:bCs/>
          <w:sz w:val="32"/>
          <w:szCs w:val="32"/>
        </w:rPr>
        <w:t>（款）</w:t>
      </w:r>
      <w:r>
        <w:rPr>
          <w:rStyle w:val="16"/>
          <w:rFonts w:hint="eastAsia" w:ascii="仿宋" w:eastAsia="仿宋"/>
          <w:b/>
          <w:bCs/>
          <w:sz w:val="32"/>
          <w:szCs w:val="32"/>
          <w:lang w:val="en-US" w:eastAsia="zh-CN"/>
        </w:rPr>
        <w:t>07</w:t>
      </w:r>
      <w:r>
        <w:rPr>
          <w:rStyle w:val="16"/>
          <w:rFonts w:hint="eastAsia" w:ascii="仿宋" w:eastAsia="仿宋"/>
          <w:b/>
          <w:bCs/>
          <w:sz w:val="32"/>
          <w:szCs w:val="32"/>
        </w:rPr>
        <w:t>（项）</w:t>
      </w:r>
      <w:r>
        <w:rPr>
          <w:rStyle w:val="16"/>
          <w:rFonts w:hint="eastAsia" w:ascii="仿宋" w:eastAsia="仿宋"/>
          <w:b/>
          <w:bCs/>
          <w:sz w:val="32"/>
          <w:szCs w:val="32"/>
          <w:lang w:val="en-US" w:eastAsia="zh-CN"/>
        </w:rPr>
        <w:t>05</w:t>
      </w:r>
      <w:r>
        <w:rPr>
          <w:rStyle w:val="16"/>
          <w:rFonts w:ascii="仿宋" w:eastAsia="仿宋"/>
          <w:b/>
          <w:bCs/>
          <w:sz w:val="32"/>
          <w:szCs w:val="32"/>
        </w:rPr>
        <w:t>:</w:t>
      </w:r>
      <w:r>
        <w:rPr>
          <w:rStyle w:val="16"/>
          <w:rFonts w:ascii="仿宋" w:eastAsia="仿宋"/>
          <w:b w:val="0"/>
          <w:bCs/>
          <w:sz w:val="32"/>
          <w:szCs w:val="32"/>
        </w:rPr>
        <w:t xml:space="preserve"> </w:t>
      </w:r>
      <w:r>
        <w:rPr>
          <w:rStyle w:val="16"/>
          <w:rFonts w:hint="eastAsia" w:ascii="仿宋" w:eastAsia="仿宋"/>
          <w:b w:val="0"/>
          <w:bCs/>
          <w:sz w:val="32"/>
          <w:szCs w:val="32"/>
        </w:rPr>
        <w:t>支出决算为</w:t>
      </w:r>
      <w:r>
        <w:rPr>
          <w:rStyle w:val="16"/>
          <w:rFonts w:hint="eastAsia" w:ascii="仿宋" w:eastAsia="仿宋"/>
          <w:b w:val="0"/>
          <w:bCs/>
          <w:sz w:val="32"/>
          <w:szCs w:val="32"/>
          <w:lang w:val="en-US" w:eastAsia="zh-CN"/>
        </w:rPr>
        <w:t>55.89</w:t>
      </w:r>
      <w:r>
        <w:rPr>
          <w:rStyle w:val="16"/>
          <w:rFonts w:hint="eastAsia" w:ascii="仿宋" w:eastAsia="仿宋"/>
          <w:b w:val="0"/>
          <w:bCs/>
          <w:sz w:val="32"/>
          <w:szCs w:val="32"/>
        </w:rPr>
        <w:t>万元，完成预算</w:t>
      </w:r>
      <w:r>
        <w:rPr>
          <w:rStyle w:val="16"/>
          <w:rFonts w:hint="eastAsia" w:ascii="仿宋" w:eastAsia="仿宋"/>
          <w:b w:val="0"/>
          <w:bCs/>
          <w:sz w:val="32"/>
          <w:szCs w:val="32"/>
          <w:lang w:val="en-US" w:eastAsia="zh-CN"/>
        </w:rPr>
        <w:t>100</w:t>
      </w:r>
      <w:r>
        <w:rPr>
          <w:rStyle w:val="16"/>
          <w:rFonts w:ascii="仿宋" w:eastAsia="仿宋"/>
          <w:b w:val="0"/>
          <w:bCs/>
          <w:sz w:val="32"/>
          <w:szCs w:val="32"/>
        </w:rPr>
        <w:t>%</w:t>
      </w:r>
      <w:r>
        <w:rPr>
          <w:rStyle w:val="16"/>
          <w:rFonts w:hint="eastAsia" w:ascii="仿宋" w:eastAsia="仿宋"/>
          <w:b w:val="0"/>
          <w:bCs/>
          <w:sz w:val="32"/>
          <w:szCs w:val="32"/>
        </w:rPr>
        <w:t>。</w:t>
      </w:r>
    </w:p>
    <w:p w14:paraId="02B9C40A">
      <w:pPr>
        <w:pStyle w:val="2"/>
        <w:numPr>
          <w:ilvl w:val="0"/>
          <w:numId w:val="0"/>
        </w:numPr>
        <w:ind w:right="0" w:rightChars="0" w:firstLine="643" w:firstLineChars="200"/>
        <w:rPr>
          <w:rStyle w:val="16"/>
          <w:rFonts w:hint="eastAsia" w:ascii="仿宋" w:eastAsia="仿宋"/>
          <w:b w:val="0"/>
          <w:bCs/>
          <w:sz w:val="32"/>
          <w:szCs w:val="32"/>
        </w:rPr>
      </w:pPr>
      <w:r>
        <w:rPr>
          <w:rStyle w:val="16"/>
          <w:rFonts w:hint="eastAsia" w:ascii="仿宋" w:eastAsia="仿宋"/>
          <w:b/>
          <w:bCs/>
          <w:sz w:val="32"/>
          <w:szCs w:val="32"/>
          <w:lang w:val="en-US" w:eastAsia="zh-CN"/>
        </w:rPr>
        <w:t>4</w:t>
      </w:r>
      <w:r>
        <w:rPr>
          <w:rStyle w:val="16"/>
          <w:rFonts w:ascii="仿宋" w:eastAsia="仿宋"/>
          <w:b/>
          <w:bCs/>
          <w:sz w:val="32"/>
          <w:szCs w:val="32"/>
        </w:rPr>
        <w:t>.</w:t>
      </w:r>
      <w:r>
        <w:rPr>
          <w:rStyle w:val="16"/>
          <w:rFonts w:hint="eastAsia" w:ascii="仿宋" w:eastAsia="仿宋"/>
          <w:b/>
          <w:bCs/>
          <w:sz w:val="32"/>
          <w:szCs w:val="32"/>
        </w:rPr>
        <w:t>科学技术（类）</w:t>
      </w:r>
      <w:r>
        <w:rPr>
          <w:rStyle w:val="16"/>
          <w:rFonts w:hint="eastAsia" w:ascii="仿宋" w:eastAsia="仿宋"/>
          <w:b/>
          <w:bCs/>
          <w:sz w:val="32"/>
          <w:szCs w:val="32"/>
          <w:lang w:val="en-US" w:eastAsia="zh-CN"/>
        </w:rPr>
        <w:t>206</w:t>
      </w:r>
      <w:r>
        <w:rPr>
          <w:rStyle w:val="16"/>
          <w:rFonts w:hint="eastAsia" w:ascii="仿宋" w:eastAsia="仿宋"/>
          <w:b/>
          <w:bCs/>
          <w:sz w:val="32"/>
          <w:szCs w:val="32"/>
        </w:rPr>
        <w:t>（款）</w:t>
      </w:r>
      <w:r>
        <w:rPr>
          <w:rStyle w:val="16"/>
          <w:rFonts w:hint="eastAsia" w:ascii="仿宋" w:eastAsia="仿宋"/>
          <w:b/>
          <w:bCs/>
          <w:sz w:val="32"/>
          <w:szCs w:val="32"/>
          <w:lang w:val="en-US" w:eastAsia="zh-CN"/>
        </w:rPr>
        <w:t>07</w:t>
      </w:r>
      <w:r>
        <w:rPr>
          <w:rStyle w:val="16"/>
          <w:rFonts w:hint="eastAsia" w:ascii="仿宋" w:eastAsia="仿宋"/>
          <w:b/>
          <w:bCs/>
          <w:sz w:val="32"/>
          <w:szCs w:val="32"/>
        </w:rPr>
        <w:t>（项）</w:t>
      </w:r>
      <w:r>
        <w:rPr>
          <w:rStyle w:val="16"/>
          <w:rFonts w:hint="eastAsia" w:ascii="仿宋" w:eastAsia="仿宋"/>
          <w:b/>
          <w:bCs/>
          <w:sz w:val="32"/>
          <w:szCs w:val="32"/>
          <w:lang w:val="en-US" w:eastAsia="zh-CN"/>
        </w:rPr>
        <w:t>99</w:t>
      </w:r>
      <w:r>
        <w:rPr>
          <w:rStyle w:val="16"/>
          <w:rFonts w:ascii="仿宋" w:eastAsia="仿宋"/>
          <w:b/>
          <w:bCs/>
          <w:sz w:val="32"/>
          <w:szCs w:val="32"/>
        </w:rPr>
        <w:t>:</w:t>
      </w:r>
      <w:r>
        <w:rPr>
          <w:rStyle w:val="16"/>
          <w:rFonts w:ascii="仿宋" w:eastAsia="仿宋"/>
          <w:b w:val="0"/>
          <w:bCs/>
          <w:sz w:val="32"/>
          <w:szCs w:val="32"/>
        </w:rPr>
        <w:t xml:space="preserve"> </w:t>
      </w:r>
      <w:r>
        <w:rPr>
          <w:rStyle w:val="16"/>
          <w:rFonts w:hint="eastAsia" w:ascii="仿宋" w:eastAsia="仿宋"/>
          <w:b w:val="0"/>
          <w:bCs/>
          <w:sz w:val="32"/>
          <w:szCs w:val="32"/>
        </w:rPr>
        <w:t>支出决算为</w:t>
      </w:r>
      <w:r>
        <w:rPr>
          <w:rStyle w:val="16"/>
          <w:rFonts w:hint="eastAsia" w:ascii="仿宋" w:eastAsia="仿宋"/>
          <w:b w:val="0"/>
          <w:bCs/>
          <w:sz w:val="32"/>
          <w:szCs w:val="32"/>
          <w:lang w:val="en-US" w:eastAsia="zh-CN"/>
        </w:rPr>
        <w:t>40.47</w:t>
      </w:r>
      <w:r>
        <w:rPr>
          <w:rStyle w:val="16"/>
          <w:rFonts w:hint="eastAsia" w:ascii="仿宋" w:eastAsia="仿宋"/>
          <w:b w:val="0"/>
          <w:bCs/>
          <w:sz w:val="32"/>
          <w:szCs w:val="32"/>
        </w:rPr>
        <w:t>万元，完成预算</w:t>
      </w:r>
      <w:r>
        <w:rPr>
          <w:rStyle w:val="16"/>
          <w:rFonts w:hint="eastAsia" w:ascii="仿宋" w:eastAsia="仿宋"/>
          <w:b w:val="0"/>
          <w:bCs/>
          <w:sz w:val="32"/>
          <w:szCs w:val="32"/>
          <w:lang w:val="en-US" w:eastAsia="zh-CN"/>
        </w:rPr>
        <w:t>100</w:t>
      </w:r>
      <w:r>
        <w:rPr>
          <w:rStyle w:val="16"/>
          <w:rFonts w:ascii="仿宋" w:eastAsia="仿宋"/>
          <w:b w:val="0"/>
          <w:bCs/>
          <w:sz w:val="32"/>
          <w:szCs w:val="32"/>
        </w:rPr>
        <w:t>%</w:t>
      </w:r>
      <w:r>
        <w:rPr>
          <w:rStyle w:val="16"/>
          <w:rFonts w:hint="eastAsia" w:ascii="仿宋" w:eastAsia="仿宋"/>
          <w:b w:val="0"/>
          <w:bCs/>
          <w:sz w:val="32"/>
          <w:szCs w:val="32"/>
        </w:rPr>
        <w:t>。</w:t>
      </w:r>
    </w:p>
    <w:p w14:paraId="11C1A04A">
      <w:pPr>
        <w:pStyle w:val="2"/>
        <w:numPr>
          <w:ilvl w:val="0"/>
          <w:numId w:val="0"/>
        </w:numPr>
        <w:ind w:right="0" w:rightChars="0" w:firstLine="643" w:firstLineChars="200"/>
        <w:rPr>
          <w:rStyle w:val="16"/>
          <w:rFonts w:hint="eastAsia" w:ascii="仿宋" w:eastAsia="仿宋"/>
          <w:b w:val="0"/>
          <w:bCs/>
          <w:sz w:val="32"/>
          <w:szCs w:val="32"/>
        </w:rPr>
      </w:pPr>
      <w:r>
        <w:rPr>
          <w:rStyle w:val="16"/>
          <w:rFonts w:hint="eastAsia" w:ascii="仿宋" w:eastAsia="仿宋"/>
          <w:b/>
          <w:bCs/>
          <w:sz w:val="32"/>
          <w:szCs w:val="32"/>
          <w:lang w:val="en-US" w:eastAsia="zh-CN"/>
        </w:rPr>
        <w:t>5</w:t>
      </w:r>
      <w:r>
        <w:rPr>
          <w:rStyle w:val="16"/>
          <w:rFonts w:ascii="仿宋" w:eastAsia="仿宋"/>
          <w:b/>
          <w:bCs/>
          <w:sz w:val="32"/>
          <w:szCs w:val="32"/>
        </w:rPr>
        <w:t>.</w:t>
      </w:r>
      <w:r>
        <w:rPr>
          <w:rStyle w:val="16"/>
          <w:rFonts w:hint="eastAsia" w:ascii="仿宋" w:eastAsia="仿宋"/>
          <w:b/>
          <w:bCs/>
          <w:sz w:val="32"/>
          <w:szCs w:val="32"/>
        </w:rPr>
        <w:t>科学技术（类）</w:t>
      </w:r>
      <w:r>
        <w:rPr>
          <w:rStyle w:val="16"/>
          <w:rFonts w:hint="eastAsia" w:ascii="仿宋" w:eastAsia="仿宋"/>
          <w:b/>
          <w:bCs/>
          <w:sz w:val="32"/>
          <w:szCs w:val="32"/>
          <w:lang w:val="en-US" w:eastAsia="zh-CN"/>
        </w:rPr>
        <w:t>206</w:t>
      </w:r>
      <w:r>
        <w:rPr>
          <w:rStyle w:val="16"/>
          <w:rFonts w:hint="eastAsia" w:ascii="仿宋" w:eastAsia="仿宋"/>
          <w:b/>
          <w:bCs/>
          <w:sz w:val="32"/>
          <w:szCs w:val="32"/>
        </w:rPr>
        <w:t>（款）</w:t>
      </w:r>
      <w:r>
        <w:rPr>
          <w:rStyle w:val="16"/>
          <w:rFonts w:hint="eastAsia" w:ascii="仿宋" w:eastAsia="仿宋"/>
          <w:b/>
          <w:bCs/>
          <w:sz w:val="32"/>
          <w:szCs w:val="32"/>
          <w:lang w:val="en-US" w:eastAsia="zh-CN"/>
        </w:rPr>
        <w:t>99</w:t>
      </w:r>
      <w:r>
        <w:rPr>
          <w:rStyle w:val="16"/>
          <w:rFonts w:hint="eastAsia" w:ascii="仿宋" w:eastAsia="仿宋"/>
          <w:b/>
          <w:bCs/>
          <w:sz w:val="32"/>
          <w:szCs w:val="32"/>
        </w:rPr>
        <w:t>（项）</w:t>
      </w:r>
      <w:r>
        <w:rPr>
          <w:rStyle w:val="16"/>
          <w:rFonts w:hint="eastAsia" w:ascii="仿宋" w:eastAsia="仿宋"/>
          <w:b/>
          <w:bCs/>
          <w:sz w:val="32"/>
          <w:szCs w:val="32"/>
          <w:lang w:val="en-US" w:eastAsia="zh-CN"/>
        </w:rPr>
        <w:t>99</w:t>
      </w:r>
      <w:r>
        <w:rPr>
          <w:rStyle w:val="16"/>
          <w:rFonts w:ascii="仿宋" w:eastAsia="仿宋"/>
          <w:b/>
          <w:bCs/>
          <w:sz w:val="32"/>
          <w:szCs w:val="32"/>
        </w:rPr>
        <w:t>:</w:t>
      </w:r>
      <w:r>
        <w:rPr>
          <w:rStyle w:val="16"/>
          <w:rFonts w:ascii="仿宋" w:eastAsia="仿宋"/>
          <w:b w:val="0"/>
          <w:bCs/>
          <w:sz w:val="32"/>
          <w:szCs w:val="32"/>
        </w:rPr>
        <w:t xml:space="preserve"> </w:t>
      </w:r>
      <w:r>
        <w:rPr>
          <w:rStyle w:val="16"/>
          <w:rFonts w:hint="eastAsia" w:ascii="仿宋" w:eastAsia="仿宋"/>
          <w:b w:val="0"/>
          <w:bCs/>
          <w:sz w:val="32"/>
          <w:szCs w:val="32"/>
        </w:rPr>
        <w:t>支出决算为</w:t>
      </w:r>
      <w:r>
        <w:rPr>
          <w:rStyle w:val="16"/>
          <w:rFonts w:hint="eastAsia" w:ascii="仿宋" w:eastAsia="仿宋"/>
          <w:b w:val="0"/>
          <w:bCs/>
          <w:sz w:val="32"/>
          <w:szCs w:val="32"/>
          <w:lang w:val="en-US" w:eastAsia="zh-CN"/>
        </w:rPr>
        <w:t>30</w:t>
      </w:r>
      <w:r>
        <w:rPr>
          <w:rStyle w:val="16"/>
          <w:rFonts w:hint="eastAsia" w:ascii="仿宋" w:eastAsia="仿宋"/>
          <w:b w:val="0"/>
          <w:bCs/>
          <w:sz w:val="32"/>
          <w:szCs w:val="32"/>
        </w:rPr>
        <w:t>万元，完成预算</w:t>
      </w:r>
      <w:r>
        <w:rPr>
          <w:rStyle w:val="16"/>
          <w:rFonts w:hint="eastAsia" w:ascii="仿宋" w:eastAsia="仿宋"/>
          <w:b w:val="0"/>
          <w:bCs/>
          <w:sz w:val="32"/>
          <w:szCs w:val="32"/>
          <w:lang w:val="en-US" w:eastAsia="zh-CN"/>
        </w:rPr>
        <w:t>100</w:t>
      </w:r>
      <w:r>
        <w:rPr>
          <w:rStyle w:val="16"/>
          <w:rFonts w:ascii="仿宋" w:eastAsia="仿宋"/>
          <w:b w:val="0"/>
          <w:bCs/>
          <w:sz w:val="32"/>
          <w:szCs w:val="32"/>
        </w:rPr>
        <w:t>%</w:t>
      </w:r>
      <w:r>
        <w:rPr>
          <w:rStyle w:val="16"/>
          <w:rFonts w:hint="eastAsia" w:ascii="仿宋" w:eastAsia="仿宋"/>
          <w:b w:val="0"/>
          <w:bCs/>
          <w:sz w:val="32"/>
          <w:szCs w:val="32"/>
        </w:rPr>
        <w:t>。</w:t>
      </w:r>
    </w:p>
    <w:p w14:paraId="4BE378FF">
      <w:pPr>
        <w:spacing w:line="600" w:lineRule="exact"/>
        <w:ind w:firstLine="643" w:firstLineChars="200"/>
        <w:rPr>
          <w:rStyle w:val="16"/>
          <w:rFonts w:hint="eastAsia" w:ascii="仿宋" w:eastAsia="仿宋"/>
          <w:b w:val="0"/>
          <w:bCs/>
          <w:sz w:val="32"/>
          <w:szCs w:val="32"/>
        </w:rPr>
      </w:pPr>
      <w:r>
        <w:rPr>
          <w:rStyle w:val="16"/>
          <w:rFonts w:ascii="仿宋" w:eastAsia="仿宋"/>
          <w:bCs/>
          <w:sz w:val="32"/>
          <w:szCs w:val="32"/>
        </w:rPr>
        <w:t>5.</w:t>
      </w:r>
      <w:r>
        <w:rPr>
          <w:rStyle w:val="16"/>
          <w:rFonts w:hint="eastAsia" w:ascii="仿宋" w:eastAsia="仿宋"/>
          <w:bCs/>
          <w:sz w:val="32"/>
          <w:szCs w:val="32"/>
        </w:rPr>
        <w:t>社会保障和就业（类）</w:t>
      </w:r>
      <w:r>
        <w:rPr>
          <w:rStyle w:val="16"/>
          <w:rFonts w:hint="eastAsia" w:ascii="仿宋" w:eastAsia="仿宋"/>
          <w:bCs/>
          <w:sz w:val="32"/>
          <w:szCs w:val="32"/>
          <w:lang w:val="en-US" w:eastAsia="zh-CN"/>
        </w:rPr>
        <w:t>208</w:t>
      </w:r>
      <w:r>
        <w:rPr>
          <w:rStyle w:val="16"/>
          <w:rFonts w:hint="eastAsia" w:ascii="仿宋" w:eastAsia="仿宋"/>
          <w:bCs/>
          <w:sz w:val="32"/>
          <w:szCs w:val="32"/>
        </w:rPr>
        <w:t>（款）</w:t>
      </w:r>
      <w:r>
        <w:rPr>
          <w:rStyle w:val="16"/>
          <w:rFonts w:hint="eastAsia" w:ascii="仿宋" w:eastAsia="仿宋"/>
          <w:bCs/>
          <w:sz w:val="32"/>
          <w:szCs w:val="32"/>
          <w:lang w:val="en-US" w:eastAsia="zh-CN"/>
        </w:rPr>
        <w:t>05</w:t>
      </w:r>
      <w:r>
        <w:rPr>
          <w:rStyle w:val="16"/>
          <w:rFonts w:hint="eastAsia" w:ascii="仿宋" w:eastAsia="仿宋"/>
          <w:bCs/>
          <w:sz w:val="32"/>
          <w:szCs w:val="32"/>
        </w:rPr>
        <w:t>（项）</w:t>
      </w:r>
      <w:r>
        <w:rPr>
          <w:rStyle w:val="16"/>
          <w:rFonts w:hint="eastAsia" w:ascii="仿宋" w:eastAsia="仿宋"/>
          <w:bCs/>
          <w:sz w:val="32"/>
          <w:szCs w:val="32"/>
          <w:lang w:val="en-US" w:eastAsia="zh-CN"/>
        </w:rPr>
        <w:t>05</w:t>
      </w:r>
      <w:r>
        <w:rPr>
          <w:rStyle w:val="16"/>
          <w:rFonts w:ascii="仿宋" w:eastAsia="仿宋"/>
          <w:bCs/>
          <w:sz w:val="32"/>
          <w:szCs w:val="32"/>
        </w:rPr>
        <w:t>:</w:t>
      </w:r>
      <w:r>
        <w:rPr>
          <w:rStyle w:val="16"/>
          <w:rFonts w:ascii="仿宋" w:eastAsia="仿宋"/>
          <w:b w:val="0"/>
          <w:bCs/>
          <w:sz w:val="32"/>
          <w:szCs w:val="32"/>
        </w:rPr>
        <w:t xml:space="preserve"> </w:t>
      </w:r>
      <w:r>
        <w:rPr>
          <w:rStyle w:val="16"/>
          <w:rFonts w:hint="eastAsia" w:ascii="仿宋" w:eastAsia="仿宋"/>
          <w:b w:val="0"/>
          <w:bCs/>
          <w:sz w:val="32"/>
          <w:szCs w:val="32"/>
        </w:rPr>
        <w:t>支出决算为</w:t>
      </w:r>
      <w:r>
        <w:rPr>
          <w:rStyle w:val="16"/>
          <w:rFonts w:hint="eastAsia" w:ascii="仿宋" w:eastAsia="仿宋"/>
          <w:b w:val="0"/>
          <w:bCs/>
          <w:sz w:val="32"/>
          <w:szCs w:val="32"/>
          <w:lang w:val="en-US" w:eastAsia="zh-CN"/>
        </w:rPr>
        <w:t>23.28</w:t>
      </w:r>
      <w:r>
        <w:rPr>
          <w:rStyle w:val="16"/>
          <w:rFonts w:hint="eastAsia" w:ascii="仿宋" w:eastAsia="仿宋"/>
          <w:b w:val="0"/>
          <w:bCs/>
          <w:sz w:val="32"/>
          <w:szCs w:val="32"/>
        </w:rPr>
        <w:t>万元，完成预算</w:t>
      </w:r>
      <w:r>
        <w:rPr>
          <w:rStyle w:val="16"/>
          <w:rFonts w:hint="eastAsia" w:ascii="仿宋" w:eastAsia="仿宋"/>
          <w:b w:val="0"/>
          <w:bCs/>
          <w:sz w:val="32"/>
          <w:szCs w:val="32"/>
          <w:lang w:val="en-US" w:eastAsia="zh-CN"/>
        </w:rPr>
        <w:t>34.92</w:t>
      </w:r>
      <w:r>
        <w:rPr>
          <w:rStyle w:val="16"/>
          <w:rFonts w:ascii="仿宋" w:eastAsia="仿宋"/>
          <w:b w:val="0"/>
          <w:bCs/>
          <w:sz w:val="32"/>
          <w:szCs w:val="32"/>
        </w:rPr>
        <w:t>%</w:t>
      </w:r>
      <w:r>
        <w:rPr>
          <w:rStyle w:val="16"/>
          <w:rFonts w:hint="eastAsia" w:ascii="仿宋" w:eastAsia="仿宋"/>
          <w:b w:val="0"/>
          <w:bCs/>
          <w:sz w:val="32"/>
          <w:szCs w:val="32"/>
        </w:rPr>
        <w:t>。</w:t>
      </w:r>
    </w:p>
    <w:p w14:paraId="574C1AAA">
      <w:pPr>
        <w:spacing w:line="600" w:lineRule="exact"/>
        <w:ind w:firstLine="643" w:firstLineChars="200"/>
      </w:pPr>
      <w:r>
        <w:rPr>
          <w:rStyle w:val="16"/>
          <w:rFonts w:hint="eastAsia" w:ascii="仿宋" w:eastAsia="仿宋"/>
          <w:bCs/>
          <w:sz w:val="32"/>
          <w:szCs w:val="32"/>
          <w:lang w:val="en-US" w:eastAsia="zh-CN"/>
        </w:rPr>
        <w:t>6</w:t>
      </w:r>
      <w:r>
        <w:rPr>
          <w:rStyle w:val="16"/>
          <w:rFonts w:ascii="仿宋" w:eastAsia="仿宋"/>
          <w:bCs/>
          <w:sz w:val="32"/>
          <w:szCs w:val="32"/>
        </w:rPr>
        <w:t>.</w:t>
      </w:r>
      <w:r>
        <w:rPr>
          <w:rStyle w:val="16"/>
          <w:rFonts w:hint="eastAsia" w:ascii="仿宋" w:eastAsia="仿宋"/>
          <w:bCs/>
          <w:sz w:val="32"/>
          <w:szCs w:val="32"/>
        </w:rPr>
        <w:t>社会保障和就业（类）</w:t>
      </w:r>
      <w:r>
        <w:rPr>
          <w:rStyle w:val="16"/>
          <w:rFonts w:hint="eastAsia" w:ascii="仿宋" w:eastAsia="仿宋"/>
          <w:bCs/>
          <w:sz w:val="32"/>
          <w:szCs w:val="32"/>
          <w:lang w:val="en-US" w:eastAsia="zh-CN"/>
        </w:rPr>
        <w:t>208</w:t>
      </w:r>
      <w:r>
        <w:rPr>
          <w:rStyle w:val="16"/>
          <w:rFonts w:hint="eastAsia" w:ascii="仿宋" w:eastAsia="仿宋"/>
          <w:bCs/>
          <w:sz w:val="32"/>
          <w:szCs w:val="32"/>
        </w:rPr>
        <w:t>（款）</w:t>
      </w:r>
      <w:r>
        <w:rPr>
          <w:rStyle w:val="16"/>
          <w:rFonts w:hint="eastAsia" w:ascii="仿宋" w:eastAsia="仿宋"/>
          <w:bCs/>
          <w:sz w:val="32"/>
          <w:szCs w:val="32"/>
          <w:lang w:val="en-US" w:eastAsia="zh-CN"/>
        </w:rPr>
        <w:t>05</w:t>
      </w:r>
      <w:r>
        <w:rPr>
          <w:rStyle w:val="16"/>
          <w:rFonts w:hint="eastAsia" w:ascii="仿宋" w:eastAsia="仿宋"/>
          <w:bCs/>
          <w:sz w:val="32"/>
          <w:szCs w:val="32"/>
        </w:rPr>
        <w:t>（项）</w:t>
      </w:r>
      <w:r>
        <w:rPr>
          <w:rStyle w:val="16"/>
          <w:rFonts w:hint="eastAsia" w:ascii="仿宋" w:eastAsia="仿宋"/>
          <w:bCs/>
          <w:sz w:val="32"/>
          <w:szCs w:val="32"/>
          <w:lang w:val="en-US" w:eastAsia="zh-CN"/>
        </w:rPr>
        <w:t>06</w:t>
      </w:r>
      <w:r>
        <w:rPr>
          <w:rStyle w:val="16"/>
          <w:rFonts w:ascii="仿宋" w:eastAsia="仿宋"/>
          <w:bCs/>
          <w:sz w:val="32"/>
          <w:szCs w:val="32"/>
        </w:rPr>
        <w:t>:</w:t>
      </w:r>
      <w:r>
        <w:rPr>
          <w:rStyle w:val="16"/>
          <w:rFonts w:ascii="仿宋" w:eastAsia="仿宋"/>
          <w:b w:val="0"/>
          <w:bCs/>
          <w:sz w:val="32"/>
          <w:szCs w:val="32"/>
        </w:rPr>
        <w:t xml:space="preserve"> </w:t>
      </w:r>
      <w:r>
        <w:rPr>
          <w:rStyle w:val="16"/>
          <w:rFonts w:hint="eastAsia" w:ascii="仿宋" w:eastAsia="仿宋"/>
          <w:b w:val="0"/>
          <w:bCs/>
          <w:sz w:val="32"/>
          <w:szCs w:val="32"/>
        </w:rPr>
        <w:t>支出决算为</w:t>
      </w:r>
      <w:r>
        <w:rPr>
          <w:rStyle w:val="16"/>
          <w:rFonts w:hint="eastAsia" w:ascii="仿宋" w:eastAsia="仿宋"/>
          <w:b w:val="0"/>
          <w:bCs/>
          <w:sz w:val="32"/>
          <w:szCs w:val="32"/>
          <w:lang w:val="en-US" w:eastAsia="zh-CN"/>
        </w:rPr>
        <w:t>11.64</w:t>
      </w:r>
      <w:r>
        <w:rPr>
          <w:rStyle w:val="16"/>
          <w:rFonts w:hint="eastAsia" w:ascii="仿宋" w:eastAsia="仿宋"/>
          <w:b w:val="0"/>
          <w:bCs/>
          <w:sz w:val="32"/>
          <w:szCs w:val="32"/>
        </w:rPr>
        <w:t>万元，完成预算</w:t>
      </w:r>
      <w:r>
        <w:rPr>
          <w:rStyle w:val="16"/>
          <w:rFonts w:hint="eastAsia" w:ascii="仿宋" w:eastAsia="仿宋"/>
          <w:b w:val="0"/>
          <w:bCs/>
          <w:sz w:val="32"/>
          <w:szCs w:val="32"/>
          <w:lang w:val="en-US" w:eastAsia="zh-CN"/>
        </w:rPr>
        <w:t>34.92</w:t>
      </w:r>
      <w:r>
        <w:rPr>
          <w:rStyle w:val="16"/>
          <w:rFonts w:ascii="仿宋" w:eastAsia="仿宋"/>
          <w:b w:val="0"/>
          <w:bCs/>
          <w:sz w:val="32"/>
          <w:szCs w:val="32"/>
        </w:rPr>
        <w:t>%</w:t>
      </w:r>
      <w:r>
        <w:rPr>
          <w:rStyle w:val="16"/>
          <w:rFonts w:hint="eastAsia" w:ascii="仿宋" w:eastAsia="仿宋"/>
          <w:b w:val="0"/>
          <w:bCs/>
          <w:sz w:val="32"/>
          <w:szCs w:val="32"/>
        </w:rPr>
        <w:t>。</w:t>
      </w:r>
    </w:p>
    <w:p w14:paraId="3FD7525E">
      <w:pPr>
        <w:spacing w:line="600" w:lineRule="exact"/>
        <w:ind w:firstLine="643" w:firstLineChars="200"/>
        <w:rPr>
          <w:rStyle w:val="16"/>
          <w:rFonts w:hint="eastAsia" w:ascii="仿宋" w:eastAsia="仿宋"/>
          <w:b w:val="0"/>
          <w:bCs/>
          <w:sz w:val="32"/>
          <w:szCs w:val="32"/>
        </w:rPr>
      </w:pPr>
      <w:r>
        <w:rPr>
          <w:rStyle w:val="16"/>
          <w:rFonts w:hint="eastAsia" w:ascii="仿宋" w:eastAsia="仿宋"/>
          <w:bCs/>
          <w:sz w:val="32"/>
          <w:szCs w:val="32"/>
          <w:lang w:val="en-US" w:eastAsia="zh-CN"/>
        </w:rPr>
        <w:t>7</w:t>
      </w:r>
      <w:r>
        <w:rPr>
          <w:rStyle w:val="16"/>
          <w:rFonts w:ascii="仿宋" w:eastAsia="仿宋"/>
          <w:bCs/>
          <w:sz w:val="32"/>
          <w:szCs w:val="32"/>
        </w:rPr>
        <w:t>.</w:t>
      </w:r>
      <w:r>
        <w:rPr>
          <w:rFonts w:hint="eastAsia" w:ascii="仿宋" w:eastAsia="仿宋"/>
          <w:b/>
          <w:bCs/>
          <w:sz w:val="32"/>
          <w:szCs w:val="32"/>
        </w:rPr>
        <w:t>卫生健康</w:t>
      </w:r>
      <w:r>
        <w:rPr>
          <w:rStyle w:val="16"/>
          <w:rFonts w:hint="eastAsia" w:ascii="仿宋" w:eastAsia="仿宋"/>
          <w:bCs/>
          <w:sz w:val="32"/>
          <w:szCs w:val="32"/>
        </w:rPr>
        <w:t>（类）</w:t>
      </w:r>
      <w:r>
        <w:rPr>
          <w:rStyle w:val="16"/>
          <w:rFonts w:hint="eastAsia" w:ascii="仿宋" w:eastAsia="仿宋"/>
          <w:bCs/>
          <w:sz w:val="32"/>
          <w:szCs w:val="32"/>
          <w:lang w:val="en-US" w:eastAsia="zh-CN"/>
        </w:rPr>
        <w:t>210</w:t>
      </w:r>
      <w:r>
        <w:rPr>
          <w:rStyle w:val="16"/>
          <w:rFonts w:hint="eastAsia" w:ascii="仿宋" w:eastAsia="仿宋"/>
          <w:bCs/>
          <w:sz w:val="32"/>
          <w:szCs w:val="32"/>
        </w:rPr>
        <w:t>（款）</w:t>
      </w:r>
      <w:r>
        <w:rPr>
          <w:rStyle w:val="16"/>
          <w:rFonts w:hint="eastAsia" w:ascii="仿宋" w:eastAsia="仿宋"/>
          <w:bCs/>
          <w:sz w:val="32"/>
          <w:szCs w:val="32"/>
          <w:lang w:val="en-US" w:eastAsia="zh-CN"/>
        </w:rPr>
        <w:t>11</w:t>
      </w:r>
      <w:r>
        <w:rPr>
          <w:rStyle w:val="16"/>
          <w:rFonts w:hint="eastAsia" w:ascii="仿宋" w:eastAsia="仿宋"/>
          <w:bCs/>
          <w:sz w:val="32"/>
          <w:szCs w:val="32"/>
        </w:rPr>
        <w:t>（项）</w:t>
      </w:r>
      <w:r>
        <w:rPr>
          <w:rStyle w:val="16"/>
          <w:rFonts w:hint="eastAsia" w:ascii="仿宋" w:eastAsia="仿宋"/>
          <w:bCs/>
          <w:sz w:val="32"/>
          <w:szCs w:val="32"/>
          <w:lang w:val="en-US" w:eastAsia="zh-CN"/>
        </w:rPr>
        <w:t>01</w:t>
      </w:r>
      <w:r>
        <w:rPr>
          <w:rStyle w:val="16"/>
          <w:rFonts w:ascii="仿宋" w:eastAsia="仿宋"/>
          <w:bCs/>
          <w:sz w:val="32"/>
          <w:szCs w:val="32"/>
        </w:rPr>
        <w:t>:</w:t>
      </w:r>
      <w:r>
        <w:rPr>
          <w:rStyle w:val="16"/>
          <w:rFonts w:hint="eastAsia" w:ascii="仿宋" w:eastAsia="仿宋"/>
          <w:b w:val="0"/>
          <w:bCs/>
          <w:sz w:val="32"/>
          <w:szCs w:val="32"/>
        </w:rPr>
        <w:t>支出决算为</w:t>
      </w:r>
      <w:r>
        <w:rPr>
          <w:rStyle w:val="16"/>
          <w:rFonts w:hint="eastAsia" w:ascii="仿宋" w:eastAsia="仿宋"/>
          <w:b w:val="0"/>
          <w:bCs/>
          <w:sz w:val="32"/>
          <w:szCs w:val="32"/>
          <w:lang w:val="en-US" w:eastAsia="zh-CN"/>
        </w:rPr>
        <w:t>11.36</w:t>
      </w:r>
      <w:r>
        <w:rPr>
          <w:rStyle w:val="16"/>
          <w:rFonts w:hint="eastAsia" w:ascii="仿宋" w:eastAsia="仿宋"/>
          <w:b w:val="0"/>
          <w:bCs/>
          <w:sz w:val="32"/>
          <w:szCs w:val="32"/>
        </w:rPr>
        <w:t>万元，完成预算</w:t>
      </w:r>
      <w:r>
        <w:rPr>
          <w:rStyle w:val="16"/>
          <w:rFonts w:hint="eastAsia" w:ascii="仿宋" w:eastAsia="仿宋"/>
          <w:b w:val="0"/>
          <w:bCs/>
          <w:sz w:val="32"/>
          <w:szCs w:val="32"/>
          <w:lang w:val="en-US" w:eastAsia="zh-CN"/>
        </w:rPr>
        <w:t>100</w:t>
      </w:r>
      <w:r>
        <w:rPr>
          <w:rStyle w:val="16"/>
          <w:rFonts w:ascii="仿宋" w:eastAsia="仿宋"/>
          <w:b w:val="0"/>
          <w:bCs/>
          <w:sz w:val="32"/>
          <w:szCs w:val="32"/>
        </w:rPr>
        <w:t>%</w:t>
      </w:r>
      <w:r>
        <w:rPr>
          <w:rStyle w:val="16"/>
          <w:rFonts w:hint="eastAsia" w:ascii="仿宋" w:eastAsia="仿宋"/>
          <w:b w:val="0"/>
          <w:bCs/>
          <w:sz w:val="32"/>
          <w:szCs w:val="32"/>
        </w:rPr>
        <w:t>。</w:t>
      </w:r>
    </w:p>
    <w:p w14:paraId="7B2E3F38">
      <w:pPr>
        <w:pStyle w:val="2"/>
        <w:ind w:left="0" w:leftChars="0" w:firstLine="643" w:firstLineChars="200"/>
        <w:rPr>
          <w:rStyle w:val="16"/>
          <w:rFonts w:hint="eastAsia" w:ascii="仿宋" w:eastAsia="仿宋"/>
          <w:b w:val="0"/>
          <w:bCs/>
          <w:sz w:val="32"/>
          <w:szCs w:val="32"/>
        </w:rPr>
      </w:pPr>
      <w:r>
        <w:rPr>
          <w:rStyle w:val="16"/>
          <w:rFonts w:hint="eastAsia" w:ascii="仿宋" w:eastAsia="仿宋"/>
          <w:b/>
          <w:bCs/>
          <w:sz w:val="32"/>
          <w:szCs w:val="32"/>
          <w:lang w:val="en-US" w:eastAsia="zh-CN"/>
        </w:rPr>
        <w:t>8</w:t>
      </w:r>
      <w:r>
        <w:rPr>
          <w:rStyle w:val="16"/>
          <w:rFonts w:ascii="仿宋" w:eastAsia="仿宋"/>
          <w:b/>
          <w:bCs/>
          <w:sz w:val="32"/>
          <w:szCs w:val="32"/>
        </w:rPr>
        <w:t>.</w:t>
      </w:r>
      <w:r>
        <w:rPr>
          <w:rFonts w:hint="eastAsia" w:ascii="仿宋" w:eastAsia="仿宋"/>
          <w:b/>
          <w:bCs/>
          <w:sz w:val="32"/>
          <w:szCs w:val="32"/>
        </w:rPr>
        <w:t>卫生健康</w:t>
      </w:r>
      <w:r>
        <w:rPr>
          <w:rStyle w:val="16"/>
          <w:rFonts w:hint="eastAsia" w:ascii="仿宋" w:eastAsia="仿宋"/>
          <w:b/>
          <w:bCs/>
          <w:sz w:val="32"/>
          <w:szCs w:val="32"/>
        </w:rPr>
        <w:t>（类）</w:t>
      </w:r>
      <w:r>
        <w:rPr>
          <w:rStyle w:val="16"/>
          <w:rFonts w:hint="eastAsia" w:ascii="仿宋" w:eastAsia="仿宋"/>
          <w:b/>
          <w:bCs/>
          <w:sz w:val="32"/>
          <w:szCs w:val="32"/>
          <w:lang w:val="en-US" w:eastAsia="zh-CN"/>
        </w:rPr>
        <w:t>210</w:t>
      </w:r>
      <w:r>
        <w:rPr>
          <w:rStyle w:val="16"/>
          <w:rFonts w:hint="eastAsia" w:ascii="仿宋" w:eastAsia="仿宋"/>
          <w:b/>
          <w:bCs/>
          <w:sz w:val="32"/>
          <w:szCs w:val="32"/>
        </w:rPr>
        <w:t>（款）</w:t>
      </w:r>
      <w:r>
        <w:rPr>
          <w:rStyle w:val="16"/>
          <w:rFonts w:hint="eastAsia" w:ascii="仿宋" w:eastAsia="仿宋"/>
          <w:b/>
          <w:bCs/>
          <w:sz w:val="32"/>
          <w:szCs w:val="32"/>
          <w:lang w:val="en-US" w:eastAsia="zh-CN"/>
        </w:rPr>
        <w:t>11</w:t>
      </w:r>
      <w:r>
        <w:rPr>
          <w:rStyle w:val="16"/>
          <w:rFonts w:hint="eastAsia" w:ascii="仿宋" w:eastAsia="仿宋"/>
          <w:b/>
          <w:bCs/>
          <w:sz w:val="32"/>
          <w:szCs w:val="32"/>
        </w:rPr>
        <w:t>（项）</w:t>
      </w:r>
      <w:r>
        <w:rPr>
          <w:rStyle w:val="16"/>
          <w:rFonts w:hint="eastAsia" w:ascii="仿宋" w:eastAsia="仿宋"/>
          <w:b/>
          <w:bCs/>
          <w:sz w:val="32"/>
          <w:szCs w:val="32"/>
          <w:lang w:val="en-US" w:eastAsia="zh-CN"/>
        </w:rPr>
        <w:t>03</w:t>
      </w:r>
      <w:r>
        <w:rPr>
          <w:rStyle w:val="16"/>
          <w:rFonts w:ascii="仿宋" w:eastAsia="仿宋"/>
          <w:b/>
          <w:bCs/>
          <w:sz w:val="32"/>
          <w:szCs w:val="32"/>
        </w:rPr>
        <w:t>:</w:t>
      </w:r>
      <w:r>
        <w:rPr>
          <w:rStyle w:val="16"/>
          <w:rFonts w:hint="eastAsia" w:ascii="仿宋" w:eastAsia="仿宋"/>
          <w:b w:val="0"/>
          <w:bCs/>
          <w:sz w:val="32"/>
          <w:szCs w:val="32"/>
        </w:rPr>
        <w:t>支出决算为</w:t>
      </w:r>
      <w:r>
        <w:rPr>
          <w:rStyle w:val="16"/>
          <w:rFonts w:hint="eastAsia" w:ascii="仿宋" w:eastAsia="仿宋"/>
          <w:b w:val="0"/>
          <w:bCs/>
          <w:sz w:val="32"/>
          <w:szCs w:val="32"/>
          <w:lang w:val="en-US" w:eastAsia="zh-CN"/>
        </w:rPr>
        <w:t>4.71</w:t>
      </w:r>
      <w:r>
        <w:rPr>
          <w:rStyle w:val="16"/>
          <w:rFonts w:hint="eastAsia" w:ascii="仿宋" w:eastAsia="仿宋"/>
          <w:b w:val="0"/>
          <w:bCs/>
          <w:sz w:val="32"/>
          <w:szCs w:val="32"/>
        </w:rPr>
        <w:t>万元，完成预算</w:t>
      </w:r>
      <w:r>
        <w:rPr>
          <w:rStyle w:val="16"/>
          <w:rFonts w:hint="eastAsia" w:ascii="仿宋" w:eastAsia="仿宋"/>
          <w:b w:val="0"/>
          <w:bCs/>
          <w:sz w:val="32"/>
          <w:szCs w:val="32"/>
          <w:lang w:val="en-US" w:eastAsia="zh-CN"/>
        </w:rPr>
        <w:t>100</w:t>
      </w:r>
      <w:r>
        <w:rPr>
          <w:rStyle w:val="16"/>
          <w:rFonts w:ascii="仿宋" w:eastAsia="仿宋"/>
          <w:b w:val="0"/>
          <w:bCs/>
          <w:sz w:val="32"/>
          <w:szCs w:val="32"/>
        </w:rPr>
        <w:t>%</w:t>
      </w:r>
      <w:r>
        <w:rPr>
          <w:rStyle w:val="16"/>
          <w:rFonts w:hint="eastAsia" w:ascii="仿宋" w:eastAsia="仿宋"/>
          <w:b w:val="0"/>
          <w:bCs/>
          <w:sz w:val="32"/>
          <w:szCs w:val="32"/>
        </w:rPr>
        <w:t>。</w:t>
      </w:r>
    </w:p>
    <w:p w14:paraId="36428F5C">
      <w:pPr>
        <w:pStyle w:val="2"/>
        <w:ind w:left="0" w:leftChars="0" w:firstLine="643" w:firstLineChars="200"/>
        <w:rPr>
          <w:rStyle w:val="16"/>
          <w:rFonts w:hint="eastAsia" w:ascii="仿宋" w:eastAsia="仿宋"/>
          <w:b w:val="0"/>
          <w:bCs/>
          <w:sz w:val="32"/>
          <w:szCs w:val="32"/>
        </w:rPr>
      </w:pPr>
      <w:r>
        <w:rPr>
          <w:rFonts w:hint="eastAsia" w:ascii="仿宋" w:eastAsia="仿宋"/>
          <w:b/>
          <w:bCs/>
          <w:sz w:val="32"/>
          <w:szCs w:val="32"/>
          <w:lang w:val="en-US" w:eastAsia="zh-CN"/>
        </w:rPr>
        <w:t>9.</w:t>
      </w:r>
      <w:r>
        <w:rPr>
          <w:rFonts w:hint="eastAsia" w:ascii="仿宋" w:eastAsia="仿宋"/>
          <w:b/>
          <w:bCs/>
          <w:sz w:val="32"/>
          <w:szCs w:val="32"/>
        </w:rPr>
        <w:t>住房保障</w:t>
      </w:r>
      <w:r>
        <w:rPr>
          <w:rStyle w:val="16"/>
          <w:rFonts w:hint="eastAsia" w:ascii="仿宋" w:eastAsia="仿宋"/>
          <w:b/>
          <w:bCs/>
          <w:sz w:val="32"/>
          <w:szCs w:val="32"/>
        </w:rPr>
        <w:t>（类）</w:t>
      </w:r>
      <w:r>
        <w:rPr>
          <w:rStyle w:val="16"/>
          <w:rFonts w:hint="eastAsia" w:ascii="仿宋" w:eastAsia="仿宋"/>
          <w:b/>
          <w:bCs/>
          <w:sz w:val="32"/>
          <w:szCs w:val="32"/>
          <w:lang w:val="en-US" w:eastAsia="zh-CN"/>
        </w:rPr>
        <w:t>221</w:t>
      </w:r>
      <w:r>
        <w:rPr>
          <w:rStyle w:val="16"/>
          <w:rFonts w:hint="eastAsia" w:ascii="仿宋" w:eastAsia="仿宋"/>
          <w:b/>
          <w:bCs/>
          <w:sz w:val="32"/>
          <w:szCs w:val="32"/>
        </w:rPr>
        <w:t>（款）</w:t>
      </w:r>
      <w:r>
        <w:rPr>
          <w:rStyle w:val="16"/>
          <w:rFonts w:hint="eastAsia" w:ascii="仿宋" w:eastAsia="仿宋"/>
          <w:b/>
          <w:bCs/>
          <w:sz w:val="32"/>
          <w:szCs w:val="32"/>
          <w:lang w:val="en-US" w:eastAsia="zh-CN"/>
        </w:rPr>
        <w:t>02</w:t>
      </w:r>
      <w:r>
        <w:rPr>
          <w:rStyle w:val="16"/>
          <w:rFonts w:hint="eastAsia" w:ascii="仿宋" w:eastAsia="仿宋"/>
          <w:b/>
          <w:bCs/>
          <w:sz w:val="32"/>
          <w:szCs w:val="32"/>
        </w:rPr>
        <w:t>（项）</w:t>
      </w:r>
      <w:r>
        <w:rPr>
          <w:rStyle w:val="16"/>
          <w:rFonts w:hint="eastAsia" w:ascii="仿宋" w:eastAsia="仿宋"/>
          <w:b/>
          <w:bCs/>
          <w:sz w:val="32"/>
          <w:szCs w:val="32"/>
          <w:lang w:val="en-US" w:eastAsia="zh-CN"/>
        </w:rPr>
        <w:t>01</w:t>
      </w:r>
      <w:r>
        <w:rPr>
          <w:rStyle w:val="16"/>
          <w:rFonts w:ascii="仿宋" w:eastAsia="仿宋"/>
          <w:b/>
          <w:bCs/>
          <w:sz w:val="32"/>
          <w:szCs w:val="32"/>
        </w:rPr>
        <w:t>:</w:t>
      </w:r>
      <w:r>
        <w:rPr>
          <w:rStyle w:val="16"/>
          <w:rFonts w:hint="eastAsia" w:ascii="仿宋" w:eastAsia="仿宋"/>
          <w:b w:val="0"/>
          <w:bCs/>
          <w:sz w:val="32"/>
          <w:szCs w:val="32"/>
        </w:rPr>
        <w:t>支出决算为</w:t>
      </w:r>
      <w:r>
        <w:rPr>
          <w:rStyle w:val="16"/>
          <w:rFonts w:hint="eastAsia" w:ascii="仿宋" w:eastAsia="仿宋"/>
          <w:b w:val="0"/>
          <w:bCs/>
          <w:sz w:val="32"/>
          <w:szCs w:val="32"/>
          <w:lang w:val="en-US" w:eastAsia="zh-CN"/>
        </w:rPr>
        <w:t>22.36</w:t>
      </w:r>
      <w:r>
        <w:rPr>
          <w:rStyle w:val="16"/>
          <w:rFonts w:hint="eastAsia" w:ascii="仿宋" w:eastAsia="仿宋"/>
          <w:b w:val="0"/>
          <w:bCs/>
          <w:sz w:val="32"/>
          <w:szCs w:val="32"/>
        </w:rPr>
        <w:t>万元，完成预算</w:t>
      </w:r>
      <w:r>
        <w:rPr>
          <w:rStyle w:val="16"/>
          <w:rFonts w:hint="eastAsia" w:ascii="仿宋" w:eastAsia="仿宋"/>
          <w:b w:val="0"/>
          <w:bCs/>
          <w:sz w:val="32"/>
          <w:szCs w:val="32"/>
          <w:lang w:val="en-US" w:eastAsia="zh-CN"/>
        </w:rPr>
        <w:t>100</w:t>
      </w:r>
      <w:r>
        <w:rPr>
          <w:rStyle w:val="16"/>
          <w:rFonts w:ascii="仿宋" w:eastAsia="仿宋"/>
          <w:b w:val="0"/>
          <w:bCs/>
          <w:sz w:val="32"/>
          <w:szCs w:val="32"/>
        </w:rPr>
        <w:t>%</w:t>
      </w:r>
      <w:r>
        <w:rPr>
          <w:rStyle w:val="16"/>
          <w:rFonts w:hint="eastAsia" w:ascii="仿宋" w:eastAsia="仿宋"/>
          <w:b w:val="0"/>
          <w:bCs/>
          <w:sz w:val="32"/>
          <w:szCs w:val="32"/>
        </w:rPr>
        <w:t>。</w:t>
      </w:r>
    </w:p>
    <w:p w14:paraId="355B87FA">
      <w:pPr>
        <w:pStyle w:val="2"/>
        <w:ind w:left="0" w:leftChars="0" w:firstLine="643" w:firstLineChars="200"/>
        <w:rPr>
          <w:rStyle w:val="16"/>
          <w:rFonts w:hint="eastAsia" w:ascii="仿宋" w:eastAsia="仿宋"/>
          <w:b w:val="0"/>
          <w:bCs/>
          <w:sz w:val="32"/>
          <w:szCs w:val="32"/>
        </w:rPr>
      </w:pPr>
      <w:r>
        <w:rPr>
          <w:rFonts w:hint="eastAsia" w:ascii="仿宋" w:eastAsia="仿宋"/>
          <w:b/>
          <w:bCs/>
          <w:sz w:val="32"/>
          <w:szCs w:val="32"/>
          <w:lang w:val="en-US" w:eastAsia="zh-CN"/>
        </w:rPr>
        <w:t>10.</w:t>
      </w:r>
      <w:r>
        <w:rPr>
          <w:rFonts w:hint="eastAsia" w:ascii="仿宋" w:eastAsia="仿宋"/>
          <w:b/>
          <w:bCs/>
          <w:sz w:val="32"/>
          <w:szCs w:val="32"/>
        </w:rPr>
        <w:t>住房保障</w:t>
      </w:r>
      <w:r>
        <w:rPr>
          <w:rStyle w:val="16"/>
          <w:rFonts w:hint="eastAsia" w:ascii="仿宋" w:eastAsia="仿宋"/>
          <w:b/>
          <w:bCs/>
          <w:sz w:val="32"/>
          <w:szCs w:val="32"/>
        </w:rPr>
        <w:t>（类）</w:t>
      </w:r>
      <w:r>
        <w:rPr>
          <w:rStyle w:val="16"/>
          <w:rFonts w:hint="eastAsia" w:ascii="仿宋" w:eastAsia="仿宋"/>
          <w:b/>
          <w:bCs/>
          <w:sz w:val="32"/>
          <w:szCs w:val="32"/>
          <w:lang w:val="en-US" w:eastAsia="zh-CN"/>
        </w:rPr>
        <w:t>221</w:t>
      </w:r>
      <w:r>
        <w:rPr>
          <w:rStyle w:val="16"/>
          <w:rFonts w:hint="eastAsia" w:ascii="仿宋" w:eastAsia="仿宋"/>
          <w:b/>
          <w:bCs/>
          <w:sz w:val="32"/>
          <w:szCs w:val="32"/>
        </w:rPr>
        <w:t>（款）</w:t>
      </w:r>
      <w:r>
        <w:rPr>
          <w:rStyle w:val="16"/>
          <w:rFonts w:hint="eastAsia" w:ascii="仿宋" w:eastAsia="仿宋"/>
          <w:b/>
          <w:bCs/>
          <w:sz w:val="32"/>
          <w:szCs w:val="32"/>
          <w:lang w:val="en-US" w:eastAsia="zh-CN"/>
        </w:rPr>
        <w:t>02</w:t>
      </w:r>
      <w:r>
        <w:rPr>
          <w:rStyle w:val="16"/>
          <w:rFonts w:hint="eastAsia" w:ascii="仿宋" w:eastAsia="仿宋"/>
          <w:b/>
          <w:bCs/>
          <w:sz w:val="32"/>
          <w:szCs w:val="32"/>
        </w:rPr>
        <w:t>（项）</w:t>
      </w:r>
      <w:r>
        <w:rPr>
          <w:rStyle w:val="16"/>
          <w:rFonts w:hint="eastAsia" w:ascii="仿宋" w:eastAsia="仿宋"/>
          <w:b/>
          <w:bCs/>
          <w:sz w:val="32"/>
          <w:szCs w:val="32"/>
          <w:lang w:val="en-US" w:eastAsia="zh-CN"/>
        </w:rPr>
        <w:t>03</w:t>
      </w:r>
      <w:r>
        <w:rPr>
          <w:rStyle w:val="16"/>
          <w:rFonts w:ascii="仿宋" w:eastAsia="仿宋"/>
          <w:b/>
          <w:bCs/>
          <w:sz w:val="32"/>
          <w:szCs w:val="32"/>
        </w:rPr>
        <w:t>:</w:t>
      </w:r>
      <w:r>
        <w:rPr>
          <w:rStyle w:val="16"/>
          <w:rFonts w:hint="eastAsia" w:ascii="仿宋" w:eastAsia="仿宋"/>
          <w:b w:val="0"/>
          <w:bCs/>
          <w:sz w:val="32"/>
          <w:szCs w:val="32"/>
        </w:rPr>
        <w:t>支出决算为</w:t>
      </w:r>
      <w:r>
        <w:rPr>
          <w:rStyle w:val="16"/>
          <w:rFonts w:hint="eastAsia" w:ascii="仿宋" w:eastAsia="仿宋"/>
          <w:b w:val="0"/>
          <w:bCs/>
          <w:sz w:val="32"/>
          <w:szCs w:val="32"/>
          <w:lang w:val="en-US" w:eastAsia="zh-CN"/>
        </w:rPr>
        <w:t>1.2</w:t>
      </w:r>
      <w:r>
        <w:rPr>
          <w:rStyle w:val="16"/>
          <w:rFonts w:hint="eastAsia" w:ascii="仿宋" w:eastAsia="仿宋"/>
          <w:b w:val="0"/>
          <w:bCs/>
          <w:sz w:val="32"/>
          <w:szCs w:val="32"/>
        </w:rPr>
        <w:t>万元，完成预算</w:t>
      </w:r>
      <w:r>
        <w:rPr>
          <w:rStyle w:val="16"/>
          <w:rFonts w:hint="eastAsia" w:ascii="仿宋" w:eastAsia="仿宋"/>
          <w:b w:val="0"/>
          <w:bCs/>
          <w:sz w:val="32"/>
          <w:szCs w:val="32"/>
          <w:lang w:val="en-US" w:eastAsia="zh-CN"/>
        </w:rPr>
        <w:t>100</w:t>
      </w:r>
      <w:r>
        <w:rPr>
          <w:rStyle w:val="16"/>
          <w:rFonts w:ascii="仿宋" w:eastAsia="仿宋"/>
          <w:b w:val="0"/>
          <w:bCs/>
          <w:sz w:val="32"/>
          <w:szCs w:val="32"/>
        </w:rPr>
        <w:t>%</w:t>
      </w:r>
      <w:r>
        <w:rPr>
          <w:rStyle w:val="16"/>
          <w:rFonts w:hint="eastAsia" w:ascii="仿宋" w:eastAsia="仿宋"/>
          <w:b w:val="0"/>
          <w:bCs/>
          <w:sz w:val="32"/>
          <w:szCs w:val="32"/>
        </w:rPr>
        <w:t>。</w:t>
      </w:r>
    </w:p>
    <w:p w14:paraId="0C165039">
      <w:pPr>
        <w:spacing w:line="600" w:lineRule="exact"/>
        <w:ind w:firstLine="643" w:firstLineChars="200"/>
        <w:rPr>
          <w:rFonts w:ascii="仿宋" w:eastAsia="仿宋"/>
          <w:b/>
          <w:sz w:val="32"/>
          <w:szCs w:val="32"/>
        </w:rPr>
      </w:pPr>
      <w:r>
        <w:rPr>
          <w:rFonts w:hint="eastAsia" w:ascii="仿宋" w:eastAsia="仿宋"/>
          <w:b/>
          <w:sz w:val="32"/>
          <w:szCs w:val="32"/>
        </w:rPr>
        <w:t>（注：数据来源于财决</w:t>
      </w:r>
      <w:r>
        <w:rPr>
          <w:rFonts w:ascii="仿宋" w:eastAsia="仿宋"/>
          <w:b/>
          <w:sz w:val="32"/>
          <w:szCs w:val="32"/>
        </w:rPr>
        <w:t>0</w:t>
      </w:r>
      <w:r>
        <w:rPr>
          <w:rFonts w:hint="eastAsia" w:ascii="仿宋" w:eastAsia="仿宋"/>
          <w:b/>
          <w:sz w:val="32"/>
          <w:szCs w:val="32"/>
        </w:rPr>
        <w:t>1-1表和财决08表）</w:t>
      </w:r>
    </w:p>
    <w:p w14:paraId="1AC190D8">
      <w:pPr>
        <w:tabs>
          <w:tab w:val="right" w:pos="8306"/>
        </w:tabs>
        <w:spacing w:line="600" w:lineRule="exact"/>
        <w:ind w:firstLine="640"/>
        <w:outlineLvl w:val="1"/>
        <w:rPr>
          <w:rStyle w:val="19"/>
        </w:rPr>
      </w:pPr>
      <w:bookmarkStart w:id="79" w:name="_Toc30286"/>
      <w:bookmarkStart w:id="80" w:name="_Toc15377214"/>
      <w:bookmarkStart w:id="81" w:name="_Toc15396608"/>
      <w:r>
        <w:rPr>
          <w:rFonts w:hint="eastAsia" w:ascii="黑体" w:eastAsia="黑体"/>
          <w:sz w:val="32"/>
          <w:szCs w:val="32"/>
        </w:rPr>
        <w:t>六</w:t>
      </w:r>
      <w:r>
        <w:rPr>
          <w:rFonts w:hint="eastAsia" w:ascii="黑体" w:eastAsia="黑体"/>
          <w:b/>
          <w:sz w:val="32"/>
          <w:szCs w:val="32"/>
        </w:rPr>
        <w:t>、一</w:t>
      </w:r>
      <w:r>
        <w:rPr>
          <w:rStyle w:val="19"/>
          <w:rFonts w:hint="eastAsia" w:ascii="黑体" w:eastAsia="黑体"/>
          <w:b w:val="0"/>
        </w:rPr>
        <w:t>般公共预算财政拨款基本支出决算情况说明</w:t>
      </w:r>
      <w:bookmarkEnd w:id="79"/>
      <w:bookmarkEnd w:id="80"/>
      <w:bookmarkEnd w:id="81"/>
      <w:r>
        <w:rPr>
          <w:rStyle w:val="19"/>
          <w:rFonts w:ascii="黑体" w:eastAsia="黑体"/>
          <w:b w:val="0"/>
        </w:rPr>
        <w:tab/>
      </w:r>
    </w:p>
    <w:p w14:paraId="2BC2B5ED">
      <w:pPr>
        <w:spacing w:line="600" w:lineRule="exact"/>
        <w:ind w:firstLine="645"/>
        <w:rPr>
          <w:rFonts w:ascii="仿宋" w:eastAsia="仿宋"/>
          <w:sz w:val="32"/>
          <w:szCs w:val="32"/>
        </w:rPr>
      </w:pPr>
      <w:r>
        <w:rPr>
          <w:rFonts w:ascii="仿宋" w:eastAsia="仿宋"/>
          <w:sz w:val="32"/>
          <w:szCs w:val="32"/>
        </w:rPr>
        <w:t>20</w:t>
      </w:r>
      <w:r>
        <w:rPr>
          <w:rFonts w:hint="eastAsia" w:ascii="仿宋" w:eastAsia="仿宋"/>
          <w:sz w:val="32"/>
          <w:szCs w:val="32"/>
        </w:rPr>
        <w:t>21年一般公共预算财政拨款基本支出</w:t>
      </w:r>
      <w:r>
        <w:rPr>
          <w:rFonts w:hint="eastAsia" w:ascii="仿宋" w:eastAsia="仿宋"/>
          <w:sz w:val="32"/>
          <w:szCs w:val="32"/>
          <w:lang w:val="en-US" w:eastAsia="zh-CN"/>
        </w:rPr>
        <w:t>357.04</w:t>
      </w:r>
      <w:r>
        <w:rPr>
          <w:rFonts w:hint="eastAsia" w:ascii="仿宋" w:eastAsia="仿宋"/>
          <w:sz w:val="32"/>
          <w:szCs w:val="32"/>
        </w:rPr>
        <w:t>万元，其中：</w:t>
      </w:r>
    </w:p>
    <w:p w14:paraId="5D0A27B5">
      <w:pPr>
        <w:spacing w:line="600" w:lineRule="exact"/>
        <w:ind w:firstLine="645"/>
        <w:rPr>
          <w:rFonts w:hint="eastAsia" w:ascii="仿宋" w:eastAsia="仿宋"/>
          <w:sz w:val="32"/>
          <w:szCs w:val="32"/>
          <w:lang w:eastAsia="zh-CN"/>
        </w:rPr>
      </w:pPr>
      <w:r>
        <w:rPr>
          <w:rFonts w:hint="eastAsia" w:ascii="仿宋" w:eastAsia="仿宋"/>
          <w:sz w:val="32"/>
          <w:szCs w:val="32"/>
        </w:rPr>
        <w:t>人员经费</w:t>
      </w:r>
      <w:r>
        <w:rPr>
          <w:rFonts w:hint="eastAsia" w:ascii="仿宋" w:eastAsia="仿宋"/>
          <w:sz w:val="32"/>
          <w:szCs w:val="32"/>
          <w:lang w:val="en-US" w:eastAsia="zh-CN"/>
        </w:rPr>
        <w:t>314.62</w:t>
      </w:r>
      <w:r>
        <w:rPr>
          <w:rFonts w:hint="eastAsia" w:asci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0F0A08C6">
      <w:pPr>
        <w:spacing w:line="600" w:lineRule="exact"/>
        <w:ind w:firstLine="645"/>
        <w:rPr>
          <w:rFonts w:ascii="仿宋" w:eastAsia="仿宋"/>
          <w:sz w:val="32"/>
          <w:szCs w:val="32"/>
        </w:rPr>
      </w:pPr>
      <w:r>
        <w:rPr>
          <w:rFonts w:hint="eastAsia" w:ascii="仿宋" w:eastAsia="仿宋"/>
          <w:sz w:val="32"/>
          <w:szCs w:val="32"/>
        </w:rPr>
        <w:t>公用经费</w:t>
      </w:r>
      <w:r>
        <w:rPr>
          <w:rFonts w:hint="eastAsia" w:ascii="仿宋" w:eastAsia="仿宋"/>
          <w:sz w:val="32"/>
          <w:szCs w:val="32"/>
          <w:lang w:val="en-US" w:eastAsia="zh-CN"/>
        </w:rPr>
        <w:t>42.42</w:t>
      </w:r>
      <w:r>
        <w:rPr>
          <w:rFonts w:hint="eastAsia" w:asci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54968AE">
      <w:pPr>
        <w:spacing w:line="600" w:lineRule="exact"/>
        <w:ind w:firstLine="645"/>
        <w:rPr>
          <w:rFonts w:ascii="仿宋" w:eastAsia="仿宋"/>
          <w:b/>
          <w:sz w:val="32"/>
          <w:szCs w:val="32"/>
        </w:rPr>
      </w:pPr>
      <w:r>
        <w:rPr>
          <w:rFonts w:hint="eastAsia" w:ascii="仿宋" w:eastAsia="仿宋"/>
          <w:b/>
          <w:sz w:val="32"/>
          <w:szCs w:val="32"/>
        </w:rPr>
        <w:t>（注：数据来源于财决</w:t>
      </w:r>
      <w:r>
        <w:rPr>
          <w:rFonts w:ascii="仿宋" w:eastAsia="仿宋"/>
          <w:b/>
          <w:sz w:val="32"/>
          <w:szCs w:val="32"/>
        </w:rPr>
        <w:t>0</w:t>
      </w:r>
      <w:r>
        <w:rPr>
          <w:rFonts w:hint="eastAsia" w:ascii="仿宋" w:eastAsia="仿宋"/>
          <w:b/>
          <w:sz w:val="32"/>
          <w:szCs w:val="32"/>
        </w:rPr>
        <w:t>7表和财决08-1表）</w:t>
      </w:r>
    </w:p>
    <w:p w14:paraId="21F5F648">
      <w:pPr>
        <w:spacing w:line="600" w:lineRule="exact"/>
        <w:ind w:firstLine="640"/>
        <w:outlineLvl w:val="1"/>
        <w:rPr>
          <w:rStyle w:val="19"/>
          <w:rFonts w:ascii="黑体" w:eastAsia="黑体"/>
          <w:b w:val="0"/>
        </w:rPr>
      </w:pPr>
      <w:bookmarkStart w:id="82" w:name="_Toc2658"/>
      <w:bookmarkStart w:id="83" w:name="_Toc15396609"/>
      <w:bookmarkStart w:id="84" w:name="_Toc15377215"/>
      <w:r>
        <w:rPr>
          <w:rFonts w:hint="eastAsia" w:ascii="黑体" w:eastAsia="黑体"/>
          <w:sz w:val="32"/>
          <w:szCs w:val="32"/>
        </w:rPr>
        <w:t>七、</w:t>
      </w:r>
      <w:r>
        <w:rPr>
          <w:rStyle w:val="19"/>
          <w:rFonts w:hint="eastAsia" w:ascii="黑体" w:eastAsia="黑体"/>
        </w:rPr>
        <w:t>“</w:t>
      </w:r>
      <w:r>
        <w:rPr>
          <w:rStyle w:val="19"/>
          <w:rFonts w:hint="eastAsia" w:ascii="黑体" w:eastAsia="黑体"/>
          <w:b w:val="0"/>
        </w:rPr>
        <w:t>三公”经费财政拨款支出决算情况说明</w:t>
      </w:r>
      <w:bookmarkEnd w:id="82"/>
      <w:bookmarkEnd w:id="83"/>
      <w:bookmarkEnd w:id="84"/>
    </w:p>
    <w:p w14:paraId="7FEEDA38">
      <w:pPr>
        <w:spacing w:line="600" w:lineRule="exact"/>
        <w:ind w:firstLine="640"/>
        <w:outlineLvl w:val="2"/>
        <w:rPr>
          <w:rFonts w:ascii="仿宋" w:eastAsia="仿宋"/>
          <w:b/>
          <w:sz w:val="32"/>
          <w:szCs w:val="32"/>
        </w:rPr>
      </w:pPr>
      <w:bookmarkStart w:id="85" w:name="_Toc15377216"/>
      <w:r>
        <w:rPr>
          <w:rFonts w:hint="eastAsia" w:ascii="仿宋" w:eastAsia="仿宋"/>
          <w:b/>
          <w:sz w:val="32"/>
          <w:szCs w:val="32"/>
        </w:rPr>
        <w:t>（一）“三公”经费财政拨款支出决算总体情况说明</w:t>
      </w:r>
      <w:bookmarkEnd w:id="85"/>
    </w:p>
    <w:p w14:paraId="153C4440">
      <w:pPr>
        <w:spacing w:line="600" w:lineRule="exact"/>
        <w:ind w:firstLine="640"/>
        <w:rPr>
          <w:rFonts w:ascii="仿宋" w:eastAsia="仿宋"/>
          <w:sz w:val="32"/>
          <w:szCs w:val="32"/>
        </w:rPr>
      </w:pPr>
      <w:r>
        <w:rPr>
          <w:rFonts w:ascii="仿宋" w:eastAsia="仿宋"/>
          <w:sz w:val="32"/>
          <w:szCs w:val="32"/>
        </w:rPr>
        <w:t>20</w:t>
      </w:r>
      <w:r>
        <w:rPr>
          <w:rFonts w:hint="eastAsia" w:ascii="仿宋" w:eastAsia="仿宋"/>
          <w:sz w:val="32"/>
          <w:szCs w:val="32"/>
        </w:rPr>
        <w:t>21年“三公”经费财政拨款支出决算为</w:t>
      </w:r>
      <w:r>
        <w:rPr>
          <w:rFonts w:hint="eastAsia" w:ascii="仿宋" w:eastAsia="仿宋"/>
          <w:sz w:val="32"/>
          <w:szCs w:val="32"/>
          <w:lang w:val="en-US" w:eastAsia="zh-CN"/>
        </w:rPr>
        <w:t>26.72</w:t>
      </w:r>
      <w:r>
        <w:rPr>
          <w:rFonts w:hint="eastAsia" w:ascii="仿宋" w:eastAsia="仿宋"/>
          <w:sz w:val="32"/>
          <w:szCs w:val="32"/>
        </w:rPr>
        <w:t>万元，完成预算</w:t>
      </w:r>
      <w:r>
        <w:rPr>
          <w:rFonts w:hint="eastAsia" w:ascii="仿宋" w:eastAsia="仿宋"/>
          <w:sz w:val="32"/>
          <w:szCs w:val="32"/>
          <w:lang w:val="en-US" w:eastAsia="zh-CN"/>
        </w:rPr>
        <w:t>100</w:t>
      </w:r>
      <w:r>
        <w:rPr>
          <w:rFonts w:ascii="仿宋" w:eastAsia="仿宋"/>
          <w:sz w:val="32"/>
          <w:szCs w:val="32"/>
        </w:rPr>
        <w:t>%</w:t>
      </w:r>
      <w:r>
        <w:rPr>
          <w:rFonts w:hint="eastAsia" w:ascii="仿宋" w:eastAsia="仿宋"/>
          <w:sz w:val="32"/>
          <w:szCs w:val="32"/>
        </w:rPr>
        <w:t>，决算数与预算数持平。</w:t>
      </w:r>
    </w:p>
    <w:p w14:paraId="303107E1">
      <w:pPr>
        <w:spacing w:line="600" w:lineRule="exact"/>
        <w:ind w:firstLine="640"/>
        <w:rPr>
          <w:rFonts w:ascii="仿宋" w:eastAsia="仿宋"/>
          <w:b/>
          <w:sz w:val="32"/>
          <w:szCs w:val="32"/>
        </w:rPr>
      </w:pPr>
      <w:r>
        <w:rPr>
          <w:rFonts w:hint="eastAsia" w:ascii="仿宋" w:eastAsia="仿宋"/>
          <w:b/>
          <w:sz w:val="32"/>
          <w:szCs w:val="32"/>
        </w:rPr>
        <w:t>（注：上述“预算”口径为调整预算数。）</w:t>
      </w:r>
    </w:p>
    <w:p w14:paraId="2B35CF0A">
      <w:pPr>
        <w:spacing w:line="600" w:lineRule="exact"/>
        <w:ind w:firstLine="640"/>
        <w:outlineLvl w:val="2"/>
        <w:rPr>
          <w:rFonts w:ascii="仿宋" w:eastAsia="仿宋"/>
          <w:b/>
          <w:sz w:val="32"/>
          <w:szCs w:val="32"/>
        </w:rPr>
      </w:pPr>
      <w:bookmarkStart w:id="86" w:name="_Toc15377217"/>
      <w:r>
        <w:rPr>
          <w:rFonts w:hint="eastAsia" w:ascii="仿宋" w:eastAsia="仿宋"/>
          <w:b/>
          <w:sz w:val="32"/>
          <w:szCs w:val="32"/>
        </w:rPr>
        <w:t>（二）“三公”经费财政拨款支出决算具体情况说明</w:t>
      </w:r>
      <w:bookmarkEnd w:id="86"/>
    </w:p>
    <w:p w14:paraId="32791B74">
      <w:pPr>
        <w:spacing w:line="600" w:lineRule="exact"/>
        <w:ind w:firstLine="640"/>
        <w:rPr>
          <w:rFonts w:ascii="仿宋" w:eastAsia="仿宋"/>
          <w:sz w:val="32"/>
          <w:szCs w:val="32"/>
        </w:rPr>
      </w:pPr>
      <w:r>
        <w:rPr>
          <w:rFonts w:ascii="仿宋" w:eastAsia="仿宋"/>
          <w:sz w:val="32"/>
          <w:szCs w:val="32"/>
        </w:rPr>
        <w:t>20</w:t>
      </w:r>
      <w:r>
        <w:rPr>
          <w:rFonts w:hint="eastAsia" w:ascii="仿宋" w:eastAsia="仿宋"/>
          <w:sz w:val="32"/>
          <w:szCs w:val="32"/>
        </w:rPr>
        <w:t>21年“三公”经费财政拨款支出决算中，因公出国（境）费支出决算</w:t>
      </w:r>
      <w:r>
        <w:rPr>
          <w:rFonts w:hint="eastAsia" w:ascii="仿宋" w:eastAsia="仿宋"/>
          <w:sz w:val="32"/>
          <w:szCs w:val="32"/>
          <w:lang w:val="en-US" w:eastAsia="zh-CN"/>
        </w:rPr>
        <w:t>0</w:t>
      </w:r>
      <w:r>
        <w:rPr>
          <w:rFonts w:hint="eastAsia" w:ascii="仿宋" w:eastAsia="仿宋"/>
          <w:sz w:val="32"/>
          <w:szCs w:val="32"/>
        </w:rPr>
        <w:t>万元，占</w:t>
      </w:r>
      <w:r>
        <w:rPr>
          <w:rFonts w:hint="eastAsia" w:ascii="仿宋" w:eastAsia="仿宋"/>
          <w:sz w:val="32"/>
          <w:szCs w:val="32"/>
          <w:lang w:val="en-US" w:eastAsia="zh-CN"/>
        </w:rPr>
        <w:t>0</w:t>
      </w:r>
      <w:r>
        <w:rPr>
          <w:rFonts w:ascii="仿宋" w:eastAsia="仿宋"/>
          <w:sz w:val="32"/>
          <w:szCs w:val="32"/>
        </w:rPr>
        <w:t>%</w:t>
      </w:r>
      <w:r>
        <w:rPr>
          <w:rFonts w:hint="eastAsia" w:ascii="仿宋" w:eastAsia="仿宋"/>
          <w:sz w:val="32"/>
          <w:szCs w:val="32"/>
        </w:rPr>
        <w:t>；公务用车购置及运行维护费支出决算</w:t>
      </w:r>
      <w:r>
        <w:rPr>
          <w:rFonts w:hint="eastAsia" w:ascii="仿宋" w:eastAsia="仿宋"/>
          <w:sz w:val="32"/>
          <w:szCs w:val="32"/>
          <w:lang w:val="en-US" w:eastAsia="zh-CN"/>
        </w:rPr>
        <w:t>26.19</w:t>
      </w:r>
      <w:r>
        <w:rPr>
          <w:rFonts w:hint="eastAsia" w:ascii="仿宋" w:eastAsia="仿宋"/>
          <w:sz w:val="32"/>
          <w:szCs w:val="32"/>
        </w:rPr>
        <w:t>万元，占</w:t>
      </w:r>
      <w:r>
        <w:rPr>
          <w:rFonts w:hint="eastAsia" w:ascii="仿宋" w:eastAsia="仿宋"/>
          <w:sz w:val="32"/>
          <w:szCs w:val="32"/>
          <w:lang w:val="en-US" w:eastAsia="zh-CN"/>
        </w:rPr>
        <w:t>98.02</w:t>
      </w:r>
      <w:r>
        <w:rPr>
          <w:rFonts w:ascii="仿宋" w:eastAsia="仿宋"/>
          <w:sz w:val="32"/>
          <w:szCs w:val="32"/>
        </w:rPr>
        <w:t>%</w:t>
      </w:r>
      <w:r>
        <w:rPr>
          <w:rFonts w:hint="eastAsia" w:ascii="仿宋" w:eastAsia="仿宋"/>
          <w:sz w:val="32"/>
          <w:szCs w:val="32"/>
        </w:rPr>
        <w:t>；公务接待费支出决算</w:t>
      </w:r>
      <w:r>
        <w:rPr>
          <w:rFonts w:hint="eastAsia" w:ascii="仿宋" w:eastAsia="仿宋"/>
          <w:sz w:val="32"/>
          <w:szCs w:val="32"/>
          <w:lang w:val="en-US" w:eastAsia="zh-CN"/>
        </w:rPr>
        <w:t>0.53</w:t>
      </w:r>
      <w:r>
        <w:rPr>
          <w:rFonts w:hint="eastAsia" w:ascii="仿宋" w:eastAsia="仿宋"/>
          <w:sz w:val="32"/>
          <w:szCs w:val="32"/>
        </w:rPr>
        <w:t>万元，占</w:t>
      </w:r>
      <w:r>
        <w:rPr>
          <w:rFonts w:hint="eastAsia" w:ascii="仿宋" w:eastAsia="仿宋"/>
          <w:sz w:val="32"/>
          <w:szCs w:val="32"/>
          <w:lang w:val="en-US" w:eastAsia="zh-CN"/>
        </w:rPr>
        <w:t>1.98</w:t>
      </w:r>
      <w:r>
        <w:rPr>
          <w:rFonts w:ascii="仿宋" w:eastAsia="仿宋"/>
          <w:sz w:val="32"/>
          <w:szCs w:val="32"/>
        </w:rPr>
        <w:t>%</w:t>
      </w:r>
      <w:r>
        <w:rPr>
          <w:rFonts w:hint="eastAsia" w:ascii="仿宋" w:eastAsia="仿宋"/>
          <w:sz w:val="32"/>
          <w:szCs w:val="32"/>
        </w:rPr>
        <w:t>。具体情况如下：</w:t>
      </w:r>
    </w:p>
    <w:p w14:paraId="59D6D3F5">
      <w:pPr>
        <w:spacing w:line="600" w:lineRule="exact"/>
        <w:ind w:firstLine="640"/>
        <w:rPr>
          <w:rFonts w:ascii="仿宋" w:eastAsia="仿宋"/>
          <w:sz w:val="32"/>
          <w:szCs w:val="32"/>
        </w:rPr>
      </w:pPr>
      <w:r>
        <w:rPr>
          <w:rFonts w:hint="eastAsia" w:ascii="仿宋" w:eastAsia="仿宋"/>
          <w:sz w:val="32"/>
          <w:szCs w:val="32"/>
        </w:rPr>
        <w:t>（图7：“三公”经费财政拨款支出结构）（饼状图）</w:t>
      </w:r>
    </w:p>
    <w:p w14:paraId="5A09CC8C">
      <w:pPr>
        <w:spacing w:line="600" w:lineRule="exact"/>
        <w:ind w:firstLine="640"/>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w:t>
      </w:r>
      <w:r>
        <w:rPr>
          <w:rFonts w:hint="eastAsia" w:ascii="仿宋_GB2312" w:eastAsia="仿宋_GB2312"/>
          <w:sz w:val="32"/>
          <w:szCs w:val="32"/>
          <w:lang w:val="en-US" w:eastAsia="zh-CN"/>
        </w:rPr>
        <w:t>0</w:t>
      </w:r>
      <w:r>
        <w:rPr>
          <w:rFonts w:hint="eastAsia" w:ascii="仿宋_GB2312" w:eastAsia="仿宋_GB2312"/>
          <w:sz w:val="32"/>
          <w:szCs w:val="32"/>
        </w:rPr>
        <w:t>万元，</w:t>
      </w:r>
      <w:r>
        <w:rPr>
          <w:rStyle w:val="16"/>
          <w:rFonts w:hint="eastAsia" w:ascii="仿宋" w:eastAsia="仿宋"/>
          <w:b w:val="0"/>
          <w:bCs/>
          <w:sz w:val="32"/>
          <w:szCs w:val="32"/>
        </w:rPr>
        <w:t>完成预算</w:t>
      </w:r>
      <w:r>
        <w:rPr>
          <w:rStyle w:val="16"/>
          <w:rFonts w:hint="eastAsia" w:ascii="仿宋" w:eastAsia="仿宋"/>
          <w:b w:val="0"/>
          <w:bCs/>
          <w:sz w:val="32"/>
          <w:szCs w:val="32"/>
          <w:lang w:val="en-US" w:eastAsia="zh-CN"/>
        </w:rPr>
        <w:t>0</w:t>
      </w:r>
      <w:r>
        <w:rPr>
          <w:rStyle w:val="16"/>
          <w:rFonts w:ascii="仿宋" w:eastAsia="仿宋"/>
          <w:b w:val="0"/>
          <w:bCs/>
          <w:sz w:val="32"/>
          <w:szCs w:val="32"/>
        </w:rPr>
        <w:t>%</w:t>
      </w:r>
      <w:r>
        <w:rPr>
          <w:rStyle w:val="16"/>
          <w:rFonts w:hint="eastAsia" w:ascii="仿宋" w:eastAsia="仿宋"/>
          <w:b w:val="0"/>
          <w:bCs/>
          <w:sz w:val="32"/>
          <w:szCs w:val="32"/>
        </w:rPr>
        <w:t>。</w:t>
      </w:r>
      <w:r>
        <w:rPr>
          <w:rFonts w:hint="eastAsia" w:ascii="仿宋_GB2312" w:eastAsia="仿宋_GB2312"/>
          <w:sz w:val="32"/>
          <w:szCs w:val="32"/>
        </w:rPr>
        <w:t>全年安排因公出国（境）团组</w:t>
      </w:r>
      <w:r>
        <w:rPr>
          <w:rFonts w:hint="eastAsia" w:ascii="仿宋_GB2312" w:eastAsia="仿宋_GB2312"/>
          <w:sz w:val="32"/>
          <w:szCs w:val="32"/>
          <w:lang w:val="en-US" w:eastAsia="zh-CN"/>
        </w:rPr>
        <w:t>0</w:t>
      </w:r>
      <w:r>
        <w:rPr>
          <w:rFonts w:hint="eastAsia" w:ascii="仿宋_GB2312" w:eastAsia="仿宋_GB2312"/>
          <w:sz w:val="32"/>
          <w:szCs w:val="32"/>
        </w:rPr>
        <w:t>次，出国（境）</w:t>
      </w:r>
      <w:r>
        <w:rPr>
          <w:rFonts w:hint="eastAsia" w:ascii="仿宋_GB2312" w:eastAsia="仿宋_GB2312"/>
          <w:sz w:val="32"/>
          <w:szCs w:val="32"/>
          <w:lang w:val="en-US" w:eastAsia="zh-CN"/>
        </w:rPr>
        <w:t>0</w:t>
      </w:r>
      <w:r>
        <w:rPr>
          <w:rFonts w:hint="eastAsia" w:ascii="仿宋_GB2312" w:eastAsia="仿宋_GB2312"/>
          <w:sz w:val="32"/>
          <w:szCs w:val="32"/>
        </w:rPr>
        <w:t>人。因公出国（境）支出决算比</w:t>
      </w:r>
      <w:r>
        <w:rPr>
          <w:rFonts w:ascii="仿宋_GB2312" w:eastAsia="仿宋_GB2312"/>
          <w:sz w:val="32"/>
          <w:szCs w:val="32"/>
        </w:rPr>
        <w:t>20</w:t>
      </w:r>
      <w:r>
        <w:rPr>
          <w:rFonts w:hint="eastAsia" w:ascii="仿宋_GB2312" w:eastAsia="仿宋_GB2312"/>
          <w:sz w:val="32"/>
          <w:szCs w:val="32"/>
        </w:rPr>
        <w:t>20年增加</w:t>
      </w:r>
      <w:r>
        <w:rPr>
          <w:rFonts w:ascii="仿宋_GB2312" w:eastAsia="仿宋_GB2312"/>
          <w:sz w:val="32"/>
          <w:szCs w:val="32"/>
        </w:rPr>
        <w:t>/</w:t>
      </w:r>
      <w:r>
        <w:rPr>
          <w:rFonts w:hint="eastAsia" w:ascii="仿宋_GB2312" w:eastAsia="仿宋_GB2312"/>
          <w:sz w:val="32"/>
          <w:szCs w:val="32"/>
        </w:rPr>
        <w:t>减少</w:t>
      </w:r>
      <w:r>
        <w:rPr>
          <w:rFonts w:hint="eastAsia" w:ascii="仿宋_GB2312" w:eastAsia="仿宋_GB2312"/>
          <w:sz w:val="32"/>
          <w:szCs w:val="32"/>
          <w:lang w:val="en-US" w:eastAsia="zh-CN"/>
        </w:rPr>
        <w:t>0</w:t>
      </w:r>
      <w:r>
        <w:rPr>
          <w:rFonts w:hint="eastAsia" w:ascii="仿宋_GB2312" w:eastAsia="仿宋_GB2312"/>
          <w:sz w:val="32"/>
          <w:szCs w:val="32"/>
        </w:rPr>
        <w:t>万元，增长</w:t>
      </w:r>
      <w:r>
        <w:rPr>
          <w:rFonts w:ascii="仿宋_GB2312" w:eastAsia="仿宋_GB2312"/>
          <w:sz w:val="32"/>
          <w:szCs w:val="32"/>
        </w:rPr>
        <w:t>/</w:t>
      </w:r>
      <w:r>
        <w:rPr>
          <w:rFonts w:hint="eastAsia" w:ascii="仿宋_GB2312" w:eastAsia="仿宋_GB2312"/>
          <w:sz w:val="32"/>
          <w:szCs w:val="32"/>
        </w:rPr>
        <w:t>下降</w:t>
      </w:r>
      <w:r>
        <w:rPr>
          <w:rFonts w:hint="eastAsia" w:ascii="仿宋_GB2312" w:eastAsia="仿宋_GB2312"/>
          <w:sz w:val="32"/>
          <w:szCs w:val="32"/>
          <w:lang w:val="en-US" w:eastAsia="zh-CN"/>
        </w:rPr>
        <w:t>0</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val="en-US" w:eastAsia="zh-CN"/>
        </w:rPr>
        <w:t>本年度未安排出国出境</w:t>
      </w:r>
      <w:r>
        <w:rPr>
          <w:rFonts w:hint="eastAsia" w:ascii="仿宋_GB2312" w:eastAsia="仿宋_GB2312"/>
          <w:sz w:val="32"/>
          <w:szCs w:val="32"/>
        </w:rPr>
        <w:t>。</w:t>
      </w:r>
    </w:p>
    <w:p w14:paraId="6B2D6FAB">
      <w:pPr>
        <w:spacing w:line="600" w:lineRule="exact"/>
        <w:ind w:firstLine="640"/>
        <w:rPr>
          <w:rFonts w:hint="default" w:ascii="仿宋_GB2312" w:eastAsia="仿宋_GB2312"/>
          <w:b/>
          <w:sz w:val="32"/>
          <w:szCs w:val="32"/>
          <w:lang w:val="en-US"/>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hint="eastAsia" w:ascii="仿宋_GB2312" w:eastAsia="仿宋_GB2312"/>
          <w:sz w:val="32"/>
          <w:szCs w:val="32"/>
          <w:lang w:val="en-US" w:eastAsia="zh-CN"/>
        </w:rPr>
        <w:t>26.19</w:t>
      </w:r>
      <w:r>
        <w:rPr>
          <w:rFonts w:hint="eastAsia" w:ascii="仿宋_GB2312" w:eastAsia="仿宋_GB2312"/>
          <w:sz w:val="32"/>
          <w:szCs w:val="32"/>
        </w:rPr>
        <w:t>万元,</w:t>
      </w:r>
      <w:r>
        <w:rPr>
          <w:rStyle w:val="16"/>
          <w:rFonts w:hint="eastAsia" w:ascii="仿宋" w:eastAsia="仿宋"/>
          <w:b w:val="0"/>
          <w:bCs/>
          <w:sz w:val="32"/>
          <w:szCs w:val="32"/>
        </w:rPr>
        <w:t>完成预算</w:t>
      </w:r>
      <w:r>
        <w:rPr>
          <w:rStyle w:val="16"/>
          <w:rFonts w:hint="eastAsia" w:ascii="仿宋" w:eastAsia="仿宋"/>
          <w:b w:val="0"/>
          <w:bCs/>
          <w:sz w:val="32"/>
          <w:szCs w:val="32"/>
          <w:lang w:val="en-US" w:eastAsia="zh-CN"/>
        </w:rPr>
        <w:t>100</w:t>
      </w:r>
      <w:r>
        <w:rPr>
          <w:rStyle w:val="16"/>
          <w:rFonts w:ascii="仿宋" w:eastAsia="仿宋"/>
          <w:b w:val="0"/>
          <w:bCs/>
          <w:sz w:val="32"/>
          <w:szCs w:val="32"/>
        </w:rPr>
        <w:t>%</w:t>
      </w:r>
      <w:r>
        <w:rPr>
          <w:rStyle w:val="16"/>
          <w:rFonts w:hint="eastAsia" w:ascii="仿宋" w:eastAsia="仿宋"/>
          <w:b w:val="0"/>
          <w:bCs/>
          <w:sz w:val="32"/>
          <w:szCs w:val="32"/>
        </w:rPr>
        <w:t>。</w:t>
      </w:r>
      <w:r>
        <w:rPr>
          <w:rFonts w:hint="eastAsia" w:ascii="仿宋_GB2312" w:eastAsia="仿宋_GB2312"/>
          <w:sz w:val="32"/>
          <w:szCs w:val="32"/>
        </w:rPr>
        <w:t>公务用车购置及运行维护费支出决算比</w:t>
      </w:r>
      <w:r>
        <w:rPr>
          <w:rFonts w:ascii="仿宋_GB2312" w:eastAsia="仿宋_GB2312"/>
          <w:sz w:val="32"/>
          <w:szCs w:val="32"/>
        </w:rPr>
        <w:t>20</w:t>
      </w:r>
      <w:r>
        <w:rPr>
          <w:rFonts w:hint="eastAsia" w:ascii="仿宋_GB2312" w:eastAsia="仿宋_GB2312"/>
          <w:sz w:val="32"/>
          <w:szCs w:val="32"/>
        </w:rPr>
        <w:t>20年增加</w:t>
      </w:r>
      <w:r>
        <w:rPr>
          <w:rFonts w:hint="eastAsia" w:ascii="仿宋_GB2312" w:eastAsia="仿宋_GB2312"/>
          <w:sz w:val="32"/>
          <w:szCs w:val="32"/>
          <w:lang w:val="en-US" w:eastAsia="zh-CN"/>
        </w:rPr>
        <w:t>1.49</w:t>
      </w:r>
      <w:r>
        <w:rPr>
          <w:rFonts w:hint="eastAsia" w:ascii="仿宋_GB2312" w:eastAsia="仿宋_GB2312"/>
          <w:sz w:val="32"/>
          <w:szCs w:val="32"/>
        </w:rPr>
        <w:t>万元，增长</w:t>
      </w:r>
      <w:r>
        <w:rPr>
          <w:rFonts w:hint="eastAsia" w:ascii="仿宋_GB2312" w:eastAsia="仿宋_GB2312"/>
          <w:sz w:val="32"/>
          <w:szCs w:val="32"/>
          <w:lang w:val="en-US" w:eastAsia="zh-CN"/>
        </w:rPr>
        <w:t>6.03</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val="en-US" w:eastAsia="zh-CN"/>
        </w:rPr>
        <w:t>2021年省科协对我单位下达了新的目标考核任务-天府科技云保姆式服务，此项工作纳入了省委对州委州政府的目标考核，州科协全体成员全力以赴，深入各县科协，最后顺利完成了本项目标考核任务。</w:t>
      </w:r>
    </w:p>
    <w:p w14:paraId="4BD61FC8">
      <w:pPr>
        <w:spacing w:line="600" w:lineRule="exact"/>
        <w:ind w:firstLine="640" w:firstLineChars="200"/>
        <w:rPr>
          <w:rFonts w:ascii="仿宋_GB2312" w:eastAsia="仿宋_GB2312"/>
          <w:b/>
          <w:sz w:val="32"/>
          <w:szCs w:val="32"/>
          <w:highlight w:val="none"/>
        </w:rPr>
      </w:pPr>
      <w:r>
        <w:rPr>
          <w:rFonts w:hint="eastAsia" w:ascii="仿宋_GB2312" w:eastAsia="仿宋_GB2312"/>
          <w:sz w:val="32"/>
          <w:szCs w:val="32"/>
          <w:highlight w:val="none"/>
        </w:rPr>
        <w:t>其中：</w:t>
      </w:r>
      <w:r>
        <w:rPr>
          <w:rFonts w:hint="eastAsia" w:ascii="仿宋_GB2312" w:eastAsia="仿宋_GB2312"/>
          <w:b/>
          <w:sz w:val="32"/>
          <w:szCs w:val="32"/>
          <w:highlight w:val="none"/>
        </w:rPr>
        <w:t>公务用车购置支出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万元。全年按规定更新购置公务用车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辆，其中：轿车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辆、金额</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万元，越野车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辆、金额</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万元，载客汽车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辆、金额</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万元。截至</w:t>
      </w:r>
      <w:r>
        <w:rPr>
          <w:rFonts w:ascii="仿宋_GB2312" w:eastAsia="仿宋_GB2312"/>
          <w:sz w:val="32"/>
          <w:szCs w:val="32"/>
          <w:highlight w:val="none"/>
        </w:rPr>
        <w:t>20</w:t>
      </w:r>
      <w:r>
        <w:rPr>
          <w:rFonts w:hint="eastAsia" w:ascii="仿宋_GB2312" w:eastAsia="仿宋_GB2312"/>
          <w:sz w:val="32"/>
          <w:szCs w:val="32"/>
          <w:highlight w:val="none"/>
        </w:rPr>
        <w:t>21年</w:t>
      </w:r>
      <w:r>
        <w:rPr>
          <w:rFonts w:ascii="仿宋_GB2312" w:eastAsia="仿宋_GB2312"/>
          <w:sz w:val="32"/>
          <w:szCs w:val="32"/>
          <w:highlight w:val="none"/>
        </w:rPr>
        <w:t>12</w:t>
      </w:r>
      <w:r>
        <w:rPr>
          <w:rFonts w:hint="eastAsia" w:ascii="仿宋_GB2312" w:eastAsia="仿宋_GB2312"/>
          <w:sz w:val="32"/>
          <w:szCs w:val="32"/>
          <w:highlight w:val="none"/>
        </w:rPr>
        <w:t>月底，单位共有公务用车</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辆，其中：轿车</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辆、载客汽车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w:t>
      </w:r>
    </w:p>
    <w:p w14:paraId="28D4B8FA">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sz w:val="32"/>
          <w:szCs w:val="32"/>
          <w:lang w:val="en-US" w:eastAsia="zh-CN"/>
        </w:rPr>
        <w:t>26.19</w:t>
      </w:r>
      <w:r>
        <w:rPr>
          <w:rFonts w:hint="eastAsia" w:ascii="仿宋_GB2312" w:eastAsia="仿宋_GB2312"/>
          <w:sz w:val="32"/>
          <w:szCs w:val="32"/>
        </w:rPr>
        <w:t>万元。主要用于</w:t>
      </w:r>
      <w:r>
        <w:rPr>
          <w:rFonts w:hint="eastAsia" w:ascii="仿宋_GB2312" w:eastAsia="仿宋_GB2312"/>
          <w:sz w:val="32"/>
          <w:szCs w:val="32"/>
          <w:lang w:val="en-US" w:eastAsia="zh-CN"/>
        </w:rPr>
        <w:t>公务活动</w:t>
      </w:r>
      <w:r>
        <w:rPr>
          <w:rFonts w:hint="eastAsia" w:ascii="仿宋_GB2312" w:eastAsia="仿宋_GB2312"/>
          <w:sz w:val="32"/>
          <w:szCs w:val="32"/>
        </w:rPr>
        <w:t>等所需的公务用车燃料费、维修费、过路过桥费、保险费等支出。</w:t>
      </w:r>
    </w:p>
    <w:p w14:paraId="1D3F115B">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hint="eastAsia" w:ascii="仿宋_GB2312" w:eastAsia="仿宋_GB2312"/>
          <w:sz w:val="32"/>
          <w:szCs w:val="32"/>
          <w:lang w:val="en-US" w:eastAsia="zh-CN"/>
        </w:rPr>
        <w:t>0.53</w:t>
      </w:r>
      <w:r>
        <w:rPr>
          <w:rFonts w:hint="eastAsia" w:ascii="仿宋_GB2312" w:eastAsia="仿宋_GB2312"/>
          <w:sz w:val="32"/>
          <w:szCs w:val="32"/>
        </w:rPr>
        <w:t>万元，</w:t>
      </w:r>
      <w:r>
        <w:rPr>
          <w:rStyle w:val="16"/>
          <w:rFonts w:hint="eastAsia" w:ascii="仿宋" w:eastAsia="仿宋"/>
          <w:b w:val="0"/>
          <w:bCs/>
          <w:sz w:val="32"/>
          <w:szCs w:val="32"/>
        </w:rPr>
        <w:t>完成预算</w:t>
      </w:r>
      <w:r>
        <w:rPr>
          <w:rStyle w:val="16"/>
          <w:rFonts w:hint="eastAsia" w:ascii="仿宋" w:eastAsia="仿宋"/>
          <w:b w:val="0"/>
          <w:bCs/>
          <w:sz w:val="32"/>
          <w:szCs w:val="32"/>
          <w:lang w:val="en-US" w:eastAsia="zh-CN"/>
        </w:rPr>
        <w:t>100</w:t>
      </w:r>
      <w:r>
        <w:rPr>
          <w:rStyle w:val="16"/>
          <w:rFonts w:ascii="仿宋" w:eastAsia="仿宋"/>
          <w:b w:val="0"/>
          <w:bCs/>
          <w:sz w:val="32"/>
          <w:szCs w:val="32"/>
        </w:rPr>
        <w:t>%</w:t>
      </w:r>
      <w:r>
        <w:rPr>
          <w:rStyle w:val="16"/>
          <w:rFonts w:hint="eastAsia" w:asci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rPr>
        <w:t>20年增加</w:t>
      </w:r>
      <w:r>
        <w:rPr>
          <w:rFonts w:hint="eastAsia" w:ascii="仿宋_GB2312" w:eastAsia="仿宋_GB2312"/>
          <w:sz w:val="32"/>
          <w:szCs w:val="32"/>
          <w:lang w:val="en-US" w:eastAsia="zh-CN"/>
        </w:rPr>
        <w:t>0.12</w:t>
      </w:r>
      <w:r>
        <w:rPr>
          <w:rFonts w:hint="eastAsia" w:ascii="仿宋_GB2312" w:eastAsia="仿宋_GB2312"/>
          <w:sz w:val="32"/>
          <w:szCs w:val="32"/>
        </w:rPr>
        <w:t>万元，增长</w:t>
      </w:r>
      <w:r>
        <w:rPr>
          <w:rFonts w:hint="eastAsia" w:ascii="仿宋_GB2312" w:eastAsia="仿宋_GB2312"/>
          <w:sz w:val="32"/>
          <w:szCs w:val="32"/>
          <w:lang w:val="en-US" w:eastAsia="zh-CN"/>
        </w:rPr>
        <w:t>29.27</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val="en-US" w:eastAsia="zh-CN"/>
        </w:rPr>
        <w:t>本年度新增天府科技云保姆式服务工作，省科协及各县到我单位交流工作较多</w:t>
      </w:r>
      <w:r>
        <w:rPr>
          <w:rFonts w:hint="eastAsia" w:ascii="仿宋_GB2312" w:eastAsia="仿宋_GB2312"/>
          <w:sz w:val="32"/>
          <w:szCs w:val="32"/>
        </w:rPr>
        <w:t>。</w:t>
      </w:r>
    </w:p>
    <w:p w14:paraId="00FFAC1D">
      <w:pPr>
        <w:spacing w:line="600" w:lineRule="exact"/>
        <w:ind w:firstLine="640"/>
        <w:rPr>
          <w:rFonts w:ascii="仿宋_GB2312" w:eastAsia="仿宋_GB2312"/>
          <w:sz w:val="32"/>
          <w:szCs w:val="32"/>
        </w:rPr>
      </w:pPr>
      <w:r>
        <w:rPr>
          <w:rFonts w:hint="eastAsia" w:ascii="仿宋" w:eastAsia="仿宋"/>
          <w:b/>
          <w:sz w:val="32"/>
          <w:szCs w:val="32"/>
        </w:rPr>
        <w:t>国内公务接待支出</w:t>
      </w:r>
      <w:r>
        <w:rPr>
          <w:rFonts w:hint="eastAsia" w:ascii="仿宋" w:eastAsia="仿宋"/>
          <w:sz w:val="32"/>
          <w:szCs w:val="32"/>
          <w:lang w:val="en-US" w:eastAsia="zh-CN"/>
        </w:rPr>
        <w:t>0.53</w:t>
      </w:r>
      <w:r>
        <w:rPr>
          <w:rFonts w:hint="eastAsia" w:ascii="仿宋_GB2312" w:eastAsia="仿宋_GB2312"/>
          <w:sz w:val="32"/>
          <w:szCs w:val="32"/>
        </w:rPr>
        <w:t>万元，主要用于开展业务活动开支的用餐费。国内公务接待</w:t>
      </w:r>
      <w:r>
        <w:rPr>
          <w:rFonts w:hint="eastAsia" w:ascii="仿宋_GB2312" w:eastAsia="仿宋_GB2312"/>
          <w:sz w:val="32"/>
          <w:szCs w:val="32"/>
          <w:lang w:val="en-US" w:eastAsia="zh-CN"/>
        </w:rPr>
        <w:t>4</w:t>
      </w:r>
      <w:r>
        <w:rPr>
          <w:rFonts w:hint="eastAsia" w:ascii="仿宋_GB2312" w:eastAsia="仿宋_GB2312"/>
          <w:sz w:val="32"/>
          <w:szCs w:val="32"/>
        </w:rPr>
        <w:t>批次，</w:t>
      </w:r>
      <w:r>
        <w:rPr>
          <w:rFonts w:hint="eastAsia" w:ascii="仿宋_GB2312" w:eastAsia="仿宋_GB2312"/>
          <w:sz w:val="32"/>
          <w:szCs w:val="32"/>
          <w:lang w:val="en-US" w:eastAsia="zh-CN"/>
        </w:rPr>
        <w:t>35</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0.53</w:t>
      </w:r>
      <w:r>
        <w:rPr>
          <w:rFonts w:hint="eastAsia" w:ascii="仿宋_GB2312" w:eastAsia="仿宋_GB2312"/>
          <w:sz w:val="32"/>
          <w:szCs w:val="32"/>
        </w:rPr>
        <w:t>万元。</w:t>
      </w:r>
    </w:p>
    <w:p w14:paraId="1E2E260E">
      <w:pPr>
        <w:spacing w:line="600" w:lineRule="exact"/>
        <w:ind w:firstLine="643" w:firstLineChars="200"/>
        <w:rPr>
          <w:rFonts w:hint="default" w:ascii="仿宋_GB2312" w:eastAsia="仿宋_GB2312"/>
          <w:sz w:val="32"/>
          <w:szCs w:val="32"/>
          <w:lang w:val="en-US" w:eastAsia="zh-CN"/>
        </w:rPr>
      </w:pPr>
      <w:r>
        <w:rPr>
          <w:rFonts w:hint="eastAsia" w:ascii="仿宋" w:eastAsia="仿宋"/>
          <w:b/>
          <w:sz w:val="32"/>
          <w:szCs w:val="32"/>
        </w:rPr>
        <w:t>外事接待支出</w:t>
      </w:r>
      <w:r>
        <w:rPr>
          <w:rFonts w:hint="eastAsia" w:ascii="仿宋" w:eastAsia="仿宋"/>
          <w:sz w:val="32"/>
          <w:szCs w:val="32"/>
          <w:lang w:val="en-US" w:eastAsia="zh-CN"/>
        </w:rPr>
        <w:t>0</w:t>
      </w:r>
      <w:r>
        <w:rPr>
          <w:rFonts w:hint="eastAsia" w:ascii="仿宋_GB2312" w:eastAsia="仿宋_GB2312"/>
          <w:sz w:val="32"/>
          <w:szCs w:val="32"/>
        </w:rPr>
        <w:t>万元，外事接待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人，共计支出</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val="en-US" w:eastAsia="zh-CN"/>
        </w:rPr>
        <w:t>我单位本年度无外事接待。</w:t>
      </w:r>
    </w:p>
    <w:p w14:paraId="68E945EA">
      <w:pPr>
        <w:spacing w:line="600" w:lineRule="exact"/>
        <w:ind w:firstLine="640"/>
        <w:outlineLvl w:val="1"/>
        <w:rPr>
          <w:rStyle w:val="19"/>
          <w:rFonts w:ascii="黑体" w:eastAsia="黑体"/>
        </w:rPr>
      </w:pPr>
      <w:bookmarkStart w:id="87" w:name="_Toc15377218"/>
      <w:bookmarkStart w:id="88" w:name="_Toc15396610"/>
      <w:bookmarkStart w:id="89" w:name="_Toc10490"/>
      <w:r>
        <w:rPr>
          <w:rFonts w:hint="eastAsia" w:ascii="黑体" w:eastAsia="黑体"/>
          <w:sz w:val="32"/>
          <w:szCs w:val="32"/>
        </w:rPr>
        <w:t>八、</w:t>
      </w:r>
      <w:r>
        <w:rPr>
          <w:rStyle w:val="19"/>
          <w:rFonts w:hint="eastAsia" w:ascii="黑体" w:eastAsia="黑体"/>
          <w:b w:val="0"/>
        </w:rPr>
        <w:t>政府性基金预算支出决算情况说明</w:t>
      </w:r>
      <w:bookmarkEnd w:id="87"/>
      <w:bookmarkEnd w:id="88"/>
      <w:bookmarkEnd w:id="89"/>
    </w:p>
    <w:p w14:paraId="003721B1">
      <w:pPr>
        <w:spacing w:line="600" w:lineRule="exact"/>
        <w:ind w:firstLine="640"/>
        <w:rPr>
          <w:rFonts w:hint="default" w:ascii="仿宋_GB2312" w:eastAsia="仿宋_GB2312"/>
          <w:sz w:val="32"/>
          <w:szCs w:val="32"/>
          <w:lang w:val="en-US" w:eastAsia="zh-CN"/>
        </w:rPr>
      </w:pPr>
      <w:r>
        <w:rPr>
          <w:rFonts w:ascii="仿宋_GB2312" w:eastAsia="仿宋_GB2312"/>
          <w:sz w:val="32"/>
          <w:szCs w:val="32"/>
        </w:rPr>
        <w:t>20</w:t>
      </w:r>
      <w:r>
        <w:rPr>
          <w:rFonts w:hint="eastAsia" w:ascii="仿宋_GB2312" w:eastAsia="仿宋_GB2312"/>
          <w:sz w:val="32"/>
          <w:szCs w:val="32"/>
        </w:rPr>
        <w:t>21年政府性基金预算财政拨款支出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val="en-US" w:eastAsia="zh-CN"/>
        </w:rPr>
        <w:t>我单位无政府性基金预算支出。</w:t>
      </w:r>
    </w:p>
    <w:p w14:paraId="54E59C5B">
      <w:pPr>
        <w:numPr>
          <w:ilvl w:val="0"/>
          <w:numId w:val="3"/>
        </w:numPr>
        <w:spacing w:line="600" w:lineRule="exact"/>
        <w:ind w:firstLine="640"/>
        <w:outlineLvl w:val="1"/>
        <w:rPr>
          <w:rStyle w:val="19"/>
          <w:rFonts w:ascii="黑体" w:eastAsia="黑体"/>
          <w:b w:val="0"/>
        </w:rPr>
      </w:pPr>
      <w:bookmarkStart w:id="90" w:name="_Toc15377219"/>
      <w:bookmarkStart w:id="91" w:name="_Toc15396611"/>
      <w:bookmarkStart w:id="92" w:name="_Toc25320"/>
      <w:r>
        <w:rPr>
          <w:rStyle w:val="19"/>
          <w:rFonts w:hint="eastAsia" w:ascii="黑体" w:eastAsia="黑体"/>
          <w:b w:val="0"/>
        </w:rPr>
        <w:t>国有资本经营预算支出决算情况说明</w:t>
      </w:r>
      <w:bookmarkEnd w:id="90"/>
      <w:bookmarkEnd w:id="91"/>
      <w:bookmarkEnd w:id="92"/>
    </w:p>
    <w:p w14:paraId="42721AA5">
      <w:pPr>
        <w:spacing w:line="600" w:lineRule="exact"/>
        <w:ind w:firstLine="640"/>
        <w:rPr>
          <w:rFonts w:ascii="方正小标宋简体" w:eastAsia="方正小标宋简体" w:cs="方正小标宋简体"/>
          <w:sz w:val="44"/>
          <w:szCs w:val="44"/>
        </w:rPr>
      </w:pPr>
      <w:r>
        <w:rPr>
          <w:rFonts w:ascii="仿宋_GB2312" w:eastAsia="仿宋_GB2312"/>
          <w:sz w:val="32"/>
          <w:szCs w:val="32"/>
        </w:rPr>
        <w:t>20</w:t>
      </w:r>
      <w:r>
        <w:rPr>
          <w:rFonts w:hint="eastAsia" w:ascii="仿宋_GB2312" w:eastAsia="仿宋_GB2312"/>
          <w:sz w:val="32"/>
          <w:szCs w:val="32"/>
        </w:rPr>
        <w:t>21年国有资本经营预算财政拨款支出</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ascii="仿宋_GB2312" w:eastAsia="仿宋_GB2312"/>
          <w:sz w:val="32"/>
          <w:szCs w:val="32"/>
          <w:lang w:val="en-US" w:eastAsia="zh-CN"/>
        </w:rPr>
        <w:t>我单位无国有资本经营预算支出。</w:t>
      </w:r>
    </w:p>
    <w:p w14:paraId="1FA20C67">
      <w:pPr>
        <w:numPr>
          <w:ilvl w:val="0"/>
          <w:numId w:val="3"/>
        </w:numPr>
        <w:spacing w:line="600" w:lineRule="exact"/>
        <w:ind w:firstLine="640"/>
        <w:outlineLvl w:val="1"/>
        <w:rPr>
          <w:rStyle w:val="19"/>
          <w:rFonts w:ascii="黑体" w:eastAsia="黑体"/>
          <w:b w:val="0"/>
        </w:rPr>
      </w:pPr>
      <w:bookmarkStart w:id="93" w:name="_Toc15396612"/>
      <w:bookmarkStart w:id="94" w:name="_Toc15377221"/>
      <w:bookmarkStart w:id="95" w:name="_Toc16750"/>
      <w:r>
        <w:rPr>
          <w:rStyle w:val="19"/>
          <w:rFonts w:hint="eastAsia" w:ascii="黑体" w:eastAsia="黑体"/>
          <w:b w:val="0"/>
        </w:rPr>
        <w:t>其他重要事项的情况说明</w:t>
      </w:r>
      <w:bookmarkEnd w:id="93"/>
      <w:bookmarkEnd w:id="94"/>
      <w:bookmarkEnd w:id="95"/>
    </w:p>
    <w:p w14:paraId="0ACE54DD">
      <w:pPr>
        <w:spacing w:line="600" w:lineRule="exact"/>
        <w:ind w:firstLine="643" w:firstLineChars="200"/>
        <w:outlineLvl w:val="2"/>
        <w:rPr>
          <w:rFonts w:ascii="仿宋" w:eastAsia="仿宋"/>
          <w:sz w:val="32"/>
          <w:szCs w:val="32"/>
        </w:rPr>
      </w:pPr>
      <w:bookmarkStart w:id="96" w:name="_Toc15377222"/>
      <w:r>
        <w:rPr>
          <w:rFonts w:hint="eastAsia" w:ascii="仿宋" w:eastAsia="仿宋"/>
          <w:b/>
          <w:sz w:val="32"/>
          <w:szCs w:val="32"/>
        </w:rPr>
        <w:t>（一）机关运行经费支出情况</w:t>
      </w:r>
      <w:bookmarkEnd w:id="96"/>
    </w:p>
    <w:p w14:paraId="75B4B2CF">
      <w:pPr>
        <w:spacing w:line="600" w:lineRule="exact"/>
        <w:ind w:firstLine="640" w:firstLineChars="200"/>
        <w:rPr>
          <w:rFonts w:hint="default"/>
          <w:lang w:val="en-US" w:eastAsia="zh-CN"/>
        </w:rPr>
      </w:pPr>
      <w:r>
        <w:rPr>
          <w:rFonts w:ascii="仿宋_GB2312" w:eastAsia="仿宋_GB2312"/>
          <w:sz w:val="32"/>
          <w:szCs w:val="32"/>
        </w:rPr>
        <w:t>20</w:t>
      </w:r>
      <w:r>
        <w:rPr>
          <w:rFonts w:hint="eastAsia" w:ascii="仿宋_GB2312" w:eastAsia="仿宋_GB2312"/>
          <w:sz w:val="32"/>
          <w:szCs w:val="32"/>
        </w:rPr>
        <w:t>21年，</w:t>
      </w:r>
      <w:r>
        <w:rPr>
          <w:rFonts w:hint="eastAsia" w:ascii="仿宋_GB2312" w:eastAsia="仿宋_GB2312"/>
          <w:sz w:val="32"/>
          <w:szCs w:val="32"/>
          <w:lang w:val="en-US" w:eastAsia="zh-CN"/>
        </w:rPr>
        <w:t>阿坝州科学技术协会</w:t>
      </w:r>
      <w:r>
        <w:rPr>
          <w:rFonts w:hint="eastAsia" w:ascii="仿宋_GB2312" w:eastAsia="仿宋_GB2312"/>
          <w:sz w:val="32"/>
          <w:szCs w:val="32"/>
        </w:rPr>
        <w:t>机关运行经费支出</w:t>
      </w:r>
      <w:r>
        <w:rPr>
          <w:rFonts w:hint="eastAsia" w:ascii="仿宋_GB2312" w:eastAsia="仿宋_GB2312"/>
          <w:sz w:val="32"/>
          <w:szCs w:val="32"/>
          <w:lang w:val="en-US" w:eastAsia="zh-CN"/>
        </w:rPr>
        <w:t>42.42</w:t>
      </w:r>
      <w:r>
        <w:rPr>
          <w:rFonts w:hint="eastAsia" w:ascii="仿宋_GB2312" w:eastAsia="仿宋_GB2312"/>
          <w:sz w:val="32"/>
          <w:szCs w:val="32"/>
        </w:rPr>
        <w:t>万元，比</w:t>
      </w:r>
      <w:r>
        <w:rPr>
          <w:rFonts w:ascii="仿宋_GB2312" w:eastAsia="仿宋_GB2312"/>
          <w:sz w:val="32"/>
          <w:szCs w:val="32"/>
        </w:rPr>
        <w:t>20</w:t>
      </w:r>
      <w:r>
        <w:rPr>
          <w:rFonts w:hint="eastAsia" w:ascii="仿宋_GB2312" w:eastAsia="仿宋_GB2312"/>
          <w:sz w:val="32"/>
          <w:szCs w:val="32"/>
        </w:rPr>
        <w:t>20年增加</w:t>
      </w:r>
      <w:r>
        <w:rPr>
          <w:rFonts w:hint="eastAsia" w:ascii="仿宋_GB2312" w:eastAsia="仿宋_GB2312"/>
          <w:sz w:val="32"/>
          <w:szCs w:val="32"/>
          <w:lang w:val="en-US" w:eastAsia="zh-CN"/>
        </w:rPr>
        <w:t>7.79</w:t>
      </w:r>
      <w:r>
        <w:rPr>
          <w:rFonts w:hint="eastAsia" w:ascii="仿宋_GB2312" w:eastAsia="仿宋_GB2312"/>
          <w:sz w:val="32"/>
          <w:szCs w:val="32"/>
        </w:rPr>
        <w:t>万元，增长</w:t>
      </w:r>
      <w:r>
        <w:rPr>
          <w:rFonts w:hint="eastAsia" w:ascii="仿宋_GB2312" w:eastAsia="仿宋_GB2312"/>
          <w:sz w:val="32"/>
          <w:szCs w:val="32"/>
          <w:lang w:val="en-US" w:eastAsia="zh-CN"/>
        </w:rPr>
        <w:t>22.50</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val="en-US" w:eastAsia="zh-CN"/>
        </w:rPr>
        <w:t>本年度新增3位事业人员。</w:t>
      </w:r>
    </w:p>
    <w:p w14:paraId="387BFE6D">
      <w:pPr>
        <w:spacing w:line="600" w:lineRule="exact"/>
        <w:ind w:firstLine="643" w:firstLineChars="200"/>
        <w:rPr>
          <w:rFonts w:ascii="仿宋" w:eastAsia="仿宋"/>
          <w:b/>
          <w:sz w:val="32"/>
          <w:szCs w:val="32"/>
        </w:rPr>
      </w:pPr>
      <w:r>
        <w:rPr>
          <w:rFonts w:hint="eastAsia" w:ascii="仿宋" w:eastAsia="仿宋"/>
          <w:b/>
          <w:sz w:val="32"/>
          <w:szCs w:val="32"/>
        </w:rPr>
        <w:t>（注：数据来源于财决附</w:t>
      </w:r>
      <w:r>
        <w:rPr>
          <w:rFonts w:ascii="仿宋" w:eastAsia="仿宋"/>
          <w:b/>
          <w:sz w:val="32"/>
          <w:szCs w:val="32"/>
        </w:rPr>
        <w:t>03</w:t>
      </w:r>
      <w:r>
        <w:rPr>
          <w:rFonts w:hint="eastAsia" w:ascii="仿宋" w:eastAsia="仿宋"/>
          <w:b/>
          <w:sz w:val="32"/>
          <w:szCs w:val="32"/>
        </w:rPr>
        <w:t>表）</w:t>
      </w:r>
    </w:p>
    <w:p w14:paraId="49FA7C7C">
      <w:pPr>
        <w:autoSpaceDE w:val="0"/>
        <w:autoSpaceDN w:val="0"/>
        <w:adjustRightInd w:val="0"/>
        <w:spacing w:line="600" w:lineRule="exact"/>
        <w:ind w:firstLine="643" w:firstLineChars="200"/>
        <w:jc w:val="left"/>
        <w:outlineLvl w:val="2"/>
        <w:rPr>
          <w:rFonts w:ascii="仿宋" w:eastAsia="仿宋"/>
          <w:b/>
          <w:sz w:val="32"/>
          <w:szCs w:val="32"/>
        </w:rPr>
      </w:pPr>
      <w:bookmarkStart w:id="97" w:name="_Toc15377223"/>
      <w:r>
        <w:rPr>
          <w:rFonts w:hint="eastAsia" w:ascii="仿宋" w:eastAsia="仿宋"/>
          <w:b/>
          <w:sz w:val="32"/>
          <w:szCs w:val="32"/>
        </w:rPr>
        <w:t>（二）政府采购支出情况</w:t>
      </w:r>
      <w:bookmarkEnd w:id="97"/>
    </w:p>
    <w:p w14:paraId="797E3C17">
      <w:pPr>
        <w:spacing w:line="600" w:lineRule="exact"/>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21年，</w:t>
      </w:r>
      <w:r>
        <w:rPr>
          <w:rFonts w:hint="eastAsia" w:ascii="仿宋_GB2312" w:eastAsia="仿宋_GB2312"/>
          <w:sz w:val="32"/>
          <w:szCs w:val="32"/>
          <w:lang w:val="en-US" w:eastAsia="zh-CN"/>
        </w:rPr>
        <w:t>阿坝州科学技术协会</w:t>
      </w:r>
      <w:r>
        <w:rPr>
          <w:rFonts w:hint="eastAsia" w:ascii="仿宋_GB2312" w:eastAsia="仿宋_GB2312"/>
          <w:sz w:val="32"/>
          <w:szCs w:val="32"/>
        </w:rPr>
        <w:t>政府采购支出总额</w:t>
      </w:r>
      <w:r>
        <w:rPr>
          <w:rFonts w:hint="eastAsia" w:ascii="仿宋_GB2312" w:eastAsia="仿宋_GB2312"/>
          <w:sz w:val="32"/>
          <w:szCs w:val="32"/>
          <w:lang w:val="en-US" w:eastAsia="zh-CN"/>
        </w:rPr>
        <w:t>86.89</w:t>
      </w:r>
      <w:r>
        <w:rPr>
          <w:rFonts w:hint="eastAsia" w:ascii="仿宋_GB2312" w:eastAsia="仿宋_GB2312"/>
          <w:sz w:val="32"/>
          <w:szCs w:val="32"/>
        </w:rPr>
        <w:t>万元，其中：政府采购货物支出</w:t>
      </w:r>
      <w:r>
        <w:rPr>
          <w:rFonts w:hint="eastAsia" w:ascii="仿宋_GB2312" w:eastAsia="仿宋_GB2312"/>
          <w:sz w:val="32"/>
          <w:szCs w:val="32"/>
          <w:lang w:val="en-US" w:eastAsia="zh-CN"/>
        </w:rPr>
        <w:t>17.56</w:t>
      </w:r>
      <w:r>
        <w:rPr>
          <w:rFonts w:hint="eastAsia" w:ascii="仿宋_GB2312" w:eastAsia="仿宋_GB2312"/>
          <w:sz w:val="32"/>
          <w:szCs w:val="32"/>
        </w:rPr>
        <w:t>万元、政府采购工程支出</w:t>
      </w:r>
      <w:r>
        <w:rPr>
          <w:rFonts w:ascii="仿宋_GB2312" w:eastAsia="仿宋_GB2312"/>
          <w:sz w:val="32"/>
          <w:szCs w:val="32"/>
        </w:rPr>
        <w:t>**</w:t>
      </w:r>
      <w:r>
        <w:rPr>
          <w:rFonts w:hint="eastAsia" w:ascii="仿宋_GB2312" w:eastAsia="仿宋_GB2312"/>
          <w:sz w:val="32"/>
          <w:szCs w:val="32"/>
        </w:rPr>
        <w:t>万元、政府采购服务支出</w:t>
      </w:r>
      <w:r>
        <w:rPr>
          <w:rFonts w:hint="eastAsia" w:ascii="仿宋_GB2312" w:eastAsia="仿宋_GB2312"/>
          <w:sz w:val="32"/>
          <w:szCs w:val="32"/>
          <w:lang w:val="en-US" w:eastAsia="zh-CN"/>
        </w:rPr>
        <w:t>69.33</w:t>
      </w:r>
      <w:r>
        <w:rPr>
          <w:rFonts w:hint="eastAsia" w:ascii="仿宋_GB2312" w:eastAsia="仿宋_GB2312"/>
          <w:sz w:val="32"/>
          <w:szCs w:val="32"/>
        </w:rPr>
        <w:t>万元。主要用于</w:t>
      </w:r>
      <w:r>
        <w:rPr>
          <w:rFonts w:hint="eastAsia" w:ascii="仿宋_GB2312" w:eastAsia="仿宋_GB2312"/>
          <w:sz w:val="32"/>
          <w:szCs w:val="32"/>
          <w:lang w:val="en-US" w:eastAsia="zh-CN"/>
        </w:rPr>
        <w:t>科技馆展教员劳务费支出、云府中心劳务费支出、天府科技云科创大会会议服务</w:t>
      </w:r>
      <w:r>
        <w:rPr>
          <w:rFonts w:hint="eastAsia" w:ascii="仿宋_GB2312" w:eastAsia="仿宋_GB2312"/>
          <w:sz w:val="32"/>
          <w:szCs w:val="32"/>
        </w:rPr>
        <w:t>。授予中小企业合同金额</w:t>
      </w:r>
      <w:r>
        <w:rPr>
          <w:rFonts w:hint="eastAsia" w:ascii="仿宋_GB2312" w:eastAsia="仿宋_GB2312"/>
          <w:sz w:val="32"/>
          <w:szCs w:val="32"/>
          <w:lang w:val="en-US" w:eastAsia="zh-CN"/>
        </w:rPr>
        <w:t>86.89</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100</w:t>
      </w:r>
      <w:r>
        <w:rPr>
          <w:rFonts w:ascii="仿宋_GB2312" w:eastAsia="仿宋_GB2312"/>
          <w:sz w:val="32"/>
          <w:szCs w:val="32"/>
        </w:rPr>
        <w:t>%</w:t>
      </w:r>
      <w:r>
        <w:rPr>
          <w:rFonts w:hint="eastAsia" w:ascii="仿宋_GB2312" w:eastAsia="仿宋_GB2312"/>
          <w:sz w:val="32"/>
          <w:szCs w:val="32"/>
        </w:rPr>
        <w:t>，其中：授予小微企业合同金额</w:t>
      </w:r>
      <w:r>
        <w:rPr>
          <w:rFonts w:hint="eastAsia" w:ascii="仿宋_GB2312" w:eastAsia="仿宋_GB2312"/>
          <w:sz w:val="32"/>
          <w:szCs w:val="32"/>
          <w:lang w:val="en-US" w:eastAsia="zh-CN"/>
        </w:rPr>
        <w:t>86.89</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100</w:t>
      </w:r>
      <w:r>
        <w:rPr>
          <w:rFonts w:ascii="仿宋_GB2312" w:eastAsia="仿宋_GB2312"/>
          <w:sz w:val="32"/>
          <w:szCs w:val="32"/>
        </w:rPr>
        <w:t>%</w:t>
      </w:r>
      <w:r>
        <w:rPr>
          <w:rFonts w:hint="eastAsia" w:ascii="仿宋_GB2312" w:eastAsia="仿宋_GB2312"/>
          <w:sz w:val="32"/>
          <w:szCs w:val="32"/>
        </w:rPr>
        <w:t>。</w:t>
      </w:r>
    </w:p>
    <w:p w14:paraId="49151E55">
      <w:pPr>
        <w:spacing w:line="600" w:lineRule="exact"/>
        <w:ind w:firstLine="643" w:firstLineChars="200"/>
        <w:rPr>
          <w:rFonts w:ascii="仿宋" w:eastAsia="仿宋"/>
          <w:b/>
          <w:sz w:val="32"/>
          <w:szCs w:val="32"/>
        </w:rPr>
      </w:pPr>
      <w:r>
        <w:rPr>
          <w:rFonts w:hint="eastAsia" w:ascii="仿宋" w:eastAsia="仿宋"/>
          <w:b/>
          <w:sz w:val="32"/>
          <w:szCs w:val="32"/>
        </w:rPr>
        <w:t>（注：数据来源于财决附</w:t>
      </w:r>
      <w:r>
        <w:rPr>
          <w:rFonts w:ascii="仿宋" w:eastAsia="仿宋"/>
          <w:b/>
          <w:sz w:val="32"/>
          <w:szCs w:val="32"/>
        </w:rPr>
        <w:t>03</w:t>
      </w:r>
      <w:r>
        <w:rPr>
          <w:rFonts w:hint="eastAsia" w:ascii="仿宋" w:eastAsia="仿宋"/>
          <w:b/>
          <w:sz w:val="32"/>
          <w:szCs w:val="32"/>
        </w:rPr>
        <w:t>表）</w:t>
      </w:r>
    </w:p>
    <w:p w14:paraId="0AE594D5">
      <w:pPr>
        <w:autoSpaceDE w:val="0"/>
        <w:autoSpaceDN w:val="0"/>
        <w:adjustRightInd w:val="0"/>
        <w:spacing w:line="600" w:lineRule="exact"/>
        <w:ind w:firstLine="643" w:firstLineChars="200"/>
        <w:jc w:val="left"/>
        <w:outlineLvl w:val="2"/>
        <w:rPr>
          <w:rFonts w:ascii="仿宋" w:eastAsia="仿宋"/>
          <w:b/>
          <w:sz w:val="32"/>
          <w:szCs w:val="32"/>
        </w:rPr>
      </w:pPr>
      <w:bookmarkStart w:id="98" w:name="_Toc15377224"/>
      <w:r>
        <w:rPr>
          <w:rFonts w:hint="eastAsia" w:ascii="仿宋" w:eastAsia="仿宋"/>
          <w:b/>
          <w:sz w:val="32"/>
          <w:szCs w:val="32"/>
        </w:rPr>
        <w:t>（三）国有资产占有使用情况</w:t>
      </w:r>
      <w:bookmarkEnd w:id="98"/>
    </w:p>
    <w:p w14:paraId="519B179E">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21年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hint="eastAsia" w:ascii="仿宋_GB2312" w:eastAsia="仿宋_GB2312"/>
          <w:sz w:val="32"/>
          <w:szCs w:val="32"/>
          <w:lang w:val="en-US" w:eastAsia="zh-CN"/>
        </w:rPr>
        <w:t>阿坝州科学技术协会</w:t>
      </w:r>
      <w:r>
        <w:rPr>
          <w:rFonts w:hint="eastAsia" w:ascii="仿宋_GB2312" w:eastAsia="仿宋_GB2312"/>
          <w:sz w:val="32"/>
          <w:szCs w:val="32"/>
        </w:rPr>
        <w:t>共有车辆</w:t>
      </w:r>
      <w:r>
        <w:rPr>
          <w:rFonts w:hint="eastAsia" w:ascii="仿宋_GB2312" w:eastAsia="仿宋_GB2312"/>
          <w:sz w:val="32"/>
          <w:szCs w:val="32"/>
          <w:lang w:val="en-US" w:eastAsia="zh-CN"/>
        </w:rPr>
        <w:t>3</w:t>
      </w:r>
      <w:r>
        <w:rPr>
          <w:rFonts w:hint="eastAsia" w:ascii="仿宋_GB2312" w:eastAsia="仿宋_GB2312"/>
          <w:sz w:val="32"/>
          <w:szCs w:val="32"/>
        </w:rPr>
        <w:t>辆，其中：主要领导干部用车</w:t>
      </w:r>
      <w:r>
        <w:rPr>
          <w:rFonts w:hint="eastAsia" w:ascii="仿宋_GB2312" w:eastAsia="仿宋_GB2312"/>
          <w:sz w:val="32"/>
          <w:szCs w:val="32"/>
          <w:lang w:val="en-US" w:eastAsia="zh-CN"/>
        </w:rPr>
        <w:t>0</w:t>
      </w:r>
      <w:r>
        <w:rPr>
          <w:rFonts w:hint="eastAsia" w:ascii="仿宋_GB2312" w:eastAsia="仿宋_GB2312"/>
          <w:sz w:val="32"/>
          <w:szCs w:val="32"/>
        </w:rPr>
        <w:t>辆、机要通信用车</w:t>
      </w:r>
      <w:r>
        <w:rPr>
          <w:rFonts w:hint="eastAsia" w:ascii="仿宋_GB2312" w:eastAsia="仿宋_GB2312"/>
          <w:sz w:val="32"/>
          <w:szCs w:val="32"/>
          <w:lang w:val="en-US" w:eastAsia="zh-CN"/>
        </w:rPr>
        <w:t>0</w:t>
      </w:r>
      <w:r>
        <w:rPr>
          <w:rFonts w:hint="eastAsia" w:ascii="仿宋_GB2312" w:eastAsia="仿宋_GB2312"/>
          <w:sz w:val="32"/>
          <w:szCs w:val="32"/>
        </w:rPr>
        <w:t>辆、应急保障用车</w:t>
      </w:r>
      <w:r>
        <w:rPr>
          <w:rFonts w:hint="eastAsia" w:ascii="仿宋_GB2312" w:eastAsia="仿宋_GB2312"/>
          <w:sz w:val="32"/>
          <w:szCs w:val="32"/>
          <w:lang w:val="en-US" w:eastAsia="zh-CN"/>
        </w:rPr>
        <w:t>0</w:t>
      </w:r>
      <w:r>
        <w:rPr>
          <w:rFonts w:hint="eastAsia" w:ascii="仿宋_GB2312" w:eastAsia="仿宋_GB2312"/>
          <w:sz w:val="32"/>
          <w:szCs w:val="32"/>
        </w:rPr>
        <w:t>辆、其他用车</w:t>
      </w:r>
      <w:r>
        <w:rPr>
          <w:rFonts w:hint="eastAsia" w:ascii="仿宋_GB2312" w:eastAsia="仿宋_GB2312"/>
          <w:sz w:val="32"/>
          <w:szCs w:val="32"/>
          <w:lang w:val="en-US" w:eastAsia="zh-CN"/>
        </w:rPr>
        <w:t>3</w:t>
      </w:r>
      <w:r>
        <w:rPr>
          <w:rFonts w:hint="eastAsia" w:ascii="仿宋_GB2312" w:eastAsia="仿宋_GB2312"/>
          <w:sz w:val="32"/>
          <w:szCs w:val="32"/>
        </w:rPr>
        <w:t>辆</w:t>
      </w:r>
      <w:r>
        <w:rPr>
          <w:rFonts w:hint="eastAsia" w:ascii="仿宋_GB2312" w:eastAsia="仿宋_GB2312"/>
          <w:sz w:val="32"/>
          <w:szCs w:val="32"/>
          <w:lang w:eastAsia="zh-CN"/>
        </w:rPr>
        <w:t>，</w:t>
      </w:r>
      <w:r>
        <w:rPr>
          <w:rFonts w:hint="eastAsia" w:ascii="仿宋_GB2312" w:eastAsia="仿宋_GB2312"/>
          <w:sz w:val="32"/>
          <w:szCs w:val="32"/>
        </w:rPr>
        <w:t>其他用车主要是用于</w:t>
      </w:r>
      <w:r>
        <w:rPr>
          <w:rFonts w:hint="eastAsia" w:ascii="仿宋_GB2312" w:eastAsia="仿宋_GB2312"/>
          <w:sz w:val="32"/>
          <w:szCs w:val="32"/>
          <w:lang w:val="en-US" w:eastAsia="zh-CN"/>
        </w:rPr>
        <w:t>开展公务活动出差使用，</w:t>
      </w:r>
      <w:r>
        <w:rPr>
          <w:rFonts w:hint="eastAsia" w:ascii="仿宋_GB2312" w:eastAsia="仿宋_GB2312"/>
          <w:sz w:val="32"/>
          <w:szCs w:val="32"/>
        </w:rPr>
        <w:t>单价</w:t>
      </w:r>
      <w:r>
        <w:rPr>
          <w:rFonts w:ascii="仿宋_GB2312" w:eastAsia="仿宋_GB2312"/>
          <w:sz w:val="32"/>
          <w:szCs w:val="32"/>
        </w:rPr>
        <w:t>50</w:t>
      </w:r>
      <w:r>
        <w:rPr>
          <w:rFonts w:hint="eastAsia" w:ascii="仿宋_GB2312" w:eastAsia="仿宋_GB2312"/>
          <w:sz w:val="32"/>
          <w:szCs w:val="32"/>
        </w:rPr>
        <w:t>万元以上通用设备</w:t>
      </w:r>
      <w:r>
        <w:rPr>
          <w:rFonts w:hint="eastAsia" w:ascii="仿宋_GB2312" w:eastAsia="仿宋_GB2312"/>
          <w:sz w:val="32"/>
          <w:szCs w:val="32"/>
          <w:lang w:val="en-US" w:eastAsia="zh-CN"/>
        </w:rPr>
        <w:t>2</w:t>
      </w:r>
      <w:r>
        <w:rPr>
          <w:rFonts w:hint="eastAsia" w:ascii="仿宋_GB2312" w:eastAsia="仿宋_GB2312"/>
          <w:sz w:val="32"/>
          <w:szCs w:val="32"/>
        </w:rPr>
        <w:t>台（套），单价</w:t>
      </w:r>
      <w:r>
        <w:rPr>
          <w:rFonts w:ascii="仿宋_GB2312" w:eastAsia="仿宋_GB2312"/>
          <w:sz w:val="32"/>
          <w:szCs w:val="32"/>
        </w:rPr>
        <w:t>100</w:t>
      </w:r>
      <w:r>
        <w:rPr>
          <w:rFonts w:hint="eastAsia" w:ascii="仿宋_GB2312" w:eastAsia="仿宋_GB2312"/>
          <w:sz w:val="32"/>
          <w:szCs w:val="32"/>
        </w:rPr>
        <w:t>万元以上专用设备</w:t>
      </w:r>
      <w:r>
        <w:rPr>
          <w:rFonts w:hint="eastAsia" w:ascii="仿宋_GB2312" w:eastAsia="仿宋_GB2312"/>
          <w:sz w:val="32"/>
          <w:szCs w:val="32"/>
          <w:lang w:val="en-US" w:eastAsia="zh-CN"/>
        </w:rPr>
        <w:t>0</w:t>
      </w:r>
      <w:r>
        <w:rPr>
          <w:rFonts w:hint="eastAsia" w:ascii="仿宋_GB2312" w:eastAsia="仿宋_GB2312"/>
          <w:sz w:val="32"/>
          <w:szCs w:val="32"/>
        </w:rPr>
        <w:t>台（套）。</w:t>
      </w:r>
    </w:p>
    <w:p w14:paraId="752B4B9F">
      <w:pPr>
        <w:autoSpaceDE w:val="0"/>
        <w:autoSpaceDN w:val="0"/>
        <w:adjustRightInd w:val="0"/>
        <w:spacing w:line="600" w:lineRule="exact"/>
        <w:ind w:firstLine="643" w:firstLineChars="200"/>
        <w:jc w:val="left"/>
        <w:rPr>
          <w:rFonts w:ascii="仿宋" w:eastAsia="仿宋"/>
          <w:b/>
          <w:sz w:val="32"/>
          <w:szCs w:val="32"/>
        </w:rPr>
      </w:pPr>
      <w:r>
        <w:rPr>
          <w:rFonts w:hint="eastAsia" w:ascii="仿宋" w:eastAsia="仿宋"/>
          <w:b/>
          <w:sz w:val="32"/>
          <w:szCs w:val="32"/>
        </w:rPr>
        <w:t>（注：数据来源于财决附</w:t>
      </w:r>
      <w:r>
        <w:rPr>
          <w:rFonts w:ascii="仿宋" w:eastAsia="仿宋"/>
          <w:b/>
          <w:sz w:val="32"/>
          <w:szCs w:val="32"/>
        </w:rPr>
        <w:t>03</w:t>
      </w:r>
      <w:r>
        <w:rPr>
          <w:rFonts w:hint="eastAsia" w:ascii="仿宋" w:eastAsia="仿宋"/>
          <w:b/>
          <w:sz w:val="32"/>
          <w:szCs w:val="32"/>
        </w:rPr>
        <w:t>表）</w:t>
      </w:r>
    </w:p>
    <w:p w14:paraId="3CB65A37">
      <w:pPr>
        <w:autoSpaceDE w:val="0"/>
        <w:autoSpaceDN w:val="0"/>
        <w:adjustRightInd w:val="0"/>
        <w:spacing w:line="600" w:lineRule="exact"/>
        <w:ind w:firstLine="643" w:firstLineChars="200"/>
        <w:jc w:val="left"/>
        <w:outlineLvl w:val="2"/>
        <w:rPr>
          <w:rFonts w:ascii="仿宋" w:eastAsia="仿宋"/>
          <w:b/>
          <w:sz w:val="32"/>
          <w:szCs w:val="32"/>
        </w:rPr>
      </w:pPr>
      <w:r>
        <w:rPr>
          <w:rFonts w:hint="eastAsia" w:ascii="仿宋" w:eastAsia="仿宋"/>
          <w:b/>
          <w:sz w:val="32"/>
          <w:szCs w:val="32"/>
        </w:rPr>
        <w:t>（四）预算绩效管理情况</w:t>
      </w:r>
    </w:p>
    <w:p w14:paraId="1DDAA8F8">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根据预算绩效管理要求，本部门在2021年度预算编制阶段，组织对</w:t>
      </w:r>
      <w:r>
        <w:rPr>
          <w:rFonts w:hint="eastAsia" w:ascii="仿宋_GB2312" w:eastAsia="仿宋_GB2312" w:cs="仿宋_GB2312"/>
          <w:sz w:val="32"/>
          <w:szCs w:val="32"/>
          <w:lang w:val="en-US" w:eastAsia="zh-CN"/>
        </w:rPr>
        <w:t>0</w:t>
      </w:r>
      <w:r>
        <w:rPr>
          <w:rFonts w:hint="eastAsia" w:ascii="仿宋_GB2312" w:eastAsia="仿宋_GB2312" w:cs="仿宋_GB2312"/>
          <w:sz w:val="32"/>
          <w:szCs w:val="32"/>
        </w:rPr>
        <w:t>项目（项目名称）等</w:t>
      </w:r>
      <w:r>
        <w:rPr>
          <w:rFonts w:hint="eastAsia" w:ascii="仿宋_GB2312" w:eastAsia="仿宋_GB2312" w:cs="仿宋_GB2312"/>
          <w:sz w:val="32"/>
          <w:szCs w:val="32"/>
          <w:lang w:val="en-US" w:eastAsia="zh-CN"/>
        </w:rPr>
        <w:t>0</w:t>
      </w:r>
      <w:r>
        <w:rPr>
          <w:rFonts w:hint="eastAsia" w:ascii="仿宋_GB2312" w:eastAsia="仿宋_GB2312" w:cs="仿宋_GB2312"/>
          <w:sz w:val="32"/>
          <w:szCs w:val="32"/>
        </w:rPr>
        <w:t>个项目开展了预算事前绩效评估，对</w:t>
      </w:r>
      <w:r>
        <w:rPr>
          <w:rFonts w:hint="eastAsia" w:ascii="仿宋_GB2312" w:eastAsia="仿宋_GB2312" w:cs="仿宋_GB2312"/>
          <w:sz w:val="32"/>
          <w:szCs w:val="32"/>
          <w:lang w:val="en-US" w:eastAsia="zh-CN"/>
        </w:rPr>
        <w:t>7</w:t>
      </w:r>
      <w:r>
        <w:rPr>
          <w:rFonts w:hint="eastAsia" w:ascii="仿宋_GB2312" w:eastAsia="仿宋_GB2312" w:cs="仿宋_GB2312"/>
          <w:sz w:val="32"/>
          <w:szCs w:val="32"/>
        </w:rPr>
        <w:t>个项目编制了绩效目标，预算执行过程中，选取</w:t>
      </w:r>
      <w:r>
        <w:rPr>
          <w:rFonts w:hint="eastAsia" w:ascii="仿宋_GB2312" w:eastAsia="仿宋_GB2312" w:cs="仿宋_GB2312"/>
          <w:sz w:val="32"/>
          <w:szCs w:val="32"/>
          <w:lang w:val="en-US" w:eastAsia="zh-CN"/>
        </w:rPr>
        <w:t>7</w:t>
      </w:r>
      <w:r>
        <w:rPr>
          <w:rFonts w:hint="eastAsia" w:ascii="仿宋_GB2312" w:eastAsia="仿宋_GB2312" w:cs="仿宋_GB2312"/>
          <w:sz w:val="32"/>
          <w:szCs w:val="32"/>
        </w:rPr>
        <w:t>个项目开展绩效监控，年终执行完毕后，对</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个项目开展了绩效自评。同时，本部门对2021年部门整体开展绩效自评，《2021年XX部门整体绩效评价报告》见附件（第四部分）。</w:t>
      </w:r>
    </w:p>
    <w:p w14:paraId="13DA276D">
      <w:pPr>
        <w:widowControl/>
        <w:jc w:val="left"/>
        <w:rPr>
          <w:rFonts w:ascii="仿宋_GB2312" w:eastAsia="仿宋_GB2312"/>
          <w:b/>
          <w:sz w:val="32"/>
          <w:szCs w:val="32"/>
        </w:rPr>
      </w:pPr>
      <w:r>
        <w:rPr>
          <w:rFonts w:ascii="仿宋_GB2312" w:eastAsia="仿宋_GB2312"/>
          <w:b/>
          <w:sz w:val="32"/>
          <w:szCs w:val="32"/>
        </w:rPr>
        <w:br w:type="page"/>
      </w:r>
    </w:p>
    <w:p w14:paraId="7C855044">
      <w:pPr>
        <w:numPr>
          <w:ilvl w:val="0"/>
          <w:numId w:val="4"/>
        </w:numPr>
        <w:spacing w:line="600" w:lineRule="exact"/>
        <w:ind w:firstLine="660" w:firstLineChars="150"/>
        <w:jc w:val="center"/>
        <w:outlineLvl w:val="0"/>
        <w:rPr>
          <w:rStyle w:val="18"/>
          <w:rFonts w:ascii="黑体" w:eastAsia="黑体"/>
          <w:b w:val="0"/>
        </w:rPr>
      </w:pPr>
      <w:bookmarkStart w:id="99" w:name="_Toc15396613"/>
      <w:bookmarkStart w:id="100" w:name="_Toc22678"/>
      <w:bookmarkStart w:id="101" w:name="_Toc15377225"/>
      <w:r>
        <w:rPr>
          <w:rFonts w:hint="eastAsia" w:ascii="黑体" w:eastAsia="黑体"/>
          <w:sz w:val="44"/>
          <w:szCs w:val="44"/>
        </w:rPr>
        <w:t>名</w:t>
      </w:r>
      <w:r>
        <w:rPr>
          <w:rStyle w:val="18"/>
          <w:rFonts w:hint="eastAsia" w:ascii="黑体" w:eastAsia="黑体"/>
          <w:b w:val="0"/>
        </w:rPr>
        <w:t>词解释</w:t>
      </w:r>
      <w:bookmarkEnd w:id="99"/>
      <w:bookmarkEnd w:id="100"/>
      <w:bookmarkEnd w:id="101"/>
    </w:p>
    <w:p w14:paraId="58CA457B">
      <w:pPr>
        <w:spacing w:line="600" w:lineRule="exact"/>
        <w:jc w:val="left"/>
        <w:rPr>
          <w:rFonts w:ascii="宋体"/>
          <w:b/>
          <w:sz w:val="44"/>
          <w:szCs w:val="44"/>
        </w:rPr>
      </w:pPr>
    </w:p>
    <w:p w14:paraId="58AD8710">
      <w:pPr>
        <w:pStyle w:val="23"/>
        <w:spacing w:line="560" w:lineRule="exact"/>
        <w:ind w:firstLine="640" w:firstLineChars="200"/>
        <w:outlineLvl w:val="1"/>
        <w:rPr>
          <w:rFonts w:ascii="仿宋_GB2312" w:eastAsia="仿宋_GB2312"/>
          <w:color w:val="auto"/>
          <w:sz w:val="32"/>
          <w:szCs w:val="32"/>
        </w:rPr>
      </w:pPr>
      <w:bookmarkStart w:id="102" w:name="_Toc13283"/>
      <w:bookmarkStart w:id="103" w:name="_Toc4512"/>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bookmarkEnd w:id="102"/>
      <w:bookmarkEnd w:id="103"/>
    </w:p>
    <w:p w14:paraId="6CAAE600">
      <w:pPr>
        <w:pStyle w:val="23"/>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202F783E">
      <w:pPr>
        <w:pStyle w:val="23"/>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21B67DFE">
      <w:pPr>
        <w:pStyle w:val="23"/>
        <w:spacing w:line="560" w:lineRule="exact"/>
        <w:ind w:firstLine="640" w:firstLineChars="200"/>
        <w:outlineLvl w:val="1"/>
        <w:rPr>
          <w:rFonts w:ascii="仿宋_GB2312" w:eastAsia="仿宋_GB2312"/>
          <w:color w:val="auto"/>
          <w:sz w:val="32"/>
          <w:szCs w:val="32"/>
        </w:rPr>
      </w:pPr>
      <w:bookmarkStart w:id="104" w:name="_Toc16739"/>
      <w:bookmarkStart w:id="105" w:name="_Toc21728"/>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bookmarkEnd w:id="104"/>
      <w:bookmarkEnd w:id="105"/>
      <w:r>
        <w:rPr>
          <w:rFonts w:ascii="仿宋_GB2312" w:eastAsia="仿宋_GB2312"/>
          <w:color w:val="auto"/>
          <w:sz w:val="32"/>
          <w:szCs w:val="32"/>
        </w:rPr>
        <w:t xml:space="preserve"> </w:t>
      </w:r>
    </w:p>
    <w:p w14:paraId="439E8091">
      <w:pPr>
        <w:pStyle w:val="23"/>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r>
        <w:rPr>
          <w:rFonts w:ascii="仿宋_GB2312" w:eastAsia="仿宋_GB2312"/>
          <w:color w:val="auto"/>
          <w:sz w:val="32"/>
          <w:szCs w:val="32"/>
        </w:rPr>
        <w:t xml:space="preserve"> </w:t>
      </w:r>
    </w:p>
    <w:p w14:paraId="6637E32C">
      <w:pPr>
        <w:pStyle w:val="23"/>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18A35016">
      <w:pPr>
        <w:pStyle w:val="23"/>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38F4EED2">
      <w:pPr>
        <w:pStyle w:val="23"/>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年末结转和结余：指单位按有关规定结转到下年或以后年度继续使用的资金。</w:t>
      </w:r>
    </w:p>
    <w:p w14:paraId="2905FD37">
      <w:pPr>
        <w:spacing w:line="600" w:lineRule="exact"/>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9.科学技术（类）206（款）01（项）01: 指单位基本支出行政运行</w:t>
      </w:r>
    </w:p>
    <w:p w14:paraId="49C13438">
      <w:pPr>
        <w:spacing w:line="600" w:lineRule="exact"/>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10.科学技术（类）206（款）01（项）02: 指一般行政管理事务</w:t>
      </w:r>
    </w:p>
    <w:p w14:paraId="7B2A0D55">
      <w:pPr>
        <w:pStyle w:val="2"/>
        <w:numPr>
          <w:ilvl w:val="0"/>
          <w:numId w:val="0"/>
        </w:numPr>
        <w:ind w:right="0" w:rightChars="0" w:firstLine="640" w:firstLineChars="200"/>
        <w:rPr>
          <w:rFonts w:hint="eastAsia" w:ascii="仿宋_GB2312" w:hAnsi="Times New Roman" w:eastAsia="仿宋_GB2312" w:cs="仿宋"/>
          <w:b w:val="0"/>
          <w:bCs/>
          <w:color w:val="auto"/>
          <w:kern w:val="0"/>
          <w:sz w:val="32"/>
          <w:szCs w:val="32"/>
          <w:lang w:val="en-US" w:eastAsia="zh-CN" w:bidi="ar-SA"/>
        </w:rPr>
      </w:pPr>
      <w:r>
        <w:rPr>
          <w:rFonts w:hint="eastAsia" w:ascii="仿宋_GB2312" w:hAnsi="Times New Roman" w:eastAsia="仿宋_GB2312" w:cs="仿宋"/>
          <w:b w:val="0"/>
          <w:bCs/>
          <w:color w:val="auto"/>
          <w:kern w:val="0"/>
          <w:sz w:val="32"/>
          <w:szCs w:val="32"/>
          <w:lang w:val="en-US" w:eastAsia="zh-CN" w:bidi="ar-SA"/>
        </w:rPr>
        <w:t>11.科学技术（类）206（款）07（项）05: 指科技馆站运行经费</w:t>
      </w:r>
    </w:p>
    <w:p w14:paraId="6927D3AA">
      <w:pPr>
        <w:pStyle w:val="2"/>
        <w:numPr>
          <w:ilvl w:val="0"/>
          <w:numId w:val="0"/>
        </w:numPr>
        <w:ind w:right="0" w:rightChars="0" w:firstLine="640" w:firstLineChars="200"/>
        <w:rPr>
          <w:rFonts w:hint="eastAsia" w:ascii="仿宋_GB2312" w:hAnsi="Times New Roman" w:eastAsia="仿宋_GB2312" w:cs="仿宋"/>
          <w:b w:val="0"/>
          <w:bCs/>
          <w:color w:val="auto"/>
          <w:kern w:val="0"/>
          <w:sz w:val="32"/>
          <w:szCs w:val="32"/>
          <w:lang w:val="en-US" w:eastAsia="zh-CN" w:bidi="ar-SA"/>
        </w:rPr>
      </w:pPr>
      <w:r>
        <w:rPr>
          <w:rFonts w:hint="eastAsia" w:ascii="仿宋_GB2312" w:eastAsia="仿宋_GB2312" w:cs="仿宋"/>
          <w:b w:val="0"/>
          <w:bCs/>
          <w:color w:val="auto"/>
          <w:kern w:val="0"/>
          <w:sz w:val="32"/>
          <w:szCs w:val="32"/>
          <w:lang w:val="en-US" w:eastAsia="zh-CN" w:bidi="ar-SA"/>
        </w:rPr>
        <w:t>12</w:t>
      </w:r>
      <w:r>
        <w:rPr>
          <w:rFonts w:hint="eastAsia" w:ascii="仿宋_GB2312" w:hAnsi="Times New Roman" w:eastAsia="仿宋_GB2312" w:cs="仿宋"/>
          <w:b w:val="0"/>
          <w:bCs/>
          <w:color w:val="auto"/>
          <w:kern w:val="0"/>
          <w:sz w:val="32"/>
          <w:szCs w:val="32"/>
          <w:lang w:val="en-US" w:eastAsia="zh-CN" w:bidi="ar-SA"/>
        </w:rPr>
        <w:t>.科学技术（类）206（款）07（项）99: 指其他科学技术普及支出</w:t>
      </w:r>
    </w:p>
    <w:p w14:paraId="448D30CA">
      <w:pPr>
        <w:pStyle w:val="2"/>
        <w:numPr>
          <w:ilvl w:val="0"/>
          <w:numId w:val="0"/>
        </w:numPr>
        <w:ind w:right="0" w:rightChars="0" w:firstLine="640" w:firstLineChars="200"/>
        <w:rPr>
          <w:rFonts w:hint="eastAsia" w:ascii="仿宋_GB2312" w:hAnsi="Times New Roman" w:eastAsia="仿宋_GB2312" w:cs="仿宋"/>
          <w:b w:val="0"/>
          <w:bCs/>
          <w:color w:val="auto"/>
          <w:kern w:val="0"/>
          <w:sz w:val="32"/>
          <w:szCs w:val="32"/>
          <w:lang w:val="en-US" w:eastAsia="zh-CN" w:bidi="ar-SA"/>
        </w:rPr>
      </w:pPr>
      <w:r>
        <w:rPr>
          <w:rFonts w:hint="eastAsia" w:ascii="仿宋_GB2312" w:eastAsia="仿宋_GB2312" w:cs="仿宋"/>
          <w:b w:val="0"/>
          <w:bCs/>
          <w:color w:val="auto"/>
          <w:kern w:val="0"/>
          <w:sz w:val="32"/>
          <w:szCs w:val="32"/>
          <w:lang w:val="en-US" w:eastAsia="zh-CN" w:bidi="ar-SA"/>
        </w:rPr>
        <w:t>13.</w:t>
      </w:r>
      <w:r>
        <w:rPr>
          <w:rFonts w:hint="eastAsia" w:ascii="仿宋_GB2312" w:hAnsi="Times New Roman" w:eastAsia="仿宋_GB2312" w:cs="仿宋"/>
          <w:b w:val="0"/>
          <w:bCs/>
          <w:color w:val="auto"/>
          <w:kern w:val="0"/>
          <w:sz w:val="32"/>
          <w:szCs w:val="32"/>
          <w:lang w:val="en-US" w:eastAsia="zh-CN" w:bidi="ar-SA"/>
        </w:rPr>
        <w:t>科学技术（类）206（款）99（项）99: 指其他科学技术支出</w:t>
      </w:r>
    </w:p>
    <w:p w14:paraId="63DB2752">
      <w:pPr>
        <w:spacing w:line="600" w:lineRule="exact"/>
        <w:ind w:firstLine="640" w:firstLineChars="200"/>
        <w:rPr>
          <w:rFonts w:hint="eastAsia" w:ascii="仿宋_GB2312" w:hAnsi="Times New Roman" w:eastAsia="仿宋_GB2312" w:cs="仿宋"/>
          <w:b w:val="0"/>
          <w:bCs/>
          <w:color w:val="auto"/>
          <w:kern w:val="0"/>
          <w:sz w:val="32"/>
          <w:szCs w:val="32"/>
          <w:lang w:val="en-US" w:eastAsia="zh-CN" w:bidi="ar-SA"/>
        </w:rPr>
      </w:pPr>
      <w:r>
        <w:rPr>
          <w:rFonts w:hint="eastAsia" w:ascii="仿宋_GB2312" w:eastAsia="仿宋_GB2312" w:cs="仿宋"/>
          <w:b w:val="0"/>
          <w:bCs/>
          <w:color w:val="auto"/>
          <w:kern w:val="0"/>
          <w:sz w:val="32"/>
          <w:szCs w:val="32"/>
          <w:lang w:val="en-US" w:eastAsia="zh-CN" w:bidi="ar-SA"/>
        </w:rPr>
        <w:t>14</w:t>
      </w:r>
      <w:r>
        <w:rPr>
          <w:rFonts w:hint="eastAsia" w:ascii="仿宋_GB2312" w:hAnsi="Times New Roman" w:eastAsia="仿宋_GB2312" w:cs="仿宋"/>
          <w:b w:val="0"/>
          <w:bCs/>
          <w:color w:val="auto"/>
          <w:kern w:val="0"/>
          <w:sz w:val="32"/>
          <w:szCs w:val="32"/>
          <w:lang w:val="en-US" w:eastAsia="zh-CN" w:bidi="ar-SA"/>
        </w:rPr>
        <w:t>.社会保障和就业（类）208（款）05（项）05:  指机关事业单位基本养老保险缴费支出</w:t>
      </w:r>
    </w:p>
    <w:p w14:paraId="6669556E">
      <w:pPr>
        <w:spacing w:line="600" w:lineRule="exact"/>
        <w:ind w:firstLine="640" w:firstLineChars="200"/>
        <w:rPr>
          <w:rFonts w:hint="eastAsia" w:ascii="仿宋_GB2312" w:hAnsi="Times New Roman" w:eastAsia="仿宋_GB2312" w:cs="仿宋"/>
          <w:b w:val="0"/>
          <w:bCs/>
          <w:color w:val="auto"/>
          <w:kern w:val="0"/>
          <w:sz w:val="32"/>
          <w:szCs w:val="32"/>
          <w:lang w:val="en-US" w:eastAsia="zh-CN" w:bidi="ar-SA"/>
        </w:rPr>
      </w:pPr>
      <w:r>
        <w:rPr>
          <w:rFonts w:hint="eastAsia" w:ascii="仿宋_GB2312" w:eastAsia="仿宋_GB2312" w:cs="仿宋"/>
          <w:b w:val="0"/>
          <w:bCs/>
          <w:color w:val="auto"/>
          <w:kern w:val="0"/>
          <w:sz w:val="32"/>
          <w:szCs w:val="32"/>
          <w:lang w:val="en-US" w:eastAsia="zh-CN" w:bidi="ar-SA"/>
        </w:rPr>
        <w:t>15</w:t>
      </w:r>
      <w:r>
        <w:rPr>
          <w:rFonts w:hint="eastAsia" w:ascii="仿宋_GB2312" w:hAnsi="Times New Roman" w:eastAsia="仿宋_GB2312" w:cs="仿宋"/>
          <w:b w:val="0"/>
          <w:bCs/>
          <w:color w:val="auto"/>
          <w:kern w:val="0"/>
          <w:sz w:val="32"/>
          <w:szCs w:val="32"/>
          <w:lang w:val="en-US" w:eastAsia="zh-CN" w:bidi="ar-SA"/>
        </w:rPr>
        <w:t>.社会保障和就业（类）208（款）05（项）06: 指机关事业单位职业年金缴费支出</w:t>
      </w:r>
    </w:p>
    <w:p w14:paraId="736E1882">
      <w:pPr>
        <w:spacing w:line="600" w:lineRule="exact"/>
        <w:ind w:firstLine="640" w:firstLineChars="200"/>
        <w:rPr>
          <w:rFonts w:hint="default" w:ascii="仿宋_GB2312" w:hAnsi="Times New Roman" w:eastAsia="仿宋_GB2312" w:cs="仿宋"/>
          <w:b w:val="0"/>
          <w:bCs/>
          <w:color w:val="auto"/>
          <w:kern w:val="0"/>
          <w:sz w:val="32"/>
          <w:szCs w:val="32"/>
          <w:lang w:val="en-US" w:eastAsia="zh-CN" w:bidi="ar-SA"/>
        </w:rPr>
      </w:pPr>
      <w:r>
        <w:rPr>
          <w:rFonts w:hint="eastAsia" w:ascii="仿宋_GB2312" w:eastAsia="仿宋_GB2312" w:cs="仿宋"/>
          <w:b w:val="0"/>
          <w:bCs/>
          <w:color w:val="auto"/>
          <w:kern w:val="0"/>
          <w:sz w:val="32"/>
          <w:szCs w:val="32"/>
          <w:lang w:val="en-US" w:eastAsia="zh-CN" w:bidi="ar-SA"/>
        </w:rPr>
        <w:t>16</w:t>
      </w:r>
      <w:r>
        <w:rPr>
          <w:rFonts w:hint="eastAsia" w:ascii="仿宋_GB2312" w:hAnsi="Times New Roman" w:eastAsia="仿宋_GB2312" w:cs="仿宋"/>
          <w:b w:val="0"/>
          <w:bCs/>
          <w:color w:val="auto"/>
          <w:kern w:val="0"/>
          <w:sz w:val="32"/>
          <w:szCs w:val="32"/>
          <w:lang w:val="en-US" w:eastAsia="zh-CN" w:bidi="ar-SA"/>
        </w:rPr>
        <w:t>.卫生健康（类）210（款）11（项）01: 指行政单位医疗保险支出</w:t>
      </w:r>
    </w:p>
    <w:p w14:paraId="227DD215">
      <w:pPr>
        <w:pStyle w:val="2"/>
        <w:ind w:left="0" w:leftChars="0" w:firstLine="640" w:firstLineChars="200"/>
        <w:rPr>
          <w:rFonts w:hint="default" w:ascii="仿宋_GB2312" w:hAnsi="Times New Roman" w:eastAsia="仿宋_GB2312" w:cs="仿宋"/>
          <w:b w:val="0"/>
          <w:bCs/>
          <w:color w:val="auto"/>
          <w:kern w:val="0"/>
          <w:sz w:val="32"/>
          <w:szCs w:val="32"/>
          <w:lang w:val="en-US" w:eastAsia="zh-CN" w:bidi="ar-SA"/>
        </w:rPr>
      </w:pPr>
      <w:r>
        <w:rPr>
          <w:rFonts w:hint="eastAsia" w:ascii="仿宋_GB2312" w:eastAsia="仿宋_GB2312" w:cs="仿宋"/>
          <w:b w:val="0"/>
          <w:bCs/>
          <w:color w:val="auto"/>
          <w:kern w:val="0"/>
          <w:sz w:val="32"/>
          <w:szCs w:val="32"/>
          <w:lang w:val="en-US" w:eastAsia="zh-CN" w:bidi="ar-SA"/>
        </w:rPr>
        <w:t>17</w:t>
      </w:r>
      <w:r>
        <w:rPr>
          <w:rFonts w:hint="eastAsia" w:ascii="仿宋_GB2312" w:hAnsi="Times New Roman" w:eastAsia="仿宋_GB2312" w:cs="仿宋"/>
          <w:b w:val="0"/>
          <w:bCs/>
          <w:color w:val="auto"/>
          <w:kern w:val="0"/>
          <w:sz w:val="32"/>
          <w:szCs w:val="32"/>
          <w:lang w:val="en-US" w:eastAsia="zh-CN" w:bidi="ar-SA"/>
        </w:rPr>
        <w:t>.卫生健康（类）210（款）11（项）03:指公务员医疗补助支出</w:t>
      </w:r>
    </w:p>
    <w:p w14:paraId="7CABB9F5">
      <w:pPr>
        <w:pStyle w:val="2"/>
        <w:ind w:left="0" w:leftChars="0" w:firstLine="640" w:firstLineChars="200"/>
        <w:rPr>
          <w:rFonts w:hint="eastAsia" w:ascii="仿宋_GB2312" w:hAnsi="Times New Roman" w:eastAsia="仿宋_GB2312" w:cs="仿宋"/>
          <w:b w:val="0"/>
          <w:bCs/>
          <w:color w:val="auto"/>
          <w:kern w:val="0"/>
          <w:sz w:val="32"/>
          <w:szCs w:val="32"/>
          <w:lang w:val="en-US" w:eastAsia="zh-CN" w:bidi="ar-SA"/>
        </w:rPr>
      </w:pPr>
      <w:r>
        <w:rPr>
          <w:rFonts w:hint="eastAsia" w:ascii="仿宋_GB2312" w:eastAsia="仿宋_GB2312" w:cs="仿宋"/>
          <w:b w:val="0"/>
          <w:bCs/>
          <w:color w:val="auto"/>
          <w:kern w:val="0"/>
          <w:sz w:val="32"/>
          <w:szCs w:val="32"/>
          <w:lang w:val="en-US" w:eastAsia="zh-CN" w:bidi="ar-SA"/>
        </w:rPr>
        <w:t>18</w:t>
      </w:r>
      <w:r>
        <w:rPr>
          <w:rFonts w:hint="eastAsia" w:ascii="仿宋_GB2312" w:hAnsi="Times New Roman" w:eastAsia="仿宋_GB2312" w:cs="仿宋"/>
          <w:b w:val="0"/>
          <w:bCs/>
          <w:color w:val="auto"/>
          <w:kern w:val="0"/>
          <w:sz w:val="32"/>
          <w:szCs w:val="32"/>
          <w:lang w:val="en-US" w:eastAsia="zh-CN" w:bidi="ar-SA"/>
        </w:rPr>
        <w:t>.住房保障（类）221（款）02（项）01:指住房公积金缴费支出</w:t>
      </w:r>
    </w:p>
    <w:p w14:paraId="446894CE">
      <w:pPr>
        <w:pStyle w:val="2"/>
        <w:ind w:left="0" w:leftChars="0" w:firstLine="640" w:firstLineChars="200"/>
        <w:rPr>
          <w:rFonts w:hint="eastAsia" w:ascii="仿宋_GB2312" w:hAnsi="Times New Roman" w:eastAsia="仿宋_GB2312" w:cs="仿宋"/>
          <w:b w:val="0"/>
          <w:bCs/>
          <w:color w:val="auto"/>
          <w:kern w:val="0"/>
          <w:sz w:val="32"/>
          <w:szCs w:val="32"/>
          <w:lang w:val="en-US" w:eastAsia="zh-CN" w:bidi="ar-SA"/>
        </w:rPr>
      </w:pPr>
      <w:r>
        <w:rPr>
          <w:rFonts w:hint="eastAsia" w:ascii="仿宋_GB2312" w:hAnsi="Times New Roman" w:eastAsia="仿宋_GB2312" w:cs="仿宋"/>
          <w:b w:val="0"/>
          <w:bCs/>
          <w:color w:val="auto"/>
          <w:kern w:val="0"/>
          <w:sz w:val="32"/>
          <w:szCs w:val="32"/>
          <w:lang w:val="en-US" w:eastAsia="zh-CN" w:bidi="ar-SA"/>
        </w:rPr>
        <w:t>1</w:t>
      </w:r>
      <w:r>
        <w:rPr>
          <w:rFonts w:hint="eastAsia" w:ascii="仿宋_GB2312" w:eastAsia="仿宋_GB2312" w:cs="仿宋"/>
          <w:b w:val="0"/>
          <w:bCs/>
          <w:color w:val="auto"/>
          <w:kern w:val="0"/>
          <w:sz w:val="32"/>
          <w:szCs w:val="32"/>
          <w:lang w:val="en-US" w:eastAsia="zh-CN" w:bidi="ar-SA"/>
        </w:rPr>
        <w:t>9</w:t>
      </w:r>
      <w:r>
        <w:rPr>
          <w:rFonts w:hint="eastAsia" w:ascii="仿宋_GB2312" w:hAnsi="Times New Roman" w:eastAsia="仿宋_GB2312" w:cs="仿宋"/>
          <w:b w:val="0"/>
          <w:bCs/>
          <w:color w:val="auto"/>
          <w:kern w:val="0"/>
          <w:sz w:val="32"/>
          <w:szCs w:val="32"/>
          <w:lang w:val="en-US" w:eastAsia="zh-CN" w:bidi="ar-SA"/>
        </w:rPr>
        <w:t>.住房保障（类）221（款）02（项）03:指退休人员购房补贴</w:t>
      </w:r>
    </w:p>
    <w:p w14:paraId="75C5F259">
      <w:pPr>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2</w:t>
      </w:r>
      <w:r>
        <w:rPr>
          <w:rFonts w:hint="eastAsia" w:ascii="仿宋_GB2312" w:eastAsia="仿宋_GB2312" w:cs="仿宋"/>
          <w:color w:val="auto"/>
          <w:kern w:val="0"/>
          <w:sz w:val="32"/>
          <w:szCs w:val="32"/>
          <w:lang w:val="en-US" w:eastAsia="zh-CN" w:bidi="ar-SA"/>
        </w:rPr>
        <w:t>0</w:t>
      </w:r>
      <w:r>
        <w:rPr>
          <w:rFonts w:hint="eastAsia" w:ascii="仿宋_GB2312" w:hAnsi="Times New Roman" w:eastAsia="仿宋_GB2312" w:cs="仿宋"/>
          <w:color w:val="auto"/>
          <w:kern w:val="0"/>
          <w:sz w:val="32"/>
          <w:szCs w:val="32"/>
          <w:lang w:val="en-US" w:eastAsia="zh-CN" w:bidi="ar-SA"/>
        </w:rPr>
        <w:t>.基本支出：指为保障机构正常运转、完成日常工作任务而发生的人员支出和公用支出。</w:t>
      </w:r>
    </w:p>
    <w:p w14:paraId="2EA77D8C">
      <w:pPr>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2</w:t>
      </w:r>
      <w:r>
        <w:rPr>
          <w:rFonts w:hint="eastAsia" w:ascii="仿宋_GB2312" w:eastAsia="仿宋_GB2312" w:cs="仿宋"/>
          <w:color w:val="auto"/>
          <w:kern w:val="0"/>
          <w:sz w:val="32"/>
          <w:szCs w:val="32"/>
          <w:lang w:val="en-US" w:eastAsia="zh-CN" w:bidi="ar-SA"/>
        </w:rPr>
        <w:t>1</w:t>
      </w:r>
      <w:r>
        <w:rPr>
          <w:rFonts w:hint="eastAsia" w:ascii="仿宋_GB2312" w:hAnsi="Times New Roman" w:eastAsia="仿宋_GB2312" w:cs="仿宋"/>
          <w:color w:val="auto"/>
          <w:kern w:val="0"/>
          <w:sz w:val="32"/>
          <w:szCs w:val="32"/>
          <w:lang w:val="en-US" w:eastAsia="zh-CN" w:bidi="ar-SA"/>
        </w:rPr>
        <w:t xml:space="preserve">.项目支出：指在基本支出之外为完成特定行政任务和事业发展目标所发生的支出。 </w:t>
      </w:r>
    </w:p>
    <w:p w14:paraId="48F283D8">
      <w:pPr>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hAnsi="Times New Roman" w:eastAsia="仿宋_GB2312" w:cs="仿宋"/>
          <w:color w:val="auto"/>
          <w:kern w:val="0"/>
          <w:sz w:val="32"/>
          <w:szCs w:val="32"/>
          <w:lang w:val="en-US" w:eastAsia="zh-CN" w:bidi="ar-SA"/>
        </w:rPr>
        <w:t>2</w:t>
      </w:r>
      <w:r>
        <w:rPr>
          <w:rFonts w:hint="eastAsia" w:ascii="仿宋_GB2312" w:eastAsia="仿宋_GB2312" w:cs="仿宋"/>
          <w:color w:val="auto"/>
          <w:kern w:val="0"/>
          <w:sz w:val="32"/>
          <w:szCs w:val="32"/>
          <w:lang w:val="en-US" w:eastAsia="zh-CN" w:bidi="ar-SA"/>
        </w:rPr>
        <w:t>2</w:t>
      </w:r>
      <w:r>
        <w:rPr>
          <w:rFonts w:hint="eastAsia" w:ascii="仿宋_GB2312" w:hAnsi="Times New Roman" w:eastAsia="仿宋_GB2312" w:cs="仿宋"/>
          <w:color w:val="auto"/>
          <w:kern w:val="0"/>
          <w:sz w:val="32"/>
          <w:szCs w:val="32"/>
          <w:lang w:val="en-US" w:eastAsia="zh-CN" w:bidi="ar-SA"/>
        </w:rPr>
        <w:t>.经营支出：指事业单位在专业业务活动及其辅助活动之外开展非独立核算经营活动发生的支出。</w:t>
      </w:r>
    </w:p>
    <w:p w14:paraId="5CE87C51">
      <w:pPr>
        <w:pStyle w:val="23"/>
        <w:spacing w:line="560" w:lineRule="exact"/>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23</w:t>
      </w:r>
      <w:r>
        <w:rPr>
          <w:rFonts w:hint="eastAsia" w:ascii="仿宋_GB2312" w:hAnsi="Times New Roman" w:eastAsia="仿宋_GB2312" w:cs="仿宋"/>
          <w:color w:val="auto"/>
          <w:kern w:val="0"/>
          <w:sz w:val="32"/>
          <w:szCs w:val="32"/>
          <w:lang w:val="en-US" w:eastAsia="zh-CN" w:bidi="ar-SA"/>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42FAC62">
      <w:pPr>
        <w:pStyle w:val="23"/>
        <w:spacing w:line="560" w:lineRule="exact"/>
        <w:ind w:firstLine="640" w:firstLineChars="200"/>
        <w:rPr>
          <w:rFonts w:hint="eastAsia" w:ascii="仿宋_GB2312" w:hAnsi="Times New Roman" w:eastAsia="仿宋_GB2312" w:cs="仿宋"/>
          <w:color w:val="auto"/>
          <w:kern w:val="0"/>
          <w:sz w:val="32"/>
          <w:szCs w:val="32"/>
          <w:lang w:val="en-US" w:eastAsia="zh-CN" w:bidi="ar-SA"/>
        </w:rPr>
      </w:pPr>
      <w:r>
        <w:rPr>
          <w:rFonts w:hint="eastAsia" w:ascii="仿宋_GB2312" w:eastAsia="仿宋_GB2312" w:cs="仿宋"/>
          <w:color w:val="auto"/>
          <w:kern w:val="0"/>
          <w:sz w:val="32"/>
          <w:szCs w:val="32"/>
          <w:lang w:val="en-US" w:eastAsia="zh-CN" w:bidi="ar-SA"/>
        </w:rPr>
        <w:t>24</w:t>
      </w:r>
      <w:r>
        <w:rPr>
          <w:rFonts w:hint="eastAsia" w:ascii="仿宋_GB2312" w:hAnsi="Times New Roman" w:eastAsia="仿宋_GB2312" w:cs="仿宋"/>
          <w:color w:val="auto"/>
          <w:kern w:val="0"/>
          <w:sz w:val="32"/>
          <w:szCs w:val="32"/>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44420CF">
      <w:pPr>
        <w:pStyle w:val="23"/>
        <w:spacing w:line="560" w:lineRule="exact"/>
        <w:ind w:firstLine="640" w:firstLineChars="200"/>
        <w:rPr>
          <w:rFonts w:ascii="仿宋_GB2312" w:eastAsia="仿宋_GB2312" w:cs="黑体"/>
          <w:color w:val="auto"/>
          <w:sz w:val="32"/>
          <w:szCs w:val="32"/>
        </w:rPr>
      </w:pPr>
    </w:p>
    <w:p w14:paraId="55310AD1">
      <w:pPr>
        <w:spacing w:line="600" w:lineRule="exact"/>
        <w:jc w:val="center"/>
        <w:outlineLvl w:val="0"/>
        <w:rPr>
          <w:rStyle w:val="18"/>
          <w:rFonts w:ascii="黑体" w:eastAsia="黑体"/>
          <w:b w:val="0"/>
        </w:rPr>
      </w:pPr>
      <w:bookmarkStart w:id="106" w:name="_Toc15377226"/>
      <w:r>
        <w:rPr>
          <w:rFonts w:ascii="宋体"/>
          <w:b/>
          <w:sz w:val="44"/>
          <w:szCs w:val="44"/>
        </w:rPr>
        <w:br w:type="page"/>
      </w:r>
      <w:bookmarkStart w:id="107" w:name="_Toc22953"/>
      <w:bookmarkStart w:id="108" w:name="_Toc15396614"/>
      <w:r>
        <w:rPr>
          <w:rFonts w:hint="eastAsia" w:ascii="黑体" w:eastAsia="黑体"/>
          <w:sz w:val="44"/>
          <w:szCs w:val="44"/>
        </w:rPr>
        <w:t>第</w:t>
      </w:r>
      <w:r>
        <w:rPr>
          <w:rStyle w:val="18"/>
          <w:rFonts w:hint="eastAsia" w:ascii="黑体" w:eastAsia="黑体"/>
          <w:b w:val="0"/>
        </w:rPr>
        <w:t>四部分 附件</w:t>
      </w:r>
      <w:bookmarkEnd w:id="107"/>
      <w:bookmarkEnd w:id="108"/>
    </w:p>
    <w:p w14:paraId="5F31247D">
      <w:pPr>
        <w:spacing w:line="572" w:lineRule="exact"/>
        <w:jc w:val="left"/>
        <w:outlineLvl w:val="1"/>
        <w:rPr>
          <w:rFonts w:ascii="方正小标宋简体" w:eastAsia="方正小标宋简体" w:cs="方正小标宋简体"/>
          <w:sz w:val="44"/>
          <w:szCs w:val="44"/>
        </w:rPr>
      </w:pPr>
      <w:bookmarkStart w:id="109" w:name="_Toc21184"/>
      <w:bookmarkStart w:id="110" w:name="_Toc23355"/>
      <w:r>
        <w:rPr>
          <w:rFonts w:hint="eastAsia" w:ascii="黑体" w:eastAsia="黑体" w:cs="黑体"/>
          <w:sz w:val="32"/>
          <w:szCs w:val="32"/>
        </w:rPr>
        <w:t>附件</w:t>
      </w:r>
      <w:bookmarkEnd w:id="109"/>
      <w:bookmarkEnd w:id="110"/>
    </w:p>
    <w:p w14:paraId="47701675">
      <w:pPr>
        <w:widowControl/>
        <w:spacing w:line="580" w:lineRule="exact"/>
        <w:contextualSpacing/>
        <w:jc w:val="center"/>
        <w:rPr>
          <w:rFonts w:hint="eastAsia" w:ascii="宋体" w:eastAsia="宋体"/>
          <w:b/>
          <w:sz w:val="44"/>
          <w:szCs w:val="44"/>
          <w:shd w:val="clear" w:color="auto" w:fill="FFFFFF"/>
          <w:lang w:val="en-US" w:eastAsia="zh-CN"/>
        </w:rPr>
      </w:pPr>
      <w:r>
        <w:rPr>
          <w:rFonts w:hint="eastAsia" w:ascii="宋体" w:eastAsia="宋体"/>
          <w:b/>
          <w:sz w:val="44"/>
          <w:szCs w:val="44"/>
          <w:shd w:val="clear" w:color="auto" w:fill="FFFFFF"/>
        </w:rPr>
        <w:t>20</w:t>
      </w:r>
      <w:r>
        <w:rPr>
          <w:rFonts w:hint="eastAsia" w:ascii="宋体" w:eastAsia="宋体"/>
          <w:b/>
          <w:sz w:val="44"/>
          <w:szCs w:val="44"/>
          <w:shd w:val="clear" w:color="auto" w:fill="FFFFFF"/>
          <w:lang w:val="en-US" w:eastAsia="zh-CN"/>
        </w:rPr>
        <w:t>22</w:t>
      </w:r>
      <w:r>
        <w:rPr>
          <w:rFonts w:hint="eastAsia" w:ascii="宋体" w:eastAsia="宋体"/>
          <w:b/>
          <w:sz w:val="44"/>
          <w:szCs w:val="44"/>
          <w:shd w:val="clear" w:color="auto" w:fill="FFFFFF"/>
        </w:rPr>
        <w:t>年</w:t>
      </w:r>
      <w:r>
        <w:rPr>
          <w:rFonts w:hint="eastAsia" w:ascii="宋体" w:eastAsia="宋体"/>
          <w:b/>
          <w:sz w:val="44"/>
          <w:szCs w:val="44"/>
          <w:shd w:val="clear" w:color="auto" w:fill="FFFFFF"/>
          <w:lang w:val="en-US" w:eastAsia="zh-CN"/>
        </w:rPr>
        <w:t>阿坝州科学技术协会</w:t>
      </w:r>
    </w:p>
    <w:p w14:paraId="391D769B">
      <w:pPr>
        <w:widowControl/>
        <w:spacing w:line="580" w:lineRule="exact"/>
        <w:contextualSpacing/>
        <w:jc w:val="center"/>
        <w:rPr>
          <w:rFonts w:ascii="宋体" w:eastAsia="宋体"/>
          <w:b/>
          <w:sz w:val="44"/>
          <w:szCs w:val="44"/>
          <w:shd w:val="clear" w:color="auto" w:fill="FFFFFF"/>
        </w:rPr>
      </w:pPr>
      <w:r>
        <w:rPr>
          <w:rFonts w:hint="eastAsia" w:ascii="宋体" w:eastAsia="宋体"/>
          <w:b/>
          <w:sz w:val="44"/>
          <w:szCs w:val="44"/>
          <w:shd w:val="clear" w:color="auto" w:fill="FFFFFF"/>
          <w:lang w:val="en-US" w:eastAsia="zh-CN"/>
        </w:rPr>
        <w:t>关于</w:t>
      </w:r>
      <w:r>
        <w:rPr>
          <w:rFonts w:hint="eastAsia" w:ascii="宋体" w:eastAsia="宋体"/>
          <w:b/>
          <w:sz w:val="44"/>
          <w:szCs w:val="44"/>
          <w:shd w:val="clear" w:color="auto" w:fill="FFFFFF"/>
        </w:rPr>
        <w:t>部门整体支出绩效评</w:t>
      </w:r>
      <w:r>
        <w:rPr>
          <w:rFonts w:hint="eastAsia" w:ascii="宋体" w:eastAsia="宋体"/>
          <w:b/>
          <w:sz w:val="44"/>
          <w:szCs w:val="44"/>
          <w:shd w:val="clear" w:color="auto" w:fill="FFFFFF"/>
          <w:lang w:val="en-US" w:eastAsia="zh-CN"/>
        </w:rPr>
        <w:t>的</w:t>
      </w:r>
      <w:r>
        <w:rPr>
          <w:rFonts w:hint="eastAsia" w:ascii="宋体" w:eastAsia="宋体"/>
          <w:b/>
          <w:sz w:val="44"/>
          <w:szCs w:val="44"/>
          <w:shd w:val="clear" w:color="auto" w:fill="FFFFFF"/>
        </w:rPr>
        <w:t>价报告</w:t>
      </w:r>
    </w:p>
    <w:p w14:paraId="1AAC1DF4">
      <w:pPr>
        <w:widowControl/>
        <w:spacing w:line="580" w:lineRule="exact"/>
        <w:contextualSpacing/>
        <w:jc w:val="center"/>
        <w:rPr>
          <w:rFonts w:ascii="仿宋_GB2312"/>
          <w:sz w:val="28"/>
          <w:szCs w:val="28"/>
          <w:shd w:val="clear" w:color="auto" w:fill="FFFFFF"/>
        </w:rPr>
      </w:pPr>
      <w:r>
        <w:rPr>
          <w:rFonts w:hint="eastAsia" w:ascii="仿宋_GB2312"/>
          <w:sz w:val="28"/>
          <w:szCs w:val="28"/>
          <w:shd w:val="clear" w:color="auto" w:fill="FFFFFF"/>
        </w:rPr>
        <w:t>（报告范围包括机关和下属单位）</w:t>
      </w:r>
    </w:p>
    <w:p w14:paraId="337B184C">
      <w:pPr>
        <w:widowControl/>
        <w:adjustRightInd w:val="0"/>
        <w:snapToGrid w:val="0"/>
        <w:spacing w:line="580" w:lineRule="exact"/>
        <w:ind w:firstLine="480" w:firstLineChars="200"/>
        <w:contextualSpacing/>
        <w:jc w:val="left"/>
        <w:rPr>
          <w:rFonts w:ascii="黑体" w:eastAsia="黑体" w:cs="宋体"/>
          <w:color w:val="000000"/>
          <w:kern w:val="0"/>
          <w:sz w:val="24"/>
          <w:szCs w:val="32"/>
          <w:shd w:val="clear" w:color="auto" w:fill="FFFFFF"/>
        </w:rPr>
      </w:pPr>
    </w:p>
    <w:p w14:paraId="683C473F">
      <w:pPr>
        <w:widowControl/>
        <w:adjustRightInd w:val="0"/>
        <w:snapToGrid w:val="0"/>
        <w:spacing w:line="580" w:lineRule="exact"/>
        <w:ind w:firstLine="420" w:firstLineChars="200"/>
        <w:contextualSpacing/>
        <w:jc w:val="left"/>
        <w:outlineLvl w:val="1"/>
        <w:rPr>
          <w:rFonts w:ascii="黑体" w:eastAsia="黑体" w:cs="宋体"/>
          <w:color w:val="000000"/>
          <w:kern w:val="0"/>
          <w:szCs w:val="32"/>
          <w:shd w:val="clear" w:color="auto" w:fill="FFFFFF"/>
          <w:lang w:val="zh-CN"/>
        </w:rPr>
      </w:pPr>
      <w:bookmarkStart w:id="111" w:name="_Toc11910"/>
      <w:bookmarkStart w:id="112" w:name="_Toc21785"/>
      <w:r>
        <w:rPr>
          <w:rFonts w:hint="eastAsia" w:ascii="黑体" w:eastAsia="黑体" w:cs="宋体"/>
          <w:color w:val="000000"/>
          <w:kern w:val="0"/>
          <w:szCs w:val="32"/>
          <w:shd w:val="clear" w:color="auto" w:fill="FFFFFF"/>
        </w:rPr>
        <w:t>一、</w:t>
      </w:r>
      <w:r>
        <w:rPr>
          <w:rFonts w:hint="eastAsia" w:ascii="黑体" w:eastAsia="黑体" w:cs="宋体"/>
          <w:color w:val="000000"/>
          <w:kern w:val="0"/>
          <w:sz w:val="32"/>
          <w:szCs w:val="32"/>
          <w:shd w:val="clear" w:color="auto" w:fill="FFFFFF"/>
          <w:lang w:val="zh-CN"/>
        </w:rPr>
        <w:t>部门（单位）概况</w:t>
      </w:r>
      <w:bookmarkEnd w:id="111"/>
      <w:bookmarkEnd w:id="112"/>
    </w:p>
    <w:p w14:paraId="3D207D6E">
      <w:pPr>
        <w:widowControl/>
        <w:adjustRightInd w:val="0"/>
        <w:snapToGrid w:val="0"/>
        <w:spacing w:line="580" w:lineRule="exact"/>
        <w:ind w:firstLine="420" w:firstLineChars="200"/>
        <w:contextualSpacing/>
        <w:jc w:val="left"/>
        <w:rPr>
          <w:rFonts w:hint="eastAsia" w:ascii="仿宋_GB2312" w:cs="宋体"/>
          <w:color w:val="000000"/>
          <w:kern w:val="0"/>
          <w:szCs w:val="32"/>
          <w:shd w:val="clear" w:color="auto" w:fill="FFFFFF"/>
          <w:lang w:val="zh-CN"/>
        </w:rPr>
      </w:pPr>
      <w:r>
        <w:rPr>
          <w:rFonts w:hint="eastAsia" w:ascii="仿宋_GB2312" w:cs="宋体"/>
          <w:color w:val="000000"/>
          <w:kern w:val="0"/>
          <w:szCs w:val="32"/>
          <w:shd w:val="clear" w:color="auto" w:fill="FFFFFF"/>
          <w:lang w:val="zh-CN"/>
        </w:rPr>
        <w:t>（一）</w:t>
      </w:r>
      <w:r>
        <w:rPr>
          <w:rFonts w:hint="eastAsia" w:ascii="仿宋_GB2312" w:cs="宋体"/>
          <w:color w:val="000000"/>
          <w:kern w:val="0"/>
          <w:sz w:val="32"/>
          <w:szCs w:val="32"/>
          <w:shd w:val="clear" w:color="auto" w:fill="FFFFFF"/>
          <w:lang w:val="zh-CN"/>
        </w:rPr>
        <w:t>机构组成。</w:t>
      </w:r>
    </w:p>
    <w:p w14:paraId="4EAD19F8">
      <w:pPr>
        <w:keepNext w:val="0"/>
        <w:keepLines w:val="0"/>
        <w:pageBreakBefore w:val="0"/>
        <w:widowControl/>
        <w:shd w:val="clear" w:color="auto" w:fill="FFFFFF"/>
        <w:kinsoku/>
        <w:wordWrap/>
        <w:overflowPunct/>
        <w:topLinePunct w:val="0"/>
        <w:autoSpaceDE/>
        <w:autoSpaceDN/>
        <w:spacing w:line="576" w:lineRule="exact"/>
        <w:ind w:firstLine="720"/>
        <w:rPr>
          <w:rFonts w:hint="eastAsia" w:ascii="仿宋" w:eastAsia="仿宋" w:cs="仿宋"/>
          <w:szCs w:val="32"/>
        </w:rPr>
      </w:pPr>
      <w:r>
        <w:rPr>
          <w:rFonts w:hint="eastAsia" w:ascii="仿宋" w:eastAsia="仿宋" w:cs="仿宋"/>
          <w:sz w:val="32"/>
          <w:szCs w:val="32"/>
        </w:rPr>
        <w:t>阿坝州科协按州委‘三定方案’设内设机构办公室、普及部、学会部、青少年部。下设事业单位阿坝州民族科普工作队、青少年科技馆, 民族科普工作队下设咨询中心。</w:t>
      </w:r>
    </w:p>
    <w:p w14:paraId="20AEDBA3">
      <w:pPr>
        <w:widowControl/>
        <w:numPr>
          <w:ilvl w:val="0"/>
          <w:numId w:val="5"/>
        </w:numPr>
        <w:adjustRightInd w:val="0"/>
        <w:snapToGrid w:val="0"/>
        <w:spacing w:line="580" w:lineRule="exact"/>
        <w:ind w:firstLine="640" w:firstLineChars="200"/>
        <w:contextualSpacing/>
        <w:jc w:val="left"/>
        <w:rPr>
          <w:rFonts w:hint="eastAsia" w:ascii="仿宋_GB2312" w:cs="宋体"/>
          <w:color w:val="000000"/>
          <w:kern w:val="0"/>
          <w:sz w:val="32"/>
          <w:szCs w:val="32"/>
          <w:shd w:val="clear" w:color="auto" w:fill="FFFFFF"/>
          <w:lang w:val="zh-CN"/>
        </w:rPr>
      </w:pPr>
      <w:r>
        <w:rPr>
          <w:rFonts w:hint="eastAsia" w:ascii="仿宋_GB2312" w:cs="宋体"/>
          <w:color w:val="000000"/>
          <w:kern w:val="0"/>
          <w:sz w:val="32"/>
          <w:szCs w:val="32"/>
          <w:shd w:val="clear" w:color="auto" w:fill="FFFFFF"/>
          <w:lang w:val="zh-CN"/>
        </w:rPr>
        <w:t>机构职能。</w:t>
      </w:r>
    </w:p>
    <w:p w14:paraId="3F364FB5">
      <w:pPr>
        <w:widowControl/>
        <w:numPr>
          <w:ilvl w:val="0"/>
          <w:numId w:val="0"/>
        </w:numPr>
        <w:adjustRightInd w:val="0"/>
        <w:snapToGrid w:val="0"/>
        <w:spacing w:line="580" w:lineRule="exact"/>
        <w:ind w:firstLine="640"/>
        <w:contextualSpacing/>
        <w:jc w:val="left"/>
        <w:rPr>
          <w:rFonts w:hint="eastAsia" w:ascii="仿宋" w:eastAsia="仿宋" w:cs="仿宋"/>
          <w:spacing w:val="-11"/>
          <w:sz w:val="32"/>
          <w:szCs w:val="32"/>
        </w:rPr>
      </w:pPr>
      <w:r>
        <w:rPr>
          <w:rFonts w:hint="eastAsia" w:ascii="仿宋" w:eastAsia="仿宋" w:cs="仿宋"/>
          <w:spacing w:val="-11"/>
          <w:sz w:val="32"/>
          <w:szCs w:val="32"/>
        </w:rPr>
        <w:t>阿坝州</w:t>
      </w:r>
      <w:r>
        <w:rPr>
          <w:rFonts w:hint="eastAsia" w:ascii="仿宋" w:eastAsia="仿宋" w:cs="仿宋"/>
          <w:spacing w:val="-11"/>
          <w:sz w:val="32"/>
          <w:szCs w:val="32"/>
          <w:lang w:val="en-US" w:eastAsia="zh-CN"/>
        </w:rPr>
        <w:t>科学技术协会</w:t>
      </w:r>
      <w:r>
        <w:rPr>
          <w:rFonts w:hint="eastAsia" w:ascii="仿宋" w:eastAsia="仿宋" w:cs="仿宋"/>
          <w:spacing w:val="-11"/>
          <w:sz w:val="32"/>
          <w:szCs w:val="32"/>
        </w:rPr>
        <w:t>的职能主要是：</w:t>
      </w:r>
    </w:p>
    <w:p w14:paraId="75B4F933">
      <w:pPr>
        <w:keepNext w:val="0"/>
        <w:keepLines w:val="0"/>
        <w:pageBreakBefore w:val="0"/>
        <w:widowControl w:val="0"/>
        <w:kinsoku/>
        <w:wordWrap/>
        <w:overflowPunct/>
        <w:topLinePunct w:val="0"/>
        <w:autoSpaceDE/>
        <w:autoSpaceDN/>
        <w:bidi w:val="0"/>
        <w:spacing w:line="576" w:lineRule="exact"/>
        <w:ind w:firstLine="596" w:firstLineChars="200"/>
        <w:textAlignment w:val="auto"/>
        <w:rPr>
          <w:rFonts w:hint="eastAsia" w:ascii="仿宋" w:eastAsia="仿宋" w:cs="仿宋"/>
          <w:spacing w:val="-11"/>
          <w:sz w:val="32"/>
          <w:szCs w:val="32"/>
          <w:lang w:eastAsia="zh-CN"/>
        </w:rPr>
      </w:pPr>
      <w:r>
        <w:rPr>
          <w:rFonts w:hint="eastAsia" w:ascii="仿宋" w:eastAsia="仿宋" w:cs="仿宋"/>
          <w:spacing w:val="-11"/>
          <w:sz w:val="32"/>
          <w:szCs w:val="32"/>
        </w:rPr>
        <w:t>1、开展学术交流，活跃学术思想，促进学科发展，推动决策科学化和民主化。2、宏扬科学精神，普及科学知识；科学思想和科学方法，捍卫科学尊严，推广先进技术，开展青少年科学技术教育活动，提高全民族科学文化素质。3、反映科技工作者的意见和要求，维护科技工作者的合法权益。组织科技工作者参与科技政策、法规制度，引导科技工作者在全国家和社会事务管理中发挥积极作用。4、表彰奖励有突出贡献的优秀科技团体和科技工作者，举荐人才。5、开展科学论证、咨询服务，提出政策建议，促进科技成果的转化。6、开展同州外民间科技交流与合作，发展同国内蒙古自治</w:t>
      </w:r>
      <w:r>
        <w:rPr>
          <w:rFonts w:hint="eastAsia" w:ascii="仿宋" w:eastAsia="仿宋" w:cs="仿宋"/>
          <w:bCs/>
          <w:color w:val="000000"/>
          <w:spacing w:val="-11"/>
          <w:kern w:val="0"/>
          <w:sz w:val="32"/>
          <w:szCs w:val="32"/>
        </w:rPr>
        <w:t>区外的科技</w:t>
      </w:r>
      <w:r>
        <w:rPr>
          <w:rFonts w:hint="eastAsia" w:ascii="仿宋" w:eastAsia="仿宋" w:cs="仿宋"/>
          <w:spacing w:val="-11"/>
          <w:sz w:val="32"/>
          <w:szCs w:val="32"/>
        </w:rPr>
        <w:t>团体和人员的友好交往，促进对外开放。7、</w:t>
      </w:r>
      <w:r>
        <w:rPr>
          <w:rFonts w:hint="eastAsia" w:ascii="仿宋" w:eastAsia="仿宋" w:cs="仿宋"/>
          <w:spacing w:val="-11"/>
          <w:sz w:val="32"/>
          <w:szCs w:val="32"/>
          <w:lang w:val="en-US" w:eastAsia="zh-CN"/>
        </w:rPr>
        <w:t>对</w:t>
      </w:r>
      <w:r>
        <w:rPr>
          <w:rFonts w:hint="eastAsia" w:ascii="仿宋" w:eastAsia="仿宋" w:cs="仿宋"/>
          <w:spacing w:val="-11"/>
          <w:sz w:val="32"/>
          <w:szCs w:val="32"/>
        </w:rPr>
        <w:t>所属州级学会、协会进行管理，对基层科协进行业务指导。</w:t>
      </w:r>
      <w:r>
        <w:rPr>
          <w:rFonts w:hint="eastAsia" w:ascii="仿宋" w:eastAsia="仿宋" w:cs="仿宋"/>
          <w:bCs/>
          <w:color w:val="000000"/>
          <w:spacing w:val="-11"/>
          <w:kern w:val="0"/>
          <w:sz w:val="32"/>
          <w:szCs w:val="32"/>
        </w:rPr>
        <w:t>8、</w:t>
      </w:r>
      <w:r>
        <w:rPr>
          <w:rFonts w:hint="eastAsia" w:ascii="仿宋" w:eastAsia="仿宋" w:cs="仿宋"/>
          <w:spacing w:val="-11"/>
          <w:sz w:val="32"/>
          <w:szCs w:val="32"/>
        </w:rPr>
        <w:t>承担州委，州政府和上级科协交办的其它事项</w:t>
      </w:r>
      <w:r>
        <w:rPr>
          <w:rFonts w:hint="eastAsia" w:ascii="仿宋" w:eastAsia="仿宋" w:cs="仿宋"/>
          <w:spacing w:val="-11"/>
          <w:sz w:val="32"/>
          <w:szCs w:val="32"/>
          <w:lang w:eastAsia="zh-CN"/>
        </w:rPr>
        <w:t>。</w:t>
      </w:r>
    </w:p>
    <w:p w14:paraId="10AD9063">
      <w:pPr>
        <w:widowControl/>
        <w:numPr>
          <w:ilvl w:val="0"/>
          <w:numId w:val="0"/>
        </w:numPr>
        <w:adjustRightInd w:val="0"/>
        <w:snapToGrid w:val="0"/>
        <w:spacing w:line="580" w:lineRule="exact"/>
        <w:ind w:firstLine="640"/>
        <w:contextualSpacing/>
        <w:jc w:val="left"/>
        <w:rPr>
          <w:rFonts w:hint="eastAsia" w:ascii="仿宋" w:hAnsi="仿宋" w:eastAsia="仿宋"/>
          <w:bCs/>
          <w:color w:val="000000"/>
          <w:sz w:val="32"/>
          <w:szCs w:val="32"/>
        </w:rPr>
      </w:pPr>
      <w:r>
        <w:rPr>
          <w:rFonts w:hint="eastAsia" w:ascii="仿宋" w:eastAsia="仿宋" w:cs="仿宋"/>
          <w:spacing w:val="-11"/>
          <w:sz w:val="32"/>
          <w:szCs w:val="32"/>
          <w:lang w:val="en-US" w:eastAsia="zh-CN"/>
        </w:rPr>
        <w:t>2.阿坝州民族科普工作队</w:t>
      </w:r>
      <w:r>
        <w:rPr>
          <w:rFonts w:hint="eastAsia" w:ascii="仿宋" w:eastAsia="仿宋" w:cs="仿宋"/>
          <w:spacing w:val="-11"/>
          <w:sz w:val="32"/>
          <w:szCs w:val="32"/>
        </w:rPr>
        <w:t>的职能主要是</w:t>
      </w:r>
      <w:r>
        <w:rPr>
          <w:rFonts w:hint="eastAsia" w:ascii="仿宋" w:eastAsia="仿宋" w:cs="仿宋"/>
          <w:spacing w:val="-11"/>
          <w:sz w:val="32"/>
          <w:szCs w:val="32"/>
          <w:lang w:val="en-US" w:eastAsia="zh-CN"/>
        </w:rPr>
        <w:t>：</w:t>
      </w:r>
      <w:r>
        <w:rPr>
          <w:rFonts w:hint="eastAsia" w:ascii="仿宋" w:hAnsi="仿宋" w:eastAsia="仿宋"/>
          <w:bCs/>
          <w:color w:val="000000"/>
          <w:sz w:val="32"/>
          <w:szCs w:val="32"/>
        </w:rPr>
        <w:t>发动和组织有关学会、协会、研究会的科技人员，深入基层，通过科普讲座、科技展览和科教电影等形式，传播推广适合当地的实用技术，开展技术培训，大力发展智力；为党政领导决策民主化、科学化服务；利用各地区传统节假日、文艺、体育和物资交流活动之机，多渠道地开展内容丰富的科普宣传、技术咨询、技术服务，来抵制和反对各种不良社会习俗；指导、帮助农村和牧区建立科普网络体系；宣传党的民族政策、普及法律知识、文化生活知识和党的现行政策的宣传有机的结合起来。</w:t>
      </w:r>
    </w:p>
    <w:p w14:paraId="5A986494">
      <w:pPr>
        <w:spacing w:line="576" w:lineRule="exact"/>
        <w:ind w:firstLine="640" w:firstLineChars="200"/>
        <w:rPr>
          <w:rFonts w:hint="eastAsia" w:eastAsia="仿宋"/>
          <w:sz w:val="32"/>
          <w:szCs w:val="32"/>
          <w:lang w:val="en-US" w:eastAsia="zh-CN"/>
        </w:rPr>
      </w:pPr>
      <w:r>
        <w:rPr>
          <w:rFonts w:hint="eastAsia" w:ascii="仿宋" w:hAnsi="仿宋" w:eastAsia="仿宋"/>
          <w:bCs/>
          <w:color w:val="000000"/>
          <w:sz w:val="32"/>
          <w:szCs w:val="32"/>
          <w:lang w:val="en-US" w:eastAsia="zh-CN"/>
        </w:rPr>
        <w:t>3.阿坝州科技馆</w:t>
      </w:r>
      <w:r>
        <w:rPr>
          <w:rFonts w:hint="eastAsia" w:ascii="仿宋" w:eastAsia="仿宋" w:cs="仿宋"/>
          <w:spacing w:val="-11"/>
          <w:sz w:val="32"/>
          <w:szCs w:val="32"/>
        </w:rPr>
        <w:t>的职能主要是</w:t>
      </w:r>
      <w:r>
        <w:rPr>
          <w:rFonts w:hint="eastAsia" w:ascii="仿宋" w:hAnsi="仿宋" w:eastAsia="仿宋"/>
          <w:bCs/>
          <w:color w:val="000000"/>
          <w:sz w:val="32"/>
          <w:szCs w:val="32"/>
          <w:lang w:val="en-US" w:eastAsia="zh-CN"/>
        </w:rPr>
        <w:t>：</w:t>
      </w:r>
      <w:r>
        <w:rPr>
          <w:rFonts w:hint="eastAsia" w:ascii="仿宋" w:hAnsi="仿宋" w:eastAsia="仿宋"/>
          <w:bCs/>
          <w:color w:val="000000"/>
          <w:sz w:val="32"/>
          <w:szCs w:val="32"/>
        </w:rPr>
        <w:t>为我州社会公众和广大青少年提供参与科技活动、体验科技创新的良好场所。满足广大青少年的科技需求，激发科学兴趣、启动科学思维、提高科学素质和创新能力。开展科学展教工作等科技活动</w:t>
      </w:r>
      <w:r>
        <w:rPr>
          <w:rFonts w:hint="eastAsia" w:ascii="仿宋" w:hAnsi="仿宋" w:eastAsia="仿宋"/>
          <w:bCs/>
          <w:color w:val="000000"/>
          <w:sz w:val="32"/>
          <w:szCs w:val="32"/>
          <w:lang w:eastAsia="zh-CN"/>
        </w:rPr>
        <w:t>。</w:t>
      </w:r>
    </w:p>
    <w:p w14:paraId="6839A441">
      <w:pPr>
        <w:widowControl/>
        <w:numPr>
          <w:ilvl w:val="0"/>
          <w:numId w:val="5"/>
        </w:numPr>
        <w:adjustRightInd w:val="0"/>
        <w:snapToGrid w:val="0"/>
        <w:spacing w:line="580" w:lineRule="exact"/>
        <w:ind w:left="0" w:leftChars="0" w:firstLine="640" w:firstLineChars="200"/>
        <w:contextualSpacing/>
        <w:jc w:val="left"/>
        <w:rPr>
          <w:rFonts w:hint="eastAsia" w:ascii="仿宋_GB2312" w:cs="宋体"/>
          <w:color w:val="000000"/>
          <w:kern w:val="0"/>
          <w:sz w:val="32"/>
          <w:szCs w:val="32"/>
          <w:shd w:val="clear" w:color="auto" w:fill="FFFFFF"/>
          <w:lang w:val="zh-CN"/>
        </w:rPr>
      </w:pPr>
      <w:r>
        <w:rPr>
          <w:rFonts w:hint="eastAsia" w:ascii="仿宋_GB2312" w:cs="宋体"/>
          <w:color w:val="000000"/>
          <w:kern w:val="0"/>
          <w:sz w:val="32"/>
          <w:szCs w:val="32"/>
          <w:shd w:val="clear" w:color="auto" w:fill="FFFFFF"/>
          <w:lang w:val="zh-CN"/>
        </w:rPr>
        <w:t>人员概况。</w:t>
      </w:r>
    </w:p>
    <w:p w14:paraId="225ED15B">
      <w:pPr>
        <w:widowControl/>
        <w:numPr>
          <w:ilvl w:val="0"/>
          <w:numId w:val="0"/>
        </w:numPr>
        <w:adjustRightInd w:val="0"/>
        <w:snapToGrid w:val="0"/>
        <w:spacing w:line="580" w:lineRule="exact"/>
        <w:ind w:firstLine="640" w:firstLineChars="200"/>
        <w:contextualSpacing/>
        <w:jc w:val="left"/>
        <w:rPr>
          <w:rFonts w:hint="eastAsia" w:ascii="仿宋_GB2312" w:cs="宋体"/>
          <w:color w:val="000000"/>
          <w:kern w:val="0"/>
          <w:szCs w:val="32"/>
          <w:shd w:val="clear" w:color="auto" w:fill="FFFFFF"/>
          <w:lang w:val="zh-CN"/>
        </w:rPr>
      </w:pPr>
      <w:r>
        <w:rPr>
          <w:rFonts w:hint="eastAsia" w:ascii="仿宋" w:eastAsia="仿宋" w:cs="仿宋"/>
          <w:sz w:val="32"/>
          <w:szCs w:val="32"/>
        </w:rPr>
        <w:t>总编制22名，其中行政编制10名，行政工勤编制3名，事业民族科普工作队编制4名、工勤1名，青少年科技馆编制4名。截止</w:t>
      </w:r>
      <w:r>
        <w:rPr>
          <w:rFonts w:ascii="仿宋" w:eastAsia="仿宋" w:cs="仿宋"/>
          <w:sz w:val="32"/>
          <w:szCs w:val="32"/>
        </w:rPr>
        <w:t>2021</w:t>
      </w:r>
      <w:r>
        <w:rPr>
          <w:rFonts w:hint="eastAsia" w:ascii="仿宋" w:eastAsia="仿宋" w:cs="仿宋"/>
          <w:sz w:val="32"/>
          <w:szCs w:val="32"/>
        </w:rPr>
        <w:t>年</w:t>
      </w:r>
      <w:r>
        <w:rPr>
          <w:rFonts w:hint="eastAsia" w:ascii="仿宋" w:eastAsia="仿宋" w:cs="仿宋"/>
          <w:sz w:val="32"/>
          <w:szCs w:val="32"/>
          <w:lang w:val="en-US" w:eastAsia="zh-CN"/>
        </w:rPr>
        <w:t>12</w:t>
      </w:r>
      <w:r>
        <w:rPr>
          <w:rFonts w:hint="eastAsia" w:ascii="仿宋" w:eastAsia="仿宋" w:cs="仿宋"/>
          <w:sz w:val="32"/>
          <w:szCs w:val="32"/>
        </w:rPr>
        <w:t>月</w:t>
      </w:r>
      <w:r>
        <w:rPr>
          <w:rFonts w:hint="eastAsia" w:ascii="仿宋" w:eastAsia="仿宋" w:cs="仿宋"/>
          <w:sz w:val="32"/>
          <w:szCs w:val="32"/>
          <w:lang w:val="en-US" w:eastAsia="zh-CN"/>
        </w:rPr>
        <w:t>31</w:t>
      </w:r>
      <w:r>
        <w:rPr>
          <w:rFonts w:hint="eastAsia" w:ascii="仿宋" w:eastAsia="仿宋" w:cs="仿宋"/>
          <w:sz w:val="32"/>
          <w:szCs w:val="32"/>
        </w:rPr>
        <w:t>日在职人员总数</w:t>
      </w:r>
      <w:r>
        <w:rPr>
          <w:rFonts w:ascii="仿宋" w:eastAsia="仿宋" w:cs="仿宋"/>
          <w:sz w:val="32"/>
          <w:szCs w:val="32"/>
        </w:rPr>
        <w:t>2</w:t>
      </w:r>
      <w:r>
        <w:rPr>
          <w:rFonts w:hint="eastAsia" w:ascii="仿宋" w:eastAsia="仿宋" w:cs="仿宋"/>
          <w:sz w:val="32"/>
          <w:szCs w:val="32"/>
          <w:lang w:val="en-US" w:eastAsia="zh-CN"/>
        </w:rPr>
        <w:t>1</w:t>
      </w:r>
      <w:r>
        <w:rPr>
          <w:rFonts w:hint="eastAsia" w:ascii="仿宋" w:eastAsia="仿宋" w:cs="仿宋"/>
          <w:sz w:val="32"/>
          <w:szCs w:val="32"/>
        </w:rPr>
        <w:t>名，其中行政人员</w:t>
      </w:r>
      <w:r>
        <w:rPr>
          <w:rFonts w:hint="eastAsia" w:ascii="仿宋" w:eastAsia="仿宋" w:cs="仿宋"/>
          <w:sz w:val="32"/>
          <w:szCs w:val="32"/>
          <w:lang w:val="en-US" w:eastAsia="zh-CN"/>
        </w:rPr>
        <w:t>9</w:t>
      </w:r>
      <w:r>
        <w:rPr>
          <w:rFonts w:hint="eastAsia" w:ascii="仿宋" w:eastAsia="仿宋" w:cs="仿宋"/>
          <w:sz w:val="32"/>
          <w:szCs w:val="32"/>
        </w:rPr>
        <w:t>名，行政工勤</w:t>
      </w:r>
      <w:r>
        <w:rPr>
          <w:rFonts w:ascii="仿宋" w:eastAsia="仿宋" w:cs="仿宋"/>
          <w:sz w:val="32"/>
          <w:szCs w:val="32"/>
        </w:rPr>
        <w:t>3</w:t>
      </w:r>
      <w:r>
        <w:rPr>
          <w:rFonts w:hint="eastAsia" w:ascii="仿宋" w:eastAsia="仿宋" w:cs="仿宋"/>
          <w:sz w:val="32"/>
          <w:szCs w:val="32"/>
        </w:rPr>
        <w:t>名。事业的在职：民族科普工作队人员</w:t>
      </w:r>
      <w:r>
        <w:rPr>
          <w:rFonts w:ascii="仿宋" w:eastAsia="仿宋" w:cs="仿宋"/>
          <w:sz w:val="32"/>
          <w:szCs w:val="32"/>
        </w:rPr>
        <w:t>4</w:t>
      </w:r>
      <w:r>
        <w:rPr>
          <w:rFonts w:hint="eastAsia" w:ascii="仿宋" w:eastAsia="仿宋" w:cs="仿宋"/>
          <w:sz w:val="32"/>
          <w:szCs w:val="32"/>
        </w:rPr>
        <w:t>名、工勤1名，青少年科技馆</w:t>
      </w:r>
      <w:r>
        <w:rPr>
          <w:rFonts w:ascii="仿宋" w:eastAsia="仿宋" w:cs="仿宋"/>
          <w:sz w:val="32"/>
          <w:szCs w:val="32"/>
        </w:rPr>
        <w:t>4</w:t>
      </w:r>
      <w:r>
        <w:rPr>
          <w:rFonts w:hint="eastAsia" w:ascii="仿宋" w:eastAsia="仿宋" w:cs="仿宋"/>
          <w:sz w:val="32"/>
          <w:szCs w:val="32"/>
        </w:rPr>
        <w:t>名 。</w:t>
      </w:r>
    </w:p>
    <w:p w14:paraId="4EA32922">
      <w:pPr>
        <w:widowControl/>
        <w:adjustRightInd w:val="0"/>
        <w:snapToGrid w:val="0"/>
        <w:spacing w:line="580" w:lineRule="exact"/>
        <w:ind w:firstLine="640" w:firstLineChars="200"/>
        <w:contextualSpacing/>
        <w:jc w:val="left"/>
        <w:outlineLvl w:val="1"/>
        <w:rPr>
          <w:rFonts w:hint="eastAsia" w:ascii="黑体" w:eastAsia="黑体" w:cs="宋体"/>
          <w:color w:val="000000"/>
          <w:kern w:val="0"/>
          <w:sz w:val="32"/>
          <w:szCs w:val="32"/>
          <w:shd w:val="clear" w:color="auto" w:fill="FFFFFF"/>
        </w:rPr>
      </w:pPr>
      <w:bookmarkStart w:id="113" w:name="_Toc14688"/>
      <w:bookmarkStart w:id="114" w:name="_Toc18213"/>
      <w:r>
        <w:rPr>
          <w:rFonts w:hint="eastAsia" w:ascii="黑体" w:eastAsia="黑体" w:cs="宋体"/>
          <w:color w:val="000000"/>
          <w:kern w:val="0"/>
          <w:sz w:val="32"/>
          <w:szCs w:val="32"/>
          <w:shd w:val="clear" w:color="auto" w:fill="FFFFFF"/>
        </w:rPr>
        <w:t>二、部门财政资金收支情况</w:t>
      </w:r>
      <w:bookmarkEnd w:id="113"/>
      <w:bookmarkEnd w:id="114"/>
    </w:p>
    <w:p w14:paraId="453E4CD0">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zh-CN"/>
        </w:rPr>
      </w:pPr>
      <w:r>
        <w:rPr>
          <w:rFonts w:hint="eastAsia" w:ascii="仿宋" w:eastAsia="仿宋" w:cs="仿宋"/>
          <w:sz w:val="32"/>
          <w:szCs w:val="32"/>
          <w:lang w:val="zh-CN"/>
        </w:rPr>
        <w:t>（一）部门财政资金收入情况。</w:t>
      </w:r>
    </w:p>
    <w:p w14:paraId="2C91F377">
      <w:pPr>
        <w:widowControl/>
        <w:numPr>
          <w:ilvl w:val="0"/>
          <w:numId w:val="0"/>
        </w:numPr>
        <w:adjustRightInd w:val="0"/>
        <w:snapToGrid w:val="0"/>
        <w:spacing w:line="580" w:lineRule="exact"/>
        <w:ind w:firstLine="640" w:firstLineChars="200"/>
        <w:contextualSpacing/>
        <w:jc w:val="left"/>
        <w:rPr>
          <w:rFonts w:hint="default" w:ascii="仿宋" w:eastAsia="仿宋" w:cs="仿宋"/>
          <w:sz w:val="32"/>
          <w:szCs w:val="32"/>
          <w:lang w:val="en-US" w:eastAsia="zh-CN"/>
        </w:rPr>
      </w:pPr>
      <w:r>
        <w:rPr>
          <w:rFonts w:hint="eastAsia" w:ascii="仿宋" w:eastAsia="仿宋" w:cs="仿宋"/>
          <w:sz w:val="32"/>
          <w:szCs w:val="32"/>
          <w:lang w:val="en-US" w:eastAsia="zh-CN"/>
        </w:rPr>
        <w:t>2021年行政和事业财政拨款收入805.66万元，年初结转结余17.56万元，其中基本支出拨款收入620.70万元，项目支出拨款收入202.52，一般公共财政拨款收入占比100%。</w:t>
      </w:r>
    </w:p>
    <w:p w14:paraId="7EAE98FE">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zh-CN"/>
        </w:rPr>
      </w:pPr>
      <w:r>
        <w:rPr>
          <w:rFonts w:hint="eastAsia" w:ascii="仿宋" w:eastAsia="仿宋" w:cs="仿宋"/>
          <w:sz w:val="32"/>
          <w:szCs w:val="32"/>
          <w:lang w:val="zh-CN"/>
        </w:rPr>
        <w:t>部门财政资金支出情况。</w:t>
      </w:r>
    </w:p>
    <w:p w14:paraId="28107FDE">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zh-CN"/>
        </w:rPr>
      </w:pPr>
      <w:r>
        <w:rPr>
          <w:rFonts w:hint="eastAsia" w:ascii="仿宋" w:eastAsia="仿宋" w:cs="仿宋"/>
          <w:sz w:val="32"/>
          <w:szCs w:val="32"/>
          <w:lang w:val="en-US" w:eastAsia="zh-CN"/>
        </w:rPr>
        <w:t>2021年行政和事业财政拨款收入支出805.66万元，年初结转结余17.56万元，其中基本支出620.70万元，项目支出202.52，一般公共财政拨款收入占比100%。</w:t>
      </w:r>
    </w:p>
    <w:p w14:paraId="3BC2E057">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en-US" w:eastAsia="zh-CN"/>
        </w:rPr>
      </w:pPr>
      <w:r>
        <w:rPr>
          <w:rFonts w:hint="eastAsia" w:ascii="仿宋" w:eastAsia="仿宋" w:cs="仿宋"/>
          <w:sz w:val="32"/>
          <w:szCs w:val="32"/>
          <w:lang w:val="en-US" w:eastAsia="zh-CN"/>
        </w:rPr>
        <w:t>三、部门整体预算绩效管理情况（根据适用指标体系进行调整，涉及到有专项预算的部门，专项预算项目自评报告根据要求另行单独报送）</w:t>
      </w:r>
    </w:p>
    <w:p w14:paraId="1B71CE5B">
      <w:pPr>
        <w:widowControl/>
        <w:adjustRightInd w:val="0"/>
        <w:snapToGrid w:val="0"/>
        <w:spacing w:line="580" w:lineRule="exact"/>
        <w:ind w:firstLine="420" w:firstLineChars="200"/>
        <w:contextualSpacing/>
        <w:jc w:val="left"/>
        <w:rPr>
          <w:rFonts w:ascii="仿宋_GB2312" w:cs="宋体"/>
          <w:color w:val="000000"/>
          <w:kern w:val="0"/>
          <w:sz w:val="32"/>
          <w:szCs w:val="32"/>
          <w:shd w:val="clear" w:color="auto" w:fill="FFFFFF"/>
          <w:lang w:val="zh-CN"/>
        </w:rPr>
      </w:pPr>
      <w:r>
        <w:rPr>
          <w:rFonts w:hint="eastAsia" w:ascii="仿宋_GB2312" w:cs="宋体"/>
          <w:color w:val="000000"/>
          <w:kern w:val="0"/>
          <w:szCs w:val="32"/>
          <w:shd w:val="clear" w:color="auto" w:fill="FFFFFF"/>
          <w:lang w:val="zh-CN"/>
        </w:rPr>
        <w:t>（一）</w:t>
      </w:r>
      <w:r>
        <w:rPr>
          <w:rFonts w:hint="eastAsia" w:ascii="仿宋_GB2312" w:cs="宋体"/>
          <w:color w:val="000000"/>
          <w:kern w:val="0"/>
          <w:sz w:val="32"/>
          <w:szCs w:val="32"/>
          <w:shd w:val="clear" w:color="auto" w:fill="FFFFFF"/>
          <w:lang w:val="zh-CN"/>
        </w:rPr>
        <w:t>部门预算管理。</w:t>
      </w:r>
    </w:p>
    <w:p w14:paraId="5DAB71B5">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zh-CN" w:eastAsia="zh-CN"/>
        </w:rPr>
      </w:pPr>
      <w:r>
        <w:rPr>
          <w:rFonts w:hint="eastAsia" w:ascii="仿宋" w:eastAsia="仿宋" w:cs="仿宋"/>
          <w:sz w:val="32"/>
          <w:szCs w:val="32"/>
          <w:lang w:val="en-US" w:eastAsia="zh-CN"/>
        </w:rPr>
        <w:t>预算编制、支出控制及完成情况。2021年，我单位在预决算编制时本着合法、真实、完整、科学、稳妥、重点和绩效原则，严格做到预算编制符合《中华人民共和国预算法》和国家其它法律、法规的要求；认真做好预算收支预测，严格以本单位履行职能的需要为依据，对每一个收支项目的数字指标进行了认真测算，并力求准确；做到了预算收入的预测和安排支出预算的方向科学，预算编制的程序设置和方法科学；做到了稳妥可靠，量入为出，收支平衡；及时完成基础信息更新，按时报送预算草案。在编制项目支出预算时，按规范性要求将项目提前明细化到具体项目。</w:t>
      </w:r>
    </w:p>
    <w:p w14:paraId="306D3EF7">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zh-CN" w:eastAsia="zh-CN"/>
        </w:rPr>
      </w:pPr>
      <w:r>
        <w:rPr>
          <w:rFonts w:hint="eastAsia" w:ascii="仿宋" w:eastAsia="仿宋" w:cs="仿宋"/>
          <w:sz w:val="32"/>
          <w:szCs w:val="32"/>
          <w:lang w:val="zh-CN" w:eastAsia="zh-CN"/>
        </w:rPr>
        <w:t>（二）结果应用情况。</w:t>
      </w:r>
    </w:p>
    <w:p w14:paraId="1AAA8AAB">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en-US" w:eastAsia="zh-CN"/>
        </w:rPr>
      </w:pPr>
      <w:r>
        <w:rPr>
          <w:rFonts w:hint="eastAsia" w:ascii="仿宋" w:eastAsia="仿宋" w:cs="仿宋"/>
          <w:sz w:val="32"/>
          <w:szCs w:val="32"/>
          <w:lang w:val="en-US" w:eastAsia="zh-CN"/>
        </w:rPr>
        <w:t>2021年，我单位按时将绩效目标与自评在州政府网站公开，并根据自评结果，及时调整预算，保障各项工作稳步推进并取得明显成效，全面完成了州委、州政府及省科协交办的各项目标任务，整体工作质量和服务效能整体提升。</w:t>
      </w:r>
    </w:p>
    <w:p w14:paraId="62C30442">
      <w:pPr>
        <w:widowControl/>
        <w:numPr>
          <w:ilvl w:val="0"/>
          <w:numId w:val="0"/>
        </w:numPr>
        <w:adjustRightInd w:val="0"/>
        <w:snapToGrid w:val="0"/>
        <w:spacing w:line="580" w:lineRule="exact"/>
        <w:ind w:firstLine="640" w:firstLineChars="200"/>
        <w:contextualSpacing/>
        <w:jc w:val="left"/>
        <w:outlineLvl w:val="1"/>
        <w:rPr>
          <w:rFonts w:hint="eastAsia" w:ascii="仿宋" w:eastAsia="仿宋" w:cs="仿宋"/>
          <w:sz w:val="32"/>
          <w:szCs w:val="32"/>
          <w:lang w:val="en-US" w:eastAsia="zh-CN"/>
        </w:rPr>
      </w:pPr>
      <w:bookmarkStart w:id="115" w:name="_Toc28165"/>
      <w:bookmarkStart w:id="116" w:name="_Toc7859"/>
      <w:r>
        <w:rPr>
          <w:rFonts w:hint="eastAsia" w:ascii="仿宋" w:eastAsia="仿宋" w:cs="仿宋"/>
          <w:sz w:val="32"/>
          <w:szCs w:val="32"/>
          <w:lang w:val="en-US" w:eastAsia="zh-CN"/>
        </w:rPr>
        <w:t>四、评价结论及建议</w:t>
      </w:r>
      <w:bookmarkEnd w:id="115"/>
      <w:bookmarkEnd w:id="116"/>
    </w:p>
    <w:p w14:paraId="4457A97F">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zh-CN" w:eastAsia="zh-CN"/>
        </w:rPr>
      </w:pPr>
      <w:r>
        <w:rPr>
          <w:rFonts w:hint="eastAsia" w:ascii="仿宋" w:eastAsia="仿宋" w:cs="仿宋"/>
          <w:sz w:val="32"/>
          <w:szCs w:val="32"/>
          <w:lang w:val="zh-CN" w:eastAsia="zh-CN"/>
        </w:rPr>
        <w:t>（一）评价结论。</w:t>
      </w:r>
    </w:p>
    <w:p w14:paraId="59D0CA52">
      <w:pPr>
        <w:widowControl/>
        <w:numPr>
          <w:ilvl w:val="0"/>
          <w:numId w:val="0"/>
        </w:numPr>
        <w:adjustRightInd w:val="0"/>
        <w:snapToGrid w:val="0"/>
        <w:spacing w:line="580" w:lineRule="exact"/>
        <w:ind w:firstLine="640" w:firstLineChars="200"/>
        <w:contextualSpacing/>
        <w:jc w:val="left"/>
        <w:rPr>
          <w:rFonts w:hint="default" w:ascii="仿宋" w:eastAsia="仿宋" w:cs="仿宋"/>
          <w:sz w:val="32"/>
          <w:szCs w:val="32"/>
          <w:lang w:val="en-US" w:eastAsia="zh-CN"/>
        </w:rPr>
      </w:pPr>
      <w:r>
        <w:rPr>
          <w:rFonts w:hint="eastAsia" w:ascii="仿宋" w:eastAsia="仿宋" w:cs="仿宋"/>
          <w:sz w:val="32"/>
          <w:szCs w:val="32"/>
          <w:lang w:val="en-US" w:eastAsia="zh-CN"/>
        </w:rPr>
        <w:t>我单位根据自评表进行自评，评分为80.76分</w:t>
      </w:r>
    </w:p>
    <w:p w14:paraId="0BE4EB5C">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zh-CN" w:eastAsia="zh-CN"/>
        </w:rPr>
      </w:pPr>
      <w:r>
        <w:rPr>
          <w:rFonts w:hint="eastAsia" w:ascii="仿宋" w:eastAsia="仿宋" w:cs="仿宋"/>
          <w:sz w:val="32"/>
          <w:szCs w:val="32"/>
          <w:lang w:val="zh-CN" w:eastAsia="zh-CN"/>
        </w:rPr>
        <w:t>存在问题。</w:t>
      </w:r>
    </w:p>
    <w:p w14:paraId="3F520A76">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en-US" w:eastAsia="zh-CN"/>
        </w:rPr>
      </w:pPr>
      <w:r>
        <w:rPr>
          <w:rFonts w:hint="eastAsia" w:ascii="仿宋" w:eastAsia="仿宋" w:cs="仿宋"/>
          <w:sz w:val="32"/>
          <w:szCs w:val="32"/>
          <w:lang w:val="en-US" w:eastAsia="zh-CN"/>
        </w:rPr>
        <w:t>1.部门预算执行进度未在6、9、11月应达到序时进度的80%、90%、90%，即实际支出进度分别未达到40%、67.5%、82.5%。</w:t>
      </w:r>
    </w:p>
    <w:p w14:paraId="491C187C">
      <w:pPr>
        <w:widowControl/>
        <w:numPr>
          <w:ilvl w:val="0"/>
          <w:numId w:val="0"/>
        </w:numPr>
        <w:adjustRightInd w:val="0"/>
        <w:snapToGrid w:val="0"/>
        <w:spacing w:line="580" w:lineRule="exact"/>
        <w:ind w:firstLine="640" w:firstLineChars="200"/>
        <w:contextualSpacing/>
        <w:jc w:val="left"/>
        <w:rPr>
          <w:rFonts w:hint="default" w:ascii="仿宋" w:eastAsia="仿宋" w:cs="仿宋"/>
          <w:sz w:val="32"/>
          <w:szCs w:val="32"/>
          <w:lang w:val="en-US" w:eastAsia="zh-CN"/>
        </w:rPr>
      </w:pPr>
      <w:r>
        <w:rPr>
          <w:rFonts w:hint="eastAsia" w:ascii="仿宋" w:eastAsia="仿宋" w:cs="仿宋"/>
          <w:sz w:val="32"/>
          <w:szCs w:val="32"/>
          <w:lang w:val="en-US" w:eastAsia="zh-CN"/>
        </w:rPr>
        <w:t>2.2月预算执行进度达到100%。</w:t>
      </w:r>
    </w:p>
    <w:p w14:paraId="73F631B0">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zh-CN" w:eastAsia="zh-CN"/>
        </w:rPr>
      </w:pPr>
      <w:r>
        <w:rPr>
          <w:rFonts w:hint="eastAsia" w:ascii="仿宋" w:eastAsia="仿宋" w:cs="仿宋"/>
          <w:sz w:val="32"/>
          <w:szCs w:val="32"/>
          <w:lang w:val="zh-CN" w:eastAsia="zh-CN"/>
        </w:rPr>
        <w:t>（三）改进建议。</w:t>
      </w:r>
    </w:p>
    <w:p w14:paraId="67BC74A1">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en-US" w:eastAsia="zh-CN"/>
        </w:rPr>
      </w:pPr>
      <w:r>
        <w:rPr>
          <w:rFonts w:hint="eastAsia" w:ascii="仿宋" w:eastAsia="仿宋" w:cs="仿宋"/>
          <w:sz w:val="32"/>
          <w:szCs w:val="32"/>
          <w:lang w:val="en-US" w:eastAsia="zh-CN"/>
        </w:rPr>
        <w:t>建议进一步完善绩效评价工作制度，加强绩效管理工作培训。</w:t>
      </w:r>
    </w:p>
    <w:p w14:paraId="325EDECE">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en-US" w:eastAsia="zh-CN"/>
        </w:rPr>
      </w:pPr>
      <w:r>
        <w:rPr>
          <w:rFonts w:hint="eastAsia" w:ascii="仿宋" w:eastAsia="仿宋" w:cs="仿宋"/>
          <w:sz w:val="32"/>
          <w:szCs w:val="32"/>
          <w:lang w:val="en-US" w:eastAsia="zh-CN"/>
        </w:rPr>
        <w:t xml:space="preserve"> </w:t>
      </w:r>
    </w:p>
    <w:p w14:paraId="71E54570">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en-US" w:eastAsia="zh-CN"/>
        </w:rPr>
      </w:pPr>
    </w:p>
    <w:p w14:paraId="7047D11F">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en-US" w:eastAsia="zh-CN"/>
        </w:rPr>
      </w:pPr>
    </w:p>
    <w:p w14:paraId="2F3B7E22">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en-US" w:eastAsia="zh-CN"/>
        </w:rPr>
      </w:pPr>
      <w:r>
        <w:rPr>
          <w:rFonts w:hint="eastAsia" w:ascii="仿宋" w:eastAsia="仿宋" w:cs="仿宋"/>
          <w:sz w:val="32"/>
          <w:szCs w:val="32"/>
          <w:lang w:val="en-US" w:eastAsia="zh-CN"/>
        </w:rPr>
        <w:t xml:space="preserve">                             阿坝州科学技术协会</w:t>
      </w:r>
    </w:p>
    <w:p w14:paraId="439D8291">
      <w:pPr>
        <w:widowControl/>
        <w:numPr>
          <w:ilvl w:val="0"/>
          <w:numId w:val="0"/>
        </w:numPr>
        <w:adjustRightInd w:val="0"/>
        <w:snapToGrid w:val="0"/>
        <w:spacing w:line="580" w:lineRule="exact"/>
        <w:ind w:firstLine="640" w:firstLineChars="200"/>
        <w:contextualSpacing/>
        <w:jc w:val="left"/>
        <w:rPr>
          <w:rFonts w:hint="eastAsia" w:ascii="仿宋" w:eastAsia="仿宋" w:cs="仿宋"/>
          <w:sz w:val="32"/>
          <w:szCs w:val="32"/>
          <w:lang w:val="en-US" w:eastAsia="zh-CN"/>
        </w:rPr>
      </w:pPr>
      <w:r>
        <w:rPr>
          <w:rFonts w:hint="eastAsia" w:ascii="仿宋" w:eastAsia="仿宋" w:cs="仿宋"/>
          <w:sz w:val="32"/>
          <w:szCs w:val="32"/>
          <w:lang w:val="en-US" w:eastAsia="zh-CN"/>
        </w:rPr>
        <w:t xml:space="preserve">                              2022年8月26日</w:t>
      </w:r>
    </w:p>
    <w:p w14:paraId="4191D3C4">
      <w:pPr>
        <w:pStyle w:val="2"/>
        <w:rPr>
          <w:rFonts w:hint="eastAsia" w:ascii="仿宋" w:eastAsia="仿宋" w:cs="仿宋"/>
          <w:sz w:val="32"/>
          <w:szCs w:val="32"/>
          <w:lang w:val="en-US" w:eastAsia="zh-CN"/>
        </w:rPr>
      </w:pPr>
    </w:p>
    <w:p w14:paraId="67ACAC0C">
      <w:pPr>
        <w:pStyle w:val="2"/>
        <w:rPr>
          <w:rFonts w:hint="eastAsia" w:ascii="仿宋" w:eastAsia="仿宋" w:cs="仿宋"/>
          <w:sz w:val="32"/>
          <w:szCs w:val="32"/>
          <w:lang w:val="en-US" w:eastAsia="zh-CN"/>
        </w:rPr>
      </w:pPr>
    </w:p>
    <w:p w14:paraId="390144D1">
      <w:pPr>
        <w:pStyle w:val="2"/>
        <w:rPr>
          <w:rFonts w:hint="eastAsia" w:ascii="仿宋" w:eastAsia="仿宋" w:cs="仿宋"/>
          <w:sz w:val="32"/>
          <w:szCs w:val="32"/>
          <w:lang w:val="en-US" w:eastAsia="zh-CN"/>
        </w:rPr>
      </w:pPr>
    </w:p>
    <w:p w14:paraId="1A18EB13">
      <w:pPr>
        <w:pStyle w:val="2"/>
        <w:rPr>
          <w:rFonts w:hint="eastAsia" w:ascii="仿宋" w:eastAsia="仿宋" w:cs="仿宋"/>
          <w:sz w:val="32"/>
          <w:szCs w:val="32"/>
          <w:lang w:val="en-US" w:eastAsia="zh-CN"/>
        </w:rPr>
      </w:pPr>
    </w:p>
    <w:p w14:paraId="1C7CB1ED">
      <w:pPr>
        <w:pStyle w:val="2"/>
        <w:rPr>
          <w:rFonts w:hint="default" w:ascii="仿宋" w:eastAsia="仿宋" w:cs="仿宋"/>
          <w:sz w:val="32"/>
          <w:szCs w:val="32"/>
          <w:lang w:val="en-US" w:eastAsia="zh-CN"/>
        </w:rPr>
      </w:pPr>
    </w:p>
    <w:p w14:paraId="6E859C38">
      <w:pPr>
        <w:pStyle w:val="7"/>
        <w:spacing w:before="93"/>
        <w:rPr>
          <w:lang w:val="zh-CN"/>
        </w:rPr>
      </w:pPr>
      <w:r>
        <w:rPr>
          <w:rFonts w:hint="eastAsia" w:cs="宋体"/>
          <w:sz w:val="32"/>
          <w:szCs w:val="32"/>
          <w:shd w:val="clear" w:color="auto" w:fill="FFFFFF"/>
          <w:lang w:val="zh-CN"/>
        </w:rPr>
        <w:t>附件</w:t>
      </w:r>
    </w:p>
    <w:p w14:paraId="1E25BD7F">
      <w:pPr>
        <w:pStyle w:val="27"/>
        <w:keepNext w:val="0"/>
        <w:keepLines w:val="0"/>
        <w:pageBreakBefore w:val="0"/>
        <w:kinsoku/>
        <w:wordWrap/>
        <w:overflowPunct/>
        <w:topLinePunct w:val="0"/>
        <w:autoSpaceDE/>
        <w:autoSpaceDN/>
        <w:bidi w:val="0"/>
        <w:spacing w:line="600" w:lineRule="exact"/>
        <w:ind w:firstLine="883"/>
        <w:jc w:val="center"/>
        <w:textAlignment w:val="auto"/>
        <w:rPr>
          <w:rFonts w:hint="eastAsia" w:ascii="方正小标宋简体" w:hAnsi="方正小标宋简体" w:eastAsia="方正小标宋简体" w:cs="方正小标宋简体"/>
          <w:color w:val="auto"/>
          <w:kern w:val="2"/>
          <w:sz w:val="40"/>
          <w:szCs w:val="40"/>
          <w:lang w:val="en-US" w:eastAsia="zh-CN"/>
        </w:rPr>
      </w:pPr>
      <w:r>
        <w:rPr>
          <w:rFonts w:hint="eastAsia" w:ascii="方正小标宋简体" w:hAnsi="方正小标宋简体" w:eastAsia="方正小标宋简体" w:cs="方正小标宋简体"/>
          <w:color w:val="auto"/>
          <w:kern w:val="2"/>
          <w:sz w:val="40"/>
          <w:szCs w:val="40"/>
          <w:lang w:val="en-US" w:eastAsia="zh-CN"/>
        </w:rPr>
        <w:t>阿坝州科学技术协会</w:t>
      </w:r>
    </w:p>
    <w:p w14:paraId="15E3DACE">
      <w:pPr>
        <w:pStyle w:val="27"/>
        <w:keepNext w:val="0"/>
        <w:keepLines w:val="0"/>
        <w:pageBreakBefore w:val="0"/>
        <w:kinsoku/>
        <w:wordWrap/>
        <w:overflowPunct/>
        <w:topLinePunct w:val="0"/>
        <w:autoSpaceDE/>
        <w:autoSpaceDN/>
        <w:bidi w:val="0"/>
        <w:spacing w:line="600" w:lineRule="exact"/>
        <w:ind w:firstLine="883"/>
        <w:jc w:val="center"/>
        <w:textAlignment w:val="auto"/>
        <w:outlineLvl w:val="1"/>
        <w:rPr>
          <w:rFonts w:hint="eastAsia" w:ascii="方正小标宋简体" w:hAnsi="方正小标宋简体" w:eastAsia="方正小标宋简体" w:cs="方正小标宋简体"/>
          <w:color w:val="auto"/>
          <w:kern w:val="2"/>
          <w:sz w:val="40"/>
          <w:szCs w:val="40"/>
        </w:rPr>
      </w:pPr>
      <w:bookmarkStart w:id="117" w:name="_Toc345"/>
      <w:bookmarkStart w:id="118" w:name="_Toc26872"/>
      <w:r>
        <w:rPr>
          <w:rFonts w:hint="eastAsia" w:ascii="方正小标宋简体" w:hAnsi="方正小标宋简体" w:eastAsia="方正小标宋简体" w:cs="方正小标宋简体"/>
          <w:color w:val="auto"/>
          <w:kern w:val="2"/>
          <w:sz w:val="40"/>
          <w:szCs w:val="40"/>
          <w:lang w:val="en-US" w:eastAsia="zh-CN"/>
        </w:rPr>
        <w:t>天府科技云科创大会</w:t>
      </w:r>
      <w:r>
        <w:rPr>
          <w:rFonts w:hint="eastAsia" w:ascii="方正小标宋简体" w:hAnsi="方正小标宋简体" w:eastAsia="方正小标宋简体" w:cs="方正小标宋简体"/>
          <w:color w:val="auto"/>
          <w:kern w:val="2"/>
          <w:sz w:val="40"/>
          <w:szCs w:val="40"/>
          <w:lang w:eastAsia="zh-CN"/>
        </w:rPr>
        <w:t>专项预算项目支出</w:t>
      </w:r>
      <w:r>
        <w:rPr>
          <w:rFonts w:hint="eastAsia" w:ascii="方正小标宋简体" w:hAnsi="方正小标宋简体" w:eastAsia="方正小标宋简体" w:cs="方正小标宋简体"/>
          <w:color w:val="auto"/>
          <w:kern w:val="2"/>
          <w:sz w:val="40"/>
          <w:szCs w:val="40"/>
        </w:rPr>
        <w:t>绩效自评报告</w:t>
      </w:r>
      <w:bookmarkEnd w:id="117"/>
      <w:bookmarkEnd w:id="118"/>
    </w:p>
    <w:p w14:paraId="602FA4A2">
      <w:pPr>
        <w:pStyle w:val="27"/>
        <w:keepNext w:val="0"/>
        <w:keepLines w:val="0"/>
        <w:pageBreakBefore w:val="0"/>
        <w:kinsoku/>
        <w:wordWrap/>
        <w:overflowPunct/>
        <w:topLinePunct w:val="0"/>
        <w:autoSpaceDE/>
        <w:autoSpaceDN/>
        <w:bidi w:val="0"/>
        <w:spacing w:line="600" w:lineRule="exact"/>
        <w:ind w:firstLine="883"/>
        <w:jc w:val="center"/>
        <w:textAlignment w:val="auto"/>
        <w:rPr>
          <w:rFonts w:ascii="仿宋_GB2312" w:hAnsi="宋体" w:eastAsia="仿宋_GB2312"/>
          <w:color w:val="auto"/>
          <w:kern w:val="2"/>
          <w:sz w:val="32"/>
          <w:szCs w:val="32"/>
        </w:rPr>
      </w:pPr>
      <w:r>
        <w:rPr>
          <w:rFonts w:hint="eastAsia" w:ascii="仿宋_GB2312" w:hAnsi="宋体" w:eastAsia="仿宋_GB2312"/>
          <w:color w:val="auto"/>
          <w:kern w:val="2"/>
          <w:sz w:val="32"/>
          <w:szCs w:val="32"/>
        </w:rPr>
        <w:t>（主管部门自评）</w:t>
      </w:r>
    </w:p>
    <w:p w14:paraId="32828F9A">
      <w:pPr>
        <w:pStyle w:val="27"/>
        <w:keepNext w:val="0"/>
        <w:keepLines w:val="0"/>
        <w:pageBreakBefore w:val="0"/>
        <w:kinsoku/>
        <w:wordWrap/>
        <w:overflowPunct/>
        <w:topLinePunct w:val="0"/>
        <w:autoSpaceDE/>
        <w:autoSpaceDN/>
        <w:bidi w:val="0"/>
        <w:spacing w:line="600" w:lineRule="exact"/>
        <w:ind w:firstLine="640"/>
        <w:jc w:val="center"/>
        <w:textAlignment w:val="auto"/>
        <w:rPr>
          <w:rFonts w:ascii="宋体" w:hAnsi="宋体"/>
          <w:color w:val="auto"/>
          <w:kern w:val="2"/>
          <w:sz w:val="32"/>
          <w:szCs w:val="32"/>
        </w:rPr>
      </w:pPr>
    </w:p>
    <w:p w14:paraId="2FC69CD7">
      <w:pPr>
        <w:keepNext w:val="0"/>
        <w:keepLines w:val="0"/>
        <w:pageBreakBefore w:val="0"/>
        <w:kinsoku/>
        <w:wordWrap/>
        <w:overflowPunct/>
        <w:topLinePunct w:val="0"/>
        <w:autoSpaceDE/>
        <w:autoSpaceDN/>
        <w:bidi w:val="0"/>
        <w:adjustRightInd w:val="0"/>
        <w:snapToGrid w:val="0"/>
        <w:spacing w:line="600" w:lineRule="exact"/>
        <w:ind w:firstLine="720"/>
        <w:textAlignment w:val="auto"/>
        <w:outlineLvl w:val="1"/>
        <w:rPr>
          <w:rFonts w:ascii="黑体" w:hAnsi="宋体" w:eastAsia="黑体"/>
          <w:sz w:val="32"/>
          <w:szCs w:val="32"/>
          <w:lang w:val="zh-CN"/>
        </w:rPr>
      </w:pPr>
      <w:bookmarkStart w:id="119" w:name="_Toc14287"/>
      <w:bookmarkStart w:id="120" w:name="_Toc29317"/>
      <w:r>
        <w:rPr>
          <w:rFonts w:hint="eastAsia" w:ascii="黑体" w:hAnsi="宋体" w:eastAsia="黑体"/>
          <w:sz w:val="32"/>
          <w:szCs w:val="32"/>
        </w:rPr>
        <w:t>一、</w:t>
      </w:r>
      <w:r>
        <w:rPr>
          <w:rFonts w:hint="eastAsia" w:ascii="黑体" w:hAnsi="宋体" w:eastAsia="黑体"/>
          <w:sz w:val="32"/>
          <w:szCs w:val="32"/>
          <w:lang w:val="zh-CN"/>
        </w:rPr>
        <w:t>项目概况</w:t>
      </w:r>
      <w:bookmarkEnd w:id="119"/>
      <w:bookmarkEnd w:id="120"/>
    </w:p>
    <w:p w14:paraId="2F138FBD">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12714A3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sz w:val="32"/>
          <w:szCs w:val="32"/>
          <w:lang w:val="zh-CN"/>
        </w:rPr>
      </w:pPr>
      <w:r>
        <w:rPr>
          <w:rFonts w:hint="eastAsia" w:ascii="仿宋_GB2312" w:hAnsi="宋体"/>
          <w:sz w:val="32"/>
          <w:szCs w:val="32"/>
          <w:lang w:val="zh-CN"/>
        </w:rPr>
        <w:t>1．说明项目主管部门（单位）在该项目管理中的职能。</w:t>
      </w:r>
    </w:p>
    <w:p w14:paraId="078E476F">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仿宋_GB2312" w:hAnsi="宋体" w:eastAsia="仿宋_GB2312"/>
          <w:sz w:val="32"/>
          <w:szCs w:val="32"/>
          <w:lang w:val="en-US" w:eastAsia="zh-CN"/>
        </w:rPr>
      </w:pPr>
      <w:r>
        <w:rPr>
          <w:rFonts w:hint="eastAsia" w:ascii="仿宋_GB2312" w:hAnsi="宋体"/>
          <w:sz w:val="32"/>
          <w:szCs w:val="32"/>
          <w:lang w:val="en-US" w:eastAsia="zh-CN"/>
        </w:rPr>
        <w:t>本项目由阿坝州科协技术协会自行实施</w:t>
      </w:r>
    </w:p>
    <w:p w14:paraId="34C01362">
      <w:pPr>
        <w:keepNext w:val="0"/>
        <w:keepLines w:val="0"/>
        <w:pageBreakBefore w:val="0"/>
        <w:numPr>
          <w:ilvl w:val="0"/>
          <w:numId w:val="6"/>
        </w:numPr>
        <w:kinsoku/>
        <w:wordWrap/>
        <w:overflowPunct/>
        <w:topLinePunct w:val="0"/>
        <w:autoSpaceDE/>
        <w:autoSpaceDN/>
        <w:bidi w:val="0"/>
        <w:adjustRightInd w:val="0"/>
        <w:snapToGrid w:val="0"/>
        <w:spacing w:line="600" w:lineRule="exact"/>
        <w:ind w:firstLine="720"/>
        <w:textAlignment w:val="auto"/>
        <w:rPr>
          <w:rFonts w:hint="eastAsia" w:ascii="仿宋_GB2312" w:hAnsi="宋体"/>
          <w:sz w:val="32"/>
          <w:szCs w:val="32"/>
          <w:lang w:val="zh-CN"/>
        </w:rPr>
      </w:pPr>
      <w:r>
        <w:rPr>
          <w:rFonts w:hint="eastAsia" w:ascii="仿宋_GB2312" w:hAnsi="宋体"/>
          <w:sz w:val="32"/>
          <w:szCs w:val="32"/>
          <w:lang w:val="zh-CN"/>
        </w:rPr>
        <w:t>项目立项、资金申报的依据。</w:t>
      </w:r>
    </w:p>
    <w:p w14:paraId="6E4168FD">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sz w:val="32"/>
          <w:szCs w:val="32"/>
          <w:lang w:val="zh-CN"/>
        </w:rPr>
      </w:pPr>
      <w:r>
        <w:rPr>
          <w:rFonts w:hint="eastAsia" w:ascii="仿宋" w:eastAsia="仿宋" w:cs="仿宋_GB2312"/>
          <w:bCs/>
          <w:sz w:val="32"/>
          <w:szCs w:val="32"/>
        </w:rPr>
        <w:t>为深入贯彻落实习近平总书记科协“四服务”重要指示和关于科技创新重要论述精神，进一步贯彻落实中国科协“十大”和省委十一届九次、十次全会决策部署，依托“科创中国·天府科技云服务”促进科技成果加速转化、高新技术加速推广、科研难题加速攻克，推动科技经济金融深度融合发展，为以创新驱动引领四川高质量发展凝聚更大力量。由</w:t>
      </w:r>
      <w:r>
        <w:rPr>
          <w:rFonts w:hint="eastAsia" w:ascii="仿宋" w:eastAsia="仿宋"/>
          <w:bCs/>
          <w:sz w:val="32"/>
          <w:szCs w:val="32"/>
        </w:rPr>
        <w:t>省科协等17家单位</w:t>
      </w:r>
      <w:r>
        <w:rPr>
          <w:rFonts w:hint="eastAsia" w:ascii="仿宋" w:eastAsia="仿宋" w:cs="仿宋_GB2312"/>
          <w:bCs/>
          <w:sz w:val="32"/>
          <w:szCs w:val="32"/>
        </w:rPr>
        <w:t>联合召开的首届“科创中国·天府科技云服务</w:t>
      </w:r>
      <w:r>
        <w:rPr>
          <w:rFonts w:hint="eastAsia" w:ascii="仿宋" w:eastAsia="仿宋"/>
          <w:sz w:val="32"/>
          <w:szCs w:val="32"/>
          <w:lang w:val="en-US" w:eastAsia="zh-CN"/>
        </w:rPr>
        <w:t>大会”（简称：“科创会”）将于12月15日-17日在成都举办。根据省科协安排，届时阿坝州科技供需项目将在首届“科创中国·天府科技云服务大会”阿坝州推介洽谈区进行推介展示、对接洽谈</w:t>
      </w:r>
    </w:p>
    <w:p w14:paraId="732359F4">
      <w:pPr>
        <w:keepNext w:val="0"/>
        <w:keepLines w:val="0"/>
        <w:pageBreakBefore w:val="0"/>
        <w:numPr>
          <w:ilvl w:val="0"/>
          <w:numId w:val="6"/>
        </w:numPr>
        <w:kinsoku/>
        <w:wordWrap/>
        <w:overflowPunct/>
        <w:topLinePunct w:val="0"/>
        <w:autoSpaceDE/>
        <w:autoSpaceDN/>
        <w:bidi w:val="0"/>
        <w:adjustRightInd w:val="0"/>
        <w:snapToGrid w:val="0"/>
        <w:spacing w:line="600" w:lineRule="exact"/>
        <w:ind w:left="0" w:leftChars="0" w:firstLine="720" w:firstLineChars="0"/>
        <w:textAlignment w:val="auto"/>
        <w:rPr>
          <w:rFonts w:hint="eastAsia" w:ascii="仿宋_GB2312" w:hAnsi="宋体"/>
          <w:sz w:val="32"/>
          <w:szCs w:val="32"/>
          <w:lang w:val="zh-CN"/>
        </w:rPr>
      </w:pPr>
      <w:r>
        <w:rPr>
          <w:rFonts w:hint="eastAsia" w:ascii="仿宋_GB2312" w:hAnsi="宋体"/>
          <w:sz w:val="32"/>
          <w:szCs w:val="32"/>
          <w:lang w:val="zh-CN"/>
        </w:rPr>
        <w:t>资金管理办法制定情况，资金支持具体项目的条件、范围与支持方式概况。</w:t>
      </w:r>
    </w:p>
    <w:p w14:paraId="41058BFF">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仿宋" w:eastAsia="仿宋"/>
          <w:sz w:val="32"/>
          <w:szCs w:val="32"/>
          <w:lang w:val="en-US" w:eastAsia="zh-CN"/>
        </w:rPr>
      </w:pPr>
      <w:r>
        <w:rPr>
          <w:rFonts w:hint="eastAsia" w:ascii="仿宋" w:eastAsia="仿宋"/>
          <w:sz w:val="32"/>
          <w:szCs w:val="32"/>
          <w:lang w:val="en-US" w:eastAsia="zh-CN"/>
        </w:rPr>
        <w:t>项目资金管理按照川财教【2020】83号科普专项资金管理办法执行。</w:t>
      </w:r>
    </w:p>
    <w:p w14:paraId="11154268">
      <w:pPr>
        <w:keepNext w:val="0"/>
        <w:keepLines w:val="0"/>
        <w:pageBreakBefore w:val="0"/>
        <w:numPr>
          <w:ilvl w:val="0"/>
          <w:numId w:val="6"/>
        </w:numPr>
        <w:kinsoku/>
        <w:wordWrap/>
        <w:overflowPunct/>
        <w:topLinePunct w:val="0"/>
        <w:autoSpaceDE/>
        <w:autoSpaceDN/>
        <w:bidi w:val="0"/>
        <w:adjustRightInd w:val="0"/>
        <w:snapToGrid w:val="0"/>
        <w:spacing w:line="600" w:lineRule="exact"/>
        <w:ind w:left="0" w:leftChars="0" w:firstLine="720" w:firstLineChars="0"/>
        <w:textAlignment w:val="auto"/>
        <w:rPr>
          <w:rFonts w:hint="eastAsia" w:ascii="仿宋_GB2312" w:hAnsi="宋体"/>
          <w:sz w:val="32"/>
          <w:szCs w:val="32"/>
          <w:lang w:val="zh-CN"/>
        </w:rPr>
      </w:pPr>
      <w:r>
        <w:rPr>
          <w:rFonts w:hint="eastAsia" w:ascii="仿宋_GB2312" w:hAnsi="宋体"/>
          <w:sz w:val="32"/>
          <w:szCs w:val="32"/>
          <w:lang w:val="zh-CN"/>
        </w:rPr>
        <w:t>资金分配的原则及考虑因素。</w:t>
      </w:r>
    </w:p>
    <w:p w14:paraId="46683DDA">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cs="Times New Roman"/>
          <w:sz w:val="32"/>
          <w:szCs w:val="32"/>
          <w:lang w:val="en-US" w:eastAsia="zh-CN"/>
        </w:rPr>
      </w:pPr>
      <w:r>
        <w:rPr>
          <w:rFonts w:hint="eastAsia" w:ascii="仿宋" w:eastAsia="仿宋"/>
          <w:sz w:val="32"/>
          <w:szCs w:val="32"/>
          <w:lang w:val="en-US" w:eastAsia="zh-CN"/>
        </w:rPr>
        <w:t xml:space="preserve">一是按照省科协对市（州）县天府科技云服务中心运维经费补助标准（州级 </w:t>
      </w:r>
      <w:r>
        <w:rPr>
          <w:rFonts w:hint="default" w:ascii="仿宋" w:eastAsia="仿宋"/>
          <w:sz w:val="32"/>
          <w:szCs w:val="32"/>
          <w:lang w:val="en-US" w:eastAsia="zh-CN"/>
        </w:rPr>
        <w:t xml:space="preserve">20 </w:t>
      </w:r>
      <w:r>
        <w:rPr>
          <w:rFonts w:hint="eastAsia" w:ascii="仿宋" w:eastAsia="仿宋"/>
          <w:sz w:val="32"/>
          <w:szCs w:val="32"/>
          <w:lang w:val="en-US" w:eastAsia="zh-CN"/>
        </w:rPr>
        <w:t xml:space="preserve">万元，县级 </w:t>
      </w:r>
      <w:r>
        <w:rPr>
          <w:rFonts w:hint="default" w:ascii="仿宋" w:eastAsia="仿宋"/>
          <w:sz w:val="32"/>
          <w:szCs w:val="32"/>
          <w:lang w:val="en-US" w:eastAsia="zh-CN"/>
        </w:rPr>
        <w:t xml:space="preserve">10 </w:t>
      </w:r>
      <w:r>
        <w:rPr>
          <w:rFonts w:hint="eastAsia" w:ascii="仿宋" w:eastAsia="仿宋"/>
          <w:sz w:val="32"/>
          <w:szCs w:val="32"/>
          <w:lang w:val="en-US" w:eastAsia="zh-CN"/>
        </w:rPr>
        <w:t xml:space="preserve">万元）进 行分配。二是按照省科协对新建科普惠民共享基地建设补助标准进行分配（新建科普共享惠民基地每家 </w:t>
      </w:r>
      <w:r>
        <w:rPr>
          <w:rFonts w:hint="default" w:ascii="仿宋" w:eastAsia="仿宋"/>
          <w:sz w:val="32"/>
          <w:szCs w:val="32"/>
          <w:lang w:val="en-US" w:eastAsia="zh-CN"/>
        </w:rPr>
        <w:t xml:space="preserve">1 </w:t>
      </w:r>
      <w:r>
        <w:rPr>
          <w:rFonts w:hint="eastAsia" w:ascii="仿宋" w:eastAsia="仿宋"/>
          <w:sz w:val="32"/>
          <w:szCs w:val="32"/>
          <w:lang w:val="en-US" w:eastAsia="zh-CN"/>
        </w:rPr>
        <w:t xml:space="preserve">万元）。三是按照州科协 </w:t>
      </w:r>
      <w:r>
        <w:rPr>
          <w:rFonts w:hint="default" w:ascii="仿宋" w:eastAsia="仿宋"/>
          <w:sz w:val="32"/>
          <w:szCs w:val="32"/>
          <w:lang w:val="en-US" w:eastAsia="zh-CN"/>
        </w:rPr>
        <w:t>2021</w:t>
      </w:r>
      <w:r>
        <w:rPr>
          <w:rFonts w:hint="eastAsia" w:ascii="仿宋" w:eastAsia="仿宋"/>
          <w:sz w:val="32"/>
          <w:szCs w:val="32"/>
          <w:lang w:val="en-US" w:eastAsia="zh-CN"/>
        </w:rPr>
        <w:t>年和</w:t>
      </w:r>
      <w:r>
        <w:rPr>
          <w:rFonts w:hint="default" w:ascii="仿宋" w:eastAsia="仿宋"/>
          <w:sz w:val="32"/>
          <w:szCs w:val="32"/>
          <w:lang w:val="en-US" w:eastAsia="zh-CN"/>
        </w:rPr>
        <w:t>2022</w:t>
      </w:r>
      <w:r>
        <w:rPr>
          <w:rFonts w:hint="eastAsia" w:ascii="仿宋" w:eastAsia="仿宋"/>
          <w:sz w:val="32"/>
          <w:szCs w:val="32"/>
          <w:lang w:val="en-US" w:eastAsia="zh-CN"/>
        </w:rPr>
        <w:t>年需要开展的重点项目进行分配。四是按照经济发展、人口总量、科普工作等因素和项目相结合的方式进行综合分配，部分重点项目由县科协实施。</w:t>
      </w:r>
    </w:p>
    <w:p w14:paraId="4F8EF1E4">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1BE9E81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sz w:val="32"/>
          <w:szCs w:val="32"/>
          <w:lang w:val="zh-CN"/>
        </w:rPr>
      </w:pPr>
      <w:r>
        <w:rPr>
          <w:rFonts w:hint="eastAsia" w:ascii="仿宋_GB2312" w:hAnsi="宋体"/>
          <w:sz w:val="32"/>
          <w:szCs w:val="32"/>
          <w:lang w:val="zh-CN"/>
        </w:rPr>
        <w:t>1．项目主要内容。</w:t>
      </w:r>
    </w:p>
    <w:p w14:paraId="4C48EE6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sz w:val="32"/>
          <w:szCs w:val="32"/>
          <w:lang w:val="zh-CN"/>
        </w:rPr>
      </w:pPr>
      <w:r>
        <w:rPr>
          <w:rFonts w:hint="eastAsia" w:ascii="仿宋" w:eastAsia="仿宋"/>
          <w:sz w:val="32"/>
          <w:szCs w:val="32"/>
          <w:lang w:val="en-US" w:eastAsia="zh-CN"/>
        </w:rPr>
        <w:t>邀请第三方公司承接本项目，</w:t>
      </w:r>
      <w:r>
        <w:rPr>
          <w:rFonts w:hint="eastAsia" w:ascii="仿宋" w:eastAsia="仿宋"/>
          <w:sz w:val="32"/>
          <w:szCs w:val="32"/>
        </w:rPr>
        <w:t>主要负责做好“科创会”阿坝州推介洽谈区的活动组织实施、洽谈区场馆布置、会务服务和综合保障，以及整个推介洽谈活动区规划工作</w:t>
      </w:r>
      <w:r>
        <w:rPr>
          <w:rFonts w:hint="eastAsia" w:ascii="仿宋" w:eastAsia="仿宋"/>
          <w:sz w:val="32"/>
          <w:szCs w:val="32"/>
          <w:lang w:eastAsia="zh-CN"/>
        </w:rPr>
        <w:t>，</w:t>
      </w:r>
      <w:r>
        <w:rPr>
          <w:rFonts w:hint="eastAsia" w:ascii="仿宋" w:eastAsia="仿宋"/>
          <w:sz w:val="32"/>
          <w:szCs w:val="32"/>
        </w:rPr>
        <w:t>主要包括以下几个方面：</w:t>
      </w:r>
      <w:r>
        <w:rPr>
          <w:rFonts w:hint="eastAsia" w:ascii="仿宋" w:eastAsia="仿宋"/>
          <w:sz w:val="32"/>
          <w:szCs w:val="32"/>
          <w:lang w:val="en-US" w:eastAsia="zh-CN"/>
        </w:rPr>
        <w:t>1.</w:t>
      </w:r>
      <w:r>
        <w:rPr>
          <w:rFonts w:hint="eastAsia" w:ascii="仿宋" w:hAnsi="Times New Roman" w:eastAsia="仿宋" w:cs="Times New Roman"/>
          <w:sz w:val="32"/>
          <w:szCs w:val="32"/>
        </w:rPr>
        <w:t>负责阿坝州推介洽谈活动的策划组织</w:t>
      </w:r>
      <w:r>
        <w:rPr>
          <w:rFonts w:hint="eastAsia" w:ascii="仿宋" w:hAnsi="Times New Roman" w:eastAsia="仿宋" w:cs="Times New Roman"/>
          <w:sz w:val="32"/>
          <w:szCs w:val="32"/>
          <w:lang w:eastAsia="zh-CN"/>
        </w:rPr>
        <w:t>。</w:t>
      </w:r>
      <w:r>
        <w:rPr>
          <w:rFonts w:hint="eastAsia" w:ascii="仿宋" w:hAnsi="Times New Roman" w:eastAsia="仿宋" w:cs="Times New Roman"/>
          <w:sz w:val="32"/>
          <w:szCs w:val="32"/>
          <w:lang w:val="en-US" w:eastAsia="zh-CN"/>
        </w:rPr>
        <w:t>2.负责阿坝州推介洽谈区的场馆布置。3.负责阿坝州推介洽谈活动的会务服务和综合保障。4.负责推介洽谈活动的网络直播与摄影摄像。5负责推荐洽谈区的总体设计。6.资料汇编与项目验收。</w:t>
      </w:r>
    </w:p>
    <w:p w14:paraId="6890B3E5">
      <w:pPr>
        <w:keepNext w:val="0"/>
        <w:keepLines w:val="0"/>
        <w:pageBreakBefore w:val="0"/>
        <w:numPr>
          <w:ilvl w:val="0"/>
          <w:numId w:val="7"/>
        </w:numPr>
        <w:kinsoku/>
        <w:wordWrap/>
        <w:overflowPunct/>
        <w:topLinePunct w:val="0"/>
        <w:autoSpaceDE/>
        <w:autoSpaceDN/>
        <w:bidi w:val="0"/>
        <w:adjustRightInd w:val="0"/>
        <w:snapToGrid w:val="0"/>
        <w:spacing w:line="600" w:lineRule="exact"/>
        <w:ind w:firstLine="720"/>
        <w:textAlignment w:val="auto"/>
        <w:rPr>
          <w:rFonts w:hint="eastAsia" w:ascii="仿宋_GB2312" w:hAnsi="宋体"/>
          <w:sz w:val="32"/>
          <w:szCs w:val="32"/>
          <w:lang w:val="zh-CN"/>
        </w:rPr>
      </w:pPr>
      <w:r>
        <w:rPr>
          <w:rFonts w:hint="eastAsia" w:ascii="仿宋_GB2312" w:hAnsi="宋体"/>
          <w:sz w:val="32"/>
          <w:szCs w:val="32"/>
          <w:lang w:val="zh-CN"/>
        </w:rPr>
        <w:t>项目应实现的具体绩效目标，包括目标的量化、细化情况以及项目实施进度计划等。</w:t>
      </w:r>
    </w:p>
    <w:p w14:paraId="5B90718F">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仿宋" w:hAnsi="Times New Roman" w:eastAsia="仿宋" w:cs="Times New Roman"/>
          <w:sz w:val="32"/>
          <w:szCs w:val="32"/>
          <w:lang w:val="en-US" w:eastAsia="zh-CN"/>
        </w:rPr>
      </w:pPr>
      <w:r>
        <w:rPr>
          <w:rFonts w:hint="eastAsia" w:ascii="仿宋" w:hAnsi="Times New Roman" w:eastAsia="仿宋" w:cs="Times New Roman"/>
          <w:sz w:val="32"/>
          <w:szCs w:val="32"/>
          <w:lang w:val="en-US" w:eastAsia="zh-CN"/>
        </w:rPr>
        <w:t>挖掘科技所能所需，遴选科创项目100个，重点推介项目56个。其中在科创大会开幕式上推介1个，在省级专场推介3个，其余重点项目在阿坝州洽谈区推介。56个重点项目中重大科技成果转化项目17个、重大高新技术推广项目19个、重大科技难题攻关项目20个。</w:t>
      </w:r>
    </w:p>
    <w:p w14:paraId="76496D14">
      <w:pPr>
        <w:keepNext w:val="0"/>
        <w:keepLines w:val="0"/>
        <w:pageBreakBefore w:val="0"/>
        <w:numPr>
          <w:ilvl w:val="0"/>
          <w:numId w:val="7"/>
        </w:numPr>
        <w:kinsoku/>
        <w:wordWrap/>
        <w:overflowPunct/>
        <w:topLinePunct w:val="0"/>
        <w:autoSpaceDE/>
        <w:autoSpaceDN/>
        <w:bidi w:val="0"/>
        <w:adjustRightInd w:val="0"/>
        <w:snapToGrid w:val="0"/>
        <w:spacing w:line="600" w:lineRule="exact"/>
        <w:ind w:left="0" w:leftChars="0" w:firstLine="720" w:firstLineChars="0"/>
        <w:textAlignment w:val="auto"/>
        <w:rPr>
          <w:rFonts w:hint="eastAsia" w:ascii="仿宋_GB2312" w:hAnsi="宋体"/>
          <w:sz w:val="32"/>
          <w:szCs w:val="32"/>
          <w:lang w:val="zh-CN"/>
        </w:rPr>
      </w:pPr>
      <w:r>
        <w:rPr>
          <w:rFonts w:hint="eastAsia" w:ascii="仿宋_GB2312" w:hAnsi="宋体"/>
          <w:sz w:val="32"/>
          <w:szCs w:val="32"/>
          <w:lang w:val="zh-CN"/>
        </w:rPr>
        <w:t>分析评价申报内容是否与实际相符，申报目标是否合理可行。</w:t>
      </w:r>
    </w:p>
    <w:p w14:paraId="69ED6983">
      <w:pPr>
        <w:keepNext w:val="0"/>
        <w:keepLines w:val="0"/>
        <w:pageBreakBefore w:val="0"/>
        <w:numPr>
          <w:ilvl w:val="0"/>
          <w:numId w:val="0"/>
        </w:numPr>
        <w:kinsoku/>
        <w:wordWrap/>
        <w:overflowPunct/>
        <w:topLinePunct w:val="0"/>
        <w:autoSpaceDE/>
        <w:autoSpaceDN/>
        <w:bidi w:val="0"/>
        <w:adjustRightInd w:val="0"/>
        <w:snapToGrid w:val="0"/>
        <w:spacing w:line="600" w:lineRule="exact"/>
        <w:ind w:left="720" w:leftChars="0"/>
        <w:textAlignment w:val="auto"/>
        <w:rPr>
          <w:rFonts w:hint="eastAsia" w:ascii="仿宋_GB2312" w:hAnsi="宋体" w:eastAsia="仿宋_GB2312"/>
          <w:sz w:val="32"/>
          <w:szCs w:val="32"/>
          <w:lang w:val="en-US" w:eastAsia="zh-CN"/>
        </w:rPr>
      </w:pPr>
      <w:r>
        <w:rPr>
          <w:rFonts w:hint="eastAsia" w:ascii="仿宋" w:hAnsi="Times New Roman" w:eastAsia="仿宋" w:cs="Times New Roman"/>
          <w:sz w:val="32"/>
          <w:szCs w:val="32"/>
          <w:lang w:val="zh-CN" w:eastAsia="zh-CN"/>
        </w:rPr>
        <w:t>评价申报内容是否与实际相符，申报目标合理可行</w:t>
      </w:r>
    </w:p>
    <w:p w14:paraId="6573490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2BF12511">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sz w:val="32"/>
          <w:szCs w:val="32"/>
          <w:lang w:val="zh-CN"/>
        </w:rPr>
      </w:pPr>
      <w:r>
        <w:rPr>
          <w:rFonts w:hint="eastAsia" w:ascii="仿宋_GB2312" w:hAnsi="宋体"/>
          <w:sz w:val="32"/>
          <w:szCs w:val="32"/>
          <w:lang w:val="zh-CN"/>
        </w:rPr>
        <w:t>说明项目绩效自评采用的组织实施步骤及方法。</w:t>
      </w:r>
    </w:p>
    <w:p w14:paraId="6AA70616">
      <w:pPr>
        <w:keepNext w:val="0"/>
        <w:keepLines w:val="0"/>
        <w:pageBreakBefore w:val="0"/>
        <w:kinsoku/>
        <w:wordWrap/>
        <w:overflowPunct/>
        <w:topLinePunct w:val="0"/>
        <w:autoSpaceDE/>
        <w:autoSpaceDN/>
        <w:bidi w:val="0"/>
        <w:adjustRightInd w:val="0"/>
        <w:snapToGrid w:val="0"/>
        <w:spacing w:line="600" w:lineRule="exact"/>
        <w:ind w:firstLine="720"/>
        <w:textAlignment w:val="auto"/>
        <w:outlineLvl w:val="1"/>
        <w:rPr>
          <w:rFonts w:ascii="黑体" w:hAnsi="宋体" w:eastAsia="黑体"/>
          <w:sz w:val="32"/>
          <w:szCs w:val="32"/>
        </w:rPr>
      </w:pPr>
      <w:bookmarkStart w:id="121" w:name="_Toc8379"/>
      <w:bookmarkStart w:id="122" w:name="_Toc8450"/>
      <w:r>
        <w:rPr>
          <w:rFonts w:hint="eastAsia" w:ascii="黑体" w:hAnsi="宋体" w:eastAsia="黑体"/>
          <w:sz w:val="32"/>
          <w:szCs w:val="32"/>
        </w:rPr>
        <w:t>二、项目资金申报及使用情况</w:t>
      </w:r>
      <w:bookmarkEnd w:id="121"/>
      <w:bookmarkEnd w:id="122"/>
    </w:p>
    <w:p w14:paraId="4C9157B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31C446CF">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仿宋" w:hAnsi="Times New Roman" w:eastAsia="仿宋" w:cs="Times New Roman"/>
          <w:sz w:val="32"/>
          <w:szCs w:val="32"/>
          <w:lang w:val="en-US" w:eastAsia="zh-CN"/>
        </w:rPr>
      </w:pPr>
      <w:r>
        <w:rPr>
          <w:rFonts w:hint="eastAsia" w:ascii="仿宋" w:hAnsi="Times New Roman" w:eastAsia="仿宋" w:cs="Times New Roman"/>
          <w:sz w:val="32"/>
          <w:szCs w:val="32"/>
          <w:lang w:val="en-US" w:eastAsia="zh-CN"/>
        </w:rPr>
        <w:t>项目资金的分配方案报州财政会商后报州政府审定通过，由州财政下达科协及各级才能财政预算。</w:t>
      </w:r>
    </w:p>
    <w:p w14:paraId="14B1ED70">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sz w:val="32"/>
          <w:szCs w:val="32"/>
          <w:lang w:val="zh-CN"/>
        </w:rPr>
      </w:pPr>
      <w:r>
        <w:rPr>
          <w:rFonts w:hint="eastAsia" w:ascii="楷体_GB2312" w:hAnsi="宋体" w:eastAsia="楷体_GB2312"/>
          <w:b/>
          <w:sz w:val="32"/>
          <w:szCs w:val="32"/>
          <w:lang w:val="zh-CN"/>
        </w:rPr>
        <w:t>（二）资金计划、到位及使用情况（可用表格形式反映）。</w:t>
      </w:r>
    </w:p>
    <w:p w14:paraId="62BD2F2D">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仿宋" w:hAnsi="Times New Roman" w:eastAsia="仿宋" w:cs="Times New Roman"/>
          <w:sz w:val="32"/>
          <w:szCs w:val="32"/>
          <w:lang w:val="en-US" w:eastAsia="zh-CN"/>
        </w:rPr>
      </w:pPr>
      <w:r>
        <w:rPr>
          <w:rFonts w:hint="eastAsia" w:ascii="仿宋" w:hAnsi="Times New Roman" w:eastAsia="仿宋" w:cs="Times New Roman"/>
          <w:sz w:val="32"/>
          <w:szCs w:val="32"/>
          <w:lang w:val="zh-CN" w:eastAsia="zh-CN"/>
        </w:rPr>
        <w:t>1．资金计划。</w:t>
      </w:r>
      <w:r>
        <w:rPr>
          <w:rFonts w:hint="eastAsia" w:ascii="仿宋" w:hAnsi="Times New Roman" w:eastAsia="仿宋" w:cs="Times New Roman"/>
          <w:sz w:val="32"/>
          <w:szCs w:val="32"/>
          <w:lang w:val="en-US" w:eastAsia="zh-CN"/>
        </w:rPr>
        <w:t>该项目为省级科普专项资金，资金主要用于2021年天府科技云科创大会，项目资金预计2021年12月执行完毕。</w:t>
      </w:r>
    </w:p>
    <w:p w14:paraId="2E4A5728">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仿宋" w:hAnsi="Times New Roman" w:eastAsia="仿宋" w:cs="Times New Roman"/>
          <w:sz w:val="32"/>
          <w:szCs w:val="32"/>
          <w:lang w:val="en-US" w:eastAsia="zh-CN"/>
        </w:rPr>
      </w:pPr>
      <w:r>
        <w:rPr>
          <w:rFonts w:hint="eastAsia" w:ascii="仿宋" w:hAnsi="Times New Roman" w:eastAsia="仿宋" w:cs="Times New Roman"/>
          <w:sz w:val="32"/>
          <w:szCs w:val="32"/>
          <w:lang w:val="zh-CN" w:eastAsia="zh-CN"/>
        </w:rPr>
        <w:t>2．资金到位。</w:t>
      </w:r>
      <w:r>
        <w:rPr>
          <w:rFonts w:hint="eastAsia" w:ascii="仿宋" w:hAnsi="Times New Roman" w:eastAsia="仿宋" w:cs="Times New Roman"/>
          <w:sz w:val="32"/>
          <w:szCs w:val="32"/>
          <w:lang w:val="en-US" w:eastAsia="zh-CN"/>
        </w:rPr>
        <w:t>2021年11月下达我单位预算</w:t>
      </w:r>
    </w:p>
    <w:p w14:paraId="7C7734C2">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仿宋" w:hAnsi="Times New Roman" w:eastAsia="仿宋" w:cs="Times New Roman"/>
          <w:sz w:val="32"/>
          <w:szCs w:val="32"/>
          <w:lang w:val="en-US" w:eastAsia="zh-CN"/>
        </w:rPr>
      </w:pPr>
      <w:r>
        <w:rPr>
          <w:rFonts w:hint="eastAsia" w:ascii="仿宋" w:hAnsi="Times New Roman" w:eastAsia="仿宋" w:cs="Times New Roman"/>
          <w:sz w:val="32"/>
          <w:szCs w:val="32"/>
          <w:lang w:val="zh-CN" w:eastAsia="zh-CN"/>
        </w:rPr>
        <w:t>3．资金使用。</w:t>
      </w:r>
      <w:r>
        <w:rPr>
          <w:rFonts w:hint="eastAsia" w:ascii="仿宋" w:hAnsi="Times New Roman" w:eastAsia="仿宋" w:cs="Times New Roman"/>
          <w:sz w:val="32"/>
          <w:szCs w:val="32"/>
          <w:lang w:val="en-US" w:eastAsia="zh-CN"/>
        </w:rPr>
        <w:t>2021年12月项目执行完毕并支付资金</w:t>
      </w:r>
    </w:p>
    <w:p w14:paraId="569955C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2EED5ED3">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仿宋" w:hAnsi="Times New Roman" w:eastAsia="仿宋" w:cs="Times New Roman"/>
          <w:sz w:val="32"/>
          <w:szCs w:val="32"/>
          <w:lang w:val="en-US" w:eastAsia="zh-CN"/>
        </w:rPr>
      </w:pPr>
      <w:r>
        <w:rPr>
          <w:rFonts w:hint="eastAsia" w:ascii="仿宋" w:hAnsi="Times New Roman" w:eastAsia="仿宋" w:cs="Times New Roman"/>
          <w:sz w:val="32"/>
          <w:szCs w:val="32"/>
          <w:lang w:val="en-US" w:eastAsia="zh-CN"/>
        </w:rPr>
        <w:t>严格按照我单位财务制度执行</w:t>
      </w:r>
      <w:r>
        <w:rPr>
          <w:rFonts w:hint="eastAsia" w:ascii="仿宋" w:hAnsi="Times New Roman" w:eastAsia="仿宋" w:cs="Times New Roman"/>
          <w:sz w:val="32"/>
          <w:szCs w:val="32"/>
          <w:lang w:val="zh-CN" w:eastAsia="zh-CN"/>
        </w:rPr>
        <w:t>，</w:t>
      </w:r>
      <w:r>
        <w:rPr>
          <w:rFonts w:hint="eastAsia" w:ascii="仿宋" w:hAnsi="Times New Roman" w:eastAsia="仿宋" w:cs="Times New Roman"/>
          <w:sz w:val="32"/>
          <w:szCs w:val="32"/>
          <w:lang w:val="en-US" w:eastAsia="zh-CN"/>
        </w:rPr>
        <w:t>及时进行</w:t>
      </w:r>
      <w:r>
        <w:rPr>
          <w:rFonts w:hint="eastAsia" w:ascii="仿宋" w:hAnsi="Times New Roman" w:eastAsia="仿宋" w:cs="Times New Roman"/>
          <w:sz w:val="32"/>
          <w:szCs w:val="32"/>
          <w:lang w:val="zh-CN" w:eastAsia="zh-CN"/>
        </w:rPr>
        <w:t>账务处理</w:t>
      </w:r>
      <w:r>
        <w:rPr>
          <w:rFonts w:hint="eastAsia" w:ascii="仿宋" w:hAnsi="Times New Roman" w:eastAsia="仿宋" w:cs="Times New Roman"/>
          <w:sz w:val="32"/>
          <w:szCs w:val="32"/>
          <w:lang w:val="en-US" w:eastAsia="zh-CN"/>
        </w:rPr>
        <w:t>和会计核算。</w:t>
      </w:r>
    </w:p>
    <w:p w14:paraId="027E15B2">
      <w:pPr>
        <w:keepNext w:val="0"/>
        <w:keepLines w:val="0"/>
        <w:pageBreakBefore w:val="0"/>
        <w:kinsoku/>
        <w:wordWrap/>
        <w:overflowPunct/>
        <w:topLinePunct w:val="0"/>
        <w:autoSpaceDE/>
        <w:autoSpaceDN/>
        <w:bidi w:val="0"/>
        <w:adjustRightInd w:val="0"/>
        <w:snapToGrid w:val="0"/>
        <w:spacing w:line="600" w:lineRule="exact"/>
        <w:ind w:firstLine="720"/>
        <w:textAlignment w:val="auto"/>
        <w:outlineLvl w:val="1"/>
        <w:rPr>
          <w:rFonts w:ascii="黑体" w:hAnsi="宋体" w:eastAsia="黑体"/>
          <w:sz w:val="32"/>
          <w:szCs w:val="32"/>
        </w:rPr>
      </w:pPr>
      <w:bookmarkStart w:id="123" w:name="_Toc18263"/>
      <w:bookmarkStart w:id="124" w:name="_Toc2098"/>
      <w:r>
        <w:rPr>
          <w:rFonts w:hint="eastAsia" w:ascii="黑体" w:hAnsi="宋体" w:eastAsia="黑体"/>
          <w:sz w:val="32"/>
          <w:szCs w:val="32"/>
        </w:rPr>
        <w:t>三、项目实施及管理情况</w:t>
      </w:r>
      <w:bookmarkEnd w:id="123"/>
      <w:bookmarkEnd w:id="124"/>
    </w:p>
    <w:p w14:paraId="6DC7983A">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 w:hAnsi="Times New Roman" w:eastAsia="仿宋" w:cs="Times New Roman"/>
          <w:sz w:val="32"/>
          <w:szCs w:val="32"/>
          <w:lang w:val="zh-CN" w:eastAsia="zh-CN"/>
        </w:rPr>
      </w:pPr>
      <w:r>
        <w:rPr>
          <w:rFonts w:hint="eastAsia" w:ascii="仿宋" w:hAnsi="Times New Roman" w:eastAsia="仿宋" w:cs="Times New Roman"/>
          <w:sz w:val="32"/>
          <w:szCs w:val="32"/>
          <w:lang w:val="zh-CN" w:eastAsia="zh-CN"/>
        </w:rPr>
        <w:t>结合项目组织实施管理办法，重点围绕以下内容进行分析评价，并对自评中发现的问题分析说明。</w:t>
      </w:r>
    </w:p>
    <w:p w14:paraId="2A908B01">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（一）项目组织架构及实施流程。</w:t>
      </w:r>
    </w:p>
    <w:p w14:paraId="76BA2AA1">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仿宋_GB2312" w:hAnsi="宋体"/>
          <w:sz w:val="32"/>
          <w:szCs w:val="32"/>
          <w:lang w:val="en-US"/>
        </w:rPr>
      </w:pPr>
      <w:r>
        <w:rPr>
          <w:rFonts w:hint="eastAsia" w:ascii="楷体_GB2312" w:hAnsi="宋体" w:eastAsia="楷体_GB2312"/>
          <w:b/>
          <w:sz w:val="32"/>
          <w:szCs w:val="32"/>
          <w:lang w:val="zh-CN"/>
        </w:rPr>
        <w:t>（二）项目管理情况。</w:t>
      </w:r>
      <w:r>
        <w:rPr>
          <w:rFonts w:hint="eastAsia" w:ascii="仿宋" w:hAnsi="Times New Roman" w:eastAsia="仿宋" w:cs="Times New Roman"/>
          <w:sz w:val="32"/>
          <w:szCs w:val="32"/>
          <w:lang w:val="en-US" w:eastAsia="zh-CN"/>
        </w:rPr>
        <w:t>该项目未达到政府采购服务类标准30万元，我单位通过天府科技云发布招标公告，通过竞争性谈判选择供应商，项目结束后组织专人对该项目进行验收。</w:t>
      </w:r>
    </w:p>
    <w:p w14:paraId="0516FB8E">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楷体_GB2312" w:hAnsi="宋体" w:eastAsia="楷体_GB2312"/>
          <w:b/>
          <w:sz w:val="32"/>
          <w:szCs w:val="32"/>
          <w:lang w:val="en-US" w:eastAsia="zh-CN"/>
        </w:rPr>
      </w:pPr>
      <w:r>
        <w:rPr>
          <w:rFonts w:hint="eastAsia" w:ascii="楷体_GB2312" w:hAnsi="宋体" w:eastAsia="楷体_GB2312"/>
          <w:b/>
          <w:sz w:val="32"/>
          <w:szCs w:val="32"/>
          <w:lang w:val="zh-CN"/>
        </w:rPr>
        <w:t>（三）项目监管情况。</w:t>
      </w:r>
      <w:r>
        <w:rPr>
          <w:rFonts w:hint="eastAsia" w:ascii="仿宋" w:hAnsi="Times New Roman" w:eastAsia="仿宋" w:cs="Times New Roman"/>
          <w:sz w:val="32"/>
          <w:szCs w:val="32"/>
          <w:lang w:val="en-US" w:eastAsia="zh-CN"/>
        </w:rPr>
        <w:t>成立天府科技云科创大会采购领导小组，对项目进行监管。</w:t>
      </w:r>
    </w:p>
    <w:p w14:paraId="61E4DD14">
      <w:pPr>
        <w:keepNext w:val="0"/>
        <w:keepLines w:val="0"/>
        <w:pageBreakBefore w:val="0"/>
        <w:kinsoku/>
        <w:wordWrap/>
        <w:overflowPunct/>
        <w:topLinePunct w:val="0"/>
        <w:autoSpaceDE/>
        <w:autoSpaceDN/>
        <w:bidi w:val="0"/>
        <w:adjustRightInd w:val="0"/>
        <w:snapToGrid w:val="0"/>
        <w:spacing w:line="600" w:lineRule="exact"/>
        <w:ind w:firstLine="720"/>
        <w:textAlignment w:val="auto"/>
        <w:outlineLvl w:val="1"/>
        <w:rPr>
          <w:rFonts w:ascii="仿宋_GB2312" w:hAnsi="宋体"/>
          <w:sz w:val="32"/>
          <w:szCs w:val="32"/>
          <w:lang w:val="zh-CN"/>
        </w:rPr>
      </w:pPr>
      <w:bookmarkStart w:id="125" w:name="_Toc15997"/>
      <w:bookmarkStart w:id="126" w:name="_Toc23670"/>
      <w:r>
        <w:rPr>
          <w:rFonts w:hint="eastAsia" w:ascii="黑体" w:hAnsi="宋体" w:eastAsia="黑体"/>
          <w:sz w:val="32"/>
          <w:szCs w:val="32"/>
        </w:rPr>
        <w:t>四、项目绩效情况</w:t>
      </w:r>
      <w:bookmarkEnd w:id="125"/>
      <w:bookmarkEnd w:id="126"/>
      <w:r>
        <w:rPr>
          <w:rFonts w:hint="eastAsia" w:ascii="仿宋_GB2312" w:hAnsi="宋体"/>
          <w:sz w:val="32"/>
          <w:szCs w:val="32"/>
          <w:lang w:val="zh-CN"/>
        </w:rPr>
        <w:tab/>
      </w:r>
    </w:p>
    <w:p w14:paraId="5F6BAA7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仿宋_GB2312" w:hAnsi="宋体" w:eastAsia="楷体_GB2312" w:cs="Times New Roman"/>
          <w:sz w:val="32"/>
          <w:szCs w:val="32"/>
          <w:lang w:val="en-US" w:eastAsia="zh-CN"/>
        </w:rPr>
      </w:pPr>
      <w:r>
        <w:rPr>
          <w:rFonts w:hint="eastAsia" w:ascii="楷体_GB2312" w:hAnsi="宋体" w:eastAsia="楷体_GB2312"/>
          <w:b/>
          <w:sz w:val="32"/>
          <w:szCs w:val="32"/>
          <w:lang w:val="zh-CN"/>
        </w:rPr>
        <w:t>（一）项目完成情况。</w:t>
      </w:r>
      <w:r>
        <w:rPr>
          <w:rFonts w:hint="eastAsia" w:ascii="仿宋" w:hAnsi="Times New Roman" w:eastAsia="仿宋" w:cs="Times New Roman"/>
          <w:sz w:val="32"/>
          <w:szCs w:val="32"/>
          <w:lang w:val="en-US" w:eastAsia="zh-CN"/>
        </w:rPr>
        <w:t>该项目预算金额18万元，通过竞争性谈判，最终14万元中标，项目结余资金4万元，该项目于2021年12月结束。</w:t>
      </w:r>
    </w:p>
    <w:p w14:paraId="7BA35017">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181E9699">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 w:hAnsi="Times New Roman" w:eastAsia="仿宋" w:cs="Times New Roman"/>
          <w:sz w:val="32"/>
          <w:szCs w:val="32"/>
          <w:lang w:val="zh-CN" w:eastAsia="zh-CN"/>
        </w:rPr>
      </w:pPr>
      <w:r>
        <w:rPr>
          <w:rFonts w:hint="eastAsia" w:ascii="仿宋" w:hAnsi="Times New Roman" w:eastAsia="仿宋" w:cs="Times New Roman"/>
          <w:sz w:val="32"/>
          <w:szCs w:val="32"/>
          <w:lang w:val="en-US" w:eastAsia="zh-CN"/>
        </w:rPr>
        <w:t>本项目遴选科创项目100个，重点推介项目56个。其中在科创大会开幕式上推介1个，在省级专场推介3个，其余重点项目在阿坝州洽谈区推介。56个重点项目中重大科技成果转化项目17个、重大高新技术推广项目19个、重大科技难题攻关项目20个。</w:t>
      </w:r>
    </w:p>
    <w:p w14:paraId="43DC1F89">
      <w:pPr>
        <w:keepNext w:val="0"/>
        <w:keepLines w:val="0"/>
        <w:pageBreakBefore w:val="0"/>
        <w:kinsoku/>
        <w:wordWrap/>
        <w:overflowPunct/>
        <w:topLinePunct w:val="0"/>
        <w:autoSpaceDE/>
        <w:autoSpaceDN/>
        <w:bidi w:val="0"/>
        <w:adjustRightInd w:val="0"/>
        <w:snapToGrid w:val="0"/>
        <w:spacing w:line="600" w:lineRule="exact"/>
        <w:ind w:firstLine="720"/>
        <w:textAlignment w:val="auto"/>
        <w:outlineLvl w:val="1"/>
        <w:rPr>
          <w:rFonts w:ascii="黑体" w:hAnsi="宋体" w:eastAsia="黑体"/>
          <w:sz w:val="32"/>
          <w:szCs w:val="32"/>
        </w:rPr>
      </w:pPr>
      <w:bookmarkStart w:id="127" w:name="_Toc27701"/>
      <w:bookmarkStart w:id="128" w:name="_Toc7037"/>
      <w:r>
        <w:rPr>
          <w:rFonts w:hint="eastAsia" w:ascii="黑体" w:hAnsi="宋体" w:eastAsia="黑体"/>
          <w:sz w:val="32"/>
          <w:szCs w:val="32"/>
        </w:rPr>
        <w:t>五、评价结论及建议</w:t>
      </w:r>
      <w:bookmarkEnd w:id="127"/>
      <w:bookmarkEnd w:id="128"/>
    </w:p>
    <w:p w14:paraId="5E64BFF1">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0E891826">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仿宋" w:hAnsi="Times New Roman" w:eastAsia="仿宋" w:cs="Times New Roman"/>
          <w:sz w:val="32"/>
          <w:szCs w:val="32"/>
          <w:lang w:val="en-US" w:eastAsia="zh-CN"/>
        </w:rPr>
      </w:pPr>
      <w:r>
        <w:rPr>
          <w:rFonts w:hint="eastAsia" w:ascii="仿宋" w:hAnsi="Times New Roman" w:eastAsia="仿宋" w:cs="Times New Roman"/>
          <w:sz w:val="32"/>
          <w:szCs w:val="32"/>
          <w:lang w:val="en-US" w:eastAsia="zh-CN"/>
        </w:rPr>
        <w:t>自评得分9.78分</w:t>
      </w:r>
    </w:p>
    <w:p w14:paraId="72DB3E02">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51A4D91C">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hAnsi="宋体"/>
          <w:sz w:val="32"/>
          <w:szCs w:val="32"/>
          <w:lang w:val="zh-CN"/>
        </w:rPr>
      </w:pPr>
      <w:r>
        <w:rPr>
          <w:rFonts w:hint="eastAsia" w:ascii="仿宋" w:hAnsi="Times New Roman" w:eastAsia="仿宋" w:cs="Times New Roman"/>
          <w:sz w:val="32"/>
          <w:szCs w:val="32"/>
          <w:lang w:val="en-US" w:eastAsia="zh-CN"/>
        </w:rPr>
        <w:t>该项目预算18万元，实际使用14万元，结余资金4万元，资金结余率22.22%。</w:t>
      </w:r>
      <w:r>
        <w:rPr>
          <w:rFonts w:hint="eastAsia" w:ascii="仿宋_GB2312" w:hAnsi="宋体"/>
          <w:sz w:val="32"/>
          <w:szCs w:val="32"/>
          <w:lang w:val="zh-CN"/>
        </w:rPr>
        <w:tab/>
      </w:r>
    </w:p>
    <w:p w14:paraId="3E1E422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5E7EF7C4">
      <w:pPr>
        <w:ind w:firstLine="640" w:firstLineChars="200"/>
        <w:rPr>
          <w:rFonts w:hint="default" w:eastAsia="仿宋_GB2312"/>
          <w:sz w:val="32"/>
          <w:szCs w:val="32"/>
          <w:lang w:val="en-US" w:eastAsia="zh-CN"/>
        </w:rPr>
      </w:pPr>
      <w:r>
        <w:rPr>
          <w:rFonts w:hint="eastAsia" w:ascii="仿宋" w:hAnsi="Times New Roman" w:eastAsia="仿宋" w:cs="Times New Roman"/>
          <w:sz w:val="32"/>
          <w:szCs w:val="32"/>
          <w:lang w:val="en-US" w:eastAsia="zh-CN"/>
        </w:rPr>
        <w:t>无</w:t>
      </w:r>
      <w:r>
        <w:rPr>
          <w:rFonts w:hint="eastAsia" w:ascii="仿宋_GB2312" w:hAnsi="宋体"/>
          <w:sz w:val="32"/>
          <w:szCs w:val="32"/>
          <w:lang w:val="en-US" w:eastAsia="zh-CN"/>
        </w:rPr>
        <w:t xml:space="preserve">  </w:t>
      </w:r>
    </w:p>
    <w:p w14:paraId="7613203E">
      <w:pPr>
        <w:keepNext w:val="0"/>
        <w:keepLines w:val="0"/>
        <w:pageBreakBefore w:val="0"/>
        <w:widowControl w:val="0"/>
        <w:kinsoku/>
        <w:wordWrap/>
        <w:overflowPunct/>
        <w:topLinePunct w:val="0"/>
        <w:autoSpaceDE/>
        <w:autoSpaceDN/>
        <w:bidi w:val="0"/>
        <w:adjustRightInd/>
        <w:spacing w:line="600" w:lineRule="exact"/>
        <w:textAlignment w:val="auto"/>
        <w:outlineLvl w:val="9"/>
      </w:pPr>
    </w:p>
    <w:p w14:paraId="0C399144">
      <w:pPr>
        <w:keepNext w:val="0"/>
        <w:keepLines w:val="0"/>
        <w:pageBreakBefore w:val="0"/>
        <w:widowControl w:val="0"/>
        <w:kinsoku/>
        <w:wordWrap/>
        <w:overflowPunct/>
        <w:topLinePunct w:val="0"/>
        <w:autoSpaceDE/>
        <w:autoSpaceDN/>
        <w:bidi w:val="0"/>
        <w:adjustRightInd/>
        <w:spacing w:line="600" w:lineRule="exact"/>
        <w:textAlignment w:val="auto"/>
        <w:outlineLvl w:val="9"/>
      </w:pPr>
    </w:p>
    <w:p w14:paraId="38587C44">
      <w:pPr>
        <w:keepNext w:val="0"/>
        <w:keepLines w:val="0"/>
        <w:pageBreakBefore w:val="0"/>
        <w:widowControl w:val="0"/>
        <w:kinsoku/>
        <w:wordWrap/>
        <w:overflowPunct/>
        <w:topLinePunct w:val="0"/>
        <w:autoSpaceDE/>
        <w:autoSpaceDN/>
        <w:bidi w:val="0"/>
        <w:adjustRightInd/>
        <w:spacing w:line="600" w:lineRule="exact"/>
        <w:textAlignment w:val="auto"/>
        <w:outlineLvl w:val="9"/>
        <w:rPr>
          <w:rFonts w:hint="eastAsia"/>
          <w:sz w:val="32"/>
          <w:szCs w:val="32"/>
          <w:lang w:val="en-US" w:eastAsia="zh-CN"/>
        </w:rPr>
      </w:pPr>
      <w:r>
        <w:rPr>
          <w:rFonts w:hint="eastAsia"/>
          <w:lang w:val="en-US" w:eastAsia="zh-CN"/>
        </w:rPr>
        <w:t xml:space="preserve">                               </w:t>
      </w:r>
      <w:r>
        <w:rPr>
          <w:rFonts w:hint="eastAsia"/>
          <w:sz w:val="32"/>
          <w:szCs w:val="32"/>
          <w:lang w:val="en-US" w:eastAsia="zh-CN"/>
        </w:rPr>
        <w:t xml:space="preserve">            阿坝州科学技术协会</w:t>
      </w:r>
    </w:p>
    <w:p w14:paraId="330CAD8F">
      <w:pPr>
        <w:keepNext w:val="0"/>
        <w:keepLines w:val="0"/>
        <w:pageBreakBefore w:val="0"/>
        <w:widowControl w:val="0"/>
        <w:kinsoku/>
        <w:wordWrap/>
        <w:overflowPunct/>
        <w:topLinePunct w:val="0"/>
        <w:autoSpaceDE/>
        <w:autoSpaceDN/>
        <w:bidi w:val="0"/>
        <w:adjustRightInd/>
        <w:spacing w:line="600" w:lineRule="exact"/>
        <w:textAlignment w:val="auto"/>
        <w:outlineLvl w:val="9"/>
        <w:rPr>
          <w:rFonts w:hint="default"/>
          <w:sz w:val="32"/>
          <w:szCs w:val="32"/>
          <w:lang w:val="en-US" w:eastAsia="zh-CN"/>
        </w:rPr>
      </w:pPr>
      <w:r>
        <w:rPr>
          <w:rFonts w:hint="eastAsia"/>
          <w:sz w:val="32"/>
          <w:szCs w:val="32"/>
          <w:lang w:val="en-US" w:eastAsia="zh-CN"/>
        </w:rPr>
        <w:t xml:space="preserve">                                  2022年8月26日</w:t>
      </w:r>
    </w:p>
    <w:p w14:paraId="3CD26772">
      <w:pPr>
        <w:pStyle w:val="7"/>
        <w:spacing w:before="93"/>
        <w:rPr>
          <w:lang w:val="zh-CN"/>
        </w:rPr>
      </w:pPr>
    </w:p>
    <w:p w14:paraId="3D41F0C7">
      <w:pPr>
        <w:pStyle w:val="7"/>
        <w:spacing w:before="93"/>
        <w:rPr>
          <w:lang w:val="zh-CN"/>
        </w:rPr>
      </w:pPr>
    </w:p>
    <w:p w14:paraId="5159A65D">
      <w:pPr>
        <w:pStyle w:val="7"/>
        <w:spacing w:before="93"/>
        <w:rPr>
          <w:lang w:val="zh-CN"/>
        </w:rPr>
      </w:pPr>
    </w:p>
    <w:p w14:paraId="3C7BA3AE">
      <w:pPr>
        <w:pStyle w:val="7"/>
        <w:spacing w:before="93"/>
        <w:rPr>
          <w:lang w:val="zh-CN"/>
        </w:rPr>
      </w:pPr>
    </w:p>
    <w:p w14:paraId="63C0E430">
      <w:pPr>
        <w:pStyle w:val="7"/>
        <w:spacing w:before="93"/>
        <w:rPr>
          <w:lang w:val="zh-CN"/>
        </w:rPr>
      </w:pPr>
    </w:p>
    <w:p w14:paraId="0737D727">
      <w:pPr>
        <w:pStyle w:val="7"/>
        <w:spacing w:before="93"/>
        <w:rPr>
          <w:lang w:val="zh-CN"/>
        </w:rPr>
      </w:pPr>
    </w:p>
    <w:p w14:paraId="08B4D14C">
      <w:pPr>
        <w:pStyle w:val="7"/>
        <w:spacing w:before="93"/>
        <w:rPr>
          <w:lang w:val="zh-CN"/>
        </w:rPr>
      </w:pPr>
    </w:p>
    <w:p w14:paraId="267E1526">
      <w:pPr>
        <w:pStyle w:val="7"/>
        <w:spacing w:before="93"/>
        <w:rPr>
          <w:lang w:val="zh-CN"/>
        </w:rPr>
      </w:pPr>
    </w:p>
    <w:p w14:paraId="3BF73EE9">
      <w:pPr>
        <w:pStyle w:val="7"/>
        <w:spacing w:before="93"/>
        <w:rPr>
          <w:lang w:val="zh-CN"/>
        </w:rPr>
      </w:pPr>
    </w:p>
    <w:p w14:paraId="23E0FCA2">
      <w:pPr>
        <w:pStyle w:val="7"/>
        <w:spacing w:before="93"/>
        <w:rPr>
          <w:lang w:val="zh-CN"/>
        </w:rPr>
      </w:pPr>
    </w:p>
    <w:p w14:paraId="1D1B8F4D">
      <w:pPr>
        <w:pStyle w:val="7"/>
        <w:spacing w:before="93"/>
        <w:rPr>
          <w:lang w:val="zh-CN"/>
        </w:rPr>
      </w:pPr>
    </w:p>
    <w:p w14:paraId="3DAE209A">
      <w:pPr>
        <w:pStyle w:val="7"/>
        <w:spacing w:before="93"/>
        <w:rPr>
          <w:lang w:val="zh-CN"/>
        </w:rPr>
      </w:pPr>
    </w:p>
    <w:p w14:paraId="7BCBC8D2">
      <w:pPr>
        <w:pStyle w:val="27"/>
        <w:keepNext w:val="0"/>
        <w:keepLines w:val="0"/>
        <w:pageBreakBefore w:val="0"/>
        <w:kinsoku/>
        <w:wordWrap/>
        <w:overflowPunct/>
        <w:topLinePunct w:val="0"/>
        <w:autoSpaceDE/>
        <w:autoSpaceDN/>
        <w:bidi w:val="0"/>
        <w:spacing w:line="600" w:lineRule="exact"/>
        <w:ind w:firstLine="883"/>
        <w:jc w:val="center"/>
        <w:textAlignment w:val="auto"/>
        <w:rPr>
          <w:rFonts w:hint="eastAsia" w:ascii="方正小标宋简体" w:hAnsi="方正小标宋简体" w:eastAsia="方正小标宋简体" w:cs="方正小标宋简体"/>
          <w:color w:val="auto"/>
          <w:kern w:val="2"/>
          <w:sz w:val="40"/>
          <w:szCs w:val="40"/>
          <w:lang w:val="en-US" w:eastAsia="zh-CN"/>
        </w:rPr>
      </w:pPr>
      <w:r>
        <w:rPr>
          <w:rFonts w:hint="eastAsia" w:ascii="方正小标宋简体" w:hAnsi="方正小标宋简体" w:eastAsia="方正小标宋简体" w:cs="方正小标宋简体"/>
          <w:color w:val="auto"/>
          <w:kern w:val="2"/>
          <w:sz w:val="40"/>
          <w:szCs w:val="40"/>
          <w:lang w:val="en-US" w:eastAsia="zh-CN"/>
        </w:rPr>
        <w:t>阿坝州科学技术协会</w:t>
      </w:r>
    </w:p>
    <w:p w14:paraId="3CD881A0">
      <w:pPr>
        <w:pStyle w:val="27"/>
        <w:keepNext w:val="0"/>
        <w:keepLines w:val="0"/>
        <w:pageBreakBefore w:val="0"/>
        <w:kinsoku/>
        <w:wordWrap/>
        <w:overflowPunct/>
        <w:topLinePunct w:val="0"/>
        <w:autoSpaceDE/>
        <w:autoSpaceDN/>
        <w:bidi w:val="0"/>
        <w:spacing w:line="600" w:lineRule="exact"/>
        <w:ind w:firstLine="883"/>
        <w:jc w:val="center"/>
        <w:textAlignment w:val="auto"/>
        <w:outlineLvl w:val="1"/>
        <w:rPr>
          <w:rFonts w:hint="eastAsia" w:ascii="方正小标宋简体" w:hAnsi="方正小标宋简体" w:eastAsia="方正小标宋简体" w:cs="方正小标宋简体"/>
          <w:color w:val="auto"/>
          <w:kern w:val="2"/>
          <w:sz w:val="40"/>
          <w:szCs w:val="40"/>
        </w:rPr>
      </w:pPr>
      <w:bookmarkStart w:id="129" w:name="_Toc31368"/>
      <w:bookmarkStart w:id="130" w:name="_Toc20951"/>
      <w:r>
        <w:rPr>
          <w:rFonts w:hint="eastAsia" w:ascii="方正小标宋简体" w:hAnsi="方正小标宋简体" w:eastAsia="方正小标宋简体" w:cs="方正小标宋简体"/>
          <w:color w:val="auto"/>
          <w:kern w:val="2"/>
          <w:sz w:val="40"/>
          <w:szCs w:val="40"/>
          <w:lang w:val="en-US" w:eastAsia="zh-CN"/>
        </w:rPr>
        <w:t>阿坝州天府科技云运营服务</w:t>
      </w:r>
      <w:r>
        <w:rPr>
          <w:rFonts w:hint="eastAsia" w:ascii="方正小标宋简体" w:hAnsi="方正小标宋简体" w:eastAsia="方正小标宋简体" w:cs="方正小标宋简体"/>
          <w:color w:val="auto"/>
          <w:kern w:val="2"/>
          <w:sz w:val="40"/>
          <w:szCs w:val="40"/>
          <w:lang w:eastAsia="zh-CN"/>
        </w:rPr>
        <w:t>专项预算项目支出</w:t>
      </w:r>
      <w:r>
        <w:rPr>
          <w:rFonts w:hint="eastAsia" w:ascii="方正小标宋简体" w:hAnsi="方正小标宋简体" w:eastAsia="方正小标宋简体" w:cs="方正小标宋简体"/>
          <w:color w:val="auto"/>
          <w:kern w:val="2"/>
          <w:sz w:val="40"/>
          <w:szCs w:val="40"/>
        </w:rPr>
        <w:t>绩效自评报告</w:t>
      </w:r>
      <w:bookmarkEnd w:id="129"/>
      <w:bookmarkEnd w:id="130"/>
    </w:p>
    <w:p w14:paraId="00A2A527">
      <w:pPr>
        <w:pStyle w:val="27"/>
        <w:keepNext w:val="0"/>
        <w:keepLines w:val="0"/>
        <w:pageBreakBefore w:val="0"/>
        <w:kinsoku/>
        <w:wordWrap/>
        <w:overflowPunct/>
        <w:topLinePunct w:val="0"/>
        <w:autoSpaceDE/>
        <w:autoSpaceDN/>
        <w:bidi w:val="0"/>
        <w:spacing w:line="600" w:lineRule="exact"/>
        <w:ind w:firstLine="883"/>
        <w:jc w:val="center"/>
        <w:textAlignment w:val="auto"/>
        <w:rPr>
          <w:rFonts w:ascii="仿宋_GB2312" w:hAnsi="宋体" w:eastAsia="仿宋_GB2312"/>
          <w:color w:val="auto"/>
          <w:kern w:val="2"/>
          <w:sz w:val="32"/>
          <w:szCs w:val="32"/>
        </w:rPr>
      </w:pPr>
      <w:r>
        <w:rPr>
          <w:rFonts w:hint="eastAsia" w:ascii="仿宋_GB2312" w:hAnsi="宋体" w:eastAsia="仿宋_GB2312"/>
          <w:color w:val="auto"/>
          <w:kern w:val="2"/>
          <w:sz w:val="32"/>
          <w:szCs w:val="32"/>
        </w:rPr>
        <w:t>（主管部门自评）</w:t>
      </w:r>
    </w:p>
    <w:p w14:paraId="6AAED579">
      <w:pPr>
        <w:pStyle w:val="27"/>
        <w:keepNext w:val="0"/>
        <w:keepLines w:val="0"/>
        <w:pageBreakBefore w:val="0"/>
        <w:kinsoku/>
        <w:wordWrap/>
        <w:overflowPunct/>
        <w:topLinePunct w:val="0"/>
        <w:autoSpaceDE/>
        <w:autoSpaceDN/>
        <w:bidi w:val="0"/>
        <w:spacing w:line="600" w:lineRule="exact"/>
        <w:ind w:firstLine="640"/>
        <w:jc w:val="center"/>
        <w:textAlignment w:val="auto"/>
        <w:rPr>
          <w:rFonts w:ascii="宋体" w:hAnsi="宋体"/>
          <w:color w:val="auto"/>
          <w:kern w:val="2"/>
          <w:sz w:val="32"/>
          <w:szCs w:val="32"/>
        </w:rPr>
      </w:pPr>
    </w:p>
    <w:p w14:paraId="0550FE90">
      <w:pPr>
        <w:keepNext w:val="0"/>
        <w:keepLines w:val="0"/>
        <w:pageBreakBefore w:val="0"/>
        <w:kinsoku/>
        <w:wordWrap/>
        <w:overflowPunct/>
        <w:topLinePunct w:val="0"/>
        <w:autoSpaceDE/>
        <w:autoSpaceDN/>
        <w:bidi w:val="0"/>
        <w:adjustRightInd w:val="0"/>
        <w:snapToGrid w:val="0"/>
        <w:spacing w:line="600" w:lineRule="exact"/>
        <w:ind w:firstLine="720"/>
        <w:textAlignment w:val="auto"/>
        <w:outlineLvl w:val="1"/>
        <w:rPr>
          <w:rFonts w:ascii="黑体" w:hAnsi="宋体" w:eastAsia="黑体"/>
          <w:sz w:val="32"/>
          <w:szCs w:val="32"/>
          <w:lang w:val="zh-CN"/>
        </w:rPr>
      </w:pPr>
      <w:bookmarkStart w:id="131" w:name="_Toc23092"/>
      <w:bookmarkStart w:id="132" w:name="_Toc7105"/>
      <w:r>
        <w:rPr>
          <w:rFonts w:hint="eastAsia" w:ascii="黑体" w:hAnsi="宋体" w:eastAsia="黑体"/>
          <w:sz w:val="32"/>
          <w:szCs w:val="32"/>
        </w:rPr>
        <w:t>一、</w:t>
      </w:r>
      <w:r>
        <w:rPr>
          <w:rFonts w:hint="eastAsia" w:ascii="黑体" w:hAnsi="宋体" w:eastAsia="黑体"/>
          <w:sz w:val="32"/>
          <w:szCs w:val="32"/>
          <w:lang w:val="zh-CN"/>
        </w:rPr>
        <w:t>项目概况</w:t>
      </w:r>
      <w:bookmarkEnd w:id="131"/>
      <w:bookmarkEnd w:id="132"/>
    </w:p>
    <w:p w14:paraId="438E6981">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6E1C8786">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sz w:val="32"/>
          <w:szCs w:val="32"/>
          <w:lang w:val="zh-CN"/>
        </w:rPr>
      </w:pPr>
      <w:r>
        <w:rPr>
          <w:rFonts w:hint="eastAsia" w:ascii="仿宋_GB2312" w:hAnsi="宋体"/>
          <w:sz w:val="32"/>
          <w:szCs w:val="32"/>
          <w:lang w:val="zh-CN"/>
        </w:rPr>
        <w:t>1．说明项目主管部门（单位）在该项目管理中的职能。</w:t>
      </w:r>
    </w:p>
    <w:p w14:paraId="608EE70F">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仿宋_GB2312" w:hAnsi="宋体" w:eastAsia="仿宋_GB2312"/>
          <w:sz w:val="32"/>
          <w:szCs w:val="32"/>
          <w:lang w:val="en-US" w:eastAsia="zh-CN"/>
        </w:rPr>
      </w:pPr>
      <w:r>
        <w:rPr>
          <w:rFonts w:hint="eastAsia" w:ascii="仿宋_GB2312" w:hAnsi="宋体"/>
          <w:sz w:val="32"/>
          <w:szCs w:val="32"/>
          <w:lang w:val="en-US" w:eastAsia="zh-CN"/>
        </w:rPr>
        <w:t>本项目由阿坝州科协技术协会自行实施</w:t>
      </w:r>
    </w:p>
    <w:p w14:paraId="1ACA30A1">
      <w:pPr>
        <w:keepNext w:val="0"/>
        <w:keepLines w:val="0"/>
        <w:pageBreakBefore w:val="0"/>
        <w:numPr>
          <w:ilvl w:val="0"/>
          <w:numId w:val="6"/>
        </w:numPr>
        <w:kinsoku/>
        <w:wordWrap/>
        <w:overflowPunct/>
        <w:topLinePunct w:val="0"/>
        <w:autoSpaceDE/>
        <w:autoSpaceDN/>
        <w:bidi w:val="0"/>
        <w:adjustRightInd w:val="0"/>
        <w:snapToGrid w:val="0"/>
        <w:spacing w:line="600" w:lineRule="exact"/>
        <w:ind w:firstLine="720"/>
        <w:textAlignment w:val="auto"/>
        <w:rPr>
          <w:rFonts w:hint="eastAsia" w:ascii="仿宋_GB2312" w:hAnsi="宋体"/>
          <w:sz w:val="32"/>
          <w:szCs w:val="32"/>
          <w:lang w:val="zh-CN"/>
        </w:rPr>
      </w:pPr>
      <w:r>
        <w:rPr>
          <w:rFonts w:hint="eastAsia" w:ascii="仿宋_GB2312" w:hAnsi="宋体"/>
          <w:sz w:val="32"/>
          <w:szCs w:val="32"/>
          <w:lang w:val="zh-CN"/>
        </w:rPr>
        <w:t>项目立项、资金申报的依据。</w:t>
      </w:r>
    </w:p>
    <w:p w14:paraId="621C75F6">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cs="Times New Roman"/>
          <w:sz w:val="32"/>
          <w:szCs w:val="32"/>
          <w:lang w:val="zh-CN" w:eastAsia="zh-CN"/>
        </w:rPr>
      </w:pPr>
      <w:r>
        <w:rPr>
          <w:rFonts w:hint="eastAsia" w:ascii="仿宋_GB2312" w:hAnsi="宋体" w:cs="Times New Roman"/>
          <w:sz w:val="32"/>
          <w:szCs w:val="32"/>
          <w:lang w:val="en-US" w:eastAsia="zh-CN"/>
        </w:rPr>
        <w:t>据省科协《四川省科协关于印发天府科技云示范科创工作室、天府科技云示范引领案例评选办法（试行）的通知（川科协[2021]27号）、《2021年全省科协系统绩效管理实施方案（修订）的通知》（川科协[2021]85号）文件的要求，保障按时保质完成本年度工作任务</w:t>
      </w:r>
    </w:p>
    <w:p w14:paraId="1138561A">
      <w:pPr>
        <w:keepNext w:val="0"/>
        <w:keepLines w:val="0"/>
        <w:pageBreakBefore w:val="0"/>
        <w:numPr>
          <w:ilvl w:val="0"/>
          <w:numId w:val="6"/>
        </w:numPr>
        <w:kinsoku/>
        <w:wordWrap/>
        <w:overflowPunct/>
        <w:topLinePunct w:val="0"/>
        <w:autoSpaceDE/>
        <w:autoSpaceDN/>
        <w:bidi w:val="0"/>
        <w:adjustRightInd w:val="0"/>
        <w:snapToGrid w:val="0"/>
        <w:spacing w:line="600" w:lineRule="exact"/>
        <w:ind w:left="0" w:leftChars="0" w:firstLine="720" w:firstLineChars="0"/>
        <w:textAlignment w:val="auto"/>
        <w:rPr>
          <w:rFonts w:hint="eastAsia" w:ascii="仿宋_GB2312" w:hAnsi="宋体"/>
          <w:sz w:val="32"/>
          <w:szCs w:val="32"/>
          <w:lang w:val="zh-CN"/>
        </w:rPr>
      </w:pPr>
      <w:r>
        <w:rPr>
          <w:rFonts w:hint="eastAsia" w:ascii="仿宋_GB2312" w:hAnsi="宋体"/>
          <w:sz w:val="32"/>
          <w:szCs w:val="32"/>
          <w:lang w:val="zh-CN"/>
        </w:rPr>
        <w:t>资金管理办法制定情况，资金支持具体项目的条件、</w:t>
      </w:r>
      <w:r>
        <w:rPr>
          <w:rFonts w:hint="eastAsia" w:ascii="仿宋_GB2312" w:hAnsi="宋体"/>
          <w:sz w:val="32"/>
          <w:szCs w:val="32"/>
          <w:lang w:val="en-US" w:eastAsia="zh-CN"/>
        </w:rPr>
        <w:t xml:space="preserve"> </w:t>
      </w:r>
      <w:r>
        <w:rPr>
          <w:rFonts w:hint="eastAsia" w:ascii="仿宋_GB2312" w:hAnsi="宋体"/>
          <w:sz w:val="32"/>
          <w:szCs w:val="32"/>
          <w:lang w:val="zh-CN"/>
        </w:rPr>
        <w:t>范围与支持方式概况。</w:t>
      </w:r>
    </w:p>
    <w:p w14:paraId="78045201">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仿宋_GB2312" w:hAnsi="宋体" w:eastAsia="仿宋_GB2312"/>
          <w:sz w:val="32"/>
          <w:szCs w:val="32"/>
          <w:lang w:val="en-US" w:eastAsia="zh-CN"/>
        </w:rPr>
      </w:pPr>
      <w:r>
        <w:rPr>
          <w:rFonts w:hint="eastAsia" w:ascii="仿宋_GB2312" w:hAnsi="宋体"/>
          <w:sz w:val="32"/>
          <w:szCs w:val="32"/>
          <w:lang w:val="en-US" w:eastAsia="zh-CN"/>
        </w:rPr>
        <w:t>项目资金管理按照川财教【2020】83号科普专项资金管理办法执行。</w:t>
      </w:r>
    </w:p>
    <w:p w14:paraId="019E03B3">
      <w:pPr>
        <w:keepNext w:val="0"/>
        <w:keepLines w:val="0"/>
        <w:pageBreakBefore w:val="0"/>
        <w:numPr>
          <w:ilvl w:val="0"/>
          <w:numId w:val="6"/>
        </w:numPr>
        <w:kinsoku/>
        <w:wordWrap/>
        <w:overflowPunct/>
        <w:topLinePunct w:val="0"/>
        <w:autoSpaceDE/>
        <w:autoSpaceDN/>
        <w:bidi w:val="0"/>
        <w:adjustRightInd w:val="0"/>
        <w:snapToGrid w:val="0"/>
        <w:spacing w:line="600" w:lineRule="exact"/>
        <w:ind w:left="0" w:leftChars="0" w:firstLine="720" w:firstLineChars="0"/>
        <w:textAlignment w:val="auto"/>
        <w:rPr>
          <w:rFonts w:hint="eastAsia" w:ascii="仿宋_GB2312" w:hAnsi="宋体"/>
          <w:sz w:val="32"/>
          <w:szCs w:val="32"/>
          <w:lang w:val="zh-CN"/>
        </w:rPr>
      </w:pPr>
      <w:r>
        <w:rPr>
          <w:rFonts w:hint="eastAsia" w:ascii="仿宋_GB2312" w:hAnsi="宋体"/>
          <w:sz w:val="32"/>
          <w:szCs w:val="32"/>
          <w:lang w:val="zh-CN"/>
        </w:rPr>
        <w:t>资金分配的原则及考虑因素。</w:t>
      </w:r>
    </w:p>
    <w:p w14:paraId="255E6B6F">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cs="Times New Roman"/>
          <w:sz w:val="32"/>
          <w:szCs w:val="32"/>
          <w:lang w:val="en-US" w:eastAsia="zh-CN"/>
        </w:rPr>
      </w:pPr>
      <w:r>
        <w:rPr>
          <w:rFonts w:hint="eastAsia" w:ascii="仿宋_GB2312" w:hAnsi="宋体" w:cs="Times New Roman"/>
          <w:sz w:val="32"/>
          <w:szCs w:val="32"/>
          <w:lang w:val="en-US" w:eastAsia="zh-CN"/>
        </w:rPr>
        <w:t xml:space="preserve">一是按照省科协对市（州）县天府科技云服务中心运维经费补助标准（州级 </w:t>
      </w:r>
      <w:r>
        <w:rPr>
          <w:rFonts w:hint="default" w:ascii="仿宋_GB2312" w:hAnsi="宋体" w:cs="Times New Roman"/>
          <w:sz w:val="32"/>
          <w:szCs w:val="32"/>
          <w:lang w:val="en-US" w:eastAsia="zh-CN"/>
        </w:rPr>
        <w:t xml:space="preserve">20 </w:t>
      </w:r>
      <w:r>
        <w:rPr>
          <w:rFonts w:hint="eastAsia" w:ascii="仿宋_GB2312" w:hAnsi="宋体" w:cs="Times New Roman"/>
          <w:sz w:val="32"/>
          <w:szCs w:val="32"/>
          <w:lang w:val="en-US" w:eastAsia="zh-CN"/>
        </w:rPr>
        <w:t xml:space="preserve">万元，县级 </w:t>
      </w:r>
      <w:r>
        <w:rPr>
          <w:rFonts w:hint="default" w:ascii="仿宋_GB2312" w:hAnsi="宋体" w:cs="Times New Roman"/>
          <w:sz w:val="32"/>
          <w:szCs w:val="32"/>
          <w:lang w:val="en-US" w:eastAsia="zh-CN"/>
        </w:rPr>
        <w:t xml:space="preserve">10 </w:t>
      </w:r>
      <w:r>
        <w:rPr>
          <w:rFonts w:hint="eastAsia" w:ascii="仿宋_GB2312" w:hAnsi="宋体" w:cs="Times New Roman"/>
          <w:sz w:val="32"/>
          <w:szCs w:val="32"/>
          <w:lang w:val="en-US" w:eastAsia="zh-CN"/>
        </w:rPr>
        <w:t xml:space="preserve">万元）进 行分配。二是按照省科协对新建科普惠民共享基地建设补助标准进行分配（新建科普共享惠民基地每家 </w:t>
      </w:r>
      <w:r>
        <w:rPr>
          <w:rFonts w:hint="default" w:ascii="仿宋_GB2312" w:hAnsi="宋体" w:cs="Times New Roman"/>
          <w:sz w:val="32"/>
          <w:szCs w:val="32"/>
          <w:lang w:val="en-US" w:eastAsia="zh-CN"/>
        </w:rPr>
        <w:t xml:space="preserve">1 </w:t>
      </w:r>
      <w:r>
        <w:rPr>
          <w:rFonts w:hint="eastAsia" w:ascii="仿宋_GB2312" w:hAnsi="宋体" w:cs="Times New Roman"/>
          <w:sz w:val="32"/>
          <w:szCs w:val="32"/>
          <w:lang w:val="en-US" w:eastAsia="zh-CN"/>
        </w:rPr>
        <w:t xml:space="preserve">万元）。三是按照州科协 </w:t>
      </w:r>
      <w:r>
        <w:rPr>
          <w:rFonts w:hint="default" w:ascii="仿宋_GB2312" w:hAnsi="宋体" w:cs="Times New Roman"/>
          <w:sz w:val="32"/>
          <w:szCs w:val="32"/>
          <w:lang w:val="en-US" w:eastAsia="zh-CN"/>
        </w:rPr>
        <w:t>2021</w:t>
      </w:r>
      <w:r>
        <w:rPr>
          <w:rFonts w:hint="eastAsia" w:ascii="仿宋_GB2312" w:hAnsi="宋体" w:cs="Times New Roman"/>
          <w:sz w:val="32"/>
          <w:szCs w:val="32"/>
          <w:lang w:val="en-US" w:eastAsia="zh-CN"/>
        </w:rPr>
        <w:t>年和</w:t>
      </w:r>
      <w:r>
        <w:rPr>
          <w:rFonts w:hint="default" w:ascii="仿宋_GB2312" w:hAnsi="宋体" w:cs="Times New Roman"/>
          <w:sz w:val="32"/>
          <w:szCs w:val="32"/>
          <w:lang w:val="en-US" w:eastAsia="zh-CN"/>
        </w:rPr>
        <w:t>2022</w:t>
      </w:r>
      <w:r>
        <w:rPr>
          <w:rFonts w:hint="eastAsia" w:ascii="仿宋_GB2312" w:hAnsi="宋体" w:cs="Times New Roman"/>
          <w:sz w:val="32"/>
          <w:szCs w:val="32"/>
          <w:lang w:val="en-US" w:eastAsia="zh-CN"/>
        </w:rPr>
        <w:t>年需要开展的重点项目进行分配。四是按照经济发展、人口总量、科普工作等因素和项目相结合的方式进行综合分配，部分重点项目由县科协实施。</w:t>
      </w:r>
    </w:p>
    <w:p w14:paraId="396D8A56">
      <w:pPr>
        <w:keepNext w:val="0"/>
        <w:keepLines w:val="0"/>
        <w:pageBreakBefore w:val="0"/>
        <w:numPr>
          <w:ilvl w:val="0"/>
          <w:numId w:val="0"/>
        </w:numPr>
        <w:kinsoku/>
        <w:wordWrap/>
        <w:overflowPunct/>
        <w:topLinePunct w:val="0"/>
        <w:autoSpaceDE/>
        <w:autoSpaceDN/>
        <w:bidi w:val="0"/>
        <w:adjustRightInd w:val="0"/>
        <w:snapToGrid w:val="0"/>
        <w:spacing w:line="600" w:lineRule="exact"/>
        <w:ind w:left="720" w:leftChars="0"/>
        <w:textAlignment w:val="auto"/>
        <w:rPr>
          <w:rFonts w:hint="eastAsia" w:ascii="仿宋_GB2312" w:hAnsi="宋体"/>
          <w:sz w:val="32"/>
          <w:szCs w:val="32"/>
          <w:lang w:val="zh-CN"/>
        </w:rPr>
      </w:pPr>
    </w:p>
    <w:p w14:paraId="7B0486E6">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3D5B512A">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sz w:val="32"/>
          <w:szCs w:val="32"/>
          <w:lang w:val="zh-CN"/>
        </w:rPr>
      </w:pPr>
      <w:r>
        <w:rPr>
          <w:rFonts w:hint="eastAsia" w:ascii="仿宋_GB2312" w:hAnsi="宋体"/>
          <w:sz w:val="32"/>
          <w:szCs w:val="32"/>
          <w:lang w:val="en-US" w:eastAsia="zh-CN"/>
        </w:rPr>
        <w:t>1.</w:t>
      </w:r>
      <w:r>
        <w:rPr>
          <w:rFonts w:hint="eastAsia" w:ascii="仿宋_GB2312" w:hAnsi="宋体"/>
          <w:sz w:val="32"/>
          <w:szCs w:val="32"/>
          <w:lang w:val="zh-CN"/>
        </w:rPr>
        <w:t>项目主要内容。</w:t>
      </w:r>
    </w:p>
    <w:p w14:paraId="3CDA15C1">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cs="Times New Roman"/>
          <w:sz w:val="32"/>
          <w:szCs w:val="32"/>
          <w:lang w:val="zh-CN" w:eastAsia="zh-CN"/>
        </w:rPr>
      </w:pPr>
      <w:r>
        <w:rPr>
          <w:rFonts w:hint="eastAsia" w:ascii="仿宋_GB2312" w:hAnsi="宋体" w:cs="Times New Roman"/>
          <w:sz w:val="32"/>
          <w:szCs w:val="32"/>
          <w:lang w:val="en-US" w:eastAsia="zh-CN"/>
        </w:rPr>
        <w:t>打造科创工作室（包括示范和精典）41家，示范安全12家，开展专题培训1场及区县保姆工作走访</w:t>
      </w:r>
    </w:p>
    <w:p w14:paraId="17C048E0">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sz w:val="32"/>
          <w:szCs w:val="32"/>
          <w:lang w:val="zh-CN"/>
        </w:rPr>
      </w:pPr>
      <w:r>
        <w:rPr>
          <w:rFonts w:hint="eastAsia" w:ascii="仿宋_GB2312" w:hAnsi="宋体"/>
          <w:sz w:val="32"/>
          <w:szCs w:val="32"/>
          <w:lang w:val="en-US" w:eastAsia="zh-CN"/>
        </w:rPr>
        <w:t>2.</w:t>
      </w:r>
      <w:r>
        <w:rPr>
          <w:rFonts w:hint="eastAsia" w:ascii="仿宋_GB2312" w:hAnsi="宋体"/>
          <w:sz w:val="32"/>
          <w:szCs w:val="32"/>
          <w:lang w:val="zh-CN"/>
        </w:rPr>
        <w:t>项目应实现的具体绩效目标，包括目标的量化、细化情况以及项目实施进度计划等。</w:t>
      </w:r>
    </w:p>
    <w:p w14:paraId="1B3D30AD">
      <w:pPr>
        <w:keepNext w:val="0"/>
        <w:keepLines w:val="0"/>
        <w:pageBreakBefore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cs="Times New Roman"/>
          <w:sz w:val="32"/>
          <w:szCs w:val="32"/>
          <w:lang w:val="en-US" w:eastAsia="zh-CN"/>
        </w:rPr>
      </w:pPr>
      <w:r>
        <w:rPr>
          <w:rFonts w:hint="eastAsia" w:ascii="仿宋_GB2312" w:hAnsi="宋体" w:cs="Times New Roman"/>
          <w:sz w:val="32"/>
          <w:szCs w:val="32"/>
          <w:lang w:val="en-US" w:eastAsia="zh-CN"/>
        </w:rPr>
        <w:t>经典科创工作室打造40家；精品科创工作室打造25家；</w:t>
      </w:r>
    </w:p>
    <w:p w14:paraId="2FE12816">
      <w:pPr>
        <w:keepNext w:val="0"/>
        <w:keepLines w:val="0"/>
        <w:pageBreakBefore w:val="0"/>
        <w:numPr>
          <w:ilvl w:val="0"/>
          <w:numId w:val="0"/>
        </w:numPr>
        <w:kinsoku/>
        <w:wordWrap/>
        <w:overflowPunct/>
        <w:topLinePunct w:val="0"/>
        <w:autoSpaceDE/>
        <w:autoSpaceDN/>
        <w:bidi w:val="0"/>
        <w:adjustRightInd w:val="0"/>
        <w:snapToGrid w:val="0"/>
        <w:spacing w:line="600" w:lineRule="exact"/>
        <w:textAlignment w:val="auto"/>
        <w:rPr>
          <w:rFonts w:hint="default" w:ascii="仿宋_GB2312" w:hAnsi="宋体" w:cs="Times New Roman"/>
          <w:sz w:val="32"/>
          <w:szCs w:val="32"/>
          <w:lang w:val="en-US" w:eastAsia="zh-CN"/>
        </w:rPr>
      </w:pPr>
      <w:r>
        <w:rPr>
          <w:rFonts w:hint="eastAsia" w:ascii="仿宋_GB2312" w:hAnsi="宋体" w:cs="Times New Roman"/>
          <w:sz w:val="32"/>
          <w:szCs w:val="32"/>
          <w:lang w:val="en-US" w:eastAsia="zh-CN"/>
        </w:rPr>
        <w:t>经典案例打造20个；精品案例打造10个；全面完成我州分配保姆单数。</w:t>
      </w:r>
    </w:p>
    <w:p w14:paraId="02301FAA">
      <w:pPr>
        <w:keepNext w:val="0"/>
        <w:keepLines w:val="0"/>
        <w:pageBreakBefore w:val="0"/>
        <w:numPr>
          <w:ilvl w:val="0"/>
          <w:numId w:val="0"/>
        </w:numPr>
        <w:kinsoku/>
        <w:wordWrap/>
        <w:overflowPunct/>
        <w:topLinePunct w:val="0"/>
        <w:autoSpaceDE/>
        <w:autoSpaceDN/>
        <w:bidi w:val="0"/>
        <w:adjustRightInd w:val="0"/>
        <w:snapToGrid w:val="0"/>
        <w:spacing w:line="600" w:lineRule="exact"/>
        <w:ind w:left="720" w:leftChars="0"/>
        <w:textAlignment w:val="auto"/>
        <w:rPr>
          <w:rFonts w:hint="eastAsia" w:ascii="仿宋_GB2312" w:hAnsi="宋体"/>
          <w:sz w:val="32"/>
          <w:szCs w:val="32"/>
          <w:lang w:val="zh-CN"/>
        </w:rPr>
      </w:pPr>
      <w:r>
        <w:rPr>
          <w:rFonts w:hint="eastAsia" w:ascii="仿宋_GB2312" w:hAnsi="宋体"/>
          <w:sz w:val="32"/>
          <w:szCs w:val="32"/>
          <w:lang w:val="en-US" w:eastAsia="zh-CN"/>
        </w:rPr>
        <w:t>3.</w:t>
      </w:r>
      <w:r>
        <w:rPr>
          <w:rFonts w:hint="eastAsia" w:ascii="仿宋_GB2312" w:hAnsi="宋体"/>
          <w:sz w:val="32"/>
          <w:szCs w:val="32"/>
          <w:lang w:val="zh-CN"/>
        </w:rPr>
        <w:t>分析评价申报内容是否与实际相符，申报目标是否合理可行。</w:t>
      </w:r>
    </w:p>
    <w:p w14:paraId="34BBFD0A">
      <w:pPr>
        <w:keepNext w:val="0"/>
        <w:keepLines w:val="0"/>
        <w:pageBreakBefore w:val="0"/>
        <w:numPr>
          <w:ilvl w:val="0"/>
          <w:numId w:val="0"/>
        </w:numPr>
        <w:kinsoku/>
        <w:wordWrap/>
        <w:overflowPunct/>
        <w:topLinePunct w:val="0"/>
        <w:autoSpaceDE/>
        <w:autoSpaceDN/>
        <w:bidi w:val="0"/>
        <w:adjustRightInd w:val="0"/>
        <w:snapToGrid w:val="0"/>
        <w:spacing w:line="600" w:lineRule="exact"/>
        <w:ind w:left="720" w:leftChars="0"/>
        <w:textAlignment w:val="auto"/>
        <w:rPr>
          <w:rFonts w:hint="eastAsia" w:ascii="仿宋_GB2312" w:hAnsi="宋体" w:eastAsia="仿宋_GB2312"/>
          <w:sz w:val="32"/>
          <w:szCs w:val="32"/>
          <w:lang w:val="en-US" w:eastAsia="zh-CN"/>
        </w:rPr>
      </w:pPr>
      <w:r>
        <w:rPr>
          <w:rFonts w:hint="eastAsia" w:ascii="仿宋_GB2312" w:hAnsi="宋体"/>
          <w:sz w:val="32"/>
          <w:szCs w:val="32"/>
          <w:lang w:val="zh-CN"/>
        </w:rPr>
        <w:t>评价申报内容是否与实际相符，申报目标合理可行</w:t>
      </w:r>
    </w:p>
    <w:p w14:paraId="4CFF2454">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083828A9">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sz w:val="32"/>
          <w:szCs w:val="32"/>
          <w:lang w:val="zh-CN"/>
        </w:rPr>
      </w:pPr>
      <w:r>
        <w:rPr>
          <w:rFonts w:hint="eastAsia" w:ascii="仿宋_GB2312" w:hAnsi="宋体"/>
          <w:sz w:val="32"/>
          <w:szCs w:val="32"/>
          <w:lang w:val="zh-CN"/>
        </w:rPr>
        <w:t>说明项目绩效自评采用的组织实施步骤及方法。</w:t>
      </w:r>
    </w:p>
    <w:p w14:paraId="458AD054">
      <w:pPr>
        <w:keepNext w:val="0"/>
        <w:keepLines w:val="0"/>
        <w:pageBreakBefore w:val="0"/>
        <w:kinsoku/>
        <w:wordWrap/>
        <w:overflowPunct/>
        <w:topLinePunct w:val="0"/>
        <w:autoSpaceDE/>
        <w:autoSpaceDN/>
        <w:bidi w:val="0"/>
        <w:adjustRightInd w:val="0"/>
        <w:snapToGrid w:val="0"/>
        <w:spacing w:line="600" w:lineRule="exact"/>
        <w:ind w:firstLine="720"/>
        <w:textAlignment w:val="auto"/>
        <w:outlineLvl w:val="1"/>
        <w:rPr>
          <w:rFonts w:ascii="黑体" w:hAnsi="宋体" w:eastAsia="黑体"/>
          <w:sz w:val="32"/>
          <w:szCs w:val="32"/>
        </w:rPr>
      </w:pPr>
      <w:bookmarkStart w:id="133" w:name="_Toc24895"/>
      <w:bookmarkStart w:id="134" w:name="_Toc26613"/>
      <w:r>
        <w:rPr>
          <w:rFonts w:hint="eastAsia" w:ascii="黑体" w:hAnsi="宋体" w:eastAsia="黑体"/>
          <w:sz w:val="32"/>
          <w:szCs w:val="32"/>
        </w:rPr>
        <w:t>二、项目资金申报及使用情况</w:t>
      </w:r>
      <w:bookmarkEnd w:id="133"/>
      <w:bookmarkEnd w:id="134"/>
    </w:p>
    <w:p w14:paraId="2603034D">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0BD06BC3">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仿宋_GB2312" w:hAnsi="宋体" w:eastAsia="仿宋_GB2312"/>
          <w:sz w:val="32"/>
          <w:szCs w:val="32"/>
          <w:lang w:val="en-US" w:eastAsia="zh-CN"/>
        </w:rPr>
      </w:pPr>
      <w:r>
        <w:rPr>
          <w:rFonts w:hint="eastAsia" w:ascii="仿宋_GB2312" w:hAnsi="宋体"/>
          <w:sz w:val="32"/>
          <w:szCs w:val="32"/>
          <w:lang w:val="en-US" w:eastAsia="zh-CN"/>
        </w:rPr>
        <w:t>项目资金的分配方案报州财政会商后报州政府审定通过，由州财政下达科协及各级才能财政预算。</w:t>
      </w:r>
    </w:p>
    <w:p w14:paraId="0B208A01">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sz w:val="32"/>
          <w:szCs w:val="32"/>
          <w:lang w:val="zh-CN"/>
        </w:rPr>
      </w:pPr>
      <w:r>
        <w:rPr>
          <w:rFonts w:hint="eastAsia" w:ascii="楷体_GB2312" w:hAnsi="宋体" w:eastAsia="楷体_GB2312"/>
          <w:b/>
          <w:sz w:val="32"/>
          <w:szCs w:val="32"/>
          <w:lang w:val="zh-CN"/>
        </w:rPr>
        <w:t>（二）资金计划、到位及使用情况（可用表格形式反映）。</w:t>
      </w:r>
    </w:p>
    <w:p w14:paraId="410FA86B">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楷体_GB2312" w:hAnsi="宋体" w:eastAsia="楷体_GB2312"/>
          <w:sz w:val="32"/>
          <w:szCs w:val="32"/>
          <w:lang w:val="en-US" w:eastAsia="zh-CN"/>
        </w:rPr>
      </w:pPr>
      <w:r>
        <w:rPr>
          <w:rFonts w:hint="eastAsia" w:ascii="楷体_GB2312" w:hAnsi="宋体" w:eastAsia="楷体_GB2312"/>
          <w:sz w:val="32"/>
          <w:szCs w:val="32"/>
          <w:lang w:val="en-US" w:eastAsia="zh-CN"/>
        </w:rPr>
        <w:t>1.</w:t>
      </w:r>
      <w:r>
        <w:rPr>
          <w:rFonts w:hint="eastAsia" w:ascii="楷体_GB2312" w:hAnsi="宋体" w:eastAsia="楷体_GB2312"/>
          <w:sz w:val="32"/>
          <w:szCs w:val="32"/>
          <w:lang w:val="zh-CN"/>
        </w:rPr>
        <w:t>资金计划。</w:t>
      </w:r>
      <w:r>
        <w:rPr>
          <w:rFonts w:hint="eastAsia" w:ascii="楷体_GB2312" w:hAnsi="宋体" w:eastAsia="楷体_GB2312"/>
          <w:sz w:val="32"/>
          <w:szCs w:val="32"/>
          <w:lang w:val="en-US" w:eastAsia="zh-CN"/>
        </w:rPr>
        <w:t>该项目为省级科普专项资金，资金主要用于2021年天府科技云科创大会，项目资金预计2021年12月执行完毕。</w:t>
      </w:r>
    </w:p>
    <w:p w14:paraId="18B5785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楷体_GB2312" w:hAnsi="宋体" w:eastAsia="楷体_GB2312"/>
          <w:sz w:val="32"/>
          <w:szCs w:val="32"/>
          <w:lang w:val="en-US" w:eastAsia="zh-CN"/>
        </w:rPr>
      </w:pPr>
      <w:r>
        <w:rPr>
          <w:rFonts w:hint="eastAsia" w:ascii="楷体_GB2312" w:hAnsi="宋体" w:eastAsia="楷体_GB2312"/>
          <w:sz w:val="32"/>
          <w:szCs w:val="32"/>
          <w:lang w:val="en-US" w:eastAsia="zh-CN"/>
        </w:rPr>
        <w:t>2.</w:t>
      </w:r>
      <w:r>
        <w:rPr>
          <w:rFonts w:hint="eastAsia" w:ascii="楷体_GB2312" w:hAnsi="宋体" w:eastAsia="楷体_GB2312"/>
          <w:sz w:val="32"/>
          <w:szCs w:val="32"/>
          <w:lang w:val="zh-CN"/>
        </w:rPr>
        <w:t>资金到位。</w:t>
      </w:r>
      <w:r>
        <w:rPr>
          <w:rFonts w:hint="eastAsia" w:ascii="楷体_GB2312" w:hAnsi="宋体" w:eastAsia="楷体_GB2312"/>
          <w:sz w:val="32"/>
          <w:szCs w:val="32"/>
          <w:lang w:val="en-US" w:eastAsia="zh-CN"/>
        </w:rPr>
        <w:t>2021年11月下达我单位预算</w:t>
      </w:r>
    </w:p>
    <w:p w14:paraId="5E78EFF3">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楷体_GB2312" w:hAnsi="宋体" w:eastAsia="楷体_GB2312"/>
          <w:sz w:val="32"/>
          <w:szCs w:val="32"/>
          <w:lang w:val="en-US" w:eastAsia="zh-CN"/>
        </w:rPr>
      </w:pPr>
      <w:r>
        <w:rPr>
          <w:rFonts w:hint="eastAsia" w:ascii="楷体_GB2312" w:hAnsi="宋体" w:eastAsia="楷体_GB2312"/>
          <w:sz w:val="32"/>
          <w:szCs w:val="32"/>
          <w:lang w:val="en-US" w:eastAsia="zh-CN"/>
        </w:rPr>
        <w:t>3.</w:t>
      </w:r>
      <w:r>
        <w:rPr>
          <w:rFonts w:hint="eastAsia" w:ascii="楷体_GB2312" w:hAnsi="宋体" w:eastAsia="楷体_GB2312"/>
          <w:sz w:val="32"/>
          <w:szCs w:val="32"/>
          <w:lang w:val="zh-CN"/>
        </w:rPr>
        <w:t>资金使用。</w:t>
      </w:r>
      <w:r>
        <w:rPr>
          <w:rFonts w:hint="eastAsia" w:ascii="楷体_GB2312" w:hAnsi="宋体" w:eastAsia="楷体_GB2312"/>
          <w:sz w:val="32"/>
          <w:szCs w:val="32"/>
          <w:lang w:val="en-US" w:eastAsia="zh-CN"/>
        </w:rPr>
        <w:t>2021年12月项目执行完毕并支付资金</w:t>
      </w:r>
    </w:p>
    <w:p w14:paraId="587173B2">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6ABCFCD7">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仿宋_GB2312" w:hAnsi="宋体" w:eastAsia="仿宋_GB2312"/>
          <w:sz w:val="32"/>
          <w:szCs w:val="32"/>
          <w:lang w:val="en-US" w:eastAsia="zh-CN"/>
        </w:rPr>
      </w:pPr>
      <w:r>
        <w:rPr>
          <w:rFonts w:hint="eastAsia" w:ascii="仿宋_GB2312" w:hAnsi="宋体"/>
          <w:sz w:val="32"/>
          <w:szCs w:val="32"/>
          <w:lang w:val="en-US" w:eastAsia="zh-CN"/>
        </w:rPr>
        <w:t>严格按照我单位财务制度执行</w:t>
      </w:r>
      <w:r>
        <w:rPr>
          <w:rFonts w:hint="eastAsia" w:ascii="仿宋_GB2312" w:hAnsi="宋体"/>
          <w:sz w:val="32"/>
          <w:szCs w:val="32"/>
          <w:lang w:val="zh-CN"/>
        </w:rPr>
        <w:t>，</w:t>
      </w:r>
      <w:r>
        <w:rPr>
          <w:rFonts w:hint="eastAsia" w:ascii="仿宋_GB2312" w:hAnsi="宋体"/>
          <w:sz w:val="32"/>
          <w:szCs w:val="32"/>
          <w:lang w:val="en-US" w:eastAsia="zh-CN"/>
        </w:rPr>
        <w:t>及时进行</w:t>
      </w:r>
      <w:r>
        <w:rPr>
          <w:rFonts w:hint="eastAsia" w:ascii="仿宋_GB2312" w:hAnsi="宋体"/>
          <w:sz w:val="32"/>
          <w:szCs w:val="32"/>
          <w:lang w:val="zh-CN"/>
        </w:rPr>
        <w:t>账务处理</w:t>
      </w:r>
      <w:r>
        <w:rPr>
          <w:rFonts w:hint="eastAsia" w:ascii="仿宋_GB2312" w:hAnsi="宋体"/>
          <w:sz w:val="32"/>
          <w:szCs w:val="32"/>
          <w:lang w:val="en-US" w:eastAsia="zh-CN"/>
        </w:rPr>
        <w:t>和会计核算。</w:t>
      </w:r>
    </w:p>
    <w:p w14:paraId="22310D1F">
      <w:pPr>
        <w:keepNext w:val="0"/>
        <w:keepLines w:val="0"/>
        <w:pageBreakBefore w:val="0"/>
        <w:kinsoku/>
        <w:wordWrap/>
        <w:overflowPunct/>
        <w:topLinePunct w:val="0"/>
        <w:autoSpaceDE/>
        <w:autoSpaceDN/>
        <w:bidi w:val="0"/>
        <w:adjustRightInd w:val="0"/>
        <w:snapToGrid w:val="0"/>
        <w:spacing w:line="600" w:lineRule="exact"/>
        <w:ind w:firstLine="720"/>
        <w:textAlignment w:val="auto"/>
        <w:outlineLvl w:val="1"/>
        <w:rPr>
          <w:rFonts w:ascii="黑体" w:hAnsi="宋体" w:eastAsia="黑体"/>
          <w:sz w:val="32"/>
          <w:szCs w:val="32"/>
        </w:rPr>
      </w:pPr>
      <w:bookmarkStart w:id="135" w:name="_Toc11265"/>
      <w:bookmarkStart w:id="136" w:name="_Toc3801"/>
      <w:r>
        <w:rPr>
          <w:rFonts w:hint="eastAsia" w:ascii="黑体" w:hAnsi="宋体" w:eastAsia="黑体"/>
          <w:sz w:val="32"/>
          <w:szCs w:val="32"/>
        </w:rPr>
        <w:t>三、项目实施及管理情况</w:t>
      </w:r>
      <w:bookmarkEnd w:id="135"/>
      <w:bookmarkEnd w:id="136"/>
    </w:p>
    <w:p w14:paraId="6166C65D">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sz w:val="32"/>
          <w:szCs w:val="32"/>
          <w:lang w:val="zh-CN"/>
        </w:rPr>
      </w:pPr>
      <w:r>
        <w:rPr>
          <w:rFonts w:hint="eastAsia" w:ascii="仿宋_GB2312" w:hAnsi="宋体"/>
          <w:sz w:val="32"/>
          <w:szCs w:val="32"/>
          <w:lang w:val="zh-CN"/>
        </w:rPr>
        <w:t>结合项目组织实施管理办法，重点围绕以下内容进行分析评价，并对自评中发现的问题分析说明。</w:t>
      </w:r>
    </w:p>
    <w:p w14:paraId="3672792E">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（一）项目组织架构及实施流程。</w:t>
      </w:r>
    </w:p>
    <w:p w14:paraId="1CD07A86">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仿宋_GB2312" w:hAnsi="宋体"/>
          <w:sz w:val="32"/>
          <w:szCs w:val="32"/>
          <w:lang w:val="en-US"/>
        </w:rPr>
      </w:pPr>
      <w:r>
        <w:rPr>
          <w:rFonts w:hint="eastAsia" w:ascii="楷体_GB2312" w:hAnsi="宋体" w:eastAsia="楷体_GB2312"/>
          <w:b/>
          <w:sz w:val="32"/>
          <w:szCs w:val="32"/>
          <w:lang w:val="zh-CN"/>
        </w:rPr>
        <w:t>（二）项目管理情况。</w:t>
      </w:r>
      <w:r>
        <w:rPr>
          <w:rFonts w:hint="eastAsia" w:ascii="仿宋_GB2312" w:hAnsi="宋体" w:eastAsia="楷体_GB2312"/>
          <w:sz w:val="32"/>
          <w:szCs w:val="32"/>
          <w:lang w:val="en-US" w:eastAsia="zh-CN"/>
        </w:rPr>
        <w:t>该项目未达到政府采购服务类标准30万元，我单位通过天府科技云发布招标公告，通过竞争性谈判选择供应商，项目结束后组织专人对该项目进行验收。</w:t>
      </w:r>
    </w:p>
    <w:p w14:paraId="5F012D0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楷体_GB2312" w:hAnsi="宋体" w:eastAsia="楷体_GB2312"/>
          <w:b/>
          <w:sz w:val="32"/>
          <w:szCs w:val="32"/>
          <w:lang w:val="en-US" w:eastAsia="zh-CN"/>
        </w:rPr>
      </w:pPr>
      <w:r>
        <w:rPr>
          <w:rFonts w:hint="eastAsia" w:ascii="楷体_GB2312" w:hAnsi="宋体" w:eastAsia="楷体_GB2312"/>
          <w:b/>
          <w:sz w:val="32"/>
          <w:szCs w:val="32"/>
          <w:lang w:val="zh-CN"/>
        </w:rPr>
        <w:t>（三）项目监管情况。</w:t>
      </w:r>
      <w:r>
        <w:rPr>
          <w:rFonts w:hint="eastAsia" w:ascii="仿宋_GB2312" w:hAnsi="宋体" w:eastAsia="楷体_GB2312" w:cs="Times New Roman"/>
          <w:sz w:val="32"/>
          <w:szCs w:val="32"/>
          <w:lang w:val="en-US" w:eastAsia="zh-CN"/>
        </w:rPr>
        <w:t>成立阿坝州天府科技云运营服务采购领导小组，对项目进行监管。</w:t>
      </w:r>
    </w:p>
    <w:p w14:paraId="06F61F15">
      <w:pPr>
        <w:keepNext w:val="0"/>
        <w:keepLines w:val="0"/>
        <w:pageBreakBefore w:val="0"/>
        <w:kinsoku/>
        <w:wordWrap/>
        <w:overflowPunct/>
        <w:topLinePunct w:val="0"/>
        <w:autoSpaceDE/>
        <w:autoSpaceDN/>
        <w:bidi w:val="0"/>
        <w:adjustRightInd w:val="0"/>
        <w:snapToGrid w:val="0"/>
        <w:spacing w:line="600" w:lineRule="exact"/>
        <w:ind w:firstLine="720"/>
        <w:textAlignment w:val="auto"/>
        <w:outlineLvl w:val="1"/>
        <w:rPr>
          <w:rFonts w:ascii="仿宋_GB2312" w:hAnsi="宋体"/>
          <w:sz w:val="32"/>
          <w:szCs w:val="32"/>
          <w:lang w:val="zh-CN"/>
        </w:rPr>
      </w:pPr>
      <w:bookmarkStart w:id="137" w:name="_Toc11068"/>
      <w:bookmarkStart w:id="138" w:name="_Toc26215"/>
      <w:r>
        <w:rPr>
          <w:rFonts w:hint="eastAsia" w:ascii="黑体" w:hAnsi="宋体" w:eastAsia="黑体"/>
          <w:sz w:val="32"/>
          <w:szCs w:val="32"/>
        </w:rPr>
        <w:t>四、项目绩效情况</w:t>
      </w:r>
      <w:bookmarkEnd w:id="137"/>
      <w:bookmarkEnd w:id="138"/>
      <w:r>
        <w:rPr>
          <w:rFonts w:hint="eastAsia" w:ascii="仿宋_GB2312" w:hAnsi="宋体"/>
          <w:sz w:val="32"/>
          <w:szCs w:val="32"/>
          <w:lang w:val="zh-CN"/>
        </w:rPr>
        <w:tab/>
      </w:r>
    </w:p>
    <w:p w14:paraId="40F26097">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仿宋_GB2312" w:hAnsi="宋体" w:eastAsia="楷体_GB2312" w:cs="Times New Roman"/>
          <w:sz w:val="32"/>
          <w:szCs w:val="32"/>
          <w:lang w:val="en-US" w:eastAsia="zh-CN"/>
        </w:rPr>
      </w:pPr>
      <w:r>
        <w:rPr>
          <w:rFonts w:hint="eastAsia" w:ascii="楷体_GB2312" w:hAnsi="宋体" w:eastAsia="楷体_GB2312"/>
          <w:b/>
          <w:sz w:val="32"/>
          <w:szCs w:val="32"/>
          <w:lang w:val="zh-CN"/>
        </w:rPr>
        <w:t>（一）项目完成情况。</w:t>
      </w:r>
      <w:r>
        <w:rPr>
          <w:rFonts w:hint="eastAsia" w:ascii="仿宋_GB2312" w:hAnsi="宋体" w:eastAsia="楷体_GB2312" w:cs="Times New Roman"/>
          <w:sz w:val="32"/>
          <w:szCs w:val="32"/>
          <w:lang w:val="en-US" w:eastAsia="zh-CN"/>
        </w:rPr>
        <w:t>该项目预算金额14万元，最后项目结束后核算实际资金为89100元，该项目已于2021年12月完成</w:t>
      </w:r>
    </w:p>
    <w:p w14:paraId="6AD6D97E">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3D42A2B9">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default" w:ascii="仿宋_GB2312" w:hAnsi="宋体" w:eastAsia="楷体_GB2312" w:cs="Times New Roman"/>
          <w:sz w:val="32"/>
          <w:szCs w:val="32"/>
          <w:lang w:val="en-US" w:eastAsia="zh-CN"/>
        </w:rPr>
      </w:pPr>
      <w:r>
        <w:rPr>
          <w:rFonts w:hint="eastAsia" w:ascii="仿宋_GB2312" w:hAnsi="宋体" w:eastAsia="楷体_GB2312" w:cs="Times New Roman"/>
          <w:sz w:val="32"/>
          <w:szCs w:val="32"/>
          <w:lang w:val="en-US" w:eastAsia="zh-CN"/>
        </w:rPr>
        <w:t>打造工作室，为我州科技工作者提供科技所能所需服务</w:t>
      </w:r>
    </w:p>
    <w:p w14:paraId="61B78E34">
      <w:pPr>
        <w:keepNext w:val="0"/>
        <w:keepLines w:val="0"/>
        <w:pageBreakBefore w:val="0"/>
        <w:kinsoku/>
        <w:wordWrap/>
        <w:overflowPunct/>
        <w:topLinePunct w:val="0"/>
        <w:autoSpaceDE/>
        <w:autoSpaceDN/>
        <w:bidi w:val="0"/>
        <w:adjustRightInd w:val="0"/>
        <w:snapToGrid w:val="0"/>
        <w:spacing w:line="600" w:lineRule="exact"/>
        <w:ind w:firstLine="720"/>
        <w:textAlignment w:val="auto"/>
        <w:outlineLvl w:val="1"/>
        <w:rPr>
          <w:rFonts w:ascii="黑体" w:hAnsi="宋体" w:eastAsia="黑体"/>
          <w:sz w:val="32"/>
          <w:szCs w:val="32"/>
        </w:rPr>
      </w:pPr>
      <w:bookmarkStart w:id="139" w:name="_Toc1280"/>
      <w:bookmarkStart w:id="140" w:name="_Toc15226"/>
      <w:r>
        <w:rPr>
          <w:rFonts w:hint="eastAsia" w:ascii="黑体" w:hAnsi="宋体" w:eastAsia="黑体"/>
          <w:sz w:val="32"/>
          <w:szCs w:val="32"/>
        </w:rPr>
        <w:t>五、评价结论及建议</w:t>
      </w:r>
      <w:bookmarkEnd w:id="139"/>
      <w:bookmarkEnd w:id="140"/>
    </w:p>
    <w:p w14:paraId="3CD73554">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5164B7BA">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仿宋_GB2312" w:hAnsi="宋体" w:eastAsia="楷体_GB2312"/>
          <w:sz w:val="32"/>
          <w:szCs w:val="32"/>
          <w:lang w:val="en-US" w:eastAsia="zh-CN"/>
        </w:rPr>
      </w:pPr>
      <w:r>
        <w:rPr>
          <w:rFonts w:hint="eastAsia" w:ascii="仿宋_GB2312" w:hAnsi="宋体" w:eastAsia="楷体_GB2312"/>
          <w:sz w:val="32"/>
          <w:szCs w:val="32"/>
          <w:lang w:val="en-US" w:eastAsia="zh-CN"/>
        </w:rPr>
        <w:t>自评得分9.99分</w:t>
      </w:r>
    </w:p>
    <w:p w14:paraId="7A052EA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39525990">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default" w:ascii="仿宋_GB2312" w:hAnsi="宋体"/>
          <w:sz w:val="32"/>
          <w:szCs w:val="32"/>
          <w:lang w:val="en-US"/>
        </w:rPr>
      </w:pPr>
      <w:r>
        <w:rPr>
          <w:rFonts w:hint="eastAsia" w:ascii="仿宋_GB2312" w:hAnsi="宋体"/>
          <w:sz w:val="32"/>
          <w:szCs w:val="32"/>
          <w:lang w:val="en-US" w:eastAsia="zh-CN"/>
        </w:rPr>
        <w:t>该项目预算9万元，实际使用8.91万元，结余资金0.09万元，资金结余率0.1%。</w:t>
      </w:r>
    </w:p>
    <w:p w14:paraId="2857859D">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30224BF1">
      <w:pPr>
        <w:ind w:firstLine="640" w:firstLineChars="200"/>
        <w:rPr>
          <w:rFonts w:hint="eastAsia" w:ascii="仿宋_GB2312" w:hAnsi="宋体"/>
          <w:sz w:val="32"/>
          <w:szCs w:val="32"/>
          <w:lang w:val="en-US" w:eastAsia="zh-CN"/>
        </w:rPr>
      </w:pPr>
      <w:r>
        <w:rPr>
          <w:rFonts w:hint="eastAsia" w:ascii="仿宋_GB2312" w:hAnsi="宋体"/>
          <w:sz w:val="32"/>
          <w:szCs w:val="32"/>
          <w:lang w:val="en-US" w:eastAsia="zh-CN"/>
        </w:rPr>
        <w:t xml:space="preserve">无  </w:t>
      </w:r>
    </w:p>
    <w:p w14:paraId="0627B769">
      <w:pPr>
        <w:ind w:firstLine="640" w:firstLineChars="200"/>
        <w:rPr>
          <w:rFonts w:hint="eastAsia" w:ascii="仿宋_GB2312" w:hAnsi="宋体"/>
          <w:sz w:val="32"/>
          <w:szCs w:val="32"/>
          <w:lang w:val="en-US" w:eastAsia="zh-CN"/>
        </w:rPr>
      </w:pPr>
    </w:p>
    <w:p w14:paraId="48B8380A">
      <w:pPr>
        <w:ind w:firstLine="640" w:firstLineChars="200"/>
        <w:rPr>
          <w:rFonts w:hint="eastAsia" w:ascii="仿宋_GB2312" w:hAnsi="宋体"/>
          <w:sz w:val="32"/>
          <w:szCs w:val="32"/>
          <w:lang w:val="en-US" w:eastAsia="zh-CN"/>
        </w:rPr>
      </w:pPr>
    </w:p>
    <w:p w14:paraId="673328DC">
      <w:pPr>
        <w:ind w:firstLine="5120" w:firstLineChars="1600"/>
        <w:rPr>
          <w:rFonts w:hint="eastAsia" w:ascii="仿宋_GB2312" w:hAnsi="宋体"/>
          <w:sz w:val="32"/>
          <w:szCs w:val="32"/>
          <w:lang w:val="en-US" w:eastAsia="zh-CN"/>
        </w:rPr>
      </w:pPr>
      <w:r>
        <w:rPr>
          <w:rFonts w:hint="eastAsia" w:ascii="仿宋_GB2312" w:hAnsi="宋体"/>
          <w:sz w:val="32"/>
          <w:szCs w:val="32"/>
          <w:lang w:val="en-US" w:eastAsia="zh-CN"/>
        </w:rPr>
        <w:t>阿坝州科学技术协会</w:t>
      </w:r>
    </w:p>
    <w:p w14:paraId="40BD153E">
      <w:pPr>
        <w:ind w:firstLine="5120" w:firstLineChars="1600"/>
        <w:rPr>
          <w:rFonts w:hint="default" w:ascii="仿宋_GB2312" w:hAnsi="宋体"/>
          <w:sz w:val="32"/>
          <w:szCs w:val="32"/>
          <w:lang w:val="en-US" w:eastAsia="zh-CN"/>
        </w:rPr>
      </w:pPr>
      <w:r>
        <w:rPr>
          <w:rFonts w:hint="eastAsia" w:ascii="仿宋_GB2312" w:hAnsi="宋体"/>
          <w:sz w:val="32"/>
          <w:szCs w:val="32"/>
          <w:lang w:val="en-US" w:eastAsia="zh-CN"/>
        </w:rPr>
        <w:t xml:space="preserve"> 2022年8月26日</w:t>
      </w:r>
    </w:p>
    <w:p w14:paraId="046569D4">
      <w:pPr>
        <w:pStyle w:val="7"/>
        <w:spacing w:before="93"/>
        <w:rPr>
          <w:lang w:val="zh-CN"/>
        </w:rPr>
      </w:pPr>
    </w:p>
    <w:p w14:paraId="35C79D48">
      <w:pPr>
        <w:pStyle w:val="7"/>
        <w:spacing w:before="93"/>
        <w:rPr>
          <w:lang w:val="zh-CN"/>
        </w:rPr>
      </w:pPr>
    </w:p>
    <w:p w14:paraId="7069A510">
      <w:pPr>
        <w:pStyle w:val="7"/>
        <w:spacing w:before="93"/>
        <w:rPr>
          <w:lang w:val="zh-CN"/>
        </w:rPr>
      </w:pPr>
    </w:p>
    <w:p w14:paraId="1CE9477C">
      <w:pPr>
        <w:pStyle w:val="7"/>
        <w:spacing w:before="93"/>
        <w:rPr>
          <w:lang w:val="zh-CN"/>
        </w:rPr>
      </w:pPr>
    </w:p>
    <w:p w14:paraId="0AA6BFFE">
      <w:pPr>
        <w:pStyle w:val="7"/>
        <w:spacing w:before="93"/>
        <w:rPr>
          <w:lang w:val="zh-CN"/>
        </w:rPr>
      </w:pPr>
    </w:p>
    <w:p w14:paraId="0693D25E">
      <w:pPr>
        <w:pStyle w:val="7"/>
        <w:spacing w:before="93"/>
        <w:rPr>
          <w:lang w:val="zh-CN"/>
        </w:rPr>
      </w:pPr>
    </w:p>
    <w:p w14:paraId="41200837">
      <w:pPr>
        <w:pStyle w:val="7"/>
        <w:spacing w:before="93"/>
        <w:rPr>
          <w:lang w:val="zh-CN"/>
        </w:rPr>
      </w:pPr>
    </w:p>
    <w:p w14:paraId="3D0A3986">
      <w:pPr>
        <w:pStyle w:val="7"/>
        <w:spacing w:before="93"/>
        <w:rPr>
          <w:lang w:val="zh-CN"/>
        </w:rPr>
      </w:pPr>
    </w:p>
    <w:tbl>
      <w:tblPr>
        <w:tblStyle w:val="14"/>
        <w:tblpPr w:leftFromText="180" w:rightFromText="180" w:vertAnchor="text" w:horzAnchor="page" w:tblpX="1281" w:tblpY="660"/>
        <w:tblOverlap w:val="never"/>
        <w:tblW w:w="9811" w:type="dxa"/>
        <w:tblInd w:w="0" w:type="dxa"/>
        <w:tblLayout w:type="fixed"/>
        <w:tblCellMar>
          <w:top w:w="0" w:type="dxa"/>
          <w:left w:w="108" w:type="dxa"/>
          <w:bottom w:w="0" w:type="dxa"/>
          <w:right w:w="108" w:type="dxa"/>
        </w:tblCellMar>
      </w:tblPr>
      <w:tblGrid>
        <w:gridCol w:w="1976"/>
        <w:gridCol w:w="1142"/>
        <w:gridCol w:w="1635"/>
        <w:gridCol w:w="1189"/>
        <w:gridCol w:w="1224"/>
        <w:gridCol w:w="2409"/>
        <w:gridCol w:w="236"/>
      </w:tblGrid>
      <w:tr w14:paraId="127157DE">
        <w:tblPrEx>
          <w:tblCellMar>
            <w:top w:w="0" w:type="dxa"/>
            <w:left w:w="108" w:type="dxa"/>
            <w:bottom w:w="0" w:type="dxa"/>
            <w:right w:w="108" w:type="dxa"/>
          </w:tblCellMar>
        </w:tblPrEx>
        <w:trPr>
          <w:trHeight w:val="675" w:hRule="atLeast"/>
        </w:trPr>
        <w:tc>
          <w:tcPr>
            <w:tcW w:w="9577" w:type="dxa"/>
            <w:gridSpan w:val="6"/>
            <w:tcBorders>
              <w:top w:val="nil"/>
              <w:left w:val="nil"/>
              <w:bottom w:val="nil"/>
              <w:right w:val="nil"/>
            </w:tcBorders>
            <w:shd w:val="clear" w:color="auto" w:fill="auto"/>
            <w:noWrap/>
            <w:vAlign w:val="center"/>
          </w:tcPr>
          <w:p w14:paraId="39ECFDEC">
            <w:pPr>
              <w:widowControl/>
              <w:textAlignment w:val="center"/>
              <w:rPr>
                <w:rFonts w:ascii="宋体" w:cs="宋体"/>
                <w:b/>
                <w:sz w:val="32"/>
                <w:szCs w:val="32"/>
              </w:rPr>
            </w:pPr>
            <w:r>
              <w:rPr>
                <w:rFonts w:hint="eastAsia" w:ascii="宋体" w:cs="宋体"/>
                <w:b/>
                <w:sz w:val="32"/>
                <w:szCs w:val="32"/>
              </w:rPr>
              <w:t>2021年100万元以上（含）特定目标类部门预算项目绩效目标自评</w:t>
            </w:r>
          </w:p>
        </w:tc>
        <w:tc>
          <w:tcPr>
            <w:tcW w:w="234" w:type="dxa"/>
            <w:tcBorders>
              <w:top w:val="nil"/>
              <w:left w:val="nil"/>
              <w:bottom w:val="nil"/>
              <w:right w:val="nil"/>
            </w:tcBorders>
            <w:shd w:val="clear" w:color="auto" w:fill="auto"/>
            <w:noWrap/>
            <w:vAlign w:val="center"/>
          </w:tcPr>
          <w:p w14:paraId="68066230">
            <w:pPr>
              <w:widowControl/>
              <w:jc w:val="center"/>
              <w:textAlignment w:val="center"/>
              <w:rPr>
                <w:rFonts w:ascii="宋体" w:cs="宋体"/>
                <w:b/>
                <w:kern w:val="0"/>
                <w:sz w:val="32"/>
                <w:szCs w:val="32"/>
              </w:rPr>
            </w:pPr>
          </w:p>
        </w:tc>
      </w:tr>
      <w:tr w14:paraId="1AC3E24C">
        <w:tblPrEx>
          <w:tblCellMar>
            <w:top w:w="0" w:type="dxa"/>
            <w:left w:w="108" w:type="dxa"/>
            <w:bottom w:w="0" w:type="dxa"/>
            <w:right w:w="108" w:type="dxa"/>
          </w:tblCellMar>
        </w:tblPrEx>
        <w:trPr>
          <w:gridAfter w:val="1"/>
          <w:wAfter w:w="234" w:type="dxa"/>
          <w:trHeight w:val="254" w:hRule="atLeast"/>
        </w:trPr>
        <w:tc>
          <w:tcPr>
            <w:tcW w:w="31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EF886">
            <w:pPr>
              <w:widowControl/>
              <w:spacing w:line="320" w:lineRule="exact"/>
              <w:jc w:val="center"/>
              <w:textAlignment w:val="center"/>
              <w:rPr>
                <w:rFonts w:ascii="宋体" w:cs="宋体"/>
                <w:sz w:val="24"/>
              </w:rPr>
            </w:pPr>
            <w:r>
              <w:rPr>
                <w:rFonts w:hint="eastAsia" w:ascii="宋体" w:cs="宋体"/>
                <w:kern w:val="0"/>
                <w:sz w:val="24"/>
              </w:rPr>
              <w:t>主管部门及代码</w:t>
            </w:r>
          </w:p>
        </w:tc>
        <w:tc>
          <w:tcPr>
            <w:tcW w:w="28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EC68">
            <w:pPr>
              <w:widowControl/>
              <w:spacing w:line="320" w:lineRule="exact"/>
              <w:textAlignment w:val="center"/>
              <w:rPr>
                <w:rFonts w:asci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6386A">
            <w:pPr>
              <w:widowControl/>
              <w:spacing w:line="320" w:lineRule="exact"/>
              <w:jc w:val="center"/>
              <w:textAlignment w:val="center"/>
              <w:rPr>
                <w:rFonts w:ascii="宋体" w:cs="宋体"/>
                <w:sz w:val="24"/>
              </w:rPr>
            </w:pPr>
            <w:r>
              <w:rPr>
                <w:rFonts w:hint="eastAsia" w:ascii="宋体" w:cs="宋体"/>
                <w:kern w:val="0"/>
                <w:sz w:val="24"/>
              </w:rPr>
              <w:t>实施单位</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66B33">
            <w:pPr>
              <w:widowControl/>
              <w:spacing w:line="320" w:lineRule="exact"/>
              <w:jc w:val="center"/>
              <w:textAlignment w:val="center"/>
              <w:rPr>
                <w:rFonts w:ascii="宋体" w:cs="宋体"/>
                <w:sz w:val="24"/>
              </w:rPr>
            </w:pPr>
          </w:p>
        </w:tc>
      </w:tr>
      <w:tr w14:paraId="15237BEB">
        <w:tblPrEx>
          <w:tblCellMar>
            <w:top w:w="0" w:type="dxa"/>
            <w:left w:w="108" w:type="dxa"/>
            <w:bottom w:w="0" w:type="dxa"/>
            <w:right w:w="108" w:type="dxa"/>
          </w:tblCellMar>
        </w:tblPrEx>
        <w:trPr>
          <w:gridAfter w:val="1"/>
          <w:wAfter w:w="234" w:type="dxa"/>
          <w:trHeight w:val="341" w:hRule="atLeast"/>
        </w:trPr>
        <w:tc>
          <w:tcPr>
            <w:tcW w:w="3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65E8D">
            <w:pPr>
              <w:widowControl/>
              <w:spacing w:line="320" w:lineRule="exact"/>
              <w:jc w:val="center"/>
              <w:textAlignment w:val="center"/>
              <w:rPr>
                <w:rFonts w:hint="eastAsia" w:ascii="宋体" w:eastAsia="宋体" w:cs="宋体"/>
                <w:kern w:val="0"/>
                <w:sz w:val="24"/>
                <w:lang w:eastAsia="zh-CN"/>
              </w:rPr>
            </w:pPr>
            <w:r>
              <w:rPr>
                <w:rFonts w:hint="eastAsia" w:ascii="宋体" w:cs="宋体"/>
                <w:kern w:val="0"/>
                <w:sz w:val="24"/>
              </w:rPr>
              <w:t>项目预算</w:t>
            </w:r>
          </w:p>
          <w:p w14:paraId="528ECE2E">
            <w:pPr>
              <w:widowControl/>
              <w:spacing w:line="320" w:lineRule="exact"/>
              <w:jc w:val="center"/>
              <w:textAlignment w:val="center"/>
              <w:rPr>
                <w:rFonts w:hint="eastAsia" w:ascii="宋体" w:eastAsia="宋体" w:cs="宋体"/>
                <w:kern w:val="0"/>
                <w:sz w:val="24"/>
                <w:lang w:eastAsia="zh-CN"/>
              </w:rPr>
            </w:pPr>
            <w:r>
              <w:rPr>
                <w:rFonts w:hint="eastAsia" w:ascii="宋体" w:cs="宋体"/>
                <w:kern w:val="0"/>
                <w:sz w:val="24"/>
              </w:rPr>
              <w:t>执行情况</w:t>
            </w:r>
          </w:p>
          <w:p w14:paraId="1143199B">
            <w:pPr>
              <w:widowControl/>
              <w:spacing w:line="320" w:lineRule="exact"/>
              <w:jc w:val="center"/>
              <w:textAlignment w:val="center"/>
              <w:rPr>
                <w:rFonts w:ascii="宋体" w:cs="宋体"/>
                <w:sz w:val="24"/>
              </w:rPr>
            </w:pPr>
            <w:r>
              <w:rPr>
                <w:rFonts w:hint="eastAsia" w:ascii="宋体" w:cs="宋体"/>
                <w:kern w:val="0"/>
                <w:sz w:val="24"/>
              </w:rPr>
              <w:t>（万元）</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72D7">
            <w:pPr>
              <w:widowControl/>
              <w:spacing w:line="320" w:lineRule="exact"/>
              <w:jc w:val="left"/>
              <w:textAlignment w:val="center"/>
              <w:rPr>
                <w:rFonts w:ascii="宋体" w:cs="宋体"/>
                <w:sz w:val="24"/>
              </w:rPr>
            </w:pPr>
            <w:r>
              <w:rPr>
                <w:rFonts w:hint="eastAsia" w:ascii="宋体" w:cs="宋体"/>
                <w:kern w:val="0"/>
                <w:sz w:val="24"/>
              </w:rPr>
              <w:t xml:space="preserve"> 预算数：</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A1E83">
            <w:pPr>
              <w:widowControl/>
              <w:spacing w:line="320" w:lineRule="exact"/>
              <w:jc w:val="left"/>
              <w:textAlignment w:val="center"/>
              <w:rPr>
                <w:rFonts w:asci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58AB8">
            <w:pPr>
              <w:widowControl/>
              <w:spacing w:line="320" w:lineRule="exact"/>
              <w:jc w:val="left"/>
              <w:textAlignment w:val="center"/>
              <w:rPr>
                <w:rFonts w:ascii="宋体" w:cs="宋体"/>
                <w:sz w:val="24"/>
              </w:rPr>
            </w:pPr>
            <w:r>
              <w:rPr>
                <w:rFonts w:hint="eastAsia" w:ascii="宋体" w:cs="宋体"/>
                <w:kern w:val="0"/>
                <w:sz w:val="24"/>
              </w:rPr>
              <w:t xml:space="preserve"> 执行数：</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31F25">
            <w:pPr>
              <w:widowControl/>
              <w:spacing w:line="320" w:lineRule="exact"/>
              <w:jc w:val="right"/>
              <w:textAlignment w:val="center"/>
              <w:rPr>
                <w:rFonts w:ascii="宋体" w:cs="宋体"/>
                <w:sz w:val="24"/>
              </w:rPr>
            </w:pPr>
          </w:p>
        </w:tc>
      </w:tr>
      <w:tr w14:paraId="148466FC">
        <w:tblPrEx>
          <w:tblCellMar>
            <w:top w:w="0" w:type="dxa"/>
            <w:left w:w="108" w:type="dxa"/>
            <w:bottom w:w="0" w:type="dxa"/>
            <w:right w:w="108" w:type="dxa"/>
          </w:tblCellMar>
        </w:tblPrEx>
        <w:trPr>
          <w:gridAfter w:val="1"/>
          <w:wAfter w:w="234" w:type="dxa"/>
          <w:trHeight w:val="555" w:hRule="atLeast"/>
        </w:trPr>
        <w:tc>
          <w:tcPr>
            <w:tcW w:w="3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A0003"/>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3B954">
            <w:pPr>
              <w:widowControl/>
              <w:spacing w:line="320" w:lineRule="exact"/>
              <w:jc w:val="left"/>
              <w:textAlignment w:val="center"/>
              <w:rPr>
                <w:rFonts w:ascii="宋体" w:cs="宋体"/>
                <w:kern w:val="0"/>
                <w:sz w:val="24"/>
              </w:rPr>
            </w:pPr>
            <w:r>
              <w:rPr>
                <w:rFonts w:hint="eastAsia" w:ascii="宋体" w:cs="宋体"/>
                <w:kern w:val="0"/>
                <w:sz w:val="24"/>
              </w:rPr>
              <w:t>其中：</w:t>
            </w:r>
          </w:p>
          <w:p w14:paraId="650591F3">
            <w:pPr>
              <w:widowControl/>
              <w:spacing w:line="320" w:lineRule="exact"/>
              <w:jc w:val="left"/>
              <w:textAlignment w:val="center"/>
              <w:rPr>
                <w:rFonts w:ascii="宋体" w:cs="宋体"/>
                <w:sz w:val="24"/>
              </w:rPr>
            </w:pPr>
            <w:r>
              <w:rPr>
                <w:rFonts w:hint="eastAsia" w:ascii="宋体" w:cs="宋体"/>
                <w:kern w:val="0"/>
                <w:sz w:val="24"/>
              </w:rPr>
              <w:t>财政拨款</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3182">
            <w:pPr>
              <w:widowControl/>
              <w:spacing w:line="320" w:lineRule="exact"/>
              <w:jc w:val="left"/>
              <w:textAlignment w:val="center"/>
              <w:rPr>
                <w:rFonts w:asci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B686B">
            <w:pPr>
              <w:widowControl/>
              <w:spacing w:line="320" w:lineRule="exact"/>
              <w:jc w:val="left"/>
              <w:textAlignment w:val="center"/>
              <w:rPr>
                <w:rFonts w:ascii="宋体" w:cs="宋体"/>
                <w:kern w:val="0"/>
                <w:sz w:val="24"/>
              </w:rPr>
            </w:pPr>
            <w:r>
              <w:rPr>
                <w:rFonts w:hint="eastAsia" w:ascii="宋体" w:cs="宋体"/>
                <w:kern w:val="0"/>
                <w:sz w:val="24"/>
              </w:rPr>
              <w:t>其中：</w:t>
            </w:r>
          </w:p>
          <w:p w14:paraId="2630FC98">
            <w:pPr>
              <w:widowControl/>
              <w:spacing w:line="320" w:lineRule="exact"/>
              <w:jc w:val="left"/>
              <w:textAlignment w:val="center"/>
              <w:rPr>
                <w:rFonts w:ascii="宋体" w:cs="宋体"/>
                <w:sz w:val="24"/>
              </w:rPr>
            </w:pPr>
            <w:r>
              <w:rPr>
                <w:rFonts w:hint="eastAsia" w:ascii="宋体" w:cs="宋体"/>
                <w:kern w:val="0"/>
                <w:sz w:val="24"/>
              </w:rPr>
              <w:t>财政拨款</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4C04D">
            <w:pPr>
              <w:widowControl/>
              <w:spacing w:line="320" w:lineRule="exact"/>
              <w:textAlignment w:val="center"/>
              <w:rPr>
                <w:rFonts w:ascii="宋体" w:cs="宋体"/>
                <w:sz w:val="24"/>
              </w:rPr>
            </w:pPr>
          </w:p>
        </w:tc>
      </w:tr>
      <w:tr w14:paraId="04332586">
        <w:tblPrEx>
          <w:tblCellMar>
            <w:top w:w="0" w:type="dxa"/>
            <w:left w:w="108" w:type="dxa"/>
            <w:bottom w:w="0" w:type="dxa"/>
            <w:right w:w="108" w:type="dxa"/>
          </w:tblCellMar>
        </w:tblPrEx>
        <w:trPr>
          <w:gridAfter w:val="1"/>
          <w:wAfter w:w="234" w:type="dxa"/>
          <w:trHeight w:val="341" w:hRule="atLeast"/>
        </w:trPr>
        <w:tc>
          <w:tcPr>
            <w:tcW w:w="3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5CFA0"/>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F14E">
            <w:pPr>
              <w:widowControl/>
              <w:spacing w:line="320" w:lineRule="exact"/>
              <w:jc w:val="left"/>
              <w:textAlignment w:val="center"/>
              <w:rPr>
                <w:rFonts w:ascii="宋体" w:cs="宋体"/>
                <w:sz w:val="24"/>
              </w:rPr>
            </w:pPr>
            <w:r>
              <w:rPr>
                <w:rFonts w:hint="eastAsia" w:ascii="宋体" w:cs="宋体"/>
                <w:kern w:val="0"/>
                <w:sz w:val="24"/>
              </w:rPr>
              <w:t>其他资金</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A66F">
            <w:pPr>
              <w:widowControl/>
              <w:spacing w:line="320" w:lineRule="exact"/>
              <w:jc w:val="left"/>
              <w:textAlignment w:val="center"/>
              <w:rPr>
                <w:rFonts w:ascii="宋体" w:cs="宋体"/>
                <w:sz w:val="24"/>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746AE">
            <w:pPr>
              <w:widowControl/>
              <w:spacing w:line="320" w:lineRule="exact"/>
              <w:jc w:val="left"/>
              <w:textAlignment w:val="center"/>
              <w:rPr>
                <w:rFonts w:ascii="宋体" w:cs="宋体"/>
                <w:sz w:val="24"/>
              </w:rPr>
            </w:pPr>
            <w:r>
              <w:rPr>
                <w:rFonts w:hint="eastAsia" w:ascii="宋体" w:cs="宋体"/>
                <w:kern w:val="0"/>
                <w:sz w:val="24"/>
              </w:rPr>
              <w:t>其他资金</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70130">
            <w:pPr>
              <w:widowControl/>
              <w:spacing w:line="320" w:lineRule="exact"/>
              <w:jc w:val="center"/>
              <w:textAlignment w:val="center"/>
              <w:rPr>
                <w:rFonts w:ascii="宋体" w:cs="宋体"/>
                <w:sz w:val="24"/>
              </w:rPr>
            </w:pPr>
          </w:p>
        </w:tc>
      </w:tr>
      <w:tr w14:paraId="10E5B9AB">
        <w:tblPrEx>
          <w:tblCellMar>
            <w:top w:w="0" w:type="dxa"/>
            <w:left w:w="108" w:type="dxa"/>
            <w:bottom w:w="0" w:type="dxa"/>
            <w:right w:w="108" w:type="dxa"/>
          </w:tblCellMar>
        </w:tblPrEx>
        <w:trPr>
          <w:gridAfter w:val="1"/>
          <w:wAfter w:w="234" w:type="dxa"/>
          <w:trHeight w:val="217" w:hRule="atLeast"/>
        </w:trPr>
        <w:tc>
          <w:tcPr>
            <w:tcW w:w="197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5AEB7">
            <w:pPr>
              <w:widowControl/>
              <w:spacing w:line="320" w:lineRule="exact"/>
              <w:jc w:val="center"/>
              <w:textAlignment w:val="center"/>
              <w:rPr>
                <w:rFonts w:ascii="宋体" w:cs="宋体"/>
                <w:kern w:val="0"/>
                <w:sz w:val="24"/>
              </w:rPr>
            </w:pPr>
            <w:r>
              <w:rPr>
                <w:rFonts w:hint="eastAsia" w:ascii="宋体" w:cs="宋体"/>
                <w:kern w:val="0"/>
                <w:sz w:val="24"/>
              </w:rPr>
              <w:t>年度总体目标</w:t>
            </w:r>
          </w:p>
          <w:p w14:paraId="2441C4C7">
            <w:pPr>
              <w:widowControl/>
              <w:spacing w:line="320" w:lineRule="exact"/>
              <w:jc w:val="center"/>
              <w:textAlignment w:val="center"/>
              <w:rPr>
                <w:rFonts w:ascii="宋体" w:cs="宋体"/>
                <w:sz w:val="24"/>
              </w:rPr>
            </w:pPr>
            <w:r>
              <w:rPr>
                <w:rFonts w:hint="eastAsia" w:ascii="宋体" w:cs="宋体"/>
                <w:kern w:val="0"/>
                <w:sz w:val="24"/>
              </w:rPr>
              <w:t>完成情况</w:t>
            </w:r>
          </w:p>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F778A">
            <w:pPr>
              <w:widowControl/>
              <w:spacing w:line="320" w:lineRule="exact"/>
              <w:jc w:val="center"/>
              <w:textAlignment w:val="center"/>
              <w:rPr>
                <w:rFonts w:ascii="宋体" w:cs="宋体"/>
                <w:sz w:val="24"/>
              </w:rPr>
            </w:pPr>
            <w:r>
              <w:rPr>
                <w:rFonts w:hint="eastAsia" w:ascii="宋体" w:cs="宋体"/>
                <w:kern w:val="0"/>
                <w:sz w:val="24"/>
              </w:rPr>
              <w:t>预期目标</w:t>
            </w:r>
          </w:p>
        </w:tc>
        <w:tc>
          <w:tcPr>
            <w:tcW w:w="36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80FFC">
            <w:pPr>
              <w:widowControl/>
              <w:spacing w:line="320" w:lineRule="exact"/>
              <w:jc w:val="center"/>
              <w:textAlignment w:val="center"/>
              <w:rPr>
                <w:rFonts w:ascii="宋体" w:cs="宋体"/>
                <w:sz w:val="24"/>
              </w:rPr>
            </w:pPr>
            <w:r>
              <w:rPr>
                <w:rFonts w:hint="eastAsia" w:ascii="宋体" w:cs="宋体"/>
                <w:kern w:val="0"/>
                <w:sz w:val="24"/>
              </w:rPr>
              <w:t>目标实际完成情况</w:t>
            </w:r>
          </w:p>
        </w:tc>
      </w:tr>
      <w:tr w14:paraId="72E5FADC">
        <w:tblPrEx>
          <w:tblCellMar>
            <w:top w:w="0" w:type="dxa"/>
            <w:left w:w="108" w:type="dxa"/>
            <w:bottom w:w="0" w:type="dxa"/>
            <w:right w:w="108" w:type="dxa"/>
          </w:tblCellMar>
        </w:tblPrEx>
        <w:trPr>
          <w:gridAfter w:val="1"/>
          <w:wAfter w:w="234" w:type="dxa"/>
          <w:trHeight w:val="797" w:hRule="atLeast"/>
        </w:trPr>
        <w:tc>
          <w:tcPr>
            <w:tcW w:w="197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CE7A2"/>
        </w:tc>
        <w:tc>
          <w:tcPr>
            <w:tcW w:w="3966" w:type="dxa"/>
            <w:gridSpan w:val="3"/>
            <w:tcBorders>
              <w:top w:val="single" w:color="000000" w:sz="4" w:space="0"/>
              <w:left w:val="single" w:color="000000" w:sz="4" w:space="0"/>
              <w:bottom w:val="single" w:color="000000" w:sz="4" w:space="0"/>
              <w:right w:val="single" w:color="000000" w:sz="4" w:space="0"/>
            </w:tcBorders>
            <w:shd w:val="clear" w:color="auto" w:fill="auto"/>
            <w:noWrap/>
          </w:tcPr>
          <w:p w14:paraId="1008C5FE">
            <w:pPr>
              <w:widowControl/>
              <w:spacing w:line="320" w:lineRule="exact"/>
              <w:jc w:val="left"/>
              <w:textAlignment w:val="top"/>
              <w:rPr>
                <w:rFonts w:ascii="宋体" w:cs="宋体"/>
                <w:sz w:val="24"/>
              </w:rPr>
            </w:pPr>
          </w:p>
        </w:tc>
        <w:tc>
          <w:tcPr>
            <w:tcW w:w="3634" w:type="dxa"/>
            <w:gridSpan w:val="2"/>
            <w:tcBorders>
              <w:top w:val="single" w:color="000000" w:sz="4" w:space="0"/>
              <w:left w:val="single" w:color="000000" w:sz="4" w:space="0"/>
              <w:bottom w:val="single" w:color="000000" w:sz="4" w:space="0"/>
              <w:right w:val="single" w:color="000000" w:sz="4" w:space="0"/>
            </w:tcBorders>
            <w:shd w:val="clear" w:color="auto" w:fill="auto"/>
            <w:noWrap/>
          </w:tcPr>
          <w:p w14:paraId="43440A7E">
            <w:pPr>
              <w:widowControl/>
              <w:spacing w:line="320" w:lineRule="exact"/>
              <w:jc w:val="left"/>
              <w:textAlignment w:val="top"/>
              <w:rPr>
                <w:rFonts w:ascii="宋体" w:cs="宋体"/>
                <w:sz w:val="24"/>
              </w:rPr>
            </w:pPr>
          </w:p>
        </w:tc>
      </w:tr>
      <w:tr w14:paraId="55E3B184">
        <w:tblPrEx>
          <w:tblCellMar>
            <w:top w:w="0" w:type="dxa"/>
            <w:left w:w="108" w:type="dxa"/>
            <w:bottom w:w="0" w:type="dxa"/>
            <w:right w:w="108" w:type="dxa"/>
          </w:tblCellMar>
        </w:tblPrEx>
        <w:trPr>
          <w:gridAfter w:val="1"/>
          <w:wAfter w:w="234" w:type="dxa"/>
          <w:trHeight w:val="693" w:hRule="atLeast"/>
        </w:trPr>
        <w:tc>
          <w:tcPr>
            <w:tcW w:w="1977" w:type="dxa"/>
            <w:vMerge w:val="restart"/>
            <w:tcBorders>
              <w:top w:val="single" w:color="000000" w:sz="4" w:space="0"/>
              <w:left w:val="single" w:color="000000" w:sz="4" w:space="0"/>
              <w:bottom w:val="nil"/>
              <w:right w:val="single" w:color="000000" w:sz="4" w:space="0"/>
            </w:tcBorders>
            <w:shd w:val="clear" w:color="auto" w:fill="auto"/>
            <w:noWrap/>
            <w:vAlign w:val="center"/>
          </w:tcPr>
          <w:p w14:paraId="4196BA9C">
            <w:pPr>
              <w:widowControl/>
              <w:spacing w:line="320" w:lineRule="exact"/>
              <w:jc w:val="center"/>
              <w:textAlignment w:val="center"/>
              <w:rPr>
                <w:rFonts w:ascii="仿宋_GB2312" w:eastAsia="仿宋_GB2312" w:cs="仿宋_GB2312"/>
                <w:sz w:val="28"/>
                <w:szCs w:val="28"/>
              </w:rPr>
            </w:pPr>
            <w:r>
              <w:rPr>
                <w:rFonts w:hint="eastAsia" w:ascii="仿宋_GB2312" w:eastAsia="仿宋_GB2312" w:cs="仿宋_GB2312"/>
                <w:kern w:val="0"/>
                <w:sz w:val="28"/>
                <w:szCs w:val="28"/>
              </w:rPr>
              <w:t>年度绩效指标完成情况</w:t>
            </w:r>
          </w:p>
        </w:tc>
        <w:tc>
          <w:tcPr>
            <w:tcW w:w="1142" w:type="dxa"/>
            <w:tcBorders>
              <w:top w:val="single" w:color="000000" w:sz="4" w:space="0"/>
              <w:left w:val="nil"/>
              <w:bottom w:val="single" w:color="000000" w:sz="4" w:space="0"/>
              <w:right w:val="single" w:color="000000" w:sz="4" w:space="0"/>
            </w:tcBorders>
            <w:shd w:val="clear" w:color="auto" w:fill="auto"/>
            <w:noWrap/>
            <w:vAlign w:val="center"/>
          </w:tcPr>
          <w:p w14:paraId="73AFD7FC">
            <w:pPr>
              <w:widowControl/>
              <w:spacing w:line="320" w:lineRule="exact"/>
              <w:jc w:val="center"/>
              <w:textAlignment w:val="center"/>
              <w:rPr>
                <w:rFonts w:ascii="仿宋_GB2312" w:eastAsia="仿宋_GB2312" w:cs="仿宋_GB2312"/>
                <w:kern w:val="0"/>
                <w:sz w:val="28"/>
                <w:szCs w:val="28"/>
              </w:rPr>
            </w:pPr>
            <w:r>
              <w:rPr>
                <w:rFonts w:hint="eastAsia" w:ascii="仿宋_GB2312" w:eastAsia="仿宋_GB2312" w:cs="仿宋_GB2312"/>
                <w:kern w:val="0"/>
                <w:sz w:val="28"/>
                <w:szCs w:val="28"/>
              </w:rPr>
              <w:t>一级</w:t>
            </w:r>
          </w:p>
          <w:p w14:paraId="0EEDCAA2">
            <w:pPr>
              <w:widowControl/>
              <w:spacing w:line="320" w:lineRule="exact"/>
              <w:jc w:val="center"/>
              <w:textAlignment w:val="center"/>
              <w:rPr>
                <w:rFonts w:ascii="仿宋_GB2312" w:eastAsia="仿宋_GB2312" w:cs="仿宋_GB2312"/>
                <w:sz w:val="28"/>
                <w:szCs w:val="28"/>
              </w:rPr>
            </w:pPr>
            <w:r>
              <w:rPr>
                <w:rFonts w:hint="eastAsia" w:asci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605AF">
            <w:pPr>
              <w:widowControl/>
              <w:spacing w:line="320" w:lineRule="exact"/>
              <w:jc w:val="center"/>
              <w:textAlignment w:val="center"/>
              <w:rPr>
                <w:rFonts w:ascii="仿宋_GB2312" w:eastAsia="仿宋_GB2312" w:cs="仿宋_GB2312"/>
                <w:kern w:val="0"/>
                <w:sz w:val="28"/>
                <w:szCs w:val="28"/>
              </w:rPr>
            </w:pPr>
            <w:r>
              <w:rPr>
                <w:rFonts w:hint="eastAsia" w:ascii="仿宋_GB2312" w:eastAsia="仿宋_GB2312" w:cs="仿宋_GB2312"/>
                <w:kern w:val="0"/>
                <w:sz w:val="28"/>
                <w:szCs w:val="28"/>
              </w:rPr>
              <w:t>二级</w:t>
            </w:r>
          </w:p>
          <w:p w14:paraId="502E2711">
            <w:pPr>
              <w:widowControl/>
              <w:spacing w:line="320" w:lineRule="exact"/>
              <w:jc w:val="center"/>
              <w:textAlignment w:val="center"/>
              <w:rPr>
                <w:rFonts w:ascii="仿宋_GB2312" w:eastAsia="仿宋_GB2312" w:cs="仿宋_GB2312"/>
                <w:sz w:val="28"/>
                <w:szCs w:val="28"/>
              </w:rPr>
            </w:pPr>
            <w:r>
              <w:rPr>
                <w:rFonts w:hint="eastAsia" w:asci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F408A">
            <w:pPr>
              <w:widowControl/>
              <w:spacing w:line="320" w:lineRule="exact"/>
              <w:jc w:val="center"/>
              <w:textAlignment w:val="center"/>
              <w:rPr>
                <w:rFonts w:ascii="仿宋_GB2312" w:eastAsia="仿宋_GB2312" w:cs="仿宋_GB2312"/>
                <w:kern w:val="0"/>
                <w:sz w:val="28"/>
                <w:szCs w:val="28"/>
              </w:rPr>
            </w:pPr>
            <w:r>
              <w:rPr>
                <w:rFonts w:hint="eastAsia" w:ascii="仿宋_GB2312" w:eastAsia="仿宋_GB2312" w:cs="仿宋_GB2312"/>
                <w:kern w:val="0"/>
                <w:sz w:val="28"/>
                <w:szCs w:val="28"/>
              </w:rPr>
              <w:t>三级</w:t>
            </w:r>
          </w:p>
          <w:p w14:paraId="2F61E18D">
            <w:pPr>
              <w:widowControl/>
              <w:spacing w:line="320" w:lineRule="exact"/>
              <w:jc w:val="center"/>
              <w:textAlignment w:val="center"/>
              <w:rPr>
                <w:rFonts w:ascii="仿宋_GB2312" w:eastAsia="仿宋_GB2312" w:cs="仿宋_GB2312"/>
                <w:sz w:val="28"/>
                <w:szCs w:val="28"/>
              </w:rPr>
            </w:pPr>
            <w:r>
              <w:rPr>
                <w:rFonts w:hint="eastAsia" w:ascii="仿宋_GB2312" w:eastAsia="仿宋_GB2312" w:cs="仿宋_GB2312"/>
                <w:kern w:val="0"/>
                <w:sz w:val="28"/>
                <w:szCs w:val="28"/>
              </w:rPr>
              <w:t>指标</w:t>
            </w: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50D5C">
            <w:pPr>
              <w:widowControl/>
              <w:spacing w:line="320" w:lineRule="exact"/>
              <w:jc w:val="center"/>
              <w:textAlignment w:val="center"/>
              <w:rPr>
                <w:rFonts w:ascii="仿宋_GB2312" w:eastAsia="仿宋_GB2312" w:cs="仿宋_GB2312"/>
                <w:sz w:val="28"/>
                <w:szCs w:val="28"/>
              </w:rPr>
            </w:pPr>
            <w:r>
              <w:rPr>
                <w:rFonts w:hint="eastAsia" w:ascii="仿宋_GB2312" w:eastAsia="仿宋_GB2312" w:cs="仿宋_GB2312"/>
                <w:kern w:val="0"/>
                <w:sz w:val="28"/>
                <w:szCs w:val="28"/>
              </w:rPr>
              <w:t>预期指标值</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CB6E5">
            <w:pPr>
              <w:widowControl/>
              <w:spacing w:line="320" w:lineRule="exact"/>
              <w:jc w:val="center"/>
              <w:textAlignment w:val="center"/>
              <w:rPr>
                <w:rFonts w:ascii="仿宋_GB2312" w:eastAsia="仿宋_GB2312" w:cs="仿宋_GB2312"/>
                <w:sz w:val="28"/>
                <w:szCs w:val="28"/>
              </w:rPr>
            </w:pPr>
            <w:r>
              <w:rPr>
                <w:rFonts w:hint="eastAsia" w:ascii="仿宋_GB2312" w:eastAsia="仿宋_GB2312" w:cs="仿宋_GB2312"/>
                <w:kern w:val="0"/>
                <w:sz w:val="28"/>
                <w:szCs w:val="28"/>
              </w:rPr>
              <w:t>实际完成指标值</w:t>
            </w:r>
          </w:p>
        </w:tc>
      </w:tr>
      <w:tr w14:paraId="25CA627B">
        <w:tblPrEx>
          <w:tblCellMar>
            <w:top w:w="0" w:type="dxa"/>
            <w:left w:w="108" w:type="dxa"/>
            <w:bottom w:w="0" w:type="dxa"/>
            <w:right w:w="108" w:type="dxa"/>
          </w:tblCellMar>
        </w:tblPrEx>
        <w:trPr>
          <w:gridAfter w:val="1"/>
          <w:wAfter w:w="234" w:type="dxa"/>
          <w:trHeight w:val="415" w:hRule="atLeast"/>
        </w:trPr>
        <w:tc>
          <w:tcPr>
            <w:tcW w:w="1977" w:type="dxa"/>
            <w:vMerge w:val="continue"/>
            <w:tcBorders>
              <w:top w:val="nil"/>
              <w:left w:val="single" w:color="000000" w:sz="4" w:space="0"/>
              <w:bottom w:val="nil"/>
              <w:right w:val="single" w:color="000000" w:sz="4" w:space="0"/>
            </w:tcBorders>
            <w:shd w:val="clear" w:color="auto" w:fill="auto"/>
            <w:noWrap/>
            <w:vAlign w:val="center"/>
          </w:tcPr>
          <w:p w14:paraId="09022DA5"/>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E17EC">
            <w:pPr>
              <w:widowControl/>
              <w:spacing w:line="320" w:lineRule="exact"/>
              <w:jc w:val="center"/>
              <w:textAlignment w:val="bottom"/>
              <w:rPr>
                <w:rFonts w:ascii="仿宋_GB2312" w:eastAsia="仿宋_GB2312" w:cs="仿宋_GB2312"/>
                <w:kern w:val="0"/>
                <w:sz w:val="28"/>
                <w:szCs w:val="28"/>
              </w:rPr>
            </w:pPr>
            <w:r>
              <w:rPr>
                <w:rFonts w:hint="eastAsia" w:ascii="仿宋_GB2312" w:eastAsia="仿宋_GB2312" w:cs="仿宋_GB2312"/>
                <w:kern w:val="0"/>
                <w:sz w:val="28"/>
                <w:szCs w:val="28"/>
              </w:rPr>
              <w:t>完成</w:t>
            </w:r>
          </w:p>
          <w:p w14:paraId="36EC4D79">
            <w:pPr>
              <w:widowControl/>
              <w:spacing w:line="320" w:lineRule="exact"/>
              <w:jc w:val="center"/>
              <w:textAlignment w:val="bottom"/>
              <w:rPr>
                <w:rFonts w:ascii="仿宋_GB2312" w:eastAsia="仿宋_GB2312" w:cs="仿宋_GB2312"/>
                <w:sz w:val="28"/>
                <w:szCs w:val="28"/>
              </w:rPr>
            </w:pPr>
            <w:r>
              <w:rPr>
                <w:rFonts w:hint="eastAsia" w:asci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744CB5">
            <w:pPr>
              <w:widowControl/>
              <w:spacing w:line="320" w:lineRule="exact"/>
              <w:jc w:val="center"/>
              <w:textAlignment w:val="bottom"/>
              <w:rPr>
                <w:rFonts w:ascii="仿宋_GB2312" w:eastAsia="仿宋_GB2312" w:cs="仿宋_GB2312"/>
                <w:sz w:val="28"/>
                <w:szCs w:val="28"/>
              </w:rPr>
            </w:pPr>
            <w:r>
              <w:rPr>
                <w:rFonts w:hint="eastAsia" w:ascii="仿宋_GB2312" w:eastAsia="仿宋_GB2312" w:cs="仿宋_GB2312"/>
                <w:kern w:val="0"/>
                <w:sz w:val="28"/>
                <w:szCs w:val="28"/>
              </w:rPr>
              <w:t>数量指标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E3E20C">
            <w:pPr>
              <w:widowControl/>
              <w:spacing w:line="320" w:lineRule="exact"/>
              <w:jc w:val="center"/>
              <w:textAlignment w:val="bottom"/>
              <w:rPr>
                <w:rFonts w:asci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B8FFDE">
            <w:pPr>
              <w:widowControl/>
              <w:spacing w:line="320" w:lineRule="exact"/>
              <w:jc w:val="center"/>
              <w:textAlignment w:val="bottom"/>
              <w:rPr>
                <w:rFonts w:asci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B4EA02">
            <w:pPr>
              <w:widowControl/>
              <w:spacing w:line="320" w:lineRule="exact"/>
              <w:jc w:val="center"/>
              <w:textAlignment w:val="bottom"/>
              <w:rPr>
                <w:rFonts w:ascii="仿宋_GB2312" w:eastAsia="仿宋_GB2312" w:cs="仿宋_GB2312"/>
                <w:sz w:val="28"/>
                <w:szCs w:val="28"/>
              </w:rPr>
            </w:pPr>
          </w:p>
        </w:tc>
      </w:tr>
      <w:tr w14:paraId="7DDFBF70">
        <w:tblPrEx>
          <w:tblCellMar>
            <w:top w:w="0" w:type="dxa"/>
            <w:left w:w="108" w:type="dxa"/>
            <w:bottom w:w="0" w:type="dxa"/>
            <w:right w:w="108" w:type="dxa"/>
          </w:tblCellMar>
        </w:tblPrEx>
        <w:trPr>
          <w:gridAfter w:val="1"/>
          <w:wAfter w:w="234" w:type="dxa"/>
          <w:trHeight w:val="415" w:hRule="atLeast"/>
        </w:trPr>
        <w:tc>
          <w:tcPr>
            <w:tcW w:w="1977" w:type="dxa"/>
            <w:vMerge w:val="continue"/>
            <w:tcBorders>
              <w:top w:val="nil"/>
              <w:left w:val="single" w:color="000000" w:sz="4" w:space="0"/>
              <w:bottom w:val="nil"/>
              <w:right w:val="single" w:color="000000" w:sz="4" w:space="0"/>
            </w:tcBorders>
            <w:shd w:val="clear" w:color="auto" w:fill="auto"/>
            <w:noWrap/>
            <w:vAlign w:val="center"/>
          </w:tcPr>
          <w:p w14:paraId="5E325391"/>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6AC92A"/>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F5FCA1">
            <w:pPr>
              <w:widowControl/>
              <w:spacing w:line="320" w:lineRule="exact"/>
              <w:jc w:val="center"/>
              <w:textAlignment w:val="bottom"/>
              <w:rPr>
                <w:rFonts w:ascii="仿宋_GB2312" w:eastAsia="仿宋_GB2312" w:cs="仿宋_GB2312"/>
                <w:sz w:val="28"/>
                <w:szCs w:val="28"/>
              </w:rPr>
            </w:pPr>
            <w:r>
              <w:rPr>
                <w:rFonts w:hint="eastAsia" w:ascii="仿宋_GB2312" w:eastAsia="仿宋_GB2312" w:cs="仿宋_GB2312"/>
                <w:kern w:val="0"/>
                <w:sz w:val="28"/>
                <w:szCs w:val="28"/>
              </w:rPr>
              <w:t>质量指标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7F1B39">
            <w:pPr>
              <w:widowControl/>
              <w:spacing w:line="320" w:lineRule="exact"/>
              <w:jc w:val="center"/>
              <w:textAlignment w:val="bottom"/>
              <w:rPr>
                <w:rFonts w:asci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7357C0">
            <w:pPr>
              <w:widowControl/>
              <w:spacing w:line="320" w:lineRule="exact"/>
              <w:jc w:val="center"/>
              <w:textAlignment w:val="bottom"/>
              <w:rPr>
                <w:rFonts w:asci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122D23">
            <w:pPr>
              <w:widowControl/>
              <w:spacing w:line="320" w:lineRule="exact"/>
              <w:jc w:val="center"/>
              <w:textAlignment w:val="bottom"/>
              <w:rPr>
                <w:rFonts w:ascii="仿宋_GB2312" w:eastAsia="仿宋_GB2312" w:cs="仿宋_GB2312"/>
                <w:sz w:val="28"/>
                <w:szCs w:val="28"/>
              </w:rPr>
            </w:pPr>
          </w:p>
        </w:tc>
      </w:tr>
      <w:tr w14:paraId="3AC3DC84">
        <w:tblPrEx>
          <w:tblCellMar>
            <w:top w:w="0" w:type="dxa"/>
            <w:left w:w="108" w:type="dxa"/>
            <w:bottom w:w="0" w:type="dxa"/>
            <w:right w:w="108" w:type="dxa"/>
          </w:tblCellMar>
        </w:tblPrEx>
        <w:trPr>
          <w:gridAfter w:val="1"/>
          <w:wAfter w:w="234" w:type="dxa"/>
          <w:trHeight w:val="415" w:hRule="atLeast"/>
        </w:trPr>
        <w:tc>
          <w:tcPr>
            <w:tcW w:w="1977" w:type="dxa"/>
            <w:vMerge w:val="continue"/>
            <w:tcBorders>
              <w:top w:val="nil"/>
              <w:left w:val="single" w:color="000000" w:sz="4" w:space="0"/>
              <w:bottom w:val="nil"/>
              <w:right w:val="single" w:color="000000" w:sz="4" w:space="0"/>
            </w:tcBorders>
            <w:shd w:val="clear" w:color="auto" w:fill="auto"/>
            <w:noWrap/>
            <w:vAlign w:val="center"/>
          </w:tcPr>
          <w:p w14:paraId="712008C2"/>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965913"/>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F8665B">
            <w:pPr>
              <w:widowControl/>
              <w:spacing w:line="320" w:lineRule="exact"/>
              <w:jc w:val="center"/>
              <w:textAlignment w:val="bottom"/>
              <w:rPr>
                <w:rFonts w:ascii="仿宋_GB2312" w:eastAsia="仿宋_GB2312" w:cs="仿宋_GB2312"/>
                <w:sz w:val="28"/>
                <w:szCs w:val="28"/>
              </w:rPr>
            </w:pPr>
            <w:r>
              <w:rPr>
                <w:rFonts w:hint="eastAsia" w:ascii="仿宋_GB2312" w:eastAsia="仿宋_GB2312" w:cs="仿宋_GB2312"/>
                <w:kern w:val="0"/>
                <w:sz w:val="28"/>
                <w:szCs w:val="28"/>
              </w:rPr>
              <w:t>时效指标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255B54">
            <w:pPr>
              <w:widowControl/>
              <w:spacing w:line="320" w:lineRule="exact"/>
              <w:jc w:val="center"/>
              <w:textAlignment w:val="bottom"/>
              <w:rPr>
                <w:rFonts w:asci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EABB36">
            <w:pPr>
              <w:widowControl/>
              <w:spacing w:line="320" w:lineRule="exact"/>
              <w:jc w:val="center"/>
              <w:textAlignment w:val="bottom"/>
              <w:rPr>
                <w:rFonts w:asci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0B50CD">
            <w:pPr>
              <w:widowControl/>
              <w:spacing w:line="320" w:lineRule="exact"/>
              <w:jc w:val="center"/>
              <w:textAlignment w:val="bottom"/>
              <w:rPr>
                <w:rFonts w:ascii="仿宋_GB2312" w:eastAsia="仿宋_GB2312" w:cs="仿宋_GB2312"/>
                <w:sz w:val="28"/>
                <w:szCs w:val="28"/>
              </w:rPr>
            </w:pPr>
          </w:p>
        </w:tc>
      </w:tr>
      <w:tr w14:paraId="6B8D6C4F">
        <w:tblPrEx>
          <w:tblCellMar>
            <w:top w:w="0" w:type="dxa"/>
            <w:left w:w="108" w:type="dxa"/>
            <w:bottom w:w="0" w:type="dxa"/>
            <w:right w:w="108" w:type="dxa"/>
          </w:tblCellMar>
        </w:tblPrEx>
        <w:trPr>
          <w:gridAfter w:val="1"/>
          <w:wAfter w:w="234" w:type="dxa"/>
          <w:trHeight w:val="480" w:hRule="atLeast"/>
        </w:trPr>
        <w:tc>
          <w:tcPr>
            <w:tcW w:w="1977" w:type="dxa"/>
            <w:vMerge w:val="continue"/>
            <w:tcBorders>
              <w:top w:val="nil"/>
              <w:left w:val="single" w:color="000000" w:sz="4" w:space="0"/>
              <w:bottom w:val="nil"/>
              <w:right w:val="single" w:color="000000" w:sz="4" w:space="0"/>
            </w:tcBorders>
            <w:shd w:val="clear" w:color="auto" w:fill="auto"/>
            <w:noWrap/>
            <w:vAlign w:val="center"/>
          </w:tcPr>
          <w:p w14:paraId="591BE758"/>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B4BE7D"/>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BCF91E">
            <w:pPr>
              <w:widowControl/>
              <w:spacing w:line="320" w:lineRule="exact"/>
              <w:jc w:val="center"/>
              <w:textAlignment w:val="bottom"/>
              <w:rPr>
                <w:rFonts w:ascii="仿宋_GB2312" w:eastAsia="仿宋_GB2312" w:cs="仿宋_GB2312"/>
                <w:sz w:val="28"/>
                <w:szCs w:val="28"/>
              </w:rPr>
            </w:pPr>
            <w:r>
              <w:rPr>
                <w:rFonts w:hint="eastAsia" w:ascii="仿宋_GB2312" w:eastAsia="仿宋_GB2312" w:cs="仿宋_GB2312"/>
                <w:kern w:val="0"/>
                <w:sz w:val="28"/>
                <w:szCs w:val="28"/>
              </w:rPr>
              <w:t>成本指标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1DED48">
            <w:pPr>
              <w:widowControl/>
              <w:spacing w:line="320" w:lineRule="exact"/>
              <w:jc w:val="center"/>
              <w:textAlignment w:val="bottom"/>
              <w:rPr>
                <w:rFonts w:asci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99716A">
            <w:pPr>
              <w:widowControl/>
              <w:spacing w:line="320" w:lineRule="exact"/>
              <w:jc w:val="center"/>
              <w:textAlignment w:val="bottom"/>
              <w:rPr>
                <w:rFonts w:asci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F55DC9">
            <w:pPr>
              <w:widowControl/>
              <w:spacing w:line="320" w:lineRule="exact"/>
              <w:jc w:val="center"/>
              <w:textAlignment w:val="bottom"/>
              <w:rPr>
                <w:rFonts w:ascii="仿宋_GB2312" w:eastAsia="仿宋_GB2312" w:cs="仿宋_GB2312"/>
                <w:sz w:val="28"/>
                <w:szCs w:val="28"/>
              </w:rPr>
            </w:pPr>
          </w:p>
        </w:tc>
      </w:tr>
      <w:tr w14:paraId="044780E0">
        <w:tblPrEx>
          <w:tblCellMar>
            <w:top w:w="0" w:type="dxa"/>
            <w:left w:w="108" w:type="dxa"/>
            <w:bottom w:w="0" w:type="dxa"/>
            <w:right w:w="108" w:type="dxa"/>
          </w:tblCellMar>
        </w:tblPrEx>
        <w:trPr>
          <w:gridAfter w:val="1"/>
          <w:wAfter w:w="234" w:type="dxa"/>
          <w:trHeight w:val="480" w:hRule="atLeast"/>
        </w:trPr>
        <w:tc>
          <w:tcPr>
            <w:tcW w:w="1977" w:type="dxa"/>
            <w:vMerge w:val="continue"/>
            <w:tcBorders>
              <w:top w:val="nil"/>
              <w:left w:val="single" w:color="000000" w:sz="4" w:space="0"/>
              <w:bottom w:val="nil"/>
              <w:right w:val="single" w:color="000000" w:sz="4" w:space="0"/>
            </w:tcBorders>
            <w:shd w:val="clear" w:color="auto" w:fill="auto"/>
            <w:noWrap/>
            <w:vAlign w:val="center"/>
          </w:tcPr>
          <w:p w14:paraId="0D294C46"/>
        </w:tc>
        <w:tc>
          <w:tcPr>
            <w:tcW w:w="114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E3641">
            <w:pPr>
              <w:widowControl/>
              <w:spacing w:line="320" w:lineRule="exact"/>
              <w:jc w:val="center"/>
              <w:textAlignment w:val="bottom"/>
              <w:rPr>
                <w:rFonts w:hint="eastAsia" w:ascii="仿宋_GB2312" w:eastAsia="仿宋_GB2312" w:cs="仿宋_GB2312"/>
                <w:kern w:val="0"/>
                <w:sz w:val="28"/>
                <w:szCs w:val="28"/>
                <w:lang w:eastAsia="zh-CN"/>
              </w:rPr>
            </w:pPr>
            <w:r>
              <w:rPr>
                <w:rFonts w:hint="eastAsia" w:ascii="仿宋_GB2312" w:eastAsia="仿宋_GB2312" w:cs="仿宋_GB2312"/>
                <w:kern w:val="0"/>
                <w:sz w:val="28"/>
                <w:szCs w:val="28"/>
              </w:rPr>
              <w:t>效益</w:t>
            </w:r>
          </w:p>
          <w:p w14:paraId="30D33269">
            <w:pPr>
              <w:widowControl/>
              <w:spacing w:line="320" w:lineRule="exact"/>
              <w:jc w:val="center"/>
              <w:textAlignment w:val="bottom"/>
              <w:rPr>
                <w:rFonts w:ascii="仿宋_GB2312" w:eastAsia="仿宋_GB2312" w:cs="仿宋_GB2312"/>
                <w:sz w:val="28"/>
                <w:szCs w:val="28"/>
              </w:rPr>
            </w:pPr>
            <w:r>
              <w:rPr>
                <w:rFonts w:hint="eastAsia" w:ascii="仿宋_GB2312" w:eastAsia="仿宋_GB2312" w:cs="仿宋_GB2312"/>
                <w:kern w:val="0"/>
                <w:sz w:val="28"/>
                <w:szCs w:val="28"/>
              </w:rPr>
              <w:t>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E24A48">
            <w:pPr>
              <w:widowControl/>
              <w:spacing w:line="320" w:lineRule="exact"/>
              <w:jc w:val="center"/>
              <w:textAlignment w:val="bottom"/>
              <w:rPr>
                <w:rFonts w:ascii="仿宋_GB2312" w:eastAsia="仿宋_GB2312" w:cs="仿宋_GB2312"/>
                <w:sz w:val="28"/>
                <w:szCs w:val="28"/>
              </w:rPr>
            </w:pPr>
            <w:r>
              <w:rPr>
                <w:rFonts w:hint="eastAsia" w:ascii="仿宋_GB2312" w:eastAsia="仿宋_GB2312" w:cs="仿宋_GB2312"/>
                <w:kern w:val="0"/>
                <w:sz w:val="28"/>
                <w:szCs w:val="28"/>
              </w:rPr>
              <w:t>经济效益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7CBDE4">
            <w:pPr>
              <w:widowControl/>
              <w:spacing w:line="320" w:lineRule="exact"/>
              <w:jc w:val="center"/>
              <w:textAlignment w:val="bottom"/>
              <w:rPr>
                <w:rFonts w:asci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897CAD">
            <w:pPr>
              <w:widowControl/>
              <w:spacing w:line="320" w:lineRule="exact"/>
              <w:jc w:val="center"/>
              <w:textAlignment w:val="bottom"/>
              <w:rPr>
                <w:rFonts w:asci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829A02">
            <w:pPr>
              <w:widowControl/>
              <w:spacing w:line="320" w:lineRule="exact"/>
              <w:jc w:val="center"/>
              <w:textAlignment w:val="bottom"/>
              <w:rPr>
                <w:rFonts w:ascii="仿宋_GB2312" w:eastAsia="仿宋_GB2312" w:cs="仿宋_GB2312"/>
                <w:sz w:val="28"/>
                <w:szCs w:val="28"/>
              </w:rPr>
            </w:pPr>
          </w:p>
        </w:tc>
      </w:tr>
      <w:tr w14:paraId="180FC8DB">
        <w:tblPrEx>
          <w:tblCellMar>
            <w:top w:w="0" w:type="dxa"/>
            <w:left w:w="108" w:type="dxa"/>
            <w:bottom w:w="0" w:type="dxa"/>
            <w:right w:w="108" w:type="dxa"/>
          </w:tblCellMar>
        </w:tblPrEx>
        <w:trPr>
          <w:gridAfter w:val="1"/>
          <w:wAfter w:w="234" w:type="dxa"/>
          <w:trHeight w:val="480" w:hRule="atLeast"/>
        </w:trPr>
        <w:tc>
          <w:tcPr>
            <w:tcW w:w="1977" w:type="dxa"/>
            <w:vMerge w:val="continue"/>
            <w:tcBorders>
              <w:top w:val="nil"/>
              <w:left w:val="single" w:color="000000" w:sz="4" w:space="0"/>
              <w:bottom w:val="nil"/>
              <w:right w:val="single" w:color="000000" w:sz="4" w:space="0"/>
            </w:tcBorders>
            <w:shd w:val="clear" w:color="auto" w:fill="auto"/>
            <w:noWrap/>
            <w:vAlign w:val="center"/>
          </w:tcPr>
          <w:p w14:paraId="38ADB8F6"/>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A4345B"/>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ACB81B">
            <w:pPr>
              <w:widowControl/>
              <w:spacing w:line="320" w:lineRule="exact"/>
              <w:jc w:val="center"/>
              <w:textAlignment w:val="bottom"/>
              <w:rPr>
                <w:rFonts w:ascii="仿宋_GB2312" w:eastAsia="仿宋_GB2312" w:cs="仿宋_GB2312"/>
                <w:sz w:val="28"/>
                <w:szCs w:val="28"/>
              </w:rPr>
            </w:pPr>
            <w:r>
              <w:rPr>
                <w:rFonts w:hint="eastAsia" w:ascii="仿宋_GB2312" w:eastAsia="仿宋_GB2312" w:cs="仿宋_GB2312"/>
                <w:kern w:val="0"/>
                <w:sz w:val="28"/>
                <w:szCs w:val="28"/>
              </w:rPr>
              <w:t>社会效益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9F8DD3">
            <w:pPr>
              <w:widowControl/>
              <w:spacing w:line="320" w:lineRule="exact"/>
              <w:jc w:val="center"/>
              <w:textAlignment w:val="bottom"/>
              <w:rPr>
                <w:rFonts w:asci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F08A59">
            <w:pPr>
              <w:widowControl/>
              <w:spacing w:line="320" w:lineRule="exact"/>
              <w:jc w:val="center"/>
              <w:textAlignment w:val="bottom"/>
              <w:rPr>
                <w:rFonts w:asci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826E53">
            <w:pPr>
              <w:widowControl/>
              <w:spacing w:line="320" w:lineRule="exact"/>
              <w:jc w:val="center"/>
              <w:textAlignment w:val="bottom"/>
              <w:rPr>
                <w:rFonts w:ascii="仿宋_GB2312" w:eastAsia="仿宋_GB2312" w:cs="仿宋_GB2312"/>
                <w:sz w:val="28"/>
                <w:szCs w:val="28"/>
              </w:rPr>
            </w:pPr>
          </w:p>
        </w:tc>
      </w:tr>
      <w:tr w14:paraId="482B4404">
        <w:tblPrEx>
          <w:tblCellMar>
            <w:top w:w="0" w:type="dxa"/>
            <w:left w:w="108" w:type="dxa"/>
            <w:bottom w:w="0" w:type="dxa"/>
            <w:right w:w="108" w:type="dxa"/>
          </w:tblCellMar>
        </w:tblPrEx>
        <w:trPr>
          <w:gridAfter w:val="1"/>
          <w:wAfter w:w="234" w:type="dxa"/>
          <w:trHeight w:val="577" w:hRule="atLeast"/>
        </w:trPr>
        <w:tc>
          <w:tcPr>
            <w:tcW w:w="1977" w:type="dxa"/>
            <w:vMerge w:val="continue"/>
            <w:tcBorders>
              <w:top w:val="nil"/>
              <w:left w:val="single" w:color="000000" w:sz="4" w:space="0"/>
              <w:bottom w:val="nil"/>
              <w:right w:val="single" w:color="000000" w:sz="4" w:space="0"/>
            </w:tcBorders>
            <w:shd w:val="clear" w:color="auto" w:fill="auto"/>
            <w:noWrap/>
            <w:vAlign w:val="center"/>
          </w:tcPr>
          <w:p w14:paraId="529514DB"/>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485A95"/>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59C794">
            <w:pPr>
              <w:widowControl/>
              <w:spacing w:line="320" w:lineRule="exact"/>
              <w:ind w:left="463" w:leftChars="87" w:hanging="280" w:hangingChars="100"/>
              <w:jc w:val="left"/>
              <w:textAlignment w:val="bottom"/>
              <w:rPr>
                <w:rFonts w:ascii="仿宋_GB2312" w:eastAsia="仿宋_GB2312" w:cs="仿宋_GB2312"/>
                <w:sz w:val="28"/>
                <w:szCs w:val="28"/>
              </w:rPr>
            </w:pPr>
            <w:r>
              <w:rPr>
                <w:rFonts w:hint="eastAsia" w:ascii="仿宋_GB2312" w:eastAsia="仿宋_GB2312" w:cs="仿宋_GB2312"/>
                <w:kern w:val="0"/>
                <w:sz w:val="28"/>
                <w:szCs w:val="28"/>
              </w:rPr>
              <w:t>生态效益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53AE91">
            <w:pPr>
              <w:widowControl/>
              <w:spacing w:line="320" w:lineRule="exact"/>
              <w:jc w:val="center"/>
              <w:textAlignment w:val="bottom"/>
              <w:rPr>
                <w:rFonts w:asci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A16B7A">
            <w:pPr>
              <w:widowControl/>
              <w:spacing w:line="320" w:lineRule="exact"/>
              <w:jc w:val="center"/>
              <w:textAlignment w:val="bottom"/>
              <w:rPr>
                <w:rFonts w:asci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340398">
            <w:pPr>
              <w:widowControl/>
              <w:spacing w:line="320" w:lineRule="exact"/>
              <w:jc w:val="center"/>
              <w:textAlignment w:val="bottom"/>
              <w:rPr>
                <w:rFonts w:ascii="仿宋_GB2312" w:eastAsia="仿宋_GB2312" w:cs="仿宋_GB2312"/>
                <w:sz w:val="28"/>
                <w:szCs w:val="28"/>
              </w:rPr>
            </w:pPr>
          </w:p>
        </w:tc>
      </w:tr>
      <w:tr w14:paraId="3AEEC5ED">
        <w:tblPrEx>
          <w:tblCellMar>
            <w:top w:w="0" w:type="dxa"/>
            <w:left w:w="108" w:type="dxa"/>
            <w:bottom w:w="0" w:type="dxa"/>
            <w:right w:w="108" w:type="dxa"/>
          </w:tblCellMar>
        </w:tblPrEx>
        <w:trPr>
          <w:gridAfter w:val="1"/>
          <w:wAfter w:w="234" w:type="dxa"/>
          <w:trHeight w:val="480" w:hRule="atLeast"/>
        </w:trPr>
        <w:tc>
          <w:tcPr>
            <w:tcW w:w="1977" w:type="dxa"/>
            <w:vMerge w:val="continue"/>
            <w:tcBorders>
              <w:top w:val="nil"/>
              <w:left w:val="single" w:color="000000" w:sz="4" w:space="0"/>
              <w:bottom w:val="nil"/>
              <w:right w:val="single" w:color="000000" w:sz="4" w:space="0"/>
            </w:tcBorders>
            <w:shd w:val="clear" w:color="auto" w:fill="auto"/>
            <w:noWrap/>
            <w:vAlign w:val="center"/>
          </w:tcPr>
          <w:p w14:paraId="4F563D8C"/>
        </w:tc>
        <w:tc>
          <w:tcPr>
            <w:tcW w:w="114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5BAD74"/>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35B63E8">
            <w:pPr>
              <w:widowControl/>
              <w:spacing w:line="320" w:lineRule="exact"/>
              <w:jc w:val="center"/>
              <w:textAlignment w:val="bottom"/>
              <w:rPr>
                <w:rFonts w:ascii="仿宋_GB2312" w:eastAsia="仿宋_GB2312" w:cs="仿宋_GB2312"/>
                <w:sz w:val="28"/>
                <w:szCs w:val="28"/>
              </w:rPr>
            </w:pPr>
            <w:r>
              <w:rPr>
                <w:rFonts w:hint="eastAsia" w:ascii="仿宋_GB2312" w:eastAsia="仿宋_GB2312" w:cs="仿宋_GB2312"/>
                <w:kern w:val="0"/>
                <w:sz w:val="28"/>
                <w:szCs w:val="28"/>
              </w:rPr>
              <w:t>可持续影响 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2D470E">
            <w:pPr>
              <w:widowControl/>
              <w:spacing w:line="320" w:lineRule="exact"/>
              <w:jc w:val="center"/>
              <w:textAlignment w:val="bottom"/>
              <w:rPr>
                <w:rFonts w:asci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F4D004">
            <w:pPr>
              <w:widowControl/>
              <w:spacing w:line="320" w:lineRule="exact"/>
              <w:jc w:val="center"/>
              <w:textAlignment w:val="bottom"/>
              <w:rPr>
                <w:rFonts w:asci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82B00D">
            <w:pPr>
              <w:widowControl/>
              <w:spacing w:line="320" w:lineRule="exact"/>
              <w:jc w:val="center"/>
              <w:textAlignment w:val="bottom"/>
              <w:rPr>
                <w:rFonts w:ascii="仿宋_GB2312" w:eastAsia="仿宋_GB2312" w:cs="仿宋_GB2312"/>
                <w:sz w:val="28"/>
                <w:szCs w:val="28"/>
              </w:rPr>
            </w:pPr>
          </w:p>
        </w:tc>
      </w:tr>
      <w:tr w14:paraId="4F9125E3">
        <w:tblPrEx>
          <w:tblCellMar>
            <w:top w:w="0" w:type="dxa"/>
            <w:left w:w="108" w:type="dxa"/>
            <w:bottom w:w="0" w:type="dxa"/>
            <w:right w:w="108" w:type="dxa"/>
          </w:tblCellMar>
        </w:tblPrEx>
        <w:trPr>
          <w:gridAfter w:val="1"/>
          <w:wAfter w:w="234" w:type="dxa"/>
          <w:trHeight w:val="530" w:hRule="atLeast"/>
        </w:trPr>
        <w:tc>
          <w:tcPr>
            <w:tcW w:w="1977" w:type="dxa"/>
            <w:vMerge w:val="continue"/>
            <w:tcBorders>
              <w:top w:val="nil"/>
              <w:left w:val="single" w:color="000000" w:sz="4" w:space="0"/>
              <w:bottom w:val="single" w:color="000000" w:sz="4" w:space="0"/>
              <w:right w:val="single" w:color="000000" w:sz="4" w:space="0"/>
            </w:tcBorders>
            <w:shd w:val="clear" w:color="auto" w:fill="auto"/>
            <w:noWrap/>
            <w:vAlign w:val="center"/>
          </w:tcPr>
          <w:p w14:paraId="556B6A78"/>
        </w:tc>
        <w:tc>
          <w:tcPr>
            <w:tcW w:w="11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4C2C46">
            <w:pPr>
              <w:widowControl/>
              <w:spacing w:line="320" w:lineRule="exact"/>
              <w:jc w:val="center"/>
              <w:textAlignment w:val="bottom"/>
              <w:rPr>
                <w:rFonts w:hint="eastAsia" w:ascii="仿宋_GB2312" w:eastAsia="仿宋_GB2312" w:cs="仿宋_GB2312"/>
                <w:kern w:val="0"/>
                <w:sz w:val="28"/>
                <w:szCs w:val="28"/>
                <w:lang w:eastAsia="zh-CN"/>
              </w:rPr>
            </w:pPr>
            <w:r>
              <w:rPr>
                <w:rFonts w:hint="eastAsia" w:ascii="仿宋_GB2312" w:eastAsia="仿宋_GB2312" w:cs="仿宋_GB2312"/>
                <w:kern w:val="0"/>
                <w:sz w:val="28"/>
                <w:szCs w:val="28"/>
              </w:rPr>
              <w:t>满意</w:t>
            </w:r>
          </w:p>
          <w:p w14:paraId="05A215DC">
            <w:pPr>
              <w:widowControl/>
              <w:spacing w:line="320" w:lineRule="exact"/>
              <w:jc w:val="center"/>
              <w:textAlignment w:val="bottom"/>
              <w:rPr>
                <w:rFonts w:ascii="仿宋_GB2312" w:eastAsia="仿宋_GB2312" w:cs="仿宋_GB2312"/>
                <w:sz w:val="28"/>
                <w:szCs w:val="28"/>
              </w:rPr>
            </w:pPr>
            <w:r>
              <w:rPr>
                <w:rFonts w:hint="eastAsia" w:ascii="仿宋_GB2312" w:eastAsia="仿宋_GB2312" w:cs="仿宋_GB2312"/>
                <w:kern w:val="0"/>
                <w:sz w:val="28"/>
                <w:szCs w:val="28"/>
              </w:rPr>
              <w:t>度指标</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6928A9">
            <w:pPr>
              <w:widowControl/>
              <w:spacing w:line="320" w:lineRule="exact"/>
              <w:jc w:val="center"/>
              <w:textAlignment w:val="bottom"/>
              <w:rPr>
                <w:rFonts w:ascii="仿宋_GB2312" w:eastAsia="仿宋_GB2312" w:cs="仿宋_GB2312"/>
                <w:kern w:val="0"/>
                <w:sz w:val="28"/>
                <w:szCs w:val="28"/>
              </w:rPr>
            </w:pPr>
            <w:r>
              <w:rPr>
                <w:rFonts w:hint="eastAsia" w:ascii="仿宋_GB2312" w:eastAsia="仿宋_GB2312" w:cs="仿宋_GB2312"/>
                <w:kern w:val="0"/>
                <w:sz w:val="28"/>
                <w:szCs w:val="28"/>
              </w:rPr>
              <w:t>满意度</w:t>
            </w:r>
          </w:p>
          <w:p w14:paraId="679A4F2E">
            <w:pPr>
              <w:widowControl/>
              <w:spacing w:line="320" w:lineRule="exact"/>
              <w:jc w:val="center"/>
              <w:textAlignment w:val="bottom"/>
              <w:rPr>
                <w:rFonts w:ascii="仿宋_GB2312" w:eastAsia="仿宋_GB2312" w:cs="仿宋_GB2312"/>
                <w:sz w:val="28"/>
                <w:szCs w:val="28"/>
              </w:rPr>
            </w:pPr>
            <w:r>
              <w:rPr>
                <w:rFonts w:hint="eastAsia" w:ascii="仿宋_GB2312" w:eastAsia="仿宋_GB2312" w:cs="仿宋_GB2312"/>
                <w:kern w:val="0"/>
                <w:sz w:val="28"/>
                <w:szCs w:val="28"/>
              </w:rPr>
              <w:t>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E283D4">
            <w:pPr>
              <w:widowControl/>
              <w:spacing w:line="320" w:lineRule="exact"/>
              <w:jc w:val="center"/>
              <w:textAlignment w:val="bottom"/>
              <w:rPr>
                <w:rFonts w:ascii="仿宋_GB2312" w:eastAsia="仿宋_GB2312" w:cs="仿宋_GB2312"/>
                <w:sz w:val="28"/>
                <w:szCs w:val="28"/>
              </w:rPr>
            </w:pPr>
          </w:p>
        </w:tc>
        <w:tc>
          <w:tcPr>
            <w:tcW w:w="12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6D8620">
            <w:pPr>
              <w:widowControl/>
              <w:spacing w:line="320" w:lineRule="exact"/>
              <w:jc w:val="center"/>
              <w:textAlignment w:val="bottom"/>
              <w:rPr>
                <w:rFonts w:ascii="仿宋_GB2312" w:eastAsia="仿宋_GB2312" w:cs="仿宋_GB2312"/>
                <w:sz w:val="28"/>
                <w:szCs w:val="28"/>
              </w:rPr>
            </w:pP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1FE06E">
            <w:pPr>
              <w:widowControl/>
              <w:spacing w:line="320" w:lineRule="exact"/>
              <w:jc w:val="center"/>
              <w:textAlignment w:val="bottom"/>
              <w:rPr>
                <w:rFonts w:ascii="仿宋_GB2312" w:eastAsia="仿宋_GB2312" w:cs="仿宋_GB2312"/>
                <w:sz w:val="28"/>
                <w:szCs w:val="28"/>
              </w:rPr>
            </w:pPr>
          </w:p>
        </w:tc>
      </w:tr>
    </w:tbl>
    <w:p w14:paraId="7E2F4C3A">
      <w:pPr>
        <w:widowControl/>
        <w:adjustRightInd w:val="0"/>
        <w:snapToGrid w:val="0"/>
        <w:spacing w:line="580" w:lineRule="exact"/>
        <w:ind w:firstLine="640" w:firstLineChars="200"/>
        <w:contextualSpacing/>
        <w:jc w:val="left"/>
        <w:rPr>
          <w:rFonts w:ascii="仿宋_GB2312" w:eastAsia="仿宋_GB2312" w:cs="宋体"/>
          <w:kern w:val="0"/>
          <w:sz w:val="32"/>
          <w:szCs w:val="32"/>
          <w:shd w:val="clear" w:color="auto" w:fill="FFFFFF"/>
          <w:lang w:val="zh-CN"/>
        </w:rPr>
      </w:pPr>
      <w:r>
        <w:rPr>
          <w:rFonts w:hint="eastAsia" w:ascii="仿宋_GB2312" w:eastAsia="仿宋_GB2312" w:cs="宋体"/>
          <w:kern w:val="0"/>
          <w:sz w:val="32"/>
          <w:szCs w:val="32"/>
          <w:shd w:val="clear" w:color="auto" w:fill="FFFFFF"/>
          <w:lang w:val="zh-CN"/>
        </w:rPr>
        <w:t>附表：</w:t>
      </w:r>
    </w:p>
    <w:p w14:paraId="5169FF7D">
      <w:pPr>
        <w:widowControl/>
        <w:adjustRightInd w:val="0"/>
        <w:snapToGrid w:val="0"/>
        <w:spacing w:line="580" w:lineRule="exact"/>
        <w:contextualSpacing/>
        <w:jc w:val="left"/>
      </w:pPr>
      <w:r>
        <w:rPr>
          <w:rFonts w:hint="eastAsia" w:ascii="仿宋_GB2312" w:eastAsia="仿宋_GB2312" w:cs="宋体"/>
          <w:kern w:val="0"/>
          <w:sz w:val="32"/>
          <w:szCs w:val="32"/>
          <w:shd w:val="clear" w:color="auto" w:fill="FFFFFF"/>
        </w:rPr>
        <w:t>（注：有两个及以上100万元以上（含）特定目标类部门预算项目的，需分别开展绩效目标自评并填写附表）</w:t>
      </w:r>
    </w:p>
    <w:p w14:paraId="7EF6C1B0">
      <w:pPr>
        <w:widowControl/>
        <w:adjustRightInd w:val="0"/>
        <w:snapToGrid w:val="0"/>
        <w:spacing w:line="580" w:lineRule="exact"/>
        <w:contextualSpacing/>
        <w:jc w:val="left"/>
        <w:rPr>
          <w:rFonts w:hint="eastAsia" w:ascii="仿宋_GB2312" w:hAnsi="Times New Roman" w:eastAsia="仿宋_GB2312" w:cs="宋体"/>
          <w:kern w:val="0"/>
          <w:sz w:val="32"/>
          <w:szCs w:val="32"/>
          <w:shd w:val="clear" w:color="auto" w:fill="FFFFFF"/>
          <w:lang w:val="en-US"/>
        </w:rPr>
      </w:pPr>
      <w:r>
        <w:rPr>
          <w:rFonts w:hint="eastAsia" w:ascii="仿宋_GB2312" w:hAnsi="Times New Roman" w:eastAsia="仿宋_GB2312" w:cs="宋体"/>
          <w:kern w:val="0"/>
          <w:sz w:val="32"/>
          <w:szCs w:val="32"/>
          <w:shd w:val="clear" w:color="auto" w:fill="FFFFFF"/>
          <w:lang w:val="en-US"/>
        </w:rPr>
        <w:t>我单位无100万以上特定目标类部门项目预算</w:t>
      </w:r>
    </w:p>
    <w:p w14:paraId="70C1D122">
      <w:pPr>
        <w:widowControl/>
        <w:jc w:val="left"/>
        <w:rPr>
          <w:rStyle w:val="18"/>
          <w:rFonts w:ascii="黑体" w:eastAsia="黑体"/>
          <w:b w:val="0"/>
        </w:rPr>
      </w:pPr>
      <w:r>
        <w:rPr>
          <w:rStyle w:val="18"/>
          <w:rFonts w:ascii="黑体" w:eastAsia="黑体"/>
          <w:b w:val="0"/>
        </w:rPr>
        <w:br w:type="page"/>
      </w:r>
    </w:p>
    <w:p w14:paraId="0CE982A3">
      <w:pPr>
        <w:spacing w:line="600" w:lineRule="exact"/>
        <w:jc w:val="center"/>
        <w:outlineLvl w:val="0"/>
        <w:rPr>
          <w:rFonts w:ascii="仿宋" w:eastAsia="仿宋"/>
        </w:rPr>
      </w:pPr>
      <w:bookmarkStart w:id="141" w:name="_Toc7075"/>
      <w:bookmarkStart w:id="142" w:name="_Toc15396618"/>
      <w:r>
        <w:rPr>
          <w:rFonts w:hint="eastAsia" w:ascii="黑体" w:eastAsia="黑体"/>
          <w:sz w:val="44"/>
          <w:szCs w:val="44"/>
        </w:rPr>
        <w:t>第</w:t>
      </w:r>
      <w:r>
        <w:rPr>
          <w:rStyle w:val="18"/>
          <w:rFonts w:hint="eastAsia" w:ascii="黑体" w:eastAsia="黑体"/>
          <w:b w:val="0"/>
        </w:rPr>
        <w:t>五部分 附表</w:t>
      </w:r>
      <w:bookmarkEnd w:id="106"/>
      <w:bookmarkEnd w:id="141"/>
      <w:bookmarkEnd w:id="142"/>
      <w:bookmarkStart w:id="143" w:name="_Toc15396619"/>
    </w:p>
    <w:p w14:paraId="51710599">
      <w:pPr>
        <w:pStyle w:val="5"/>
        <w:rPr>
          <w:rFonts w:ascii="仿宋" w:eastAsia="仿宋"/>
        </w:rPr>
      </w:pPr>
      <w:bookmarkStart w:id="144" w:name="_Toc22638"/>
      <w:bookmarkStart w:id="145" w:name="_Toc6655"/>
      <w:r>
        <w:rPr>
          <w:rFonts w:hint="eastAsia" w:ascii="仿宋" w:eastAsia="仿宋"/>
          <w:b w:val="0"/>
        </w:rPr>
        <w:t>一、收</w:t>
      </w:r>
      <w:r>
        <w:rPr>
          <w:rStyle w:val="19"/>
          <w:rFonts w:hint="eastAsia" w:ascii="仿宋" w:eastAsia="仿宋"/>
          <w:b w:val="0"/>
          <w:bCs w:val="0"/>
        </w:rPr>
        <w:t>入支出决算总表</w:t>
      </w:r>
      <w:bookmarkEnd w:id="143"/>
      <w:bookmarkEnd w:id="144"/>
      <w:bookmarkEnd w:id="145"/>
    </w:p>
    <w:p w14:paraId="7981E38F">
      <w:pPr>
        <w:pStyle w:val="5"/>
        <w:rPr>
          <w:rFonts w:ascii="仿宋" w:eastAsia="仿宋"/>
        </w:rPr>
      </w:pPr>
      <w:bookmarkStart w:id="146" w:name="_Toc19421"/>
      <w:bookmarkStart w:id="147" w:name="_Toc6762"/>
      <w:bookmarkStart w:id="148" w:name="_Toc15396620"/>
      <w:r>
        <w:rPr>
          <w:rFonts w:hint="eastAsia" w:ascii="仿宋" w:eastAsia="仿宋"/>
          <w:b w:val="0"/>
        </w:rPr>
        <w:t>二、收</w:t>
      </w:r>
      <w:r>
        <w:rPr>
          <w:rStyle w:val="19"/>
          <w:rFonts w:hint="eastAsia" w:ascii="仿宋" w:eastAsia="仿宋"/>
          <w:b w:val="0"/>
          <w:bCs w:val="0"/>
        </w:rPr>
        <w:t>入决算表</w:t>
      </w:r>
      <w:bookmarkEnd w:id="146"/>
      <w:bookmarkEnd w:id="147"/>
      <w:bookmarkEnd w:id="148"/>
    </w:p>
    <w:p w14:paraId="1102679E">
      <w:pPr>
        <w:pStyle w:val="5"/>
        <w:rPr>
          <w:rFonts w:ascii="仿宋" w:eastAsia="仿宋"/>
        </w:rPr>
      </w:pPr>
      <w:bookmarkStart w:id="149" w:name="_Toc5157"/>
      <w:bookmarkStart w:id="150" w:name="_Toc31437"/>
      <w:bookmarkStart w:id="151" w:name="_Toc15396621"/>
      <w:r>
        <w:rPr>
          <w:rStyle w:val="19"/>
          <w:rFonts w:hint="eastAsia" w:ascii="仿宋" w:eastAsia="仿宋"/>
          <w:b w:val="0"/>
          <w:bCs w:val="0"/>
        </w:rPr>
        <w:t>三、</w:t>
      </w:r>
      <w:r>
        <w:rPr>
          <w:rFonts w:hint="eastAsia" w:ascii="仿宋" w:eastAsia="仿宋"/>
          <w:b w:val="0"/>
        </w:rPr>
        <w:t>支</w:t>
      </w:r>
      <w:r>
        <w:rPr>
          <w:rStyle w:val="19"/>
          <w:rFonts w:hint="eastAsia" w:ascii="仿宋" w:eastAsia="仿宋"/>
          <w:b w:val="0"/>
          <w:bCs w:val="0"/>
        </w:rPr>
        <w:t>出决算表</w:t>
      </w:r>
      <w:bookmarkEnd w:id="149"/>
      <w:bookmarkEnd w:id="150"/>
      <w:bookmarkEnd w:id="151"/>
    </w:p>
    <w:p w14:paraId="197D3CE0">
      <w:pPr>
        <w:pStyle w:val="5"/>
        <w:rPr>
          <w:rFonts w:ascii="仿宋" w:eastAsia="仿宋"/>
          <w:b w:val="0"/>
        </w:rPr>
      </w:pPr>
      <w:bookmarkStart w:id="152" w:name="_Toc15396622"/>
      <w:bookmarkStart w:id="153" w:name="_Toc30794"/>
      <w:bookmarkStart w:id="154" w:name="_Toc29397"/>
      <w:r>
        <w:rPr>
          <w:rStyle w:val="19"/>
          <w:rFonts w:hint="eastAsia" w:ascii="仿宋" w:eastAsia="仿宋"/>
          <w:b w:val="0"/>
          <w:bCs w:val="0"/>
        </w:rPr>
        <w:t>四、</w:t>
      </w:r>
      <w:r>
        <w:rPr>
          <w:rFonts w:hint="eastAsia" w:ascii="仿宋" w:eastAsia="仿宋"/>
          <w:b w:val="0"/>
        </w:rPr>
        <w:t>财</w:t>
      </w:r>
      <w:r>
        <w:rPr>
          <w:rStyle w:val="19"/>
          <w:rFonts w:hint="eastAsia" w:ascii="仿宋" w:eastAsia="仿宋"/>
          <w:b w:val="0"/>
          <w:bCs w:val="0"/>
        </w:rPr>
        <w:t>政拨款收入支出决算总表</w:t>
      </w:r>
      <w:bookmarkEnd w:id="152"/>
      <w:bookmarkEnd w:id="153"/>
      <w:bookmarkEnd w:id="154"/>
    </w:p>
    <w:p w14:paraId="130341A3">
      <w:pPr>
        <w:pStyle w:val="5"/>
        <w:rPr>
          <w:rStyle w:val="19"/>
          <w:rFonts w:ascii="仿宋" w:eastAsia="仿宋"/>
          <w:b w:val="0"/>
          <w:bCs w:val="0"/>
        </w:rPr>
      </w:pPr>
      <w:bookmarkStart w:id="155" w:name="_Toc15396623"/>
      <w:bookmarkStart w:id="156" w:name="_Toc11986"/>
      <w:bookmarkStart w:id="157" w:name="_Toc31900"/>
      <w:r>
        <w:rPr>
          <w:rStyle w:val="19"/>
          <w:rFonts w:hint="eastAsia" w:ascii="仿宋" w:eastAsia="仿宋"/>
          <w:b w:val="0"/>
          <w:bCs w:val="0"/>
        </w:rPr>
        <w:t>五、</w:t>
      </w:r>
      <w:r>
        <w:rPr>
          <w:rFonts w:hint="eastAsia" w:ascii="仿宋" w:eastAsia="仿宋"/>
          <w:b w:val="0"/>
        </w:rPr>
        <w:t>财</w:t>
      </w:r>
      <w:r>
        <w:rPr>
          <w:rStyle w:val="19"/>
          <w:rFonts w:hint="eastAsia" w:ascii="仿宋" w:eastAsia="仿宋"/>
          <w:b w:val="0"/>
          <w:bCs w:val="0"/>
        </w:rPr>
        <w:t>政拨款支出决算明细表</w:t>
      </w:r>
      <w:bookmarkEnd w:id="155"/>
      <w:bookmarkEnd w:id="156"/>
      <w:bookmarkEnd w:id="157"/>
      <w:bookmarkStart w:id="158" w:name="_Toc15396624"/>
    </w:p>
    <w:p w14:paraId="27DCFC54">
      <w:pPr>
        <w:pStyle w:val="5"/>
        <w:rPr>
          <w:rFonts w:ascii="仿宋" w:eastAsia="仿宋"/>
        </w:rPr>
      </w:pPr>
      <w:bookmarkStart w:id="159" w:name="_Toc18545"/>
      <w:bookmarkStart w:id="160" w:name="_Toc7536"/>
      <w:r>
        <w:rPr>
          <w:rStyle w:val="19"/>
          <w:rFonts w:hint="eastAsia" w:ascii="仿宋" w:eastAsia="仿宋"/>
          <w:b w:val="0"/>
          <w:bCs w:val="0"/>
        </w:rPr>
        <w:t>六、</w:t>
      </w:r>
      <w:r>
        <w:rPr>
          <w:rFonts w:hint="eastAsia" w:ascii="仿宋" w:eastAsia="仿宋"/>
          <w:b w:val="0"/>
        </w:rPr>
        <w:t>一</w:t>
      </w:r>
      <w:r>
        <w:rPr>
          <w:rStyle w:val="19"/>
          <w:rFonts w:hint="eastAsia" w:ascii="仿宋" w:eastAsia="仿宋"/>
          <w:b w:val="0"/>
          <w:bCs w:val="0"/>
        </w:rPr>
        <w:t>般公共预算财政拨款支出决算表</w:t>
      </w:r>
      <w:bookmarkEnd w:id="158"/>
      <w:bookmarkEnd w:id="159"/>
      <w:bookmarkEnd w:id="160"/>
    </w:p>
    <w:p w14:paraId="6F0E729B">
      <w:pPr>
        <w:pStyle w:val="5"/>
        <w:rPr>
          <w:rFonts w:ascii="仿宋" w:eastAsia="仿宋"/>
        </w:rPr>
      </w:pPr>
      <w:bookmarkStart w:id="161" w:name="_Toc22881"/>
      <w:bookmarkStart w:id="162" w:name="_Toc32101"/>
      <w:bookmarkStart w:id="163" w:name="_Toc15396625"/>
      <w:r>
        <w:rPr>
          <w:rStyle w:val="19"/>
          <w:rFonts w:hint="eastAsia" w:ascii="仿宋" w:eastAsia="仿宋"/>
          <w:b w:val="0"/>
          <w:bCs w:val="0"/>
        </w:rPr>
        <w:t>七、</w:t>
      </w:r>
      <w:r>
        <w:rPr>
          <w:rFonts w:hint="eastAsia" w:ascii="仿宋" w:eastAsia="仿宋"/>
          <w:b w:val="0"/>
        </w:rPr>
        <w:t>一</w:t>
      </w:r>
      <w:r>
        <w:rPr>
          <w:rStyle w:val="19"/>
          <w:rFonts w:hint="eastAsia" w:ascii="仿宋" w:eastAsia="仿宋"/>
          <w:b w:val="0"/>
          <w:bCs w:val="0"/>
        </w:rPr>
        <w:t>般公共预算财政拨款支出决算明细表</w:t>
      </w:r>
      <w:bookmarkEnd w:id="161"/>
      <w:bookmarkEnd w:id="162"/>
      <w:bookmarkEnd w:id="163"/>
    </w:p>
    <w:p w14:paraId="2D4A9CB3">
      <w:pPr>
        <w:pStyle w:val="5"/>
        <w:rPr>
          <w:rFonts w:ascii="仿宋" w:eastAsia="仿宋"/>
        </w:rPr>
      </w:pPr>
      <w:bookmarkStart w:id="164" w:name="_Toc31095"/>
      <w:bookmarkStart w:id="165" w:name="_Toc29387"/>
      <w:bookmarkStart w:id="166" w:name="_Toc15396626"/>
      <w:r>
        <w:rPr>
          <w:rStyle w:val="19"/>
          <w:rFonts w:hint="eastAsia" w:ascii="仿宋" w:eastAsia="仿宋"/>
          <w:b w:val="0"/>
          <w:bCs w:val="0"/>
        </w:rPr>
        <w:t>八、</w:t>
      </w:r>
      <w:r>
        <w:rPr>
          <w:rFonts w:hint="eastAsia" w:ascii="仿宋" w:eastAsia="仿宋"/>
          <w:b w:val="0"/>
        </w:rPr>
        <w:t>一</w:t>
      </w:r>
      <w:r>
        <w:rPr>
          <w:rStyle w:val="19"/>
          <w:rFonts w:hint="eastAsia" w:ascii="仿宋" w:eastAsia="仿宋"/>
          <w:b w:val="0"/>
          <w:bCs w:val="0"/>
        </w:rPr>
        <w:t>般公共预算财政拨款基本支出决算表</w:t>
      </w:r>
      <w:bookmarkEnd w:id="164"/>
      <w:bookmarkEnd w:id="165"/>
      <w:bookmarkEnd w:id="166"/>
    </w:p>
    <w:p w14:paraId="1F4AFF71">
      <w:pPr>
        <w:pStyle w:val="5"/>
        <w:rPr>
          <w:rFonts w:ascii="仿宋" w:eastAsia="仿宋"/>
        </w:rPr>
      </w:pPr>
      <w:bookmarkStart w:id="167" w:name="_Toc15396627"/>
      <w:bookmarkStart w:id="168" w:name="_Toc20471"/>
      <w:bookmarkStart w:id="169" w:name="_Toc18617"/>
      <w:r>
        <w:rPr>
          <w:rStyle w:val="19"/>
          <w:rFonts w:hint="eastAsia" w:ascii="仿宋" w:eastAsia="仿宋"/>
          <w:b w:val="0"/>
          <w:bCs w:val="0"/>
        </w:rPr>
        <w:t>九、</w:t>
      </w:r>
      <w:r>
        <w:rPr>
          <w:rFonts w:hint="eastAsia" w:ascii="仿宋" w:eastAsia="仿宋"/>
          <w:b w:val="0"/>
        </w:rPr>
        <w:t>一</w:t>
      </w:r>
      <w:r>
        <w:rPr>
          <w:rStyle w:val="19"/>
          <w:rFonts w:hint="eastAsia" w:ascii="仿宋" w:eastAsia="仿宋"/>
          <w:b w:val="0"/>
          <w:bCs w:val="0"/>
        </w:rPr>
        <w:t>般公共预算财政拨款项目支出决算表</w:t>
      </w:r>
      <w:bookmarkEnd w:id="167"/>
      <w:bookmarkEnd w:id="168"/>
      <w:bookmarkEnd w:id="169"/>
    </w:p>
    <w:p w14:paraId="066F3BE2">
      <w:pPr>
        <w:pStyle w:val="5"/>
        <w:rPr>
          <w:rFonts w:ascii="仿宋" w:eastAsia="仿宋"/>
        </w:rPr>
      </w:pPr>
      <w:bookmarkStart w:id="170" w:name="_Toc23012"/>
      <w:bookmarkStart w:id="171" w:name="_Toc698"/>
      <w:bookmarkStart w:id="172" w:name="_Toc15396628"/>
      <w:r>
        <w:rPr>
          <w:rStyle w:val="19"/>
          <w:rFonts w:hint="eastAsia" w:ascii="仿宋" w:eastAsia="仿宋"/>
          <w:b w:val="0"/>
          <w:bCs w:val="0"/>
        </w:rPr>
        <w:t>十、</w:t>
      </w:r>
      <w:r>
        <w:rPr>
          <w:rFonts w:hint="eastAsia" w:ascii="仿宋" w:eastAsia="仿宋"/>
          <w:b w:val="0"/>
        </w:rPr>
        <w:t>一</w:t>
      </w:r>
      <w:r>
        <w:rPr>
          <w:rStyle w:val="19"/>
          <w:rFonts w:hint="eastAsia" w:ascii="仿宋" w:eastAsia="仿宋"/>
          <w:b w:val="0"/>
          <w:bCs w:val="0"/>
        </w:rPr>
        <w:t>般公共预算财政拨款“三公”经费支出决算表</w:t>
      </w:r>
      <w:bookmarkEnd w:id="170"/>
      <w:bookmarkEnd w:id="171"/>
      <w:bookmarkEnd w:id="172"/>
    </w:p>
    <w:p w14:paraId="7AADB551">
      <w:pPr>
        <w:pStyle w:val="5"/>
        <w:rPr>
          <w:rFonts w:ascii="仿宋" w:eastAsia="仿宋"/>
        </w:rPr>
      </w:pPr>
      <w:bookmarkStart w:id="173" w:name="_Toc15396629"/>
      <w:bookmarkStart w:id="174" w:name="_Toc18119"/>
      <w:bookmarkStart w:id="175" w:name="_Toc16066"/>
      <w:r>
        <w:rPr>
          <w:rStyle w:val="19"/>
          <w:rFonts w:hint="eastAsia" w:ascii="仿宋" w:eastAsia="仿宋"/>
          <w:b w:val="0"/>
          <w:bCs w:val="0"/>
        </w:rPr>
        <w:t>十一、</w:t>
      </w:r>
      <w:r>
        <w:rPr>
          <w:rFonts w:hint="eastAsia" w:ascii="仿宋" w:eastAsia="仿宋"/>
          <w:b w:val="0"/>
        </w:rPr>
        <w:t>政</w:t>
      </w:r>
      <w:r>
        <w:rPr>
          <w:rStyle w:val="19"/>
          <w:rFonts w:hint="eastAsia" w:ascii="仿宋" w:eastAsia="仿宋"/>
          <w:b w:val="0"/>
          <w:bCs w:val="0"/>
        </w:rPr>
        <w:t>府性基金预算财政拨款收入支出决算表</w:t>
      </w:r>
      <w:bookmarkEnd w:id="173"/>
      <w:bookmarkEnd w:id="174"/>
      <w:bookmarkEnd w:id="175"/>
    </w:p>
    <w:p w14:paraId="0FEEE8AA">
      <w:pPr>
        <w:pStyle w:val="5"/>
        <w:rPr>
          <w:rFonts w:ascii="仿宋" w:eastAsia="仿宋"/>
        </w:rPr>
      </w:pPr>
      <w:bookmarkStart w:id="176" w:name="_Toc18279"/>
      <w:bookmarkStart w:id="177" w:name="_Toc15396630"/>
      <w:bookmarkStart w:id="178" w:name="_Toc29728"/>
      <w:r>
        <w:rPr>
          <w:rStyle w:val="19"/>
          <w:rFonts w:hint="eastAsia" w:ascii="仿宋" w:eastAsia="仿宋"/>
          <w:b w:val="0"/>
          <w:bCs w:val="0"/>
        </w:rPr>
        <w:t>十二、</w:t>
      </w:r>
      <w:r>
        <w:rPr>
          <w:rFonts w:hint="eastAsia" w:ascii="仿宋" w:eastAsia="仿宋"/>
          <w:b w:val="0"/>
        </w:rPr>
        <w:t>政</w:t>
      </w:r>
      <w:r>
        <w:rPr>
          <w:rStyle w:val="19"/>
          <w:rFonts w:hint="eastAsia" w:ascii="仿宋" w:eastAsia="仿宋"/>
          <w:b w:val="0"/>
          <w:bCs w:val="0"/>
        </w:rPr>
        <w:t>府性基金预算财政拨款“三公”经费支出决算表</w:t>
      </w:r>
      <w:bookmarkEnd w:id="176"/>
      <w:bookmarkEnd w:id="177"/>
      <w:bookmarkEnd w:id="178"/>
    </w:p>
    <w:p w14:paraId="576E3316">
      <w:pPr>
        <w:pStyle w:val="5"/>
        <w:rPr>
          <w:rStyle w:val="19"/>
          <w:rFonts w:ascii="仿宋" w:eastAsia="仿宋"/>
          <w:b w:val="0"/>
          <w:bCs w:val="0"/>
        </w:rPr>
      </w:pPr>
      <w:bookmarkStart w:id="179" w:name="_Toc15396631"/>
      <w:bookmarkStart w:id="180" w:name="_Toc2606"/>
      <w:bookmarkStart w:id="181" w:name="_Toc20616"/>
      <w:r>
        <w:rPr>
          <w:rStyle w:val="19"/>
          <w:rFonts w:hint="eastAsia" w:ascii="仿宋" w:eastAsia="仿宋"/>
          <w:b w:val="0"/>
          <w:bCs w:val="0"/>
        </w:rPr>
        <w:t>十三、</w:t>
      </w:r>
      <w:r>
        <w:rPr>
          <w:rFonts w:hint="eastAsia" w:ascii="仿宋" w:eastAsia="仿宋"/>
          <w:b w:val="0"/>
        </w:rPr>
        <w:t>国</w:t>
      </w:r>
      <w:r>
        <w:rPr>
          <w:rStyle w:val="19"/>
          <w:rFonts w:hint="eastAsia" w:ascii="仿宋" w:eastAsia="仿宋"/>
          <w:b w:val="0"/>
          <w:bCs w:val="0"/>
        </w:rPr>
        <w:t>有资本经营预算财政拨款收入支出决算表</w:t>
      </w:r>
      <w:bookmarkEnd w:id="179"/>
      <w:bookmarkEnd w:id="180"/>
      <w:bookmarkEnd w:id="181"/>
    </w:p>
    <w:p w14:paraId="207CA638">
      <w:pPr>
        <w:rPr>
          <w:rFonts w:eastAsia="仿宋"/>
        </w:rPr>
      </w:pPr>
      <w:bookmarkStart w:id="182" w:name="_Toc25701"/>
      <w:bookmarkStart w:id="183" w:name="_Toc23339"/>
      <w:r>
        <w:rPr>
          <w:rStyle w:val="19"/>
          <w:rFonts w:hint="eastAsia" w:ascii="仿宋" w:eastAsia="仿宋"/>
          <w:b w:val="0"/>
          <w:bCs w:val="0"/>
        </w:rPr>
        <w:t>十四、国有资本经营预算财政拨款支出决算表</w:t>
      </w:r>
      <w:bookmarkEnd w:id="182"/>
      <w:bookmarkEnd w:id="183"/>
    </w:p>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29545916"/>
    </w:sdtPr>
    <w:sdtContent>
      <w:p w14:paraId="0012B9FB">
        <w:pPr>
          <w:pStyle w:val="10"/>
          <w:jc w:val="center"/>
        </w:pPr>
        <w:r>
          <w:fldChar w:fldCharType="begin"/>
        </w:r>
        <w:r>
          <w:instrText xml:space="preserve">PAGE   \* MERGEFORMAT</w:instrText>
        </w:r>
        <w:r>
          <w:fldChar w:fldCharType="separate"/>
        </w:r>
        <w:r>
          <w:rPr>
            <w:lang w:val="zh-CN"/>
          </w:rPr>
          <w:t>8</w:t>
        </w:r>
        <w:r>
          <w:fldChar w:fldCharType="end"/>
        </w:r>
      </w:p>
    </w:sdtContent>
  </w:sdt>
  <w:p w14:paraId="30306C4F">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2E7B1">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ind w:left="0" w:firstLine="0"/>
      </w:pPr>
      <w:rPr>
        <w:rFonts w:hint="eastAsia"/>
      </w:rPr>
    </w:lvl>
  </w:abstractNum>
  <w:abstractNum w:abstractNumId="1">
    <w:nsid w:val="E2FA047D"/>
    <w:multiLevelType w:val="singleLevel"/>
    <w:tmpl w:val="E2FA047D"/>
    <w:lvl w:ilvl="0" w:tentative="0">
      <w:start w:val="3"/>
      <w:numFmt w:val="chineseCounting"/>
      <w:suff w:val="space"/>
      <w:lvlText w:val="第%1部分"/>
      <w:lvlJc w:val="left"/>
      <w:pPr>
        <w:ind w:left="0" w:firstLine="0"/>
      </w:pPr>
      <w:rPr>
        <w:rFonts w:hint="eastAsia"/>
      </w:rPr>
    </w:lvl>
  </w:abstractNum>
  <w:abstractNum w:abstractNumId="2">
    <w:nsid w:val="F9930F21"/>
    <w:multiLevelType w:val="singleLevel"/>
    <w:tmpl w:val="F9930F21"/>
    <w:lvl w:ilvl="0" w:tentative="0">
      <w:start w:val="2"/>
      <w:numFmt w:val="chineseCounting"/>
      <w:suff w:val="nothing"/>
      <w:lvlText w:val="（%1）"/>
      <w:lvlJc w:val="left"/>
      <w:rPr>
        <w:rFonts w:hint="eastAsia"/>
      </w:rPr>
    </w:lvl>
  </w:abstractNum>
  <w:abstractNum w:abstractNumId="3">
    <w:nsid w:val="0C8996F4"/>
    <w:multiLevelType w:val="singleLevel"/>
    <w:tmpl w:val="0C8996F4"/>
    <w:lvl w:ilvl="0" w:tentative="0">
      <w:start w:val="2"/>
      <w:numFmt w:val="decimal"/>
      <w:suff w:val="nothing"/>
      <w:lvlText w:val="%1．"/>
      <w:lvlJc w:val="left"/>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5F6F9A1C"/>
    <w:multiLevelType w:val="singleLevel"/>
    <w:tmpl w:val="5F6F9A1C"/>
    <w:lvl w:ilvl="0" w:tentative="0">
      <w:start w:val="2"/>
      <w:numFmt w:val="decimal"/>
      <w:suff w:val="nothing"/>
      <w:lvlText w:val="%1．"/>
      <w:lvlJc w:val="left"/>
    </w:lvl>
  </w:abstractNum>
  <w:abstractNum w:abstractNumId="6">
    <w:nsid w:val="62621CDC"/>
    <w:multiLevelType w:val="multilevel"/>
    <w:tmpl w:val="62621CDC"/>
    <w:lvl w:ilvl="0" w:tentative="0">
      <w:start w:val="1"/>
      <w:numFmt w:val="decimal"/>
      <w:lvlText w:val="%1."/>
      <w:lvlJc w:val="left"/>
      <w:pPr>
        <w:ind w:left="1152" w:hanging="480"/>
      </w:pPr>
      <w:rPr>
        <w:rFonts w:hint="default" w:cs="Times New Roman"/>
      </w:rPr>
    </w:lvl>
    <w:lvl w:ilvl="1" w:tentative="0">
      <w:start w:val="1"/>
      <w:numFmt w:val="lowerLetter"/>
      <w:lvlText w:val="%2)"/>
      <w:lvlJc w:val="left"/>
      <w:pPr>
        <w:ind w:left="1512" w:hanging="420"/>
      </w:pPr>
      <w:rPr>
        <w:rFonts w:cs="Times New Roman"/>
      </w:rPr>
    </w:lvl>
    <w:lvl w:ilvl="2" w:tentative="0">
      <w:start w:val="1"/>
      <w:numFmt w:val="lowerRoman"/>
      <w:lvlText w:val="%3."/>
      <w:lvlJc w:val="right"/>
      <w:pPr>
        <w:ind w:left="1932" w:hanging="420"/>
      </w:pPr>
      <w:rPr>
        <w:rFonts w:cs="Times New Roman"/>
      </w:rPr>
    </w:lvl>
    <w:lvl w:ilvl="3" w:tentative="0">
      <w:start w:val="1"/>
      <w:numFmt w:val="decimal"/>
      <w:lvlText w:val="%4."/>
      <w:lvlJc w:val="left"/>
      <w:pPr>
        <w:ind w:left="2352" w:hanging="420"/>
      </w:pPr>
      <w:rPr>
        <w:rFonts w:cs="Times New Roman"/>
      </w:rPr>
    </w:lvl>
    <w:lvl w:ilvl="4" w:tentative="0">
      <w:start w:val="1"/>
      <w:numFmt w:val="lowerLetter"/>
      <w:lvlText w:val="%5)"/>
      <w:lvlJc w:val="left"/>
      <w:pPr>
        <w:ind w:left="2772" w:hanging="420"/>
      </w:pPr>
      <w:rPr>
        <w:rFonts w:cs="Times New Roman"/>
      </w:rPr>
    </w:lvl>
    <w:lvl w:ilvl="5" w:tentative="0">
      <w:start w:val="1"/>
      <w:numFmt w:val="lowerRoman"/>
      <w:lvlText w:val="%6."/>
      <w:lvlJc w:val="right"/>
      <w:pPr>
        <w:ind w:left="3192" w:hanging="420"/>
      </w:pPr>
      <w:rPr>
        <w:rFonts w:cs="Times New Roman"/>
      </w:rPr>
    </w:lvl>
    <w:lvl w:ilvl="6" w:tentative="0">
      <w:start w:val="1"/>
      <w:numFmt w:val="decimal"/>
      <w:lvlText w:val="%7."/>
      <w:lvlJc w:val="left"/>
      <w:pPr>
        <w:ind w:left="3612" w:hanging="420"/>
      </w:pPr>
      <w:rPr>
        <w:rFonts w:cs="Times New Roman"/>
      </w:rPr>
    </w:lvl>
    <w:lvl w:ilvl="7" w:tentative="0">
      <w:start w:val="1"/>
      <w:numFmt w:val="lowerLetter"/>
      <w:lvlText w:val="%8)"/>
      <w:lvlJc w:val="left"/>
      <w:pPr>
        <w:ind w:left="4032" w:hanging="420"/>
      </w:pPr>
      <w:rPr>
        <w:rFonts w:cs="Times New Roman"/>
      </w:rPr>
    </w:lvl>
    <w:lvl w:ilvl="8" w:tentative="0">
      <w:start w:val="1"/>
      <w:numFmt w:val="lowerRoman"/>
      <w:lvlText w:val="%9."/>
      <w:lvlJc w:val="right"/>
      <w:pPr>
        <w:ind w:left="4452" w:hanging="420"/>
      </w:pPr>
      <w:rPr>
        <w:rFonts w:cs="Times New Roman"/>
      </w:rPr>
    </w:lvl>
  </w:abstractNum>
  <w:num w:numId="1">
    <w:abstractNumId w:val="6"/>
  </w:num>
  <w:num w:numId="2">
    <w:abstractNumId w:val="4"/>
  </w:num>
  <w:num w:numId="3">
    <w:abstractNumId w:val="0"/>
  </w:num>
  <w:num w:numId="4">
    <w:abstractNumId w:val="1"/>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YjllZGNkZWEzYjg0NDNmNTQ5MjkzNjk0ODlhNmVkYzAifQ=="/>
  </w:docVars>
  <w:rsids>
    <w:rsidRoot w:val="005A6850"/>
    <w:rsid w:val="003369FF"/>
    <w:rsid w:val="005A6850"/>
    <w:rsid w:val="007E0B38"/>
    <w:rsid w:val="00B44167"/>
    <w:rsid w:val="00D12052"/>
    <w:rsid w:val="00D90040"/>
    <w:rsid w:val="00DD0E6F"/>
    <w:rsid w:val="06C93AF8"/>
    <w:rsid w:val="0D134CA1"/>
    <w:rsid w:val="0D2B61B4"/>
    <w:rsid w:val="0FC72E97"/>
    <w:rsid w:val="102B0D84"/>
    <w:rsid w:val="140D2CF4"/>
    <w:rsid w:val="147277F5"/>
    <w:rsid w:val="19C571DC"/>
    <w:rsid w:val="1B981352"/>
    <w:rsid w:val="21DF218F"/>
    <w:rsid w:val="255A1523"/>
    <w:rsid w:val="298D2860"/>
    <w:rsid w:val="29B03871"/>
    <w:rsid w:val="2CE33F5E"/>
    <w:rsid w:val="351B16CF"/>
    <w:rsid w:val="3B4D4EE0"/>
    <w:rsid w:val="3F7247DD"/>
    <w:rsid w:val="40330901"/>
    <w:rsid w:val="40DA3AA9"/>
    <w:rsid w:val="42B5305D"/>
    <w:rsid w:val="450A701A"/>
    <w:rsid w:val="45E701C3"/>
    <w:rsid w:val="4AF53AE7"/>
    <w:rsid w:val="4EBB21ED"/>
    <w:rsid w:val="50EC4179"/>
    <w:rsid w:val="555768D4"/>
    <w:rsid w:val="603F18AA"/>
    <w:rsid w:val="648C4D57"/>
    <w:rsid w:val="6851119A"/>
    <w:rsid w:val="687C2723"/>
    <w:rsid w:val="69753E18"/>
    <w:rsid w:val="6FA50623"/>
    <w:rsid w:val="74874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19"/>
    <w:unhideWhenUsed/>
    <w:qFormat/>
    <w:uiPriority w:val="9"/>
    <w:pPr>
      <w:keepNext/>
      <w:keepLines/>
      <w:spacing w:before="260" w:after="260" w:line="415" w:lineRule="auto"/>
      <w:outlineLvl w:val="1"/>
    </w:pPr>
    <w:rPr>
      <w:rFonts w:ascii="Cambria" w:hAnsi="Cambria"/>
      <w:b/>
      <w:bCs/>
      <w:sz w:val="32"/>
      <w:szCs w:val="32"/>
    </w:rPr>
  </w:style>
  <w:style w:type="paragraph" w:styleId="6">
    <w:name w:val="heading 3"/>
    <w:basedOn w:val="1"/>
    <w:next w:val="1"/>
    <w:semiHidden/>
    <w:unhideWhenUsed/>
    <w:qFormat/>
    <w:uiPriority w:val="9"/>
    <w:pPr>
      <w:keepNext/>
      <w:keepLines/>
      <w:spacing w:before="260" w:after="260" w:line="415" w:lineRule="auto"/>
      <w:outlineLvl w:val="2"/>
    </w:pPr>
    <w:rPr>
      <w:b/>
      <w:bCs/>
      <w:sz w:val="32"/>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eastAsia" w:ascii="Times New Roman" w:hAnsi="Times New Roman" w:eastAsia="宋体" w:cs="Times New Roman"/>
      <w:kern w:val="2"/>
      <w:sz w:val="21"/>
      <w:szCs w:val="24"/>
      <w:lang w:val="en-US" w:eastAsia="zh-CN" w:bidi="ar-SA"/>
    </w:rPr>
  </w:style>
  <w:style w:type="paragraph" w:styleId="3">
    <w:name w:val="Body Text Indent"/>
    <w:basedOn w:val="1"/>
    <w:qFormat/>
    <w:uiPriority w:val="0"/>
    <w:pPr>
      <w:spacing w:line="500" w:lineRule="exact"/>
      <w:ind w:firstLine="720" w:firstLineChars="240"/>
    </w:pPr>
    <w:rPr>
      <w:rFonts w:ascii="仿宋_GB2312"/>
      <w:b/>
      <w:sz w:val="30"/>
      <w:szCs w:val="24"/>
    </w:rPr>
  </w:style>
  <w:style w:type="paragraph" w:styleId="7">
    <w:name w:val="Body Text"/>
    <w:basedOn w:val="1"/>
    <w:qFormat/>
    <w:uiPriority w:val="0"/>
    <w:pPr>
      <w:spacing w:before="30" w:beforeLines="30"/>
    </w:pPr>
    <w:rPr>
      <w:rFonts w:ascii="仿宋_GB2312" w:eastAsia="仿宋_GB2312"/>
      <w:kern w:val="0"/>
      <w:sz w:val="30"/>
    </w:rPr>
  </w:style>
  <w:style w:type="paragraph" w:styleId="8">
    <w:name w:val="toc 3"/>
    <w:basedOn w:val="1"/>
    <w:next w:val="1"/>
    <w:qFormat/>
    <w:uiPriority w:val="0"/>
    <w:pPr>
      <w:tabs>
        <w:tab w:val="right" w:leader="dot" w:pos="8296"/>
      </w:tabs>
      <w:ind w:left="400" w:leftChars="400"/>
    </w:p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qFormat/>
    <w:uiPriority w:val="0"/>
    <w:pPr>
      <w:tabs>
        <w:tab w:val="right" w:leader="dot" w:pos="8296"/>
      </w:tabs>
      <w:spacing w:before="93"/>
      <w:jc w:val="center"/>
    </w:pPr>
    <w:rPr>
      <w:rFonts w:ascii="仿宋" w:eastAsia="仿宋"/>
      <w:sz w:val="28"/>
      <w:szCs w:val="28"/>
    </w:rPr>
  </w:style>
  <w:style w:type="paragraph" w:styleId="13">
    <w:name w:val="toc 2"/>
    <w:basedOn w:val="1"/>
    <w:next w:val="1"/>
    <w:qFormat/>
    <w:uiPriority w:val="0"/>
    <w:pPr>
      <w:tabs>
        <w:tab w:val="right" w:leader="dot" w:pos="8296"/>
      </w:tabs>
      <w:ind w:left="200" w:leftChars="200"/>
    </w:p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character" w:customStyle="1" w:styleId="18">
    <w:name w:val="标题 1 字符"/>
    <w:basedOn w:val="15"/>
    <w:link w:val="4"/>
    <w:qFormat/>
    <w:uiPriority w:val="0"/>
    <w:rPr>
      <w:rFonts w:ascii="Times New Roman" w:hAnsi="Times New Roman" w:eastAsia="宋体" w:cs="Times New Roman"/>
      <w:b/>
      <w:bCs/>
      <w:kern w:val="44"/>
      <w:sz w:val="44"/>
      <w:szCs w:val="44"/>
      <w:lang w:val="en-US" w:eastAsia="zh-CN" w:bidi="ar-SA"/>
    </w:rPr>
  </w:style>
  <w:style w:type="character" w:customStyle="1" w:styleId="19">
    <w:name w:val="标题 2 字符"/>
    <w:basedOn w:val="15"/>
    <w:link w:val="5"/>
    <w:qFormat/>
    <w:uiPriority w:val="0"/>
    <w:rPr>
      <w:rFonts w:ascii="Cambria" w:hAnsi="Cambria" w:eastAsia="宋体" w:cs="Times New Roman"/>
      <w:b/>
      <w:bCs/>
      <w:kern w:val="2"/>
      <w:sz w:val="32"/>
      <w:szCs w:val="32"/>
      <w:lang w:val="en-US" w:eastAsia="zh-CN" w:bidi="ar-SA"/>
    </w:rPr>
  </w:style>
  <w:style w:type="character" w:customStyle="1" w:styleId="20">
    <w:name w:val="Header Char"/>
    <w:basedOn w:val="15"/>
    <w:qFormat/>
    <w:uiPriority w:val="0"/>
    <w:rPr>
      <w:rFonts w:ascii="Times New Roman" w:hAnsi="Times New Roman"/>
      <w:sz w:val="18"/>
      <w:szCs w:val="18"/>
    </w:rPr>
  </w:style>
  <w:style w:type="character" w:customStyle="1" w:styleId="21">
    <w:name w:val="Footer Char"/>
    <w:basedOn w:val="15"/>
    <w:qFormat/>
    <w:uiPriority w:val="0"/>
    <w:rPr>
      <w:rFonts w:ascii="Times New Roman" w:hAnsi="Times New Roman"/>
      <w:sz w:val="18"/>
      <w:szCs w:val="18"/>
    </w:rPr>
  </w:style>
  <w:style w:type="character" w:customStyle="1" w:styleId="22">
    <w:name w:val="Body Text Char"/>
    <w:basedOn w:val="15"/>
    <w:qFormat/>
    <w:uiPriority w:val="0"/>
    <w:rPr>
      <w:rFonts w:ascii="Times New Roman" w:hAnsi="Times New Roman"/>
      <w:szCs w:val="24"/>
    </w:rPr>
  </w:style>
  <w:style w:type="paragraph" w:customStyle="1" w:styleId="23">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4">
    <w:name w:val="List Paragraph"/>
    <w:basedOn w:val="1"/>
    <w:qFormat/>
    <w:uiPriority w:val="0"/>
    <w:pPr>
      <w:ind w:firstLine="200" w:firstLineChars="200"/>
    </w:pPr>
  </w:style>
  <w:style w:type="paragraph" w:customStyle="1" w:styleId="25">
    <w:name w:val="TOC 标题1"/>
    <w:basedOn w:val="4"/>
    <w:next w:val="1"/>
    <w:qFormat/>
    <w:uiPriority w:val="0"/>
    <w:pPr>
      <w:widowControl/>
      <w:spacing w:before="480" w:after="0" w:line="276" w:lineRule="auto"/>
      <w:jc w:val="left"/>
      <w:outlineLvl w:val="9"/>
    </w:pPr>
    <w:rPr>
      <w:rFonts w:ascii="Cambria" w:hAnsi="Cambria"/>
      <w:color w:val="376092"/>
      <w:kern w:val="0"/>
      <w:sz w:val="28"/>
      <w:szCs w:val="28"/>
    </w:rPr>
  </w:style>
  <w:style w:type="paragraph" w:customStyle="1" w:styleId="26">
    <w:name w:val="TOC 标题2"/>
    <w:basedOn w:val="4"/>
    <w:next w:val="1"/>
    <w:qFormat/>
    <w:uiPriority w:val="0"/>
    <w:pPr>
      <w:widowControl/>
      <w:spacing w:before="480" w:after="0" w:line="276" w:lineRule="auto"/>
      <w:jc w:val="left"/>
      <w:outlineLvl w:val="9"/>
    </w:pPr>
    <w:rPr>
      <w:rFonts w:ascii="Cambria" w:hAnsi="Cambria"/>
      <w:color w:val="376092"/>
      <w:kern w:val="0"/>
      <w:sz w:val="28"/>
      <w:szCs w:val="28"/>
    </w:rPr>
  </w:style>
  <w:style w:type="paragraph" w:customStyle="1" w:styleId="2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28">
    <w:name w:val="WPSOffice手动目录 1"/>
    <w:qFormat/>
    <w:uiPriority w:val="0"/>
    <w:pPr>
      <w:ind w:leftChars="0"/>
    </w:pPr>
    <w:rPr>
      <w:rFonts w:ascii="Times New Roman" w:hAnsi="Times New Roman" w:eastAsia="宋体" w:cs="Times New Roman"/>
      <w:sz w:val="20"/>
      <w:szCs w:val="20"/>
    </w:rPr>
  </w:style>
  <w:style w:type="paragraph" w:customStyle="1" w:styleId="29">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42</Pages>
  <Words>15772</Words>
  <Characters>16766</Characters>
  <Lines>57</Lines>
  <Paragraphs>16</Paragraphs>
  <TotalTime>4</TotalTime>
  <ScaleCrop>false</ScaleCrop>
  <LinksUpToDate>false</LinksUpToDate>
  <CharactersWithSpaces>17045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一个笨蛋</cp:lastModifiedBy>
  <cp:lastPrinted>2022-09-14T08:43:00Z</cp:lastPrinted>
  <dcterms:modified xsi:type="dcterms:W3CDTF">2026-09-15T00:58:02Z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2129B767F333403D9583B54D0A7F9765</vt:lpwstr>
  </property>
  <property fmtid="{D5CDD505-2E9C-101B-9397-08002B2CF9AE}" pid="4" name="KSOTemplateDocerSaveRecord">
    <vt:lpwstr>eyJoZGlkIjoiYjllZGNkZWEzYjg0NDNmNTQ5MjkzNjk0ODlhNmVkYzAiLCJ1c2VySWQiOiI0MTAxMDQ4MDkifQ==</vt:lpwstr>
  </property>
</Properties>
</file>