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0E85226">
      <w:pPr>
        <w:pStyle w:val="5"/>
        <w:rPr>
          <w:rFonts w:hint="eastAsia" w:ascii="Times New Roman" w:hAnsi="Times New Roman" w:eastAsia="方正小标宋简体" w:cs="Times New Roman"/>
          <w:color w:val="auto"/>
          <w:kern w:val="2"/>
          <w:sz w:val="72"/>
          <w:szCs w:val="72"/>
          <w:highlight w:val="none"/>
          <w:lang w:val="en-US" w:eastAsia="zh-CN" w:bidi="ar-SA"/>
        </w:rPr>
      </w:pPr>
      <w:bookmarkStart w:id="0" w:name="_Toc15306267"/>
      <w:bookmarkStart w:id="1" w:name="_Toc15378441"/>
      <w:bookmarkStart w:id="2" w:name="_Toc15396597"/>
      <w:bookmarkStart w:id="3" w:name="_Toc15377193"/>
      <w:bookmarkStart w:id="4" w:name="_Toc15377425"/>
      <w:bookmarkStart w:id="5" w:name="_Toc15396475"/>
    </w:p>
    <w:p w14:paraId="2349B97F">
      <w:pPr>
        <w:pStyle w:val="5"/>
        <w:jc w:val="center"/>
        <w:rPr>
          <w:rFonts w:hint="default" w:ascii="Times New Roman" w:hAnsi="Times New Roman" w:eastAsia="方正小标宋简体"/>
          <w:color w:val="auto"/>
          <w:sz w:val="72"/>
          <w:szCs w:val="72"/>
          <w:highlight w:val="none"/>
          <w:lang w:val="en-US"/>
        </w:rPr>
      </w:pPr>
      <w:r>
        <w:rPr>
          <w:rFonts w:hint="eastAsia" w:ascii="Times New Roman" w:eastAsia="方正小标宋简体" w:cs="Times New Roman"/>
          <w:color w:val="auto"/>
          <w:kern w:val="2"/>
          <w:sz w:val="44"/>
          <w:szCs w:val="44"/>
          <w:highlight w:val="none"/>
          <w:lang w:val="en-US" w:eastAsia="zh-CN" w:bidi="ar-SA"/>
        </w:rPr>
        <w:t>2025年度阿坝州民族科普工作队、阿坝州科技馆</w:t>
      </w:r>
      <w:r>
        <w:rPr>
          <w:rFonts w:hint="eastAsia" w:ascii="Times New Roman" w:hAnsi="Times New Roman" w:eastAsia="方正小标宋简体" w:cs="Times New Roman"/>
          <w:color w:val="auto"/>
          <w:kern w:val="2"/>
          <w:sz w:val="44"/>
          <w:szCs w:val="44"/>
          <w:highlight w:val="none"/>
          <w:lang w:val="en-US" w:eastAsia="zh-CN" w:bidi="ar-SA"/>
        </w:rPr>
        <w:t>决算</w:t>
      </w:r>
      <w:r>
        <w:rPr>
          <w:rFonts w:hint="eastAsia" w:ascii="Times New Roman" w:eastAsia="方正小标宋简体" w:cs="Times New Roman"/>
          <w:color w:val="auto"/>
          <w:kern w:val="2"/>
          <w:sz w:val="44"/>
          <w:szCs w:val="44"/>
          <w:highlight w:val="none"/>
          <w:lang w:val="en-US" w:eastAsia="zh-CN" w:bidi="ar-SA"/>
        </w:rPr>
        <w:t>公开</w:t>
      </w:r>
    </w:p>
    <w:p w14:paraId="292A6B03">
      <w:pPr>
        <w:pStyle w:val="20"/>
        <w:rPr>
          <w:rFonts w:ascii="Times New Roman" w:hAnsi="Times New Roman"/>
        </w:rPr>
      </w:pPr>
    </w:p>
    <w:p w14:paraId="34C5388E">
      <w:pPr>
        <w:bidi w:val="0"/>
      </w:pPr>
    </w:p>
    <w:p w14:paraId="59A076F5">
      <w:pPr>
        <w:bidi w:val="0"/>
      </w:pPr>
    </w:p>
    <w:p w14:paraId="30582095">
      <w:pPr>
        <w:bidi w:val="0"/>
      </w:pPr>
    </w:p>
    <w:p w14:paraId="2FA36DFF">
      <w:pPr>
        <w:bidi w:val="0"/>
      </w:pPr>
    </w:p>
    <w:p w14:paraId="22F16E18">
      <w:pPr>
        <w:bidi w:val="0"/>
      </w:pPr>
    </w:p>
    <w:p w14:paraId="42033F6E">
      <w:pPr>
        <w:bidi w:val="0"/>
      </w:pPr>
    </w:p>
    <w:p w14:paraId="2CB4312E">
      <w:pPr>
        <w:bidi w:val="0"/>
      </w:pPr>
    </w:p>
    <w:p w14:paraId="212756C6">
      <w:pPr>
        <w:bidi w:val="0"/>
      </w:pPr>
    </w:p>
    <w:p w14:paraId="7FB8580C">
      <w:pPr>
        <w:bidi w:val="0"/>
      </w:pPr>
    </w:p>
    <w:p w14:paraId="590EFFBD">
      <w:pPr>
        <w:bidi w:val="0"/>
      </w:pPr>
    </w:p>
    <w:p w14:paraId="72E99D1F">
      <w:pPr>
        <w:bidi w:val="0"/>
      </w:pPr>
    </w:p>
    <w:p w14:paraId="48036FD5">
      <w:pPr>
        <w:bidi w:val="0"/>
      </w:pPr>
    </w:p>
    <w:p w14:paraId="227A0249">
      <w:pPr>
        <w:bidi w:val="0"/>
      </w:pPr>
    </w:p>
    <w:p w14:paraId="73308D1B">
      <w:pPr>
        <w:bidi w:val="0"/>
      </w:pPr>
    </w:p>
    <w:p w14:paraId="325E9B95">
      <w:pPr>
        <w:bidi w:val="0"/>
      </w:pPr>
    </w:p>
    <w:p w14:paraId="40F5170A">
      <w:pPr>
        <w:bidi w:val="0"/>
      </w:pPr>
    </w:p>
    <w:p w14:paraId="3FEB9CE6">
      <w:pPr>
        <w:bidi w:val="0"/>
      </w:pPr>
    </w:p>
    <w:p w14:paraId="7F99EEBC">
      <w:pPr>
        <w:bidi w:val="0"/>
      </w:pPr>
    </w:p>
    <w:p w14:paraId="4A84CC31">
      <w:pPr>
        <w:bidi w:val="0"/>
      </w:pPr>
    </w:p>
    <w:p w14:paraId="2306168B">
      <w:pPr>
        <w:bidi w:val="0"/>
      </w:pPr>
    </w:p>
    <w:p w14:paraId="57BDE551">
      <w:pPr>
        <w:bidi w:val="0"/>
      </w:pPr>
    </w:p>
    <w:p w14:paraId="5C19CA03">
      <w:pPr>
        <w:bidi w:val="0"/>
      </w:pPr>
    </w:p>
    <w:p w14:paraId="1ED0553B">
      <w:pPr>
        <w:bidi w:val="0"/>
      </w:pPr>
    </w:p>
    <w:p w14:paraId="44B4B6DB">
      <w:pPr>
        <w:bidi w:val="0"/>
      </w:pPr>
    </w:p>
    <w:p w14:paraId="0D65FA26">
      <w:pPr>
        <w:bidi w:val="0"/>
      </w:pPr>
    </w:p>
    <w:p w14:paraId="0BA35F5E">
      <w:pPr>
        <w:bidi w:val="0"/>
      </w:pPr>
    </w:p>
    <w:p w14:paraId="28A61CFB">
      <w:pPr>
        <w:bidi w:val="0"/>
      </w:pPr>
    </w:p>
    <w:p w14:paraId="7D89BE0D">
      <w:pPr>
        <w:bidi w:val="0"/>
      </w:pPr>
    </w:p>
    <w:p w14:paraId="7B641BAB">
      <w:pPr>
        <w:bidi w:val="0"/>
      </w:pPr>
    </w:p>
    <w:p w14:paraId="53CA61A7">
      <w:pPr>
        <w:tabs>
          <w:tab w:val="left" w:pos="5713"/>
        </w:tabs>
        <w:bidi w:val="0"/>
        <w:jc w:val="left"/>
        <w:rPr>
          <w:rFonts w:hint="eastAsia" w:eastAsia="宋体"/>
          <w:lang w:eastAsia="zh-CN"/>
        </w:rPr>
        <w:sectPr>
          <w:headerReference r:id="rId3" w:type="default"/>
          <w:footerReference r:id="rId4" w:type="default"/>
          <w:pgSz w:w="11906" w:h="16838"/>
          <w:pgMar w:top="1440" w:right="1800" w:bottom="1440" w:left="1800" w:header="851" w:footer="992" w:gutter="0"/>
          <w:pgNumType w:fmt="decimal" w:start="1"/>
          <w:cols w:space="425" w:num="1"/>
          <w:titlePg/>
          <w:docGrid w:type="lines" w:linePitch="312" w:charSpace="0"/>
        </w:sectPr>
      </w:pPr>
      <w:r>
        <w:rPr>
          <w:rFonts w:hint="eastAsia"/>
          <w:lang w:eastAsia="zh-CN"/>
        </w:rPr>
        <w:tab/>
      </w:r>
    </w:p>
    <w:p w14:paraId="00D62AFB">
      <w:pPr>
        <w:rPr>
          <w:rFonts w:ascii="Times New Roman" w:hAnsi="Times New Roman"/>
        </w:rPr>
      </w:pPr>
    </w:p>
    <w:bookmarkEnd w:id="0"/>
    <w:bookmarkEnd w:id="1"/>
    <w:bookmarkEnd w:id="2"/>
    <w:bookmarkEnd w:id="3"/>
    <w:bookmarkEnd w:id="4"/>
    <w:bookmarkEnd w:id="5"/>
    <w:p w14:paraId="72B89E4D">
      <w:pPr>
        <w:widowControl/>
        <w:jc w:val="center"/>
        <w:rPr>
          <w:rFonts w:hint="eastAsia" w:ascii="Times New Roman" w:hAnsi="Times New Roman" w:eastAsia="黑体"/>
          <w:color w:val="auto"/>
          <w:sz w:val="48"/>
          <w:szCs w:val="48"/>
          <w:highlight w:val="none"/>
        </w:rPr>
      </w:pPr>
      <w:r>
        <w:rPr>
          <w:rFonts w:hint="eastAsia" w:ascii="Times New Roman" w:hAnsi="Times New Roman" w:eastAsia="黑体"/>
          <w:color w:val="auto"/>
          <w:sz w:val="48"/>
          <w:szCs w:val="48"/>
          <w:highlight w:val="none"/>
        </w:rPr>
        <w:t>目录</w:t>
      </w:r>
    </w:p>
    <w:p w14:paraId="7EEA1B10">
      <w:pPr>
        <w:pStyle w:val="12"/>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公开时间：20</w:t>
      </w:r>
      <w:r>
        <w:rPr>
          <w:rFonts w:hint="eastAsia" w:ascii="Times New Roman" w:hAnsi="Times New Roman" w:eastAsia="仿宋_GB2312" w:cs="仿宋_GB2312"/>
          <w:color w:val="auto"/>
          <w:sz w:val="32"/>
          <w:szCs w:val="32"/>
          <w:highlight w:val="none"/>
          <w:lang w:val="en-US" w:eastAsia="zh-CN"/>
        </w:rPr>
        <w:t>26</w:t>
      </w:r>
      <w:r>
        <w:rPr>
          <w:rFonts w:hint="eastAsia" w:ascii="Times New Roman" w:hAnsi="Times New Roman" w:eastAsia="仿宋_GB2312" w:cs="仿宋_GB2312"/>
          <w:color w:val="auto"/>
          <w:sz w:val="32"/>
          <w:szCs w:val="32"/>
          <w:highlight w:val="none"/>
        </w:rPr>
        <w:t>年</w:t>
      </w:r>
      <w:r>
        <w:rPr>
          <w:rFonts w:hint="eastAsia" w:ascii="Times New Roman" w:hAnsi="Times New Roman" w:eastAsia="仿宋_GB2312" w:cs="仿宋_GB2312"/>
          <w:color w:val="auto"/>
          <w:sz w:val="32"/>
          <w:szCs w:val="32"/>
          <w:highlight w:val="none"/>
          <w:lang w:val="en-US" w:eastAsia="zh-CN"/>
        </w:rPr>
        <w:t xml:space="preserve"> 9</w:t>
      </w:r>
      <w:r>
        <w:rPr>
          <w:rFonts w:hint="eastAsia" w:ascii="Times New Roman" w:hAnsi="Times New Roman" w:eastAsia="仿宋_GB2312" w:cs="仿宋_GB2312"/>
          <w:color w:val="auto"/>
          <w:sz w:val="32"/>
          <w:szCs w:val="32"/>
          <w:highlight w:val="none"/>
        </w:rPr>
        <w:t>月</w:t>
      </w:r>
      <w:r>
        <w:rPr>
          <w:rFonts w:hint="eastAsia" w:ascii="Times New Roman" w:hAnsi="Times New Roman" w:eastAsia="仿宋_GB2312" w:cs="仿宋_GB2312"/>
          <w:color w:val="auto"/>
          <w:sz w:val="32"/>
          <w:szCs w:val="32"/>
          <w:highlight w:val="none"/>
          <w:lang w:val="en-US" w:eastAsia="zh-CN"/>
        </w:rPr>
        <w:t>15</w:t>
      </w:r>
      <w:r>
        <w:rPr>
          <w:rFonts w:hint="eastAsia" w:ascii="Times New Roman" w:hAnsi="Times New Roman" w:eastAsia="仿宋_GB2312" w:cs="仿宋_GB2312"/>
          <w:color w:val="auto"/>
          <w:sz w:val="32"/>
          <w:szCs w:val="32"/>
          <w:highlight w:val="none"/>
        </w:rPr>
        <w:t>日</w:t>
      </w:r>
    </w:p>
    <w:p w14:paraId="1C15A784">
      <w:pPr>
        <w:pStyle w:val="13"/>
        <w:rPr>
          <w:rFonts w:hint="eastAsia" w:ascii="Times New Roman" w:hAnsi="Times New Roman" w:eastAsia="黑体"/>
          <w:color w:val="auto"/>
          <w:sz w:val="48"/>
          <w:szCs w:val="48"/>
          <w:highlight w:val="none"/>
        </w:rPr>
      </w:pPr>
      <w:bookmarkStart w:id="100" w:name="_GoBack"/>
      <w:bookmarkEnd w:id="100"/>
    </w:p>
    <w:p w14:paraId="75357AB7">
      <w:pPr>
        <w:pStyle w:val="12"/>
        <w:tabs>
          <w:tab w:val="right" w:leader="dot" w:pos="8306"/>
          <w:tab w:val="clear" w:pos="8296"/>
        </w:tabs>
      </w:pPr>
      <w:r>
        <w:rPr>
          <w:rFonts w:hint="eastAsia" w:ascii="Times New Roman" w:hAnsi="Times New Roman" w:eastAsia="黑体"/>
          <w:color w:val="auto"/>
          <w:sz w:val="48"/>
          <w:szCs w:val="48"/>
          <w:highlight w:val="none"/>
        </w:rPr>
        <w:fldChar w:fldCharType="begin"/>
      </w:r>
      <w:r>
        <w:rPr>
          <w:rFonts w:hint="eastAsia" w:ascii="Times New Roman" w:hAnsi="Times New Roman" w:eastAsia="黑体"/>
          <w:color w:val="auto"/>
          <w:sz w:val="48"/>
          <w:szCs w:val="48"/>
          <w:highlight w:val="none"/>
        </w:rPr>
        <w:instrText xml:space="preserve">TOC \o "1-3" \h \u </w:instrText>
      </w:r>
      <w:r>
        <w:rPr>
          <w:rFonts w:hint="eastAsia" w:ascii="Times New Roman" w:hAnsi="Times New Roman" w:eastAsia="黑体"/>
          <w:color w:val="auto"/>
          <w:sz w:val="48"/>
          <w:szCs w:val="48"/>
          <w:highlight w:val="none"/>
        </w:rPr>
        <w:fldChar w:fldCharType="separate"/>
      </w:r>
      <w:r>
        <w:rPr>
          <w:rFonts w:hint="eastAsia" w:ascii="Times New Roman" w:hAnsi="Times New Roman" w:eastAsia="黑体"/>
          <w:color w:val="auto"/>
          <w:szCs w:val="48"/>
          <w:highlight w:val="none"/>
        </w:rPr>
        <w:fldChar w:fldCharType="begin"/>
      </w:r>
      <w:r>
        <w:rPr>
          <w:rFonts w:hint="eastAsia" w:ascii="Times New Roman" w:hAnsi="Times New Roman" w:eastAsia="黑体"/>
          <w:szCs w:val="48"/>
          <w:highlight w:val="none"/>
        </w:rPr>
        <w:instrText xml:space="preserve"> HYPERLINK \l _Toc16594 </w:instrText>
      </w:r>
      <w:r>
        <w:rPr>
          <w:rFonts w:hint="eastAsia" w:ascii="Times New Roman" w:hAnsi="Times New Roman" w:eastAsia="黑体"/>
          <w:szCs w:val="48"/>
          <w:highlight w:val="none"/>
        </w:rPr>
        <w:fldChar w:fldCharType="separate"/>
      </w:r>
      <w:r>
        <w:rPr>
          <w:rFonts w:hint="eastAsia" w:ascii="Times New Roman" w:hAnsi="Times New Roman" w:eastAsia="方正小标宋简体" w:cs="方正小标宋简体"/>
          <w:highlight w:val="none"/>
        </w:rPr>
        <w:t>第一部分</w:t>
      </w:r>
      <w:r>
        <w:rPr>
          <w:rFonts w:hint="eastAsia" w:ascii="Times New Roman" w:hAnsi="Times New Roman" w:eastAsia="方正小标宋简体" w:cs="方正小标宋简体"/>
          <w:highlight w:val="none"/>
          <w:lang w:val="en-US" w:eastAsia="zh-CN"/>
        </w:rPr>
        <w:t xml:space="preserve"> </w:t>
      </w:r>
      <w:r>
        <w:rPr>
          <w:rFonts w:hint="eastAsia" w:ascii="Times New Roman" w:hAnsi="Times New Roman" w:eastAsia="方正小标宋简体" w:cs="方正小标宋简体"/>
          <w:highlight w:val="none"/>
        </w:rPr>
        <w:t xml:space="preserve"> </w:t>
      </w:r>
      <w:r>
        <w:rPr>
          <w:rFonts w:hint="eastAsia" w:ascii="Times New Roman" w:hAnsi="Times New Roman" w:eastAsia="方正小标宋简体" w:cs="方正小标宋简体"/>
          <w:bCs w:val="0"/>
          <w:highlight w:val="none"/>
        </w:rPr>
        <w:t>部门概况</w:t>
      </w:r>
      <w:r>
        <w:tab/>
      </w:r>
      <w:r>
        <w:fldChar w:fldCharType="begin"/>
      </w:r>
      <w:r>
        <w:instrText xml:space="preserve"> PAGEREF _Toc16594 \h </w:instrText>
      </w:r>
      <w:r>
        <w:fldChar w:fldCharType="separate"/>
      </w:r>
      <w:r>
        <w:t>1</w:t>
      </w:r>
      <w:r>
        <w:fldChar w:fldCharType="end"/>
      </w:r>
      <w:r>
        <w:rPr>
          <w:rFonts w:hint="eastAsia" w:ascii="Times New Roman" w:hAnsi="Times New Roman" w:eastAsia="黑体"/>
          <w:color w:val="auto"/>
          <w:szCs w:val="48"/>
          <w:highlight w:val="none"/>
        </w:rPr>
        <w:fldChar w:fldCharType="end"/>
      </w:r>
    </w:p>
    <w:p w14:paraId="36997D25">
      <w:pPr>
        <w:pStyle w:val="14"/>
        <w:tabs>
          <w:tab w:val="right" w:leader="dot" w:pos="8306"/>
          <w:tab w:val="clear" w:pos="8296"/>
        </w:tabs>
      </w:pPr>
      <w:r>
        <w:rPr>
          <w:rFonts w:hint="eastAsia" w:ascii="Times New Roman" w:hAnsi="Times New Roman" w:eastAsia="黑体"/>
          <w:color w:val="auto"/>
          <w:szCs w:val="48"/>
          <w:highlight w:val="none"/>
        </w:rPr>
        <w:fldChar w:fldCharType="begin"/>
      </w:r>
      <w:r>
        <w:rPr>
          <w:rFonts w:hint="eastAsia" w:ascii="Times New Roman" w:hAnsi="Times New Roman" w:eastAsia="黑体"/>
          <w:szCs w:val="48"/>
          <w:highlight w:val="none"/>
        </w:rPr>
        <w:instrText xml:space="preserve"> HYPERLINK \l _Toc22225 </w:instrText>
      </w:r>
      <w:r>
        <w:rPr>
          <w:rFonts w:hint="eastAsia" w:ascii="Times New Roman" w:hAnsi="Times New Roman" w:eastAsia="黑体"/>
          <w:szCs w:val="48"/>
          <w:highlight w:val="none"/>
        </w:rPr>
        <w:fldChar w:fldCharType="separate"/>
      </w:r>
      <w:r>
        <w:rPr>
          <w:rFonts w:hint="eastAsia" w:ascii="Times New Roman" w:hAnsi="Times New Roman" w:eastAsia="黑体"/>
          <w:lang w:eastAsia="zh-CN"/>
        </w:rPr>
        <w:t xml:space="preserve">一、 </w:t>
      </w:r>
      <w:r>
        <w:rPr>
          <w:rFonts w:hint="eastAsia" w:ascii="Times New Roman" w:hAnsi="Times New Roman" w:eastAsia="黑体"/>
          <w:highlight w:val="none"/>
          <w:lang w:eastAsia="zh-CN"/>
        </w:rPr>
        <w:t>部门职责</w:t>
      </w:r>
      <w:r>
        <w:tab/>
      </w:r>
      <w:r>
        <w:fldChar w:fldCharType="begin"/>
      </w:r>
      <w:r>
        <w:instrText xml:space="preserve"> PAGEREF _Toc22225 \h </w:instrText>
      </w:r>
      <w:r>
        <w:fldChar w:fldCharType="separate"/>
      </w:r>
      <w:r>
        <w:t>1</w:t>
      </w:r>
      <w:r>
        <w:fldChar w:fldCharType="end"/>
      </w:r>
      <w:r>
        <w:rPr>
          <w:rFonts w:hint="eastAsia" w:ascii="Times New Roman" w:hAnsi="Times New Roman" w:eastAsia="黑体"/>
          <w:color w:val="auto"/>
          <w:szCs w:val="48"/>
          <w:highlight w:val="none"/>
        </w:rPr>
        <w:fldChar w:fldCharType="end"/>
      </w:r>
    </w:p>
    <w:p w14:paraId="08D94CA8">
      <w:pPr>
        <w:pStyle w:val="14"/>
        <w:tabs>
          <w:tab w:val="right" w:leader="dot" w:pos="8306"/>
          <w:tab w:val="clear" w:pos="8296"/>
        </w:tabs>
      </w:pPr>
      <w:r>
        <w:rPr>
          <w:rFonts w:hint="eastAsia" w:ascii="Times New Roman" w:hAnsi="Times New Roman" w:eastAsia="黑体"/>
          <w:color w:val="auto"/>
          <w:szCs w:val="48"/>
          <w:highlight w:val="none"/>
        </w:rPr>
        <w:fldChar w:fldCharType="begin"/>
      </w:r>
      <w:r>
        <w:rPr>
          <w:rFonts w:hint="eastAsia" w:ascii="Times New Roman" w:hAnsi="Times New Roman" w:eastAsia="黑体"/>
          <w:szCs w:val="48"/>
          <w:highlight w:val="none"/>
        </w:rPr>
        <w:instrText xml:space="preserve"> HYPERLINK \l _Toc19522 </w:instrText>
      </w:r>
      <w:r>
        <w:rPr>
          <w:rFonts w:hint="eastAsia" w:ascii="Times New Roman" w:hAnsi="Times New Roman" w:eastAsia="黑体"/>
          <w:szCs w:val="48"/>
          <w:highlight w:val="none"/>
        </w:rPr>
        <w:fldChar w:fldCharType="separate"/>
      </w:r>
      <w:r>
        <w:rPr>
          <w:rFonts w:hint="eastAsia" w:ascii="Times New Roman" w:hAnsi="Times New Roman" w:eastAsia="黑体"/>
          <w:highlight w:val="none"/>
        </w:rPr>
        <w:t>二、机</w:t>
      </w:r>
      <w:r>
        <w:rPr>
          <w:rFonts w:hint="eastAsia" w:ascii="Times New Roman" w:hAnsi="Times New Roman" w:eastAsia="黑体"/>
          <w:bCs w:val="0"/>
          <w:highlight w:val="none"/>
        </w:rPr>
        <w:t>构设置</w:t>
      </w:r>
      <w:r>
        <w:tab/>
      </w:r>
      <w:r>
        <w:fldChar w:fldCharType="begin"/>
      </w:r>
      <w:r>
        <w:instrText xml:space="preserve"> PAGEREF _Toc19522 \h </w:instrText>
      </w:r>
      <w:r>
        <w:fldChar w:fldCharType="separate"/>
      </w:r>
      <w:r>
        <w:t>1</w:t>
      </w:r>
      <w:r>
        <w:fldChar w:fldCharType="end"/>
      </w:r>
      <w:r>
        <w:rPr>
          <w:rFonts w:hint="eastAsia" w:ascii="Times New Roman" w:hAnsi="Times New Roman" w:eastAsia="黑体"/>
          <w:color w:val="auto"/>
          <w:szCs w:val="48"/>
          <w:highlight w:val="none"/>
        </w:rPr>
        <w:fldChar w:fldCharType="end"/>
      </w:r>
    </w:p>
    <w:p w14:paraId="306D8C54">
      <w:pPr>
        <w:pStyle w:val="8"/>
        <w:tabs>
          <w:tab w:val="right" w:leader="dot" w:pos="8306"/>
          <w:tab w:val="clear" w:pos="8296"/>
        </w:tabs>
      </w:pPr>
      <w:r>
        <w:rPr>
          <w:rFonts w:hint="eastAsia" w:ascii="Times New Roman" w:hAnsi="Times New Roman" w:eastAsia="黑体"/>
          <w:color w:val="auto"/>
          <w:szCs w:val="48"/>
          <w:highlight w:val="none"/>
        </w:rPr>
        <w:fldChar w:fldCharType="begin"/>
      </w:r>
      <w:r>
        <w:rPr>
          <w:rFonts w:hint="eastAsia" w:ascii="Times New Roman" w:hAnsi="Times New Roman" w:eastAsia="黑体"/>
          <w:szCs w:val="48"/>
          <w:highlight w:val="none"/>
        </w:rPr>
        <w:instrText xml:space="preserve"> HYPERLINK \l _Toc14802 </w:instrText>
      </w:r>
      <w:r>
        <w:rPr>
          <w:rFonts w:hint="eastAsia" w:ascii="Times New Roman" w:hAnsi="Times New Roman" w:eastAsia="黑体"/>
          <w:szCs w:val="48"/>
          <w:highlight w:val="none"/>
        </w:rPr>
        <w:fldChar w:fldCharType="separate"/>
      </w:r>
      <w:r>
        <w:rPr>
          <w:rFonts w:hint="default" w:ascii="Times New Roman" w:hAnsi="Times New Roman" w:eastAsia="仿宋_GB2312" w:cs="仿宋_GB2312"/>
          <w:szCs w:val="32"/>
        </w:rPr>
        <w:t xml:space="preserve">1. </w:t>
      </w:r>
      <w:r>
        <w:rPr>
          <w:rFonts w:hint="eastAsia" w:ascii="Times New Roman" w:cs="仿宋_GB2312"/>
          <w:szCs w:val="32"/>
          <w:highlight w:val="none"/>
          <w:lang w:eastAsia="zh-CN"/>
        </w:rPr>
        <w:t>阿坝州民族科普工作队</w:t>
      </w:r>
      <w:r>
        <w:tab/>
      </w:r>
      <w:r>
        <w:fldChar w:fldCharType="begin"/>
      </w:r>
      <w:r>
        <w:instrText xml:space="preserve"> PAGEREF _Toc14802 \h </w:instrText>
      </w:r>
      <w:r>
        <w:fldChar w:fldCharType="separate"/>
      </w:r>
      <w:r>
        <w:t>2</w:t>
      </w:r>
      <w:r>
        <w:fldChar w:fldCharType="end"/>
      </w:r>
      <w:r>
        <w:rPr>
          <w:rFonts w:hint="eastAsia" w:ascii="Times New Roman" w:hAnsi="Times New Roman" w:eastAsia="黑体"/>
          <w:color w:val="auto"/>
          <w:szCs w:val="48"/>
          <w:highlight w:val="none"/>
        </w:rPr>
        <w:fldChar w:fldCharType="end"/>
      </w:r>
    </w:p>
    <w:p w14:paraId="29AC9FCB">
      <w:pPr>
        <w:pStyle w:val="8"/>
        <w:tabs>
          <w:tab w:val="right" w:leader="dot" w:pos="8306"/>
          <w:tab w:val="clear" w:pos="8296"/>
        </w:tabs>
      </w:pPr>
      <w:r>
        <w:rPr>
          <w:rFonts w:hint="eastAsia" w:ascii="Times New Roman" w:hAnsi="Times New Roman" w:eastAsia="黑体"/>
          <w:color w:val="auto"/>
          <w:szCs w:val="48"/>
          <w:highlight w:val="none"/>
        </w:rPr>
        <w:fldChar w:fldCharType="begin"/>
      </w:r>
      <w:r>
        <w:rPr>
          <w:rFonts w:hint="eastAsia" w:ascii="Times New Roman" w:hAnsi="Times New Roman" w:eastAsia="黑体"/>
          <w:szCs w:val="48"/>
          <w:highlight w:val="none"/>
        </w:rPr>
        <w:instrText xml:space="preserve"> HYPERLINK \l _Toc27370 </w:instrText>
      </w:r>
      <w:r>
        <w:rPr>
          <w:rFonts w:hint="eastAsia" w:ascii="Times New Roman" w:hAnsi="Times New Roman" w:eastAsia="黑体"/>
          <w:szCs w:val="48"/>
          <w:highlight w:val="none"/>
        </w:rPr>
        <w:fldChar w:fldCharType="separate"/>
      </w:r>
      <w:r>
        <w:rPr>
          <w:rFonts w:hint="default" w:ascii="Times New Roman" w:hAnsi="Times New Roman" w:eastAsia="仿宋_GB2312" w:cs="仿宋_GB2312"/>
          <w:szCs w:val="32"/>
        </w:rPr>
        <w:t xml:space="preserve">2. </w:t>
      </w:r>
      <w:r>
        <w:rPr>
          <w:rFonts w:hint="eastAsia" w:ascii="Times New Roman" w:cs="仿宋_GB2312"/>
          <w:szCs w:val="32"/>
          <w:highlight w:val="none"/>
          <w:lang w:eastAsia="zh-CN"/>
        </w:rPr>
        <w:t>阿坝州科技馆</w:t>
      </w:r>
      <w:r>
        <w:tab/>
      </w:r>
      <w:r>
        <w:fldChar w:fldCharType="begin"/>
      </w:r>
      <w:r>
        <w:instrText xml:space="preserve"> PAGEREF _Toc27370 \h </w:instrText>
      </w:r>
      <w:r>
        <w:fldChar w:fldCharType="separate"/>
      </w:r>
      <w:r>
        <w:t>2</w:t>
      </w:r>
      <w:r>
        <w:fldChar w:fldCharType="end"/>
      </w:r>
      <w:r>
        <w:rPr>
          <w:rFonts w:hint="eastAsia" w:ascii="Times New Roman" w:hAnsi="Times New Roman" w:eastAsia="黑体"/>
          <w:color w:val="auto"/>
          <w:szCs w:val="48"/>
          <w:highlight w:val="none"/>
        </w:rPr>
        <w:fldChar w:fldCharType="end"/>
      </w:r>
    </w:p>
    <w:p w14:paraId="4A4133A2">
      <w:pPr>
        <w:pStyle w:val="12"/>
        <w:tabs>
          <w:tab w:val="right" w:leader="dot" w:pos="8306"/>
          <w:tab w:val="clear" w:pos="8296"/>
        </w:tabs>
      </w:pPr>
      <w:r>
        <w:rPr>
          <w:rFonts w:hint="eastAsia" w:ascii="Times New Roman" w:hAnsi="Times New Roman" w:eastAsia="黑体"/>
          <w:color w:val="auto"/>
          <w:szCs w:val="48"/>
          <w:highlight w:val="none"/>
        </w:rPr>
        <w:fldChar w:fldCharType="begin"/>
      </w:r>
      <w:r>
        <w:rPr>
          <w:rFonts w:hint="eastAsia" w:ascii="Times New Roman" w:hAnsi="Times New Roman" w:eastAsia="黑体"/>
          <w:szCs w:val="48"/>
          <w:highlight w:val="none"/>
        </w:rPr>
        <w:instrText xml:space="preserve"> HYPERLINK \l _Toc32758 </w:instrText>
      </w:r>
      <w:r>
        <w:rPr>
          <w:rFonts w:hint="eastAsia" w:ascii="Times New Roman" w:hAnsi="Times New Roman" w:eastAsia="黑体"/>
          <w:szCs w:val="48"/>
          <w:highlight w:val="none"/>
        </w:rPr>
        <w:fldChar w:fldCharType="separate"/>
      </w:r>
      <w:r>
        <w:rPr>
          <w:rFonts w:hint="eastAsia" w:ascii="Times New Roman" w:hAnsi="Times New Roman" w:eastAsia="方正小标宋简体" w:cs="方正小标宋简体"/>
          <w:highlight w:val="none"/>
        </w:rPr>
        <w:t>第二部分</w:t>
      </w:r>
      <w:r>
        <w:rPr>
          <w:rFonts w:hint="eastAsia" w:ascii="Times New Roman" w:hAnsi="Times New Roman" w:eastAsia="方正小标宋简体" w:cs="方正小标宋简体"/>
          <w:highlight w:val="none"/>
          <w:lang w:val="en-US" w:eastAsia="zh-CN"/>
        </w:rPr>
        <w:t xml:space="preserve"> </w:t>
      </w:r>
      <w:r>
        <w:rPr>
          <w:rFonts w:hint="eastAsia" w:ascii="Times New Roman" w:hAnsi="Times New Roman" w:eastAsia="方正小标宋简体" w:cs="方正小标宋简体"/>
          <w:highlight w:val="none"/>
        </w:rPr>
        <w:t xml:space="preserve"> </w:t>
      </w:r>
      <w:r>
        <w:rPr>
          <w:rFonts w:hint="eastAsia" w:eastAsia="方正小标宋简体" w:cs="方正小标宋简体"/>
          <w:highlight w:val="none"/>
          <w:lang w:val="en-US" w:eastAsia="zh-CN"/>
        </w:rPr>
        <w:t>2025年度</w:t>
      </w:r>
      <w:r>
        <w:rPr>
          <w:rFonts w:hint="eastAsia" w:ascii="Times New Roman" w:hAnsi="Times New Roman" w:eastAsia="方正小标宋简体" w:cs="方正小标宋简体"/>
          <w:highlight w:val="none"/>
        </w:rPr>
        <w:t>部门决算情况说明</w:t>
      </w:r>
      <w:r>
        <w:tab/>
      </w:r>
      <w:r>
        <w:fldChar w:fldCharType="begin"/>
      </w:r>
      <w:r>
        <w:instrText xml:space="preserve"> PAGEREF _Toc32758 \h </w:instrText>
      </w:r>
      <w:r>
        <w:fldChar w:fldCharType="separate"/>
      </w:r>
      <w:r>
        <w:t>3</w:t>
      </w:r>
      <w:r>
        <w:fldChar w:fldCharType="end"/>
      </w:r>
      <w:r>
        <w:rPr>
          <w:rFonts w:hint="eastAsia" w:ascii="Times New Roman" w:hAnsi="Times New Roman" w:eastAsia="黑体"/>
          <w:color w:val="auto"/>
          <w:szCs w:val="48"/>
          <w:highlight w:val="none"/>
        </w:rPr>
        <w:fldChar w:fldCharType="end"/>
      </w:r>
    </w:p>
    <w:p w14:paraId="260CBDCC">
      <w:pPr>
        <w:pStyle w:val="14"/>
        <w:tabs>
          <w:tab w:val="right" w:leader="dot" w:pos="8306"/>
          <w:tab w:val="clear" w:pos="8296"/>
        </w:tabs>
      </w:pPr>
      <w:r>
        <w:rPr>
          <w:rFonts w:hint="eastAsia" w:ascii="Times New Roman" w:hAnsi="Times New Roman" w:eastAsia="黑体"/>
          <w:color w:val="auto"/>
          <w:szCs w:val="48"/>
          <w:highlight w:val="none"/>
        </w:rPr>
        <w:fldChar w:fldCharType="begin"/>
      </w:r>
      <w:r>
        <w:rPr>
          <w:rFonts w:hint="eastAsia" w:ascii="Times New Roman" w:hAnsi="Times New Roman" w:eastAsia="黑体"/>
          <w:szCs w:val="48"/>
          <w:highlight w:val="none"/>
        </w:rPr>
        <w:instrText xml:space="preserve"> HYPERLINK \l _Toc18121 </w:instrText>
      </w:r>
      <w:r>
        <w:rPr>
          <w:rFonts w:hint="eastAsia" w:ascii="Times New Roman" w:hAnsi="Times New Roman" w:eastAsia="黑体"/>
          <w:szCs w:val="48"/>
          <w:highlight w:val="none"/>
        </w:rPr>
        <w:fldChar w:fldCharType="separate"/>
      </w:r>
      <w:r>
        <w:rPr>
          <w:rFonts w:hint="eastAsia" w:ascii="Times New Roman" w:hAnsi="Times New Roman" w:eastAsia="黑体"/>
          <w:szCs w:val="32"/>
          <w:highlight w:val="none"/>
          <w:lang w:eastAsia="zh-CN"/>
        </w:rPr>
        <w:t>一、</w:t>
      </w:r>
      <w:r>
        <w:rPr>
          <w:rFonts w:hint="eastAsia" w:ascii="Times New Roman" w:hAnsi="Times New Roman" w:eastAsia="黑体"/>
          <w:szCs w:val="32"/>
          <w:highlight w:val="none"/>
        </w:rPr>
        <w:t>收</w:t>
      </w:r>
      <w:r>
        <w:rPr>
          <w:rFonts w:hint="eastAsia" w:ascii="Times New Roman" w:hAnsi="Times New Roman" w:eastAsia="黑体"/>
          <w:highlight w:val="none"/>
        </w:rPr>
        <w:t>入支出决算总体情况说明</w:t>
      </w:r>
      <w:r>
        <w:tab/>
      </w:r>
      <w:r>
        <w:fldChar w:fldCharType="begin"/>
      </w:r>
      <w:r>
        <w:instrText xml:space="preserve"> PAGEREF _Toc18121 \h </w:instrText>
      </w:r>
      <w:r>
        <w:fldChar w:fldCharType="separate"/>
      </w:r>
      <w:r>
        <w:t>3</w:t>
      </w:r>
      <w:r>
        <w:fldChar w:fldCharType="end"/>
      </w:r>
      <w:r>
        <w:rPr>
          <w:rFonts w:hint="eastAsia" w:ascii="Times New Roman" w:hAnsi="Times New Roman" w:eastAsia="黑体"/>
          <w:color w:val="auto"/>
          <w:szCs w:val="48"/>
          <w:highlight w:val="none"/>
        </w:rPr>
        <w:fldChar w:fldCharType="end"/>
      </w:r>
    </w:p>
    <w:p w14:paraId="3AE2BA4C">
      <w:pPr>
        <w:pStyle w:val="14"/>
        <w:tabs>
          <w:tab w:val="right" w:leader="dot" w:pos="8306"/>
          <w:tab w:val="clear" w:pos="8296"/>
        </w:tabs>
      </w:pPr>
      <w:r>
        <w:rPr>
          <w:rFonts w:hint="eastAsia" w:ascii="Times New Roman" w:hAnsi="Times New Roman" w:eastAsia="黑体"/>
          <w:color w:val="auto"/>
          <w:szCs w:val="48"/>
          <w:highlight w:val="none"/>
        </w:rPr>
        <w:fldChar w:fldCharType="begin"/>
      </w:r>
      <w:r>
        <w:rPr>
          <w:rFonts w:hint="eastAsia" w:ascii="Times New Roman" w:hAnsi="Times New Roman" w:eastAsia="黑体"/>
          <w:szCs w:val="48"/>
          <w:highlight w:val="none"/>
        </w:rPr>
        <w:instrText xml:space="preserve"> HYPERLINK \l _Toc22823 </w:instrText>
      </w:r>
      <w:r>
        <w:rPr>
          <w:rFonts w:hint="eastAsia" w:ascii="Times New Roman" w:hAnsi="Times New Roman" w:eastAsia="黑体"/>
          <w:szCs w:val="48"/>
          <w:highlight w:val="none"/>
        </w:rPr>
        <w:fldChar w:fldCharType="separate"/>
      </w:r>
      <w:r>
        <w:rPr>
          <w:rFonts w:hint="eastAsia" w:ascii="Times New Roman" w:hAnsi="Times New Roman" w:eastAsia="黑体"/>
          <w:szCs w:val="32"/>
          <w:highlight w:val="none"/>
          <w:lang w:eastAsia="zh-CN"/>
        </w:rPr>
        <w:t>二、收入决算情况说明</w:t>
      </w:r>
      <w:r>
        <w:tab/>
      </w:r>
      <w:r>
        <w:fldChar w:fldCharType="begin"/>
      </w:r>
      <w:r>
        <w:instrText xml:space="preserve"> PAGEREF _Toc22823 \h </w:instrText>
      </w:r>
      <w:r>
        <w:fldChar w:fldCharType="separate"/>
      </w:r>
      <w:r>
        <w:t>3</w:t>
      </w:r>
      <w:r>
        <w:fldChar w:fldCharType="end"/>
      </w:r>
      <w:r>
        <w:rPr>
          <w:rFonts w:hint="eastAsia" w:ascii="Times New Roman" w:hAnsi="Times New Roman" w:eastAsia="黑体"/>
          <w:color w:val="auto"/>
          <w:szCs w:val="48"/>
          <w:highlight w:val="none"/>
        </w:rPr>
        <w:fldChar w:fldCharType="end"/>
      </w:r>
    </w:p>
    <w:p w14:paraId="4DE584B4">
      <w:pPr>
        <w:pStyle w:val="14"/>
        <w:tabs>
          <w:tab w:val="right" w:leader="dot" w:pos="8306"/>
          <w:tab w:val="clear" w:pos="8296"/>
        </w:tabs>
      </w:pPr>
      <w:r>
        <w:rPr>
          <w:rFonts w:hint="eastAsia" w:ascii="Times New Roman" w:hAnsi="Times New Roman" w:eastAsia="黑体"/>
          <w:color w:val="auto"/>
          <w:szCs w:val="48"/>
          <w:highlight w:val="none"/>
        </w:rPr>
        <w:fldChar w:fldCharType="begin"/>
      </w:r>
      <w:r>
        <w:rPr>
          <w:rFonts w:hint="eastAsia" w:ascii="Times New Roman" w:hAnsi="Times New Roman" w:eastAsia="黑体"/>
          <w:szCs w:val="48"/>
          <w:highlight w:val="none"/>
        </w:rPr>
        <w:instrText xml:space="preserve"> HYPERLINK \l _Toc31525 </w:instrText>
      </w:r>
      <w:r>
        <w:rPr>
          <w:rFonts w:hint="eastAsia" w:ascii="Times New Roman" w:hAnsi="Times New Roman" w:eastAsia="黑体"/>
          <w:szCs w:val="48"/>
          <w:highlight w:val="none"/>
        </w:rPr>
        <w:fldChar w:fldCharType="separate"/>
      </w:r>
      <w:r>
        <w:rPr>
          <w:rFonts w:hint="eastAsia" w:ascii="Times New Roman" w:hAnsi="Times New Roman" w:eastAsia="黑体"/>
          <w:szCs w:val="32"/>
          <w:highlight w:val="none"/>
          <w:lang w:eastAsia="zh-CN"/>
        </w:rPr>
        <w:t>三、</w:t>
      </w:r>
      <w:r>
        <w:rPr>
          <w:rFonts w:hint="eastAsia" w:ascii="Times New Roman" w:hAnsi="Times New Roman" w:eastAsia="黑体"/>
          <w:szCs w:val="32"/>
          <w:highlight w:val="none"/>
        </w:rPr>
        <w:t>支</w:t>
      </w:r>
      <w:r>
        <w:rPr>
          <w:rFonts w:hint="eastAsia" w:ascii="Times New Roman" w:hAnsi="Times New Roman" w:eastAsia="黑体"/>
          <w:highlight w:val="none"/>
        </w:rPr>
        <w:t>出决算情况说明</w:t>
      </w:r>
      <w:r>
        <w:tab/>
      </w:r>
      <w:r>
        <w:fldChar w:fldCharType="begin"/>
      </w:r>
      <w:r>
        <w:instrText xml:space="preserve"> PAGEREF _Toc31525 \h </w:instrText>
      </w:r>
      <w:r>
        <w:fldChar w:fldCharType="separate"/>
      </w:r>
      <w:r>
        <w:t>4</w:t>
      </w:r>
      <w:r>
        <w:fldChar w:fldCharType="end"/>
      </w:r>
      <w:r>
        <w:rPr>
          <w:rFonts w:hint="eastAsia" w:ascii="Times New Roman" w:hAnsi="Times New Roman" w:eastAsia="黑体"/>
          <w:color w:val="auto"/>
          <w:szCs w:val="48"/>
          <w:highlight w:val="none"/>
        </w:rPr>
        <w:fldChar w:fldCharType="end"/>
      </w:r>
    </w:p>
    <w:p w14:paraId="5C2FCEA7">
      <w:pPr>
        <w:pStyle w:val="14"/>
        <w:tabs>
          <w:tab w:val="right" w:leader="dot" w:pos="8306"/>
          <w:tab w:val="clear" w:pos="8296"/>
        </w:tabs>
      </w:pPr>
      <w:r>
        <w:rPr>
          <w:rFonts w:hint="eastAsia" w:ascii="Times New Roman" w:hAnsi="Times New Roman" w:eastAsia="黑体"/>
          <w:color w:val="auto"/>
          <w:szCs w:val="48"/>
          <w:highlight w:val="none"/>
        </w:rPr>
        <w:fldChar w:fldCharType="begin"/>
      </w:r>
      <w:r>
        <w:rPr>
          <w:rFonts w:hint="eastAsia" w:ascii="Times New Roman" w:hAnsi="Times New Roman" w:eastAsia="黑体"/>
          <w:szCs w:val="48"/>
          <w:highlight w:val="none"/>
        </w:rPr>
        <w:instrText xml:space="preserve"> HYPERLINK \l _Toc15414 </w:instrText>
      </w:r>
      <w:r>
        <w:rPr>
          <w:rFonts w:hint="eastAsia" w:ascii="Times New Roman" w:hAnsi="Times New Roman" w:eastAsia="黑体"/>
          <w:szCs w:val="48"/>
          <w:highlight w:val="none"/>
        </w:rPr>
        <w:fldChar w:fldCharType="separate"/>
      </w:r>
      <w:r>
        <w:rPr>
          <w:rFonts w:hint="eastAsia" w:ascii="Times New Roman" w:hAnsi="Times New Roman" w:eastAsia="黑体"/>
          <w:szCs w:val="32"/>
          <w:highlight w:val="none"/>
        </w:rPr>
        <w:t>四、财</w:t>
      </w:r>
      <w:r>
        <w:rPr>
          <w:rFonts w:hint="eastAsia" w:ascii="Times New Roman" w:hAnsi="Times New Roman" w:eastAsia="黑体"/>
          <w:highlight w:val="none"/>
        </w:rPr>
        <w:t>政拨款收入支出决算总体情况说明</w:t>
      </w:r>
      <w:r>
        <w:tab/>
      </w:r>
      <w:r>
        <w:fldChar w:fldCharType="begin"/>
      </w:r>
      <w:r>
        <w:instrText xml:space="preserve"> PAGEREF _Toc15414 \h </w:instrText>
      </w:r>
      <w:r>
        <w:fldChar w:fldCharType="separate"/>
      </w:r>
      <w:r>
        <w:t>5</w:t>
      </w:r>
      <w:r>
        <w:fldChar w:fldCharType="end"/>
      </w:r>
      <w:r>
        <w:rPr>
          <w:rFonts w:hint="eastAsia" w:ascii="Times New Roman" w:hAnsi="Times New Roman" w:eastAsia="黑体"/>
          <w:color w:val="auto"/>
          <w:szCs w:val="48"/>
          <w:highlight w:val="none"/>
        </w:rPr>
        <w:fldChar w:fldCharType="end"/>
      </w:r>
    </w:p>
    <w:p w14:paraId="3F84F5E4">
      <w:pPr>
        <w:pStyle w:val="14"/>
        <w:tabs>
          <w:tab w:val="right" w:leader="dot" w:pos="8306"/>
          <w:tab w:val="clear" w:pos="8296"/>
        </w:tabs>
      </w:pPr>
      <w:r>
        <w:rPr>
          <w:rFonts w:hint="eastAsia" w:ascii="Times New Roman" w:hAnsi="Times New Roman" w:eastAsia="黑体"/>
          <w:color w:val="auto"/>
          <w:szCs w:val="48"/>
          <w:highlight w:val="none"/>
        </w:rPr>
        <w:fldChar w:fldCharType="begin"/>
      </w:r>
      <w:r>
        <w:rPr>
          <w:rFonts w:hint="eastAsia" w:ascii="Times New Roman" w:hAnsi="Times New Roman" w:eastAsia="黑体"/>
          <w:szCs w:val="48"/>
          <w:highlight w:val="none"/>
        </w:rPr>
        <w:instrText xml:space="preserve"> HYPERLINK \l _Toc12112 </w:instrText>
      </w:r>
      <w:r>
        <w:rPr>
          <w:rFonts w:hint="eastAsia" w:ascii="Times New Roman" w:hAnsi="Times New Roman" w:eastAsia="黑体"/>
          <w:szCs w:val="48"/>
          <w:highlight w:val="none"/>
        </w:rPr>
        <w:fldChar w:fldCharType="separate"/>
      </w:r>
      <w:r>
        <w:rPr>
          <w:rFonts w:hint="eastAsia" w:ascii="Times New Roman" w:hAnsi="Times New Roman" w:eastAsia="黑体"/>
          <w:szCs w:val="32"/>
          <w:highlight w:val="none"/>
        </w:rPr>
        <w:t>五、一</w:t>
      </w:r>
      <w:r>
        <w:rPr>
          <w:rFonts w:hint="eastAsia" w:ascii="Times New Roman" w:hAnsi="Times New Roman" w:eastAsia="黑体"/>
          <w:highlight w:val="none"/>
        </w:rPr>
        <w:t>般公共预算财政拨款支出决算情况说明</w:t>
      </w:r>
      <w:r>
        <w:tab/>
      </w:r>
      <w:r>
        <w:fldChar w:fldCharType="begin"/>
      </w:r>
      <w:r>
        <w:instrText xml:space="preserve"> PAGEREF _Toc12112 \h </w:instrText>
      </w:r>
      <w:r>
        <w:fldChar w:fldCharType="separate"/>
      </w:r>
      <w:r>
        <w:t>5</w:t>
      </w:r>
      <w:r>
        <w:fldChar w:fldCharType="end"/>
      </w:r>
      <w:r>
        <w:rPr>
          <w:rFonts w:hint="eastAsia" w:ascii="Times New Roman" w:hAnsi="Times New Roman" w:eastAsia="黑体"/>
          <w:color w:val="auto"/>
          <w:szCs w:val="48"/>
          <w:highlight w:val="none"/>
        </w:rPr>
        <w:fldChar w:fldCharType="end"/>
      </w:r>
    </w:p>
    <w:p w14:paraId="38BDECFB">
      <w:pPr>
        <w:pStyle w:val="8"/>
        <w:tabs>
          <w:tab w:val="right" w:leader="dot" w:pos="8306"/>
          <w:tab w:val="clear" w:pos="8296"/>
        </w:tabs>
      </w:pPr>
      <w:r>
        <w:rPr>
          <w:rFonts w:hint="eastAsia" w:ascii="Times New Roman" w:hAnsi="Times New Roman" w:eastAsia="黑体"/>
          <w:color w:val="auto"/>
          <w:szCs w:val="48"/>
          <w:highlight w:val="none"/>
        </w:rPr>
        <w:fldChar w:fldCharType="begin"/>
      </w:r>
      <w:r>
        <w:rPr>
          <w:rFonts w:hint="eastAsia" w:ascii="Times New Roman" w:hAnsi="Times New Roman" w:eastAsia="黑体"/>
          <w:szCs w:val="48"/>
          <w:highlight w:val="none"/>
        </w:rPr>
        <w:instrText xml:space="preserve"> HYPERLINK \l _Toc30478 </w:instrText>
      </w:r>
      <w:r>
        <w:rPr>
          <w:rFonts w:hint="eastAsia" w:ascii="Times New Roman" w:hAnsi="Times New Roman" w:eastAsia="黑体"/>
          <w:szCs w:val="48"/>
          <w:highlight w:val="none"/>
        </w:rPr>
        <w:fldChar w:fldCharType="separate"/>
      </w:r>
      <w:r>
        <w:rPr>
          <w:rFonts w:hint="eastAsia" w:ascii="Times New Roman" w:hAnsi="Times New Roman" w:eastAsia="楷体_GB2312" w:cs="楷体_GB2312"/>
          <w:szCs w:val="32"/>
          <w:highlight w:val="none"/>
        </w:rPr>
        <w:t>（一）一般公共预算财政拨款支出决算总体情况</w:t>
      </w:r>
      <w:r>
        <w:tab/>
      </w:r>
      <w:r>
        <w:fldChar w:fldCharType="begin"/>
      </w:r>
      <w:r>
        <w:instrText xml:space="preserve"> PAGEREF _Toc30478 \h </w:instrText>
      </w:r>
      <w:r>
        <w:fldChar w:fldCharType="separate"/>
      </w:r>
      <w:r>
        <w:t>5</w:t>
      </w:r>
      <w:r>
        <w:fldChar w:fldCharType="end"/>
      </w:r>
      <w:r>
        <w:rPr>
          <w:rFonts w:hint="eastAsia" w:ascii="Times New Roman" w:hAnsi="Times New Roman" w:eastAsia="黑体"/>
          <w:color w:val="auto"/>
          <w:szCs w:val="48"/>
          <w:highlight w:val="none"/>
        </w:rPr>
        <w:fldChar w:fldCharType="end"/>
      </w:r>
    </w:p>
    <w:p w14:paraId="60BB5784">
      <w:pPr>
        <w:pStyle w:val="8"/>
        <w:tabs>
          <w:tab w:val="right" w:leader="dot" w:pos="8306"/>
          <w:tab w:val="clear" w:pos="8296"/>
        </w:tabs>
      </w:pPr>
      <w:r>
        <w:rPr>
          <w:rFonts w:hint="eastAsia" w:ascii="Times New Roman" w:hAnsi="Times New Roman" w:eastAsia="黑体"/>
          <w:color w:val="auto"/>
          <w:szCs w:val="48"/>
          <w:highlight w:val="none"/>
        </w:rPr>
        <w:fldChar w:fldCharType="begin"/>
      </w:r>
      <w:r>
        <w:rPr>
          <w:rFonts w:hint="eastAsia" w:ascii="Times New Roman" w:hAnsi="Times New Roman" w:eastAsia="黑体"/>
          <w:szCs w:val="48"/>
          <w:highlight w:val="none"/>
        </w:rPr>
        <w:instrText xml:space="preserve"> HYPERLINK \l _Toc3490 </w:instrText>
      </w:r>
      <w:r>
        <w:rPr>
          <w:rFonts w:hint="eastAsia" w:ascii="Times New Roman" w:hAnsi="Times New Roman" w:eastAsia="黑体"/>
          <w:szCs w:val="48"/>
          <w:highlight w:val="none"/>
        </w:rPr>
        <w:fldChar w:fldCharType="separate"/>
      </w:r>
      <w:r>
        <w:rPr>
          <w:rFonts w:hint="eastAsia" w:ascii="Times New Roman" w:hAnsi="Times New Roman" w:eastAsia="楷体_GB2312" w:cs="楷体_GB2312"/>
          <w:szCs w:val="32"/>
          <w:highlight w:val="none"/>
        </w:rPr>
        <w:t>（二）一般公共预算财政拨款支出决算结构情况</w:t>
      </w:r>
      <w:r>
        <w:tab/>
      </w:r>
      <w:r>
        <w:fldChar w:fldCharType="begin"/>
      </w:r>
      <w:r>
        <w:instrText xml:space="preserve"> PAGEREF _Toc3490 \h </w:instrText>
      </w:r>
      <w:r>
        <w:fldChar w:fldCharType="separate"/>
      </w:r>
      <w:r>
        <w:t>6</w:t>
      </w:r>
      <w:r>
        <w:fldChar w:fldCharType="end"/>
      </w:r>
      <w:r>
        <w:rPr>
          <w:rFonts w:hint="eastAsia" w:ascii="Times New Roman" w:hAnsi="Times New Roman" w:eastAsia="黑体"/>
          <w:color w:val="auto"/>
          <w:szCs w:val="48"/>
          <w:highlight w:val="none"/>
        </w:rPr>
        <w:fldChar w:fldCharType="end"/>
      </w:r>
    </w:p>
    <w:p w14:paraId="25B94B95">
      <w:pPr>
        <w:pStyle w:val="8"/>
        <w:tabs>
          <w:tab w:val="right" w:leader="dot" w:pos="8306"/>
          <w:tab w:val="clear" w:pos="8296"/>
        </w:tabs>
      </w:pPr>
      <w:r>
        <w:rPr>
          <w:rFonts w:hint="eastAsia" w:ascii="Times New Roman" w:hAnsi="Times New Roman" w:eastAsia="黑体"/>
          <w:color w:val="auto"/>
          <w:szCs w:val="48"/>
          <w:highlight w:val="none"/>
        </w:rPr>
        <w:fldChar w:fldCharType="begin"/>
      </w:r>
      <w:r>
        <w:rPr>
          <w:rFonts w:hint="eastAsia" w:ascii="Times New Roman" w:hAnsi="Times New Roman" w:eastAsia="黑体"/>
          <w:szCs w:val="48"/>
          <w:highlight w:val="none"/>
        </w:rPr>
        <w:instrText xml:space="preserve"> HYPERLINK \l _Toc24493 </w:instrText>
      </w:r>
      <w:r>
        <w:rPr>
          <w:rFonts w:hint="eastAsia" w:ascii="Times New Roman" w:hAnsi="Times New Roman" w:eastAsia="黑体"/>
          <w:szCs w:val="48"/>
          <w:highlight w:val="none"/>
        </w:rPr>
        <w:fldChar w:fldCharType="separate"/>
      </w:r>
      <w:r>
        <w:rPr>
          <w:rFonts w:hint="eastAsia" w:ascii="Times New Roman" w:hAnsi="Times New Roman" w:eastAsia="楷体_GB2312" w:cs="楷体_GB2312"/>
          <w:szCs w:val="32"/>
          <w:highlight w:val="none"/>
        </w:rPr>
        <w:t>（三）一般公共预算财政拨款支出决算具体情况</w:t>
      </w:r>
      <w:r>
        <w:tab/>
      </w:r>
      <w:r>
        <w:fldChar w:fldCharType="begin"/>
      </w:r>
      <w:r>
        <w:instrText xml:space="preserve"> PAGEREF _Toc24493 \h </w:instrText>
      </w:r>
      <w:r>
        <w:fldChar w:fldCharType="separate"/>
      </w:r>
      <w:r>
        <w:t>7</w:t>
      </w:r>
      <w:r>
        <w:fldChar w:fldCharType="end"/>
      </w:r>
      <w:r>
        <w:rPr>
          <w:rFonts w:hint="eastAsia" w:ascii="Times New Roman" w:hAnsi="Times New Roman" w:eastAsia="黑体"/>
          <w:color w:val="auto"/>
          <w:szCs w:val="48"/>
          <w:highlight w:val="none"/>
        </w:rPr>
        <w:fldChar w:fldCharType="end"/>
      </w:r>
    </w:p>
    <w:p w14:paraId="488648EB">
      <w:pPr>
        <w:pStyle w:val="14"/>
        <w:tabs>
          <w:tab w:val="right" w:leader="dot" w:pos="8306"/>
          <w:tab w:val="clear" w:pos="8296"/>
        </w:tabs>
      </w:pPr>
      <w:r>
        <w:rPr>
          <w:rFonts w:hint="eastAsia" w:ascii="Times New Roman" w:hAnsi="Times New Roman" w:eastAsia="黑体"/>
          <w:color w:val="auto"/>
          <w:szCs w:val="48"/>
          <w:highlight w:val="none"/>
        </w:rPr>
        <w:fldChar w:fldCharType="begin"/>
      </w:r>
      <w:r>
        <w:rPr>
          <w:rFonts w:hint="eastAsia" w:ascii="Times New Roman" w:hAnsi="Times New Roman" w:eastAsia="黑体"/>
          <w:szCs w:val="48"/>
          <w:highlight w:val="none"/>
        </w:rPr>
        <w:instrText xml:space="preserve"> HYPERLINK \l _Toc19114 </w:instrText>
      </w:r>
      <w:r>
        <w:rPr>
          <w:rFonts w:hint="eastAsia" w:ascii="Times New Roman" w:hAnsi="Times New Roman" w:eastAsia="黑体"/>
          <w:szCs w:val="48"/>
          <w:highlight w:val="none"/>
        </w:rPr>
        <w:fldChar w:fldCharType="separate"/>
      </w:r>
      <w:r>
        <w:rPr>
          <w:rFonts w:hint="eastAsia" w:ascii="Times New Roman" w:hAnsi="Times New Roman" w:eastAsia="黑体"/>
          <w:szCs w:val="32"/>
          <w:highlight w:val="none"/>
        </w:rPr>
        <w:t>六、一</w:t>
      </w:r>
      <w:r>
        <w:rPr>
          <w:rFonts w:hint="eastAsia" w:ascii="Times New Roman" w:hAnsi="Times New Roman" w:eastAsia="黑体"/>
          <w:highlight w:val="none"/>
        </w:rPr>
        <w:t>般公共预算财政拨款基本支出决算情况说明</w:t>
      </w:r>
      <w:r>
        <w:tab/>
      </w:r>
      <w:r>
        <w:fldChar w:fldCharType="begin"/>
      </w:r>
      <w:r>
        <w:instrText xml:space="preserve"> PAGEREF _Toc19114 \h </w:instrText>
      </w:r>
      <w:r>
        <w:fldChar w:fldCharType="separate"/>
      </w:r>
      <w:r>
        <w:t>7</w:t>
      </w:r>
      <w:r>
        <w:fldChar w:fldCharType="end"/>
      </w:r>
      <w:r>
        <w:rPr>
          <w:rFonts w:hint="eastAsia" w:ascii="Times New Roman" w:hAnsi="Times New Roman" w:eastAsia="黑体"/>
          <w:color w:val="auto"/>
          <w:szCs w:val="48"/>
          <w:highlight w:val="none"/>
        </w:rPr>
        <w:fldChar w:fldCharType="end"/>
      </w:r>
    </w:p>
    <w:p w14:paraId="2A201827">
      <w:pPr>
        <w:pStyle w:val="14"/>
        <w:tabs>
          <w:tab w:val="right" w:leader="dot" w:pos="8306"/>
          <w:tab w:val="clear" w:pos="8296"/>
        </w:tabs>
      </w:pPr>
      <w:r>
        <w:rPr>
          <w:rFonts w:hint="eastAsia" w:ascii="Times New Roman" w:hAnsi="Times New Roman" w:eastAsia="黑体"/>
          <w:color w:val="auto"/>
          <w:szCs w:val="48"/>
          <w:highlight w:val="none"/>
        </w:rPr>
        <w:fldChar w:fldCharType="begin"/>
      </w:r>
      <w:r>
        <w:rPr>
          <w:rFonts w:hint="eastAsia" w:ascii="Times New Roman" w:hAnsi="Times New Roman" w:eastAsia="黑体"/>
          <w:szCs w:val="48"/>
          <w:highlight w:val="none"/>
        </w:rPr>
        <w:instrText xml:space="preserve"> HYPERLINK \l _Toc16135 </w:instrText>
      </w:r>
      <w:r>
        <w:rPr>
          <w:rFonts w:hint="eastAsia" w:ascii="Times New Roman" w:hAnsi="Times New Roman" w:eastAsia="黑体"/>
          <w:szCs w:val="48"/>
          <w:highlight w:val="none"/>
        </w:rPr>
        <w:fldChar w:fldCharType="separate"/>
      </w:r>
      <w:r>
        <w:rPr>
          <w:rFonts w:hint="eastAsia" w:ascii="Times New Roman" w:hAnsi="Times New Roman" w:eastAsia="黑体"/>
          <w:szCs w:val="32"/>
          <w:highlight w:val="none"/>
        </w:rPr>
        <w:t>七、</w:t>
      </w:r>
      <w:r>
        <w:rPr>
          <w:rFonts w:hint="eastAsia" w:ascii="Times New Roman" w:hAnsi="Times New Roman" w:eastAsia="黑体"/>
          <w:highlight w:val="none"/>
        </w:rPr>
        <w:t>财政拨款“三公”经费支出决算情况说明</w:t>
      </w:r>
      <w:r>
        <w:tab/>
      </w:r>
      <w:r>
        <w:fldChar w:fldCharType="begin"/>
      </w:r>
      <w:r>
        <w:instrText xml:space="preserve"> PAGEREF _Toc16135 \h </w:instrText>
      </w:r>
      <w:r>
        <w:fldChar w:fldCharType="separate"/>
      </w:r>
      <w:r>
        <w:t>8</w:t>
      </w:r>
      <w:r>
        <w:fldChar w:fldCharType="end"/>
      </w:r>
      <w:r>
        <w:rPr>
          <w:rFonts w:hint="eastAsia" w:ascii="Times New Roman" w:hAnsi="Times New Roman" w:eastAsia="黑体"/>
          <w:color w:val="auto"/>
          <w:szCs w:val="48"/>
          <w:highlight w:val="none"/>
        </w:rPr>
        <w:fldChar w:fldCharType="end"/>
      </w:r>
    </w:p>
    <w:p w14:paraId="7F1F9517">
      <w:pPr>
        <w:pStyle w:val="8"/>
        <w:tabs>
          <w:tab w:val="right" w:leader="dot" w:pos="8306"/>
          <w:tab w:val="clear" w:pos="8296"/>
        </w:tabs>
      </w:pPr>
      <w:r>
        <w:rPr>
          <w:rFonts w:hint="eastAsia" w:ascii="Times New Roman" w:hAnsi="Times New Roman" w:eastAsia="黑体"/>
          <w:color w:val="auto"/>
          <w:szCs w:val="48"/>
          <w:highlight w:val="none"/>
        </w:rPr>
        <w:fldChar w:fldCharType="begin"/>
      </w:r>
      <w:r>
        <w:rPr>
          <w:rFonts w:hint="eastAsia" w:ascii="Times New Roman" w:hAnsi="Times New Roman" w:eastAsia="黑体"/>
          <w:szCs w:val="48"/>
          <w:highlight w:val="none"/>
        </w:rPr>
        <w:instrText xml:space="preserve"> HYPERLINK \l _Toc30691 </w:instrText>
      </w:r>
      <w:r>
        <w:rPr>
          <w:rFonts w:hint="eastAsia" w:ascii="Times New Roman" w:hAnsi="Times New Roman" w:eastAsia="黑体"/>
          <w:szCs w:val="48"/>
          <w:highlight w:val="none"/>
        </w:rPr>
        <w:fldChar w:fldCharType="separate"/>
      </w:r>
      <w:r>
        <w:rPr>
          <w:rFonts w:hint="eastAsia" w:ascii="Times New Roman" w:hAnsi="Times New Roman" w:eastAsia="楷体_GB2312" w:cs="楷体_GB2312"/>
          <w:szCs w:val="32"/>
          <w:highlight w:val="none"/>
        </w:rPr>
        <w:t>（一）财政拨款“三公”经费支出决算总体情况说明</w:t>
      </w:r>
      <w:r>
        <w:tab/>
      </w:r>
      <w:r>
        <w:fldChar w:fldCharType="begin"/>
      </w:r>
      <w:r>
        <w:instrText xml:space="preserve"> PAGEREF _Toc30691 \h </w:instrText>
      </w:r>
      <w:r>
        <w:fldChar w:fldCharType="separate"/>
      </w:r>
      <w:r>
        <w:t>8</w:t>
      </w:r>
      <w:r>
        <w:fldChar w:fldCharType="end"/>
      </w:r>
      <w:r>
        <w:rPr>
          <w:rFonts w:hint="eastAsia" w:ascii="Times New Roman" w:hAnsi="Times New Roman" w:eastAsia="黑体"/>
          <w:color w:val="auto"/>
          <w:szCs w:val="48"/>
          <w:highlight w:val="none"/>
        </w:rPr>
        <w:fldChar w:fldCharType="end"/>
      </w:r>
    </w:p>
    <w:p w14:paraId="68E46894">
      <w:pPr>
        <w:pStyle w:val="8"/>
        <w:tabs>
          <w:tab w:val="right" w:leader="dot" w:pos="8306"/>
          <w:tab w:val="clear" w:pos="8296"/>
        </w:tabs>
      </w:pPr>
      <w:r>
        <w:rPr>
          <w:rFonts w:hint="eastAsia" w:ascii="Times New Roman" w:hAnsi="Times New Roman" w:eastAsia="黑体"/>
          <w:color w:val="auto"/>
          <w:szCs w:val="48"/>
          <w:highlight w:val="none"/>
        </w:rPr>
        <w:fldChar w:fldCharType="begin"/>
      </w:r>
      <w:r>
        <w:rPr>
          <w:rFonts w:hint="eastAsia" w:ascii="Times New Roman" w:hAnsi="Times New Roman" w:eastAsia="黑体"/>
          <w:szCs w:val="48"/>
          <w:highlight w:val="none"/>
        </w:rPr>
        <w:instrText xml:space="preserve"> HYPERLINK \l _Toc10664 </w:instrText>
      </w:r>
      <w:r>
        <w:rPr>
          <w:rFonts w:hint="eastAsia" w:ascii="Times New Roman" w:hAnsi="Times New Roman" w:eastAsia="黑体"/>
          <w:szCs w:val="48"/>
          <w:highlight w:val="none"/>
        </w:rPr>
        <w:fldChar w:fldCharType="separate"/>
      </w:r>
      <w:r>
        <w:rPr>
          <w:rFonts w:hint="eastAsia" w:ascii="Times New Roman" w:hAnsi="Times New Roman" w:eastAsia="楷体_GB2312" w:cs="楷体_GB2312"/>
          <w:szCs w:val="32"/>
          <w:highlight w:val="none"/>
        </w:rPr>
        <w:t>（二）财政拨款“三公”经费支出决算具体情况说明</w:t>
      </w:r>
      <w:r>
        <w:tab/>
      </w:r>
      <w:r>
        <w:fldChar w:fldCharType="begin"/>
      </w:r>
      <w:r>
        <w:instrText xml:space="preserve"> PAGEREF _Toc10664 \h </w:instrText>
      </w:r>
      <w:r>
        <w:fldChar w:fldCharType="separate"/>
      </w:r>
      <w:r>
        <w:t>8</w:t>
      </w:r>
      <w:r>
        <w:fldChar w:fldCharType="end"/>
      </w:r>
      <w:r>
        <w:rPr>
          <w:rFonts w:hint="eastAsia" w:ascii="Times New Roman" w:hAnsi="Times New Roman" w:eastAsia="黑体"/>
          <w:color w:val="auto"/>
          <w:szCs w:val="48"/>
          <w:highlight w:val="none"/>
        </w:rPr>
        <w:fldChar w:fldCharType="end"/>
      </w:r>
    </w:p>
    <w:p w14:paraId="32DFA03D">
      <w:pPr>
        <w:pStyle w:val="14"/>
        <w:tabs>
          <w:tab w:val="right" w:leader="dot" w:pos="8306"/>
          <w:tab w:val="clear" w:pos="8296"/>
        </w:tabs>
      </w:pPr>
      <w:r>
        <w:rPr>
          <w:rFonts w:hint="eastAsia" w:ascii="Times New Roman" w:hAnsi="Times New Roman" w:eastAsia="黑体"/>
          <w:color w:val="auto"/>
          <w:szCs w:val="48"/>
          <w:highlight w:val="none"/>
        </w:rPr>
        <w:fldChar w:fldCharType="begin"/>
      </w:r>
      <w:r>
        <w:rPr>
          <w:rFonts w:hint="eastAsia" w:ascii="Times New Roman" w:hAnsi="Times New Roman" w:eastAsia="黑体"/>
          <w:szCs w:val="48"/>
          <w:highlight w:val="none"/>
        </w:rPr>
        <w:instrText xml:space="preserve"> HYPERLINK \l _Toc21009 </w:instrText>
      </w:r>
      <w:r>
        <w:rPr>
          <w:rFonts w:hint="eastAsia" w:ascii="Times New Roman" w:hAnsi="Times New Roman" w:eastAsia="黑体"/>
          <w:szCs w:val="48"/>
          <w:highlight w:val="none"/>
        </w:rPr>
        <w:fldChar w:fldCharType="separate"/>
      </w:r>
      <w:r>
        <w:rPr>
          <w:rFonts w:hint="eastAsia" w:ascii="Times New Roman" w:hAnsi="Times New Roman" w:eastAsia="黑体"/>
          <w:szCs w:val="32"/>
          <w:highlight w:val="none"/>
        </w:rPr>
        <w:t>八、</w:t>
      </w:r>
      <w:r>
        <w:rPr>
          <w:rFonts w:hint="eastAsia" w:ascii="Times New Roman" w:hAnsi="Times New Roman" w:eastAsia="黑体"/>
          <w:highlight w:val="none"/>
        </w:rPr>
        <w:t>政府性基金预算支出决算情况说明</w:t>
      </w:r>
      <w:r>
        <w:tab/>
      </w:r>
      <w:r>
        <w:fldChar w:fldCharType="begin"/>
      </w:r>
      <w:r>
        <w:instrText xml:space="preserve"> PAGEREF _Toc21009 \h </w:instrText>
      </w:r>
      <w:r>
        <w:fldChar w:fldCharType="separate"/>
      </w:r>
      <w:r>
        <w:t>8</w:t>
      </w:r>
      <w:r>
        <w:fldChar w:fldCharType="end"/>
      </w:r>
      <w:r>
        <w:rPr>
          <w:rFonts w:hint="eastAsia" w:ascii="Times New Roman" w:hAnsi="Times New Roman" w:eastAsia="黑体"/>
          <w:color w:val="auto"/>
          <w:szCs w:val="48"/>
          <w:highlight w:val="none"/>
        </w:rPr>
        <w:fldChar w:fldCharType="end"/>
      </w:r>
    </w:p>
    <w:p w14:paraId="5379FE47">
      <w:pPr>
        <w:pStyle w:val="14"/>
        <w:tabs>
          <w:tab w:val="right" w:leader="dot" w:pos="8306"/>
          <w:tab w:val="clear" w:pos="8296"/>
        </w:tabs>
      </w:pPr>
      <w:r>
        <w:rPr>
          <w:rFonts w:hint="eastAsia" w:ascii="Times New Roman" w:hAnsi="Times New Roman" w:eastAsia="黑体"/>
          <w:color w:val="auto"/>
          <w:szCs w:val="48"/>
          <w:highlight w:val="none"/>
        </w:rPr>
        <w:fldChar w:fldCharType="begin"/>
      </w:r>
      <w:r>
        <w:rPr>
          <w:rFonts w:hint="eastAsia" w:ascii="Times New Roman" w:hAnsi="Times New Roman" w:eastAsia="黑体"/>
          <w:szCs w:val="48"/>
          <w:highlight w:val="none"/>
        </w:rPr>
        <w:instrText xml:space="preserve"> HYPERLINK \l _Toc16207 </w:instrText>
      </w:r>
      <w:r>
        <w:rPr>
          <w:rFonts w:hint="eastAsia" w:ascii="Times New Roman" w:hAnsi="Times New Roman" w:eastAsia="黑体"/>
          <w:szCs w:val="48"/>
          <w:highlight w:val="none"/>
        </w:rPr>
        <w:fldChar w:fldCharType="separate"/>
      </w:r>
      <w:r>
        <w:rPr>
          <w:rFonts w:hint="eastAsia" w:ascii="Times New Roman" w:hAnsi="Times New Roman" w:eastAsia="黑体"/>
          <w:highlight w:val="none"/>
          <w:lang w:eastAsia="zh-CN"/>
        </w:rPr>
        <w:t>九、</w:t>
      </w:r>
      <w:r>
        <w:rPr>
          <w:rFonts w:hint="eastAsia" w:ascii="Times New Roman" w:hAnsi="Times New Roman" w:eastAsia="黑体"/>
          <w:highlight w:val="none"/>
        </w:rPr>
        <w:t>国有资本经营预算支出决算情况说明</w:t>
      </w:r>
      <w:r>
        <w:tab/>
      </w:r>
      <w:r>
        <w:fldChar w:fldCharType="begin"/>
      </w:r>
      <w:r>
        <w:instrText xml:space="preserve"> PAGEREF _Toc16207 \h </w:instrText>
      </w:r>
      <w:r>
        <w:fldChar w:fldCharType="separate"/>
      </w:r>
      <w:r>
        <w:t>8</w:t>
      </w:r>
      <w:r>
        <w:fldChar w:fldCharType="end"/>
      </w:r>
      <w:r>
        <w:rPr>
          <w:rFonts w:hint="eastAsia" w:ascii="Times New Roman" w:hAnsi="Times New Roman" w:eastAsia="黑体"/>
          <w:color w:val="auto"/>
          <w:szCs w:val="48"/>
          <w:highlight w:val="none"/>
        </w:rPr>
        <w:fldChar w:fldCharType="end"/>
      </w:r>
    </w:p>
    <w:p w14:paraId="6222DF8B">
      <w:pPr>
        <w:pStyle w:val="14"/>
        <w:tabs>
          <w:tab w:val="right" w:leader="dot" w:pos="8306"/>
          <w:tab w:val="clear" w:pos="8296"/>
        </w:tabs>
      </w:pPr>
      <w:r>
        <w:rPr>
          <w:rFonts w:hint="eastAsia" w:ascii="Times New Roman" w:hAnsi="Times New Roman" w:eastAsia="黑体"/>
          <w:color w:val="auto"/>
          <w:szCs w:val="48"/>
          <w:highlight w:val="none"/>
        </w:rPr>
        <w:fldChar w:fldCharType="begin"/>
      </w:r>
      <w:r>
        <w:rPr>
          <w:rFonts w:hint="eastAsia" w:ascii="Times New Roman" w:hAnsi="Times New Roman" w:eastAsia="黑体"/>
          <w:szCs w:val="48"/>
          <w:highlight w:val="none"/>
        </w:rPr>
        <w:instrText xml:space="preserve"> HYPERLINK \l _Toc25856 </w:instrText>
      </w:r>
      <w:r>
        <w:rPr>
          <w:rFonts w:hint="eastAsia" w:ascii="Times New Roman" w:hAnsi="Times New Roman" w:eastAsia="黑体"/>
          <w:szCs w:val="48"/>
          <w:highlight w:val="none"/>
        </w:rPr>
        <w:fldChar w:fldCharType="separate"/>
      </w:r>
      <w:r>
        <w:rPr>
          <w:rFonts w:hint="eastAsia" w:ascii="Times New Roman" w:hAnsi="Times New Roman" w:eastAsia="黑体"/>
          <w:highlight w:val="none"/>
          <w:lang w:eastAsia="zh-CN"/>
        </w:rPr>
        <w:t>十、</w:t>
      </w:r>
      <w:r>
        <w:rPr>
          <w:rFonts w:hint="eastAsia" w:ascii="Times New Roman" w:hAnsi="Times New Roman" w:eastAsia="黑体"/>
          <w:highlight w:val="none"/>
        </w:rPr>
        <w:t>其他重要事项的情况说明</w:t>
      </w:r>
      <w:r>
        <w:tab/>
      </w:r>
      <w:r>
        <w:fldChar w:fldCharType="begin"/>
      </w:r>
      <w:r>
        <w:instrText xml:space="preserve"> PAGEREF _Toc25856 \h </w:instrText>
      </w:r>
      <w:r>
        <w:fldChar w:fldCharType="separate"/>
      </w:r>
      <w:r>
        <w:t>8</w:t>
      </w:r>
      <w:r>
        <w:fldChar w:fldCharType="end"/>
      </w:r>
      <w:r>
        <w:rPr>
          <w:rFonts w:hint="eastAsia" w:ascii="Times New Roman" w:hAnsi="Times New Roman" w:eastAsia="黑体"/>
          <w:color w:val="auto"/>
          <w:szCs w:val="48"/>
          <w:highlight w:val="none"/>
        </w:rPr>
        <w:fldChar w:fldCharType="end"/>
      </w:r>
    </w:p>
    <w:p w14:paraId="3B7C544E">
      <w:pPr>
        <w:pStyle w:val="8"/>
        <w:tabs>
          <w:tab w:val="right" w:leader="dot" w:pos="8306"/>
          <w:tab w:val="clear" w:pos="8296"/>
        </w:tabs>
      </w:pPr>
      <w:r>
        <w:rPr>
          <w:rFonts w:hint="eastAsia" w:ascii="Times New Roman" w:hAnsi="Times New Roman" w:eastAsia="黑体"/>
          <w:color w:val="auto"/>
          <w:szCs w:val="48"/>
          <w:highlight w:val="none"/>
        </w:rPr>
        <w:fldChar w:fldCharType="begin"/>
      </w:r>
      <w:r>
        <w:rPr>
          <w:rFonts w:hint="eastAsia" w:ascii="Times New Roman" w:hAnsi="Times New Roman" w:eastAsia="黑体"/>
          <w:szCs w:val="48"/>
          <w:highlight w:val="none"/>
        </w:rPr>
        <w:instrText xml:space="preserve"> HYPERLINK \l _Toc17436 </w:instrText>
      </w:r>
      <w:r>
        <w:rPr>
          <w:rFonts w:hint="eastAsia" w:ascii="Times New Roman" w:hAnsi="Times New Roman" w:eastAsia="黑体"/>
          <w:szCs w:val="48"/>
          <w:highlight w:val="none"/>
        </w:rPr>
        <w:fldChar w:fldCharType="separate"/>
      </w:r>
      <w:r>
        <w:rPr>
          <w:rFonts w:hint="eastAsia" w:ascii="Times New Roman" w:hAnsi="Times New Roman" w:eastAsia="楷体_GB2312" w:cs="楷体_GB2312"/>
          <w:szCs w:val="32"/>
          <w:highlight w:val="none"/>
        </w:rPr>
        <w:t>（一）机关运行经费支出情况</w:t>
      </w:r>
      <w:r>
        <w:tab/>
      </w:r>
      <w:r>
        <w:fldChar w:fldCharType="begin"/>
      </w:r>
      <w:r>
        <w:instrText xml:space="preserve"> PAGEREF _Toc17436 \h </w:instrText>
      </w:r>
      <w:r>
        <w:fldChar w:fldCharType="separate"/>
      </w:r>
      <w:r>
        <w:t>9</w:t>
      </w:r>
      <w:r>
        <w:fldChar w:fldCharType="end"/>
      </w:r>
      <w:r>
        <w:rPr>
          <w:rFonts w:hint="eastAsia" w:ascii="Times New Roman" w:hAnsi="Times New Roman" w:eastAsia="黑体"/>
          <w:color w:val="auto"/>
          <w:szCs w:val="48"/>
          <w:highlight w:val="none"/>
        </w:rPr>
        <w:fldChar w:fldCharType="end"/>
      </w:r>
    </w:p>
    <w:p w14:paraId="77717DED">
      <w:pPr>
        <w:pStyle w:val="8"/>
        <w:tabs>
          <w:tab w:val="right" w:leader="dot" w:pos="8306"/>
          <w:tab w:val="clear" w:pos="8296"/>
        </w:tabs>
      </w:pPr>
      <w:r>
        <w:rPr>
          <w:rFonts w:hint="eastAsia" w:ascii="Times New Roman" w:hAnsi="Times New Roman" w:eastAsia="黑体"/>
          <w:color w:val="auto"/>
          <w:szCs w:val="48"/>
          <w:highlight w:val="none"/>
        </w:rPr>
        <w:fldChar w:fldCharType="begin"/>
      </w:r>
      <w:r>
        <w:rPr>
          <w:rFonts w:hint="eastAsia" w:ascii="Times New Roman" w:hAnsi="Times New Roman" w:eastAsia="黑体"/>
          <w:szCs w:val="48"/>
          <w:highlight w:val="none"/>
        </w:rPr>
        <w:instrText xml:space="preserve"> HYPERLINK \l _Toc11501 </w:instrText>
      </w:r>
      <w:r>
        <w:rPr>
          <w:rFonts w:hint="eastAsia" w:ascii="Times New Roman" w:hAnsi="Times New Roman" w:eastAsia="黑体"/>
          <w:szCs w:val="48"/>
          <w:highlight w:val="none"/>
        </w:rPr>
        <w:fldChar w:fldCharType="separate"/>
      </w:r>
      <w:r>
        <w:rPr>
          <w:rFonts w:hint="eastAsia" w:ascii="Times New Roman" w:hAnsi="Times New Roman" w:eastAsia="楷体_GB2312" w:cs="楷体_GB2312"/>
          <w:szCs w:val="32"/>
          <w:highlight w:val="none"/>
        </w:rPr>
        <w:t>（二）政府采购支出情况</w:t>
      </w:r>
      <w:r>
        <w:tab/>
      </w:r>
      <w:r>
        <w:fldChar w:fldCharType="begin"/>
      </w:r>
      <w:r>
        <w:instrText xml:space="preserve"> PAGEREF _Toc11501 \h </w:instrText>
      </w:r>
      <w:r>
        <w:fldChar w:fldCharType="separate"/>
      </w:r>
      <w:r>
        <w:t>9</w:t>
      </w:r>
      <w:r>
        <w:fldChar w:fldCharType="end"/>
      </w:r>
      <w:r>
        <w:rPr>
          <w:rFonts w:hint="eastAsia" w:ascii="Times New Roman" w:hAnsi="Times New Roman" w:eastAsia="黑体"/>
          <w:color w:val="auto"/>
          <w:szCs w:val="48"/>
          <w:highlight w:val="none"/>
        </w:rPr>
        <w:fldChar w:fldCharType="end"/>
      </w:r>
    </w:p>
    <w:p w14:paraId="02313C0F">
      <w:pPr>
        <w:pStyle w:val="8"/>
        <w:tabs>
          <w:tab w:val="right" w:leader="dot" w:pos="8306"/>
          <w:tab w:val="clear" w:pos="8296"/>
        </w:tabs>
      </w:pPr>
      <w:r>
        <w:rPr>
          <w:rFonts w:hint="eastAsia" w:ascii="Times New Roman" w:hAnsi="Times New Roman" w:eastAsia="黑体"/>
          <w:color w:val="auto"/>
          <w:szCs w:val="48"/>
          <w:highlight w:val="none"/>
        </w:rPr>
        <w:fldChar w:fldCharType="begin"/>
      </w:r>
      <w:r>
        <w:rPr>
          <w:rFonts w:hint="eastAsia" w:ascii="Times New Roman" w:hAnsi="Times New Roman" w:eastAsia="黑体"/>
          <w:szCs w:val="48"/>
          <w:highlight w:val="none"/>
        </w:rPr>
        <w:instrText xml:space="preserve"> HYPERLINK \l _Toc15352 </w:instrText>
      </w:r>
      <w:r>
        <w:rPr>
          <w:rFonts w:hint="eastAsia" w:ascii="Times New Roman" w:hAnsi="Times New Roman" w:eastAsia="黑体"/>
          <w:szCs w:val="48"/>
          <w:highlight w:val="none"/>
        </w:rPr>
        <w:fldChar w:fldCharType="separate"/>
      </w:r>
      <w:r>
        <w:rPr>
          <w:rFonts w:hint="eastAsia" w:ascii="Times New Roman" w:hAnsi="Times New Roman" w:eastAsia="楷体_GB2312" w:cs="楷体_GB2312"/>
          <w:szCs w:val="32"/>
          <w:highlight w:val="none"/>
        </w:rPr>
        <w:t>（三）国有资产占有使用情况</w:t>
      </w:r>
      <w:r>
        <w:tab/>
      </w:r>
      <w:r>
        <w:fldChar w:fldCharType="begin"/>
      </w:r>
      <w:r>
        <w:instrText xml:space="preserve"> PAGEREF _Toc15352 \h </w:instrText>
      </w:r>
      <w:r>
        <w:fldChar w:fldCharType="separate"/>
      </w:r>
      <w:r>
        <w:t>9</w:t>
      </w:r>
      <w:r>
        <w:fldChar w:fldCharType="end"/>
      </w:r>
      <w:r>
        <w:rPr>
          <w:rFonts w:hint="eastAsia" w:ascii="Times New Roman" w:hAnsi="Times New Roman" w:eastAsia="黑体"/>
          <w:color w:val="auto"/>
          <w:szCs w:val="48"/>
          <w:highlight w:val="none"/>
        </w:rPr>
        <w:fldChar w:fldCharType="end"/>
      </w:r>
    </w:p>
    <w:p w14:paraId="62AB9DCD">
      <w:pPr>
        <w:pStyle w:val="8"/>
        <w:tabs>
          <w:tab w:val="right" w:leader="dot" w:pos="8306"/>
          <w:tab w:val="clear" w:pos="8296"/>
        </w:tabs>
      </w:pPr>
      <w:r>
        <w:rPr>
          <w:rFonts w:hint="eastAsia" w:ascii="Times New Roman" w:hAnsi="Times New Roman" w:eastAsia="黑体"/>
          <w:color w:val="auto"/>
          <w:szCs w:val="48"/>
          <w:highlight w:val="none"/>
        </w:rPr>
        <w:fldChar w:fldCharType="begin"/>
      </w:r>
      <w:r>
        <w:rPr>
          <w:rFonts w:hint="eastAsia" w:ascii="Times New Roman" w:hAnsi="Times New Roman" w:eastAsia="黑体"/>
          <w:szCs w:val="48"/>
          <w:highlight w:val="none"/>
        </w:rPr>
        <w:instrText xml:space="preserve"> HYPERLINK \l _Toc24207 </w:instrText>
      </w:r>
      <w:r>
        <w:rPr>
          <w:rFonts w:hint="eastAsia" w:ascii="Times New Roman" w:hAnsi="Times New Roman" w:eastAsia="黑体"/>
          <w:szCs w:val="48"/>
          <w:highlight w:val="none"/>
        </w:rPr>
        <w:fldChar w:fldCharType="separate"/>
      </w:r>
      <w:r>
        <w:rPr>
          <w:rFonts w:hint="eastAsia" w:ascii="Times New Roman" w:hAnsi="Times New Roman" w:eastAsia="楷体_GB2312" w:cs="楷体_GB2312"/>
          <w:szCs w:val="32"/>
          <w:highlight w:val="none"/>
        </w:rPr>
        <w:t>（四）预算绩效管理情况</w:t>
      </w:r>
      <w:r>
        <w:tab/>
      </w:r>
      <w:r>
        <w:fldChar w:fldCharType="begin"/>
      </w:r>
      <w:r>
        <w:instrText xml:space="preserve"> PAGEREF _Toc24207 \h </w:instrText>
      </w:r>
      <w:r>
        <w:fldChar w:fldCharType="separate"/>
      </w:r>
      <w:r>
        <w:t>9</w:t>
      </w:r>
      <w:r>
        <w:fldChar w:fldCharType="end"/>
      </w:r>
      <w:r>
        <w:rPr>
          <w:rFonts w:hint="eastAsia" w:ascii="Times New Roman" w:hAnsi="Times New Roman" w:eastAsia="黑体"/>
          <w:color w:val="auto"/>
          <w:szCs w:val="48"/>
          <w:highlight w:val="none"/>
        </w:rPr>
        <w:fldChar w:fldCharType="end"/>
      </w:r>
    </w:p>
    <w:p w14:paraId="71786125">
      <w:pPr>
        <w:pStyle w:val="12"/>
        <w:tabs>
          <w:tab w:val="right" w:leader="dot" w:pos="8306"/>
          <w:tab w:val="clear" w:pos="8296"/>
        </w:tabs>
      </w:pPr>
      <w:r>
        <w:rPr>
          <w:rFonts w:hint="eastAsia" w:ascii="Times New Roman" w:hAnsi="Times New Roman" w:eastAsia="黑体"/>
          <w:color w:val="auto"/>
          <w:szCs w:val="48"/>
          <w:highlight w:val="none"/>
        </w:rPr>
        <w:fldChar w:fldCharType="begin"/>
      </w:r>
      <w:r>
        <w:rPr>
          <w:rFonts w:hint="eastAsia" w:ascii="Times New Roman" w:hAnsi="Times New Roman" w:eastAsia="黑体"/>
          <w:szCs w:val="48"/>
          <w:highlight w:val="none"/>
        </w:rPr>
        <w:instrText xml:space="preserve"> HYPERLINK \l _Toc17169 </w:instrText>
      </w:r>
      <w:r>
        <w:rPr>
          <w:rFonts w:hint="eastAsia" w:ascii="Times New Roman" w:hAnsi="Times New Roman" w:eastAsia="黑体"/>
          <w:szCs w:val="48"/>
          <w:highlight w:val="none"/>
        </w:rPr>
        <w:fldChar w:fldCharType="separate"/>
      </w:r>
      <w:r>
        <w:rPr>
          <w:rFonts w:hint="eastAsia" w:ascii="Times New Roman" w:hAnsi="Times New Roman" w:eastAsia="黑体"/>
          <w:szCs w:val="44"/>
          <w:highlight w:val="none"/>
        </w:rPr>
        <w:t>第</w:t>
      </w:r>
      <w:r>
        <w:rPr>
          <w:rFonts w:hint="eastAsia" w:eastAsia="黑体"/>
          <w:szCs w:val="44"/>
          <w:highlight w:val="none"/>
          <w:lang w:eastAsia="zh-CN"/>
        </w:rPr>
        <w:t>三</w:t>
      </w:r>
      <w:r>
        <w:rPr>
          <w:rFonts w:hint="eastAsia" w:ascii="Times New Roman" w:hAnsi="Times New Roman" w:eastAsia="黑体"/>
          <w:szCs w:val="44"/>
          <w:highlight w:val="none"/>
        </w:rPr>
        <w:t>部分</w:t>
      </w:r>
      <w:r>
        <w:rPr>
          <w:rFonts w:hint="eastAsia" w:ascii="Times New Roman" w:hAnsi="Times New Roman" w:eastAsia="黑体"/>
          <w:szCs w:val="44"/>
          <w:highlight w:val="none"/>
          <w:lang w:val="en-US" w:eastAsia="zh-CN"/>
        </w:rPr>
        <w:t xml:space="preserve"> </w:t>
      </w:r>
      <w:r>
        <w:rPr>
          <w:rFonts w:hint="eastAsia" w:eastAsia="黑体"/>
          <w:szCs w:val="44"/>
          <w:highlight w:val="none"/>
          <w:lang w:val="en-US" w:eastAsia="zh-CN"/>
        </w:rPr>
        <w:t xml:space="preserve"> </w:t>
      </w:r>
      <w:r>
        <w:rPr>
          <w:rFonts w:hint="eastAsia" w:ascii="Times New Roman" w:hAnsi="Times New Roman" w:eastAsia="黑体"/>
          <w:szCs w:val="44"/>
          <w:highlight w:val="none"/>
        </w:rPr>
        <w:t>名词解释</w:t>
      </w:r>
      <w:r>
        <w:tab/>
      </w:r>
      <w:r>
        <w:fldChar w:fldCharType="begin"/>
      </w:r>
      <w:r>
        <w:instrText xml:space="preserve"> PAGEREF _Toc17169 \h </w:instrText>
      </w:r>
      <w:r>
        <w:fldChar w:fldCharType="separate"/>
      </w:r>
      <w:r>
        <w:t>9</w:t>
      </w:r>
      <w:r>
        <w:fldChar w:fldCharType="end"/>
      </w:r>
      <w:r>
        <w:rPr>
          <w:rFonts w:hint="eastAsia" w:ascii="Times New Roman" w:hAnsi="Times New Roman" w:eastAsia="黑体"/>
          <w:color w:val="auto"/>
          <w:szCs w:val="48"/>
          <w:highlight w:val="none"/>
        </w:rPr>
        <w:fldChar w:fldCharType="end"/>
      </w:r>
    </w:p>
    <w:p w14:paraId="0423C8C6">
      <w:pPr>
        <w:pStyle w:val="7"/>
        <w:rPr>
          <w:rFonts w:hint="eastAsia" w:ascii="Times New Roman" w:hAnsi="Times New Roman" w:eastAsia="黑体"/>
          <w:color w:val="auto"/>
          <w:sz w:val="48"/>
          <w:szCs w:val="48"/>
          <w:highlight w:val="none"/>
        </w:rPr>
      </w:pPr>
      <w:r>
        <w:rPr>
          <w:rFonts w:hint="eastAsia" w:ascii="Times New Roman" w:hAnsi="Times New Roman" w:eastAsia="黑体"/>
          <w:color w:val="auto"/>
          <w:szCs w:val="48"/>
          <w:highlight w:val="none"/>
        </w:rPr>
        <w:fldChar w:fldCharType="end"/>
      </w:r>
    </w:p>
    <w:p w14:paraId="7D330EB3">
      <w:pPr>
        <w:pStyle w:val="7"/>
        <w:rPr>
          <w:rFonts w:hint="eastAsia" w:ascii="Times New Roman" w:hAnsi="Times New Roman" w:eastAsia="黑体"/>
          <w:color w:val="auto"/>
          <w:sz w:val="48"/>
          <w:szCs w:val="48"/>
          <w:highlight w:val="none"/>
        </w:rPr>
      </w:pPr>
    </w:p>
    <w:p w14:paraId="32ACFFAC">
      <w:pPr>
        <w:pStyle w:val="7"/>
        <w:rPr>
          <w:rFonts w:hint="eastAsia" w:ascii="Times New Roman" w:hAnsi="Times New Roman" w:eastAsia="黑体"/>
          <w:color w:val="auto"/>
          <w:sz w:val="48"/>
          <w:szCs w:val="48"/>
          <w:highlight w:val="none"/>
        </w:rPr>
      </w:pPr>
    </w:p>
    <w:p w14:paraId="360D2234">
      <w:pPr>
        <w:pStyle w:val="7"/>
        <w:rPr>
          <w:rFonts w:hint="eastAsia" w:ascii="Times New Roman" w:hAnsi="Times New Roman" w:eastAsia="黑体"/>
          <w:color w:val="auto"/>
          <w:sz w:val="48"/>
          <w:szCs w:val="48"/>
          <w:highlight w:val="none"/>
        </w:rPr>
      </w:pPr>
    </w:p>
    <w:p w14:paraId="76BFE897">
      <w:pPr>
        <w:pStyle w:val="2"/>
        <w:jc w:val="both"/>
        <w:rPr>
          <w:rFonts w:hint="eastAsia" w:ascii="Times New Roman" w:hAnsi="Times New Roman" w:eastAsia="方正小标宋简体" w:cs="方正小标宋简体"/>
          <w:b w:val="0"/>
          <w:color w:val="auto"/>
          <w:highlight w:val="none"/>
        </w:rPr>
        <w:sectPr>
          <w:footerReference r:id="rId5" w:type="default"/>
          <w:pgSz w:w="11906" w:h="16838"/>
          <w:pgMar w:top="1440" w:right="1800" w:bottom="1440" w:left="1800" w:header="851" w:footer="992" w:gutter="0"/>
          <w:pgNumType w:fmt="decimal" w:start="1"/>
          <w:cols w:space="425" w:num="1"/>
          <w:docGrid w:type="lines" w:linePitch="312" w:charSpace="0"/>
        </w:sectPr>
      </w:pPr>
      <w:bookmarkStart w:id="6" w:name="_Toc15396599"/>
      <w:bookmarkStart w:id="7" w:name="_Toc15377196"/>
    </w:p>
    <w:p w14:paraId="5E7063D0">
      <w:pPr>
        <w:pStyle w:val="2"/>
        <w:jc w:val="center"/>
        <w:rPr>
          <w:rStyle w:val="29"/>
          <w:rFonts w:hint="eastAsia" w:ascii="Times New Roman" w:hAnsi="Times New Roman" w:eastAsia="方正小标宋简体" w:cs="方正小标宋简体"/>
          <w:b/>
          <w:bCs w:val="0"/>
          <w:color w:val="auto"/>
          <w:highlight w:val="none"/>
        </w:rPr>
      </w:pPr>
      <w:bookmarkStart w:id="8" w:name="_Toc16594"/>
      <w:r>
        <w:rPr>
          <w:rFonts w:hint="eastAsia" w:ascii="Times New Roman" w:hAnsi="Times New Roman" w:eastAsia="方正小标宋简体" w:cs="方正小标宋简体"/>
          <w:b w:val="0"/>
          <w:color w:val="auto"/>
          <w:highlight w:val="none"/>
        </w:rPr>
        <w:t>第一部分</w:t>
      </w:r>
      <w:r>
        <w:rPr>
          <w:rFonts w:hint="eastAsia" w:ascii="Times New Roman" w:hAnsi="Times New Roman" w:eastAsia="方正小标宋简体" w:cs="方正小标宋简体"/>
          <w:b w:val="0"/>
          <w:color w:val="auto"/>
          <w:highlight w:val="none"/>
          <w:lang w:val="en-US" w:eastAsia="zh-CN"/>
        </w:rPr>
        <w:t xml:space="preserve"> </w:t>
      </w:r>
      <w:r>
        <w:rPr>
          <w:rFonts w:hint="eastAsia" w:ascii="Times New Roman" w:hAnsi="Times New Roman" w:eastAsia="方正小标宋简体" w:cs="方正小标宋简体"/>
          <w:b w:val="0"/>
          <w:color w:val="auto"/>
          <w:highlight w:val="none"/>
        </w:rPr>
        <w:t xml:space="preserve"> </w:t>
      </w:r>
      <w:r>
        <w:rPr>
          <w:rStyle w:val="29"/>
          <w:rFonts w:hint="eastAsia" w:ascii="Times New Roman" w:hAnsi="Times New Roman" w:eastAsia="方正小标宋简体" w:cs="方正小标宋简体"/>
          <w:b w:val="0"/>
          <w:bCs w:val="0"/>
          <w:color w:val="auto"/>
          <w:highlight w:val="none"/>
        </w:rPr>
        <w:t>部门概况</w:t>
      </w:r>
      <w:bookmarkEnd w:id="6"/>
      <w:bookmarkEnd w:id="7"/>
      <w:bookmarkEnd w:id="8"/>
    </w:p>
    <w:p w14:paraId="00CBD749">
      <w:pPr>
        <w:widowControl/>
        <w:jc w:val="left"/>
        <w:rPr>
          <w:rFonts w:ascii="Times New Roman" w:hAnsi="Times New Roman" w:eastAsia="黑体"/>
          <w:color w:val="auto"/>
          <w:sz w:val="32"/>
          <w:szCs w:val="32"/>
          <w:highlight w:val="none"/>
        </w:rPr>
      </w:pPr>
    </w:p>
    <w:p w14:paraId="3E79FC6C">
      <w:pPr>
        <w:pStyle w:val="3"/>
        <w:numPr>
          <w:ilvl w:val="0"/>
          <w:numId w:val="1"/>
        </w:numPr>
        <w:rPr>
          <w:rFonts w:hint="eastAsia" w:ascii="Times New Roman" w:hAnsi="Times New Roman" w:eastAsia="黑体"/>
          <w:b w:val="0"/>
          <w:color w:val="auto"/>
          <w:highlight w:val="none"/>
          <w:lang w:eastAsia="zh-CN"/>
        </w:rPr>
      </w:pPr>
      <w:bookmarkStart w:id="9" w:name="_Toc22225"/>
      <w:r>
        <w:rPr>
          <w:rFonts w:hint="eastAsia" w:ascii="Times New Roman" w:hAnsi="Times New Roman" w:eastAsia="黑体"/>
          <w:b w:val="0"/>
          <w:color w:val="auto"/>
          <w:highlight w:val="none"/>
          <w:lang w:eastAsia="zh-CN"/>
        </w:rPr>
        <w:t>部门职责</w:t>
      </w:r>
      <w:bookmarkEnd w:id="9"/>
    </w:p>
    <w:p w14:paraId="52234623">
      <w:pPr>
        <w:widowControl/>
        <w:suppressAutoHyphens/>
        <w:adjustRightInd w:val="0"/>
        <w:snapToGrid w:val="0"/>
        <w:spacing w:line="580" w:lineRule="exact"/>
        <w:ind w:left="0" w:firstLine="640"/>
        <w:contextualSpacing/>
        <w:jc w:val="left"/>
        <w:rPr>
          <w:rFonts w:hint="eastAsia" w:ascii="仿宋" w:eastAsia="仿宋"/>
          <w:bCs/>
          <w:color w:val="000000"/>
          <w:sz w:val="32"/>
          <w:szCs w:val="32"/>
        </w:rPr>
      </w:pPr>
      <w:r>
        <w:rPr>
          <w:rFonts w:hint="eastAsia" w:ascii="仿宋" w:eastAsia="仿宋" w:cs="仿宋"/>
          <w:spacing w:val="-11"/>
          <w:sz w:val="32"/>
          <w:szCs w:val="32"/>
          <w:lang w:val="en-US" w:eastAsia="zh-CN" w:bidi="ar-SA"/>
        </w:rPr>
        <w:t>1.阿坝州民族科普工作队</w:t>
      </w:r>
      <w:r>
        <w:rPr>
          <w:rFonts w:hint="eastAsia" w:ascii="仿宋" w:eastAsia="仿宋" w:cs="仿宋"/>
          <w:spacing w:val="-11"/>
          <w:sz w:val="32"/>
          <w:szCs w:val="32"/>
          <w:lang w:bidi="ar-SA"/>
        </w:rPr>
        <w:t>的职能主要是</w:t>
      </w:r>
      <w:r>
        <w:rPr>
          <w:rFonts w:hint="eastAsia" w:ascii="仿宋" w:eastAsia="仿宋" w:cs="仿宋"/>
          <w:spacing w:val="-11"/>
          <w:sz w:val="32"/>
          <w:szCs w:val="32"/>
          <w:lang w:val="en-US" w:eastAsia="zh-CN" w:bidi="ar-SA"/>
        </w:rPr>
        <w:t>：</w:t>
      </w:r>
      <w:r>
        <w:rPr>
          <w:rFonts w:hint="eastAsia" w:ascii="仿宋" w:eastAsia="仿宋"/>
          <w:bCs/>
          <w:color w:val="000000"/>
          <w:sz w:val="32"/>
          <w:szCs w:val="32"/>
        </w:rPr>
        <w:t>发动和组织有关学会、协会、研究会的科技人员，深入基层，通过科普讲座、科技展览和科教电影等形式，传播推广适合当地的实用技术，开展技术培训，大力发展智力；为党政领导决策民主化、科学化服务；利用各地区传统节假日、文艺、体育和物资交流活动之机，多渠道地开展内容丰富的科普宣传、技术咨询、技术服务，来抵制和反对各种不良社会习俗；指导、帮助农村和牧区建立科普网络体系；宣传党的民族政策、普及法律知识、文化生活知识和党的现行政策的宣传有机的结合起来。</w:t>
      </w:r>
    </w:p>
    <w:p w14:paraId="4BA173BA">
      <w:pPr>
        <w:spacing w:line="576" w:lineRule="exact"/>
        <w:ind w:firstLine="640" w:firstLineChars="200"/>
        <w:rPr>
          <w:rFonts w:hint="eastAsia"/>
          <w:lang w:eastAsia="zh-CN"/>
        </w:rPr>
      </w:pPr>
      <w:r>
        <w:rPr>
          <w:rFonts w:hint="eastAsia" w:ascii="仿宋" w:eastAsia="仿宋"/>
          <w:bCs/>
          <w:color w:val="000000"/>
          <w:sz w:val="32"/>
          <w:szCs w:val="32"/>
          <w:lang w:val="en-US" w:eastAsia="zh-CN"/>
        </w:rPr>
        <w:t>2.阿坝州科技馆</w:t>
      </w:r>
      <w:r>
        <w:rPr>
          <w:rFonts w:hint="eastAsia" w:ascii="仿宋" w:eastAsia="仿宋" w:cs="仿宋"/>
          <w:spacing w:val="-11"/>
          <w:sz w:val="32"/>
          <w:szCs w:val="32"/>
          <w:lang w:bidi="ar-SA"/>
        </w:rPr>
        <w:t>的职能主要是</w:t>
      </w:r>
      <w:r>
        <w:rPr>
          <w:rFonts w:hint="eastAsia" w:ascii="仿宋" w:eastAsia="仿宋"/>
          <w:bCs/>
          <w:color w:val="000000"/>
          <w:sz w:val="32"/>
          <w:szCs w:val="32"/>
          <w:lang w:val="en-US" w:eastAsia="zh-CN"/>
        </w:rPr>
        <w:t>：</w:t>
      </w:r>
      <w:r>
        <w:rPr>
          <w:rFonts w:hint="eastAsia" w:ascii="仿宋" w:eastAsia="仿宋"/>
          <w:bCs/>
          <w:color w:val="000000"/>
          <w:sz w:val="32"/>
          <w:szCs w:val="32"/>
        </w:rPr>
        <w:t>为我州社会公众和广大青少年提供参与科技活动、体验科技创新的良好场所。满足广大青少年的科技需求，激发科学兴趣、启动科学思维、提高科学素质和创新能力。开展科学展教工作等科技活动</w:t>
      </w:r>
      <w:r>
        <w:rPr>
          <w:rFonts w:hint="eastAsia" w:ascii="仿宋" w:eastAsia="仿宋"/>
          <w:bCs/>
          <w:color w:val="000000"/>
          <w:sz w:val="32"/>
          <w:szCs w:val="32"/>
          <w:lang w:eastAsia="zh-CN"/>
        </w:rPr>
        <w:t>。</w:t>
      </w:r>
    </w:p>
    <w:p w14:paraId="74A5CECB">
      <w:pPr>
        <w:pStyle w:val="3"/>
        <w:rPr>
          <w:rStyle w:val="30"/>
          <w:rFonts w:ascii="Times New Roman" w:hAnsi="Times New Roman"/>
          <w:b w:val="0"/>
          <w:bCs w:val="0"/>
          <w:color w:val="auto"/>
          <w:highlight w:val="none"/>
        </w:rPr>
      </w:pPr>
      <w:bookmarkStart w:id="10" w:name="_Toc19522"/>
      <w:bookmarkStart w:id="11" w:name="_Toc15377200"/>
      <w:bookmarkStart w:id="12" w:name="_Toc15396601"/>
      <w:r>
        <w:rPr>
          <w:rFonts w:hint="eastAsia" w:ascii="Times New Roman" w:hAnsi="Times New Roman" w:eastAsia="黑体"/>
          <w:b w:val="0"/>
          <w:color w:val="auto"/>
          <w:highlight w:val="none"/>
        </w:rPr>
        <w:t>二、机</w:t>
      </w:r>
      <w:r>
        <w:rPr>
          <w:rStyle w:val="30"/>
          <w:rFonts w:hint="eastAsia" w:ascii="Times New Roman" w:hAnsi="Times New Roman" w:eastAsia="黑体"/>
          <w:b w:val="0"/>
          <w:bCs w:val="0"/>
          <w:color w:val="auto"/>
          <w:highlight w:val="none"/>
        </w:rPr>
        <w:t>构设置</w:t>
      </w:r>
      <w:bookmarkEnd w:id="10"/>
      <w:bookmarkEnd w:id="11"/>
      <w:bookmarkEnd w:id="12"/>
    </w:p>
    <w:p w14:paraId="7C7406F1">
      <w:pPr>
        <w:ind w:firstLine="800" w:firstLineChars="250"/>
        <w:rPr>
          <w:rFonts w:hint="eastAsia" w:ascii="Times New Roman" w:hAnsi="Times New Roman"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阿坝藏族羌族自治州民族科普工作队</w:t>
      </w:r>
      <w:r>
        <w:rPr>
          <w:rFonts w:hint="eastAsia" w:ascii="仿宋_GB2312" w:hAnsi="仿宋_GB2312" w:eastAsia="仿宋_GB2312" w:cs="仿宋_GB2312"/>
          <w:color w:val="auto"/>
          <w:sz w:val="32"/>
          <w:szCs w:val="32"/>
          <w:highlight w:val="none"/>
          <w:lang w:eastAsia="zh-CN"/>
        </w:rPr>
        <w:t>无</w:t>
      </w:r>
      <w:r>
        <w:rPr>
          <w:rFonts w:hint="eastAsia" w:ascii="Times New Roman" w:hAnsi="Times New Roman" w:eastAsia="仿宋_GB2312" w:cs="仿宋_GB2312"/>
          <w:color w:val="auto"/>
          <w:sz w:val="32"/>
          <w:szCs w:val="32"/>
          <w:highlight w:val="none"/>
        </w:rPr>
        <w:t>下属二级</w:t>
      </w:r>
      <w:r>
        <w:rPr>
          <w:rFonts w:hint="eastAsia" w:ascii="Times New Roman" w:hAnsi="Times New Roman" w:eastAsia="仿宋_GB2312" w:cs="仿宋_GB2312"/>
          <w:color w:val="auto"/>
          <w:sz w:val="32"/>
          <w:szCs w:val="32"/>
          <w:highlight w:val="none"/>
          <w:lang w:eastAsia="zh-CN"/>
        </w:rPr>
        <w:t>预算</w:t>
      </w:r>
      <w:r>
        <w:rPr>
          <w:rFonts w:hint="eastAsia" w:ascii="Times New Roman" w:hAnsi="Times New Roman" w:eastAsia="仿宋_GB2312" w:cs="仿宋_GB2312"/>
          <w:color w:val="auto"/>
          <w:sz w:val="32"/>
          <w:szCs w:val="32"/>
          <w:highlight w:val="none"/>
        </w:rPr>
        <w:t>单位。</w:t>
      </w:r>
    </w:p>
    <w:p w14:paraId="62C157CC">
      <w:pPr>
        <w:pStyle w:val="5"/>
        <w:adjustRightInd w:val="0"/>
        <w:snapToGrid w:val="0"/>
        <w:spacing w:before="93" w:line="600" w:lineRule="exact"/>
        <w:ind w:firstLine="672" w:firstLineChars="210"/>
        <w:rPr>
          <w:rFonts w:hint="eastAsia" w:ascii="Times New Roman" w:hAnsi="Times New Roman" w:eastAsia="仿宋_GB2312" w:cs="仿宋_GB2312"/>
          <w:color w:val="auto"/>
          <w:sz w:val="32"/>
          <w:szCs w:val="32"/>
          <w:highlight w:val="none"/>
        </w:rPr>
        <w:sectPr>
          <w:footerReference r:id="rId6" w:type="default"/>
          <w:pgSz w:w="11906" w:h="16838"/>
          <w:pgMar w:top="1440" w:right="1800" w:bottom="1440" w:left="1800" w:header="851" w:footer="992" w:gutter="0"/>
          <w:pgNumType w:fmt="decimal" w:start="1"/>
          <w:cols w:space="425" w:num="1"/>
          <w:docGrid w:type="lines" w:linePitch="312" w:charSpace="0"/>
        </w:sectPr>
      </w:pPr>
      <w:r>
        <w:rPr>
          <w:rFonts w:hint="eastAsia" w:ascii="Times New Roman" w:hAnsi="Times New Roman" w:eastAsia="仿宋_GB2312" w:cs="仿宋_GB2312"/>
          <w:color w:val="auto"/>
          <w:sz w:val="32"/>
          <w:szCs w:val="32"/>
          <w:highlight w:val="none"/>
        </w:rPr>
        <w:t>纳入</w:t>
      </w:r>
      <w:r>
        <w:rPr>
          <w:sz w:val="32"/>
          <w:szCs w:val="32"/>
        </w:rPr>
        <w:t>阿坝藏族羌族自治州民族科普工作队</w:t>
      </w:r>
      <w:r>
        <w:rPr>
          <w:rFonts w:hint="eastAsia" w:ascii="Times New Roman" w:hAnsi="Times New Roman" w:eastAsia="仿宋_GB2312" w:cs="仿宋_GB2312"/>
          <w:color w:val="auto"/>
          <w:sz w:val="32"/>
          <w:szCs w:val="32"/>
          <w:highlight w:val="none"/>
          <w:lang w:eastAsia="zh-CN"/>
        </w:rPr>
        <w:t>202</w:t>
      </w:r>
      <w:r>
        <w:rPr>
          <w:rFonts w:hint="eastAsia" w:ascii="Times New Roman" w:cs="仿宋_GB2312"/>
          <w:color w:val="auto"/>
          <w:sz w:val="32"/>
          <w:szCs w:val="32"/>
          <w:highlight w:val="none"/>
          <w:lang w:val="en-US" w:eastAsia="zh-CN"/>
        </w:rPr>
        <w:t>5</w:t>
      </w:r>
      <w:r>
        <w:rPr>
          <w:rFonts w:hint="eastAsia" w:ascii="Times New Roman" w:hAnsi="Times New Roman" w:eastAsia="仿宋_GB2312" w:cs="仿宋_GB2312"/>
          <w:color w:val="auto"/>
          <w:sz w:val="32"/>
          <w:szCs w:val="32"/>
          <w:highlight w:val="none"/>
          <w:lang w:eastAsia="zh-CN"/>
        </w:rPr>
        <w:t>年度</w:t>
      </w:r>
      <w:r>
        <w:rPr>
          <w:rFonts w:hint="eastAsia" w:ascii="Times New Roman" w:hAnsi="Times New Roman" w:eastAsia="仿宋_GB2312" w:cs="仿宋_GB2312"/>
          <w:color w:val="auto"/>
          <w:sz w:val="32"/>
          <w:szCs w:val="32"/>
          <w:highlight w:val="none"/>
        </w:rPr>
        <w:t>部</w:t>
      </w:r>
    </w:p>
    <w:p w14:paraId="562D13E4">
      <w:pPr>
        <w:pStyle w:val="5"/>
        <w:adjustRightInd w:val="0"/>
        <w:snapToGrid w:val="0"/>
        <w:spacing w:before="93" w:line="600" w:lineRule="exact"/>
        <w:ind w:firstLine="672" w:firstLineChars="210"/>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门决算编制范围的二级预算单位包括：</w:t>
      </w:r>
    </w:p>
    <w:p w14:paraId="04C35DAB">
      <w:pPr>
        <w:pStyle w:val="5"/>
        <w:numPr>
          <w:ilvl w:val="0"/>
          <w:numId w:val="2"/>
        </w:numPr>
        <w:adjustRightInd w:val="0"/>
        <w:snapToGrid w:val="0"/>
        <w:spacing w:before="93" w:line="600" w:lineRule="exact"/>
        <w:outlineLvl w:val="2"/>
        <w:rPr>
          <w:rFonts w:hint="eastAsia" w:ascii="Times New Roman" w:hAnsi="Times New Roman" w:eastAsia="仿宋_GB2312" w:cs="仿宋_GB2312"/>
          <w:color w:val="auto"/>
          <w:sz w:val="32"/>
          <w:szCs w:val="32"/>
          <w:highlight w:val="none"/>
        </w:rPr>
      </w:pPr>
      <w:bookmarkStart w:id="13" w:name="_Toc15378449"/>
      <w:bookmarkStart w:id="14" w:name="_Toc14802"/>
      <w:bookmarkStart w:id="15" w:name="_Toc469"/>
      <w:bookmarkStart w:id="16" w:name="_Toc15377433"/>
      <w:bookmarkStart w:id="17" w:name="_Toc15377202"/>
      <w:bookmarkStart w:id="18" w:name="_Toc15306276"/>
      <w:r>
        <w:rPr>
          <w:rFonts w:hint="eastAsia" w:ascii="Times New Roman" w:cs="仿宋_GB2312"/>
          <w:color w:val="auto"/>
          <w:sz w:val="32"/>
          <w:szCs w:val="32"/>
          <w:highlight w:val="none"/>
          <w:lang w:eastAsia="zh-CN"/>
        </w:rPr>
        <w:t>阿坝州民族科普工作队</w:t>
      </w:r>
      <w:bookmarkEnd w:id="13"/>
      <w:bookmarkEnd w:id="14"/>
      <w:bookmarkEnd w:id="15"/>
      <w:bookmarkEnd w:id="16"/>
      <w:bookmarkEnd w:id="17"/>
      <w:bookmarkEnd w:id="18"/>
    </w:p>
    <w:p w14:paraId="3A5627D4">
      <w:pPr>
        <w:pStyle w:val="5"/>
        <w:numPr>
          <w:ilvl w:val="0"/>
          <w:numId w:val="2"/>
        </w:numPr>
        <w:adjustRightInd w:val="0"/>
        <w:snapToGrid w:val="0"/>
        <w:spacing w:before="93" w:line="600" w:lineRule="exact"/>
        <w:outlineLvl w:val="2"/>
        <w:rPr>
          <w:rFonts w:hint="eastAsia" w:ascii="Times New Roman" w:hAnsi="Times New Roman" w:eastAsia="仿宋_GB2312" w:cs="仿宋_GB2312"/>
          <w:color w:val="auto"/>
          <w:sz w:val="32"/>
          <w:szCs w:val="32"/>
          <w:highlight w:val="none"/>
        </w:rPr>
      </w:pPr>
      <w:bookmarkStart w:id="19" w:name="_Toc27370"/>
      <w:bookmarkStart w:id="20" w:name="_Toc4097"/>
      <w:r>
        <w:rPr>
          <w:rFonts w:hint="eastAsia" w:ascii="Times New Roman" w:cs="仿宋_GB2312"/>
          <w:color w:val="auto"/>
          <w:sz w:val="32"/>
          <w:szCs w:val="32"/>
          <w:highlight w:val="none"/>
          <w:lang w:eastAsia="zh-CN"/>
        </w:rPr>
        <w:t>阿坝州科技馆</w:t>
      </w:r>
      <w:bookmarkEnd w:id="19"/>
      <w:bookmarkEnd w:id="20"/>
    </w:p>
    <w:p w14:paraId="3D8F1BBB">
      <w:pPr>
        <w:widowControl/>
        <w:jc w:val="left"/>
        <w:rPr>
          <w:rFonts w:ascii="Times New Roman" w:hAnsi="Times New Roman" w:eastAsia="仿宋"/>
          <w:color w:val="auto"/>
          <w:kern w:val="0"/>
          <w:sz w:val="32"/>
          <w:szCs w:val="32"/>
          <w:highlight w:val="none"/>
        </w:rPr>
      </w:pPr>
      <w:r>
        <w:rPr>
          <w:rFonts w:ascii="Times New Roman" w:hAnsi="Times New Roman" w:eastAsia="仿宋"/>
          <w:color w:val="auto"/>
          <w:sz w:val="32"/>
          <w:szCs w:val="32"/>
          <w:highlight w:val="none"/>
        </w:rPr>
        <w:br w:type="page"/>
      </w:r>
    </w:p>
    <w:p w14:paraId="2DDDF530">
      <w:pPr>
        <w:pStyle w:val="2"/>
        <w:jc w:val="center"/>
        <w:rPr>
          <w:rFonts w:hint="eastAsia" w:ascii="Times New Roman" w:hAnsi="Times New Roman" w:eastAsia="方正小标宋简体" w:cs="方正小标宋简体"/>
          <w:b w:val="0"/>
          <w:color w:val="auto"/>
          <w:highlight w:val="none"/>
        </w:rPr>
      </w:pPr>
      <w:bookmarkStart w:id="21" w:name="_Toc15377204"/>
      <w:bookmarkStart w:id="22" w:name="_Toc15396602"/>
      <w:bookmarkStart w:id="23" w:name="_Toc32758"/>
      <w:r>
        <w:rPr>
          <w:rFonts w:hint="eastAsia" w:ascii="Times New Roman" w:hAnsi="Times New Roman" w:eastAsia="方正小标宋简体" w:cs="方正小标宋简体"/>
          <w:b w:val="0"/>
          <w:color w:val="auto"/>
          <w:highlight w:val="none"/>
        </w:rPr>
        <w:t>第二部分</w:t>
      </w:r>
      <w:r>
        <w:rPr>
          <w:rFonts w:hint="eastAsia" w:ascii="Times New Roman" w:hAnsi="Times New Roman" w:eastAsia="方正小标宋简体" w:cs="方正小标宋简体"/>
          <w:b w:val="0"/>
          <w:color w:val="auto"/>
          <w:highlight w:val="none"/>
          <w:lang w:val="en-US" w:eastAsia="zh-CN"/>
        </w:rPr>
        <w:t xml:space="preserve"> </w:t>
      </w:r>
      <w:r>
        <w:rPr>
          <w:rFonts w:hint="eastAsia" w:ascii="Times New Roman" w:hAnsi="Times New Roman" w:eastAsia="方正小标宋简体" w:cs="方正小标宋简体"/>
          <w:b w:val="0"/>
          <w:color w:val="auto"/>
          <w:highlight w:val="none"/>
        </w:rPr>
        <w:t xml:space="preserve"> </w:t>
      </w:r>
      <w:r>
        <w:rPr>
          <w:rFonts w:hint="eastAsia" w:eastAsia="方正小标宋简体" w:cs="方正小标宋简体"/>
          <w:b w:val="0"/>
          <w:color w:val="auto"/>
          <w:highlight w:val="none"/>
          <w:lang w:val="en-US" w:eastAsia="zh-CN"/>
        </w:rPr>
        <w:t>2025年度</w:t>
      </w:r>
      <w:r>
        <w:rPr>
          <w:rFonts w:hint="eastAsia" w:ascii="Times New Roman" w:hAnsi="Times New Roman" w:eastAsia="方正小标宋简体" w:cs="方正小标宋简体"/>
          <w:b w:val="0"/>
          <w:color w:val="auto"/>
          <w:highlight w:val="none"/>
        </w:rPr>
        <w:t>部门决算情况说明</w:t>
      </w:r>
      <w:bookmarkEnd w:id="21"/>
      <w:bookmarkEnd w:id="22"/>
      <w:bookmarkEnd w:id="23"/>
    </w:p>
    <w:p w14:paraId="60536CE4">
      <w:pPr>
        <w:rPr>
          <w:rFonts w:ascii="Times New Roman" w:hAnsi="Times New Roman"/>
          <w:color w:val="auto"/>
          <w:highlight w:val="none"/>
        </w:rPr>
      </w:pPr>
    </w:p>
    <w:p w14:paraId="032582EB">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Style w:val="30"/>
          <w:rFonts w:hint="eastAsia" w:ascii="Times New Roman" w:hAnsi="Times New Roman" w:eastAsia="黑体"/>
          <w:b w:val="0"/>
          <w:color w:val="auto"/>
          <w:highlight w:val="none"/>
        </w:rPr>
      </w:pPr>
      <w:bookmarkStart w:id="24" w:name="_Toc15377205"/>
      <w:bookmarkStart w:id="25" w:name="_Toc15396603"/>
      <w:bookmarkStart w:id="26" w:name="_Toc18121"/>
      <w:r>
        <w:rPr>
          <w:rFonts w:hint="eastAsia" w:ascii="Times New Roman" w:hAnsi="Times New Roman" w:eastAsia="黑体"/>
          <w:color w:val="auto"/>
          <w:sz w:val="32"/>
          <w:szCs w:val="32"/>
          <w:highlight w:val="none"/>
          <w:lang w:eastAsia="zh-CN"/>
        </w:rPr>
        <w:t>一、</w:t>
      </w:r>
      <w:r>
        <w:rPr>
          <w:rFonts w:hint="eastAsia" w:ascii="Times New Roman" w:hAnsi="Times New Roman" w:eastAsia="黑体"/>
          <w:color w:val="auto"/>
          <w:sz w:val="32"/>
          <w:szCs w:val="32"/>
          <w:highlight w:val="none"/>
        </w:rPr>
        <w:t>收</w:t>
      </w:r>
      <w:r>
        <w:rPr>
          <w:rStyle w:val="30"/>
          <w:rFonts w:hint="eastAsia" w:ascii="Times New Roman" w:hAnsi="Times New Roman" w:eastAsia="黑体"/>
          <w:b w:val="0"/>
          <w:color w:val="auto"/>
          <w:highlight w:val="none"/>
        </w:rPr>
        <w:t>入支出决算总体情况说明</w:t>
      </w:r>
      <w:bookmarkEnd w:id="24"/>
      <w:bookmarkEnd w:id="25"/>
      <w:bookmarkEnd w:id="26"/>
    </w:p>
    <w:p w14:paraId="072B3669">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eastAsia="仿宋_GB2312" w:cs="仿宋_GB2312"/>
          <w:color w:val="auto"/>
          <w:sz w:val="32"/>
          <w:szCs w:val="32"/>
          <w:highlight w:val="none"/>
          <w:lang w:val="en-US" w:eastAsia="zh-CN"/>
        </w:rPr>
      </w:pPr>
      <w:bookmarkStart w:id="27" w:name="_Toc9115"/>
      <w:r>
        <w:rPr>
          <w:rFonts w:hint="eastAsia" w:eastAsia="仿宋_GB2312" w:cs="仿宋_GB2312"/>
          <w:color w:val="auto"/>
          <w:sz w:val="32"/>
          <w:szCs w:val="32"/>
          <w:highlight w:val="none"/>
          <w:lang w:eastAsia="zh-CN"/>
        </w:rPr>
        <w:t>2025年度</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总计</w:t>
      </w:r>
      <w:r>
        <w:rPr>
          <w:rFonts w:hint="eastAsia" w:ascii="Times New Roman" w:hAnsi="Times New Roman" w:eastAsia="仿宋_GB2312" w:cs="仿宋_GB2312"/>
          <w:color w:val="auto"/>
          <w:sz w:val="32"/>
          <w:szCs w:val="32"/>
          <w:highlight w:val="none"/>
          <w:lang w:eastAsia="zh-CN"/>
        </w:rPr>
        <w:t>均为</w:t>
      </w:r>
      <w:r>
        <w:rPr>
          <w:rFonts w:hint="eastAsia" w:eastAsia="仿宋_GB2312" w:cs="仿宋_GB2312"/>
          <w:color w:val="auto"/>
          <w:sz w:val="32"/>
          <w:szCs w:val="32"/>
          <w:highlight w:val="none"/>
          <w:lang w:val="en-US" w:eastAsia="zh-CN"/>
        </w:rPr>
        <w:t>142.44</w:t>
      </w:r>
      <w:r>
        <w:rPr>
          <w:rFonts w:hint="eastAsia" w:ascii="Times New Roman" w:hAnsi="Times New Roman" w:eastAsia="仿宋_GB2312" w:cs="仿宋_GB2312"/>
          <w:color w:val="auto"/>
          <w:sz w:val="32"/>
          <w:szCs w:val="32"/>
          <w:highlight w:val="none"/>
        </w:rPr>
        <w:t>万元。与</w:t>
      </w:r>
      <w:r>
        <w:rPr>
          <w:rFonts w:hint="eastAsia" w:eastAsia="仿宋_GB2312" w:cs="仿宋_GB2312"/>
          <w:color w:val="auto"/>
          <w:sz w:val="32"/>
          <w:szCs w:val="32"/>
          <w:highlight w:val="none"/>
          <w:lang w:eastAsia="zh-CN"/>
        </w:rPr>
        <w:t>上</w:t>
      </w:r>
      <w:r>
        <w:rPr>
          <w:rFonts w:hint="eastAsia" w:ascii="Times New Roman" w:hAnsi="Times New Roman" w:eastAsia="仿宋_GB2312" w:cs="仿宋_GB2312"/>
          <w:color w:val="auto"/>
          <w:sz w:val="32"/>
          <w:szCs w:val="32"/>
          <w:highlight w:val="none"/>
        </w:rPr>
        <w:t>年</w:t>
      </w:r>
      <w:r>
        <w:rPr>
          <w:rFonts w:hint="eastAsia" w:ascii="Times New Roman" w:hAnsi="Times New Roman" w:eastAsia="仿宋_GB2312" w:cs="仿宋_GB2312"/>
          <w:color w:val="auto"/>
          <w:sz w:val="32"/>
          <w:szCs w:val="32"/>
          <w:highlight w:val="none"/>
          <w:lang w:eastAsia="zh-CN"/>
        </w:rPr>
        <w:t>度</w:t>
      </w:r>
      <w:r>
        <w:rPr>
          <w:rFonts w:hint="eastAsia" w:ascii="Times New Roman" w:hAnsi="Times New Roman" w:eastAsia="仿宋_GB2312" w:cs="仿宋_GB2312"/>
          <w:color w:val="auto"/>
          <w:sz w:val="32"/>
          <w:szCs w:val="32"/>
          <w:highlight w:val="none"/>
        </w:rPr>
        <w:t>相比，</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总计各减少</w:t>
      </w:r>
      <w:r>
        <w:rPr>
          <w:rFonts w:hint="eastAsia" w:eastAsia="仿宋_GB2312" w:cs="仿宋_GB2312"/>
          <w:color w:val="auto"/>
          <w:sz w:val="32"/>
          <w:szCs w:val="32"/>
          <w:highlight w:val="none"/>
          <w:lang w:val="en-US" w:eastAsia="zh-CN"/>
        </w:rPr>
        <w:t>43.27</w:t>
      </w:r>
      <w:r>
        <w:rPr>
          <w:rFonts w:hint="eastAsia" w:ascii="Times New Roman" w:hAnsi="Times New Roman" w:eastAsia="仿宋_GB2312" w:cs="仿宋_GB2312"/>
          <w:color w:val="auto"/>
          <w:sz w:val="32"/>
          <w:szCs w:val="32"/>
          <w:highlight w:val="none"/>
        </w:rPr>
        <w:t>万元，下降</w:t>
      </w:r>
      <w:r>
        <w:rPr>
          <w:rFonts w:hint="eastAsia" w:eastAsia="仿宋_GB2312" w:cs="仿宋_GB2312"/>
          <w:color w:val="auto"/>
          <w:sz w:val="32"/>
          <w:szCs w:val="32"/>
          <w:highlight w:val="none"/>
          <w:lang w:val="en-US" w:eastAsia="zh-CN"/>
        </w:rPr>
        <w:t>23.30</w:t>
      </w:r>
      <w:r>
        <w:rPr>
          <w:rFonts w:hint="eastAsia" w:ascii="Times New Roman" w:hAnsi="Times New Roman" w:eastAsia="仿宋_GB2312" w:cs="仿宋_GB2312"/>
          <w:color w:val="auto"/>
          <w:sz w:val="32"/>
          <w:szCs w:val="32"/>
          <w:highlight w:val="none"/>
        </w:rPr>
        <w:t>%。主要变动原因是</w:t>
      </w:r>
      <w:r>
        <w:rPr>
          <w:rFonts w:hint="eastAsia" w:eastAsia="仿宋_GB2312" w:cs="仿宋_GB2312"/>
          <w:color w:val="auto"/>
          <w:sz w:val="32"/>
          <w:szCs w:val="32"/>
          <w:highlight w:val="none"/>
          <w:lang w:val="en-US" w:eastAsia="zh-CN"/>
        </w:rPr>
        <w:t>上年度年底退休三人，人数减少。</w:t>
      </w:r>
      <w:bookmarkEnd w:id="27"/>
    </w:p>
    <w:p w14:paraId="66F1C52A">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420" w:firstLineChars="200"/>
        <w:textAlignment w:val="auto"/>
        <w:outlineLvl w:val="1"/>
        <w:rPr>
          <w:rFonts w:hint="eastAsia" w:eastAsia="仿宋_GB2312" w:cs="仿宋_GB2312"/>
          <w:color w:val="auto"/>
          <w:sz w:val="32"/>
          <w:szCs w:val="32"/>
          <w:highlight w:val="none"/>
          <w:lang w:val="en-US" w:eastAsia="zh-CN"/>
        </w:rPr>
      </w:pPr>
      <w:r>
        <w:drawing>
          <wp:anchor distT="0" distB="0" distL="114300" distR="114300" simplePos="0" relativeHeight="251659264" behindDoc="1" locked="0" layoutInCell="1" allowOverlap="1">
            <wp:simplePos x="0" y="0"/>
            <wp:positionH relativeFrom="column">
              <wp:posOffset>304800</wp:posOffset>
            </wp:positionH>
            <wp:positionV relativeFrom="paragraph">
              <wp:posOffset>247650</wp:posOffset>
            </wp:positionV>
            <wp:extent cx="4829175" cy="2752725"/>
            <wp:effectExtent l="0" t="0" r="9525" b="9525"/>
            <wp:wrapNone/>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9"/>
                    <a:stretch>
                      <a:fillRect/>
                    </a:stretch>
                  </pic:blipFill>
                  <pic:spPr>
                    <a:xfrm>
                      <a:off x="0" y="0"/>
                      <a:ext cx="4829175" cy="2752725"/>
                    </a:xfrm>
                    <a:prstGeom prst="rect">
                      <a:avLst/>
                    </a:prstGeom>
                    <a:noFill/>
                    <a:ln>
                      <a:noFill/>
                    </a:ln>
                  </pic:spPr>
                </pic:pic>
              </a:graphicData>
            </a:graphic>
          </wp:anchor>
        </w:drawing>
      </w:r>
    </w:p>
    <w:p w14:paraId="3EBBC894">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rPr>
      </w:pPr>
    </w:p>
    <w:p w14:paraId="52505C31">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rPr>
      </w:pPr>
    </w:p>
    <w:p w14:paraId="7E345C09">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rPr>
      </w:pPr>
    </w:p>
    <w:p w14:paraId="2F9F6929">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rPr>
      </w:pPr>
    </w:p>
    <w:p w14:paraId="6BB66F91">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rPr>
      </w:pPr>
    </w:p>
    <w:p w14:paraId="3C7ADF9B">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rPr>
      </w:pPr>
    </w:p>
    <w:p w14:paraId="558F47E5">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rPr>
      </w:pPr>
    </w:p>
    <w:p w14:paraId="67759932">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rPr>
      </w:pPr>
      <w:bookmarkStart w:id="28" w:name="_Toc16494"/>
      <w:r>
        <w:rPr>
          <w:rFonts w:hint="eastAsia" w:ascii="Times New Roman" w:hAnsi="Times New Roman" w:eastAsia="仿宋_GB2312" w:cs="仿宋_GB2312"/>
          <w:color w:val="auto"/>
          <w:sz w:val="32"/>
          <w:szCs w:val="32"/>
          <w:highlight w:val="none"/>
        </w:rPr>
        <w:t>（图1：</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决算总计变动情况图）（柱状图）</w:t>
      </w:r>
      <w:bookmarkEnd w:id="28"/>
    </w:p>
    <w:p w14:paraId="0347A7BC">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Times New Roman" w:hAnsi="Times New Roman" w:eastAsia="仿宋_GB2312" w:cs="仿宋_GB2312"/>
          <w:color w:val="auto"/>
          <w:sz w:val="32"/>
          <w:szCs w:val="32"/>
          <w:highlight w:val="none"/>
        </w:rPr>
      </w:pPr>
    </w:p>
    <w:p w14:paraId="2913116E">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黑体"/>
          <w:color w:val="auto"/>
          <w:sz w:val="32"/>
          <w:szCs w:val="32"/>
          <w:highlight w:val="none"/>
          <w:lang w:eastAsia="zh-CN"/>
        </w:rPr>
      </w:pPr>
      <w:bookmarkStart w:id="29" w:name="_Toc22823"/>
      <w:bookmarkStart w:id="30" w:name="_Toc15396604"/>
      <w:bookmarkStart w:id="31" w:name="_Toc15377206"/>
      <w:r>
        <w:rPr>
          <w:rFonts w:hint="eastAsia" w:ascii="Times New Roman" w:hAnsi="Times New Roman" w:eastAsia="黑体"/>
          <w:color w:val="auto"/>
          <w:sz w:val="32"/>
          <w:szCs w:val="32"/>
          <w:highlight w:val="none"/>
          <w:lang w:eastAsia="zh-CN"/>
        </w:rPr>
        <w:t>二、收入决算情况说明</w:t>
      </w:r>
      <w:bookmarkEnd w:id="29"/>
      <w:bookmarkEnd w:id="30"/>
      <w:bookmarkEnd w:id="31"/>
    </w:p>
    <w:p w14:paraId="5CDF4515">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eastAsia="仿宋_GB2312" w:cs="仿宋_GB2312"/>
          <w:color w:val="auto"/>
          <w:sz w:val="32"/>
          <w:szCs w:val="32"/>
          <w:highlight w:val="none"/>
          <w:lang w:eastAsia="zh-CN"/>
        </w:rPr>
      </w:pPr>
      <w:bookmarkStart w:id="32" w:name="_Toc12396"/>
      <w:r>
        <w:rPr>
          <w:rFonts w:hint="eastAsia" w:eastAsia="仿宋_GB2312" w:cs="仿宋_GB2312"/>
          <w:color w:val="auto"/>
          <w:sz w:val="32"/>
          <w:szCs w:val="32"/>
          <w:highlight w:val="none"/>
          <w:lang w:eastAsia="zh-CN"/>
        </w:rPr>
        <w:t>2025年度</w:t>
      </w:r>
      <w:r>
        <w:rPr>
          <w:rFonts w:hint="eastAsia" w:ascii="Times New Roman" w:hAnsi="Times New Roman" w:eastAsia="仿宋_GB2312" w:cs="仿宋_GB2312"/>
          <w:color w:val="auto"/>
          <w:sz w:val="32"/>
          <w:szCs w:val="32"/>
          <w:highlight w:val="none"/>
          <w:lang w:eastAsia="zh-CN"/>
        </w:rPr>
        <w:t>本年收入合计</w:t>
      </w:r>
      <w:r>
        <w:rPr>
          <w:rFonts w:hint="eastAsia" w:eastAsia="仿宋_GB2312" w:cs="仿宋_GB2312"/>
          <w:color w:val="auto"/>
          <w:sz w:val="32"/>
          <w:szCs w:val="32"/>
          <w:highlight w:val="none"/>
          <w:lang w:val="en-US" w:eastAsia="zh-CN"/>
        </w:rPr>
        <w:t>142.44</w:t>
      </w:r>
      <w:r>
        <w:rPr>
          <w:rFonts w:hint="eastAsia" w:ascii="Times New Roman" w:hAnsi="Times New Roman" w:eastAsia="仿宋_GB2312" w:cs="仿宋_GB2312"/>
          <w:color w:val="auto"/>
          <w:sz w:val="32"/>
          <w:szCs w:val="32"/>
          <w:highlight w:val="none"/>
          <w:lang w:eastAsia="zh-CN"/>
        </w:rPr>
        <w:t>万元，其中：一般公共预算财政拨款收入</w:t>
      </w:r>
      <w:r>
        <w:rPr>
          <w:rFonts w:hint="eastAsia" w:eastAsia="仿宋_GB2312" w:cs="仿宋_GB2312"/>
          <w:color w:val="auto"/>
          <w:sz w:val="32"/>
          <w:szCs w:val="32"/>
          <w:highlight w:val="none"/>
          <w:lang w:val="en-US" w:eastAsia="zh-CN"/>
        </w:rPr>
        <w:t>142.44</w:t>
      </w:r>
      <w:r>
        <w:rPr>
          <w:rFonts w:hint="eastAsia" w:ascii="Times New Roman" w:hAnsi="Times New Roman" w:eastAsia="仿宋_GB2312" w:cs="仿宋_GB2312"/>
          <w:color w:val="auto"/>
          <w:sz w:val="32"/>
          <w:szCs w:val="32"/>
          <w:highlight w:val="none"/>
          <w:lang w:eastAsia="zh-CN"/>
        </w:rPr>
        <w:t>万元，占</w:t>
      </w:r>
      <w:r>
        <w:rPr>
          <w:rFonts w:hint="eastAsia" w:eastAsia="仿宋_GB2312" w:cs="仿宋_GB2312"/>
          <w:color w:val="auto"/>
          <w:sz w:val="32"/>
          <w:szCs w:val="32"/>
          <w:highlight w:val="none"/>
          <w:lang w:val="en-US" w:eastAsia="zh-CN"/>
        </w:rPr>
        <w:t>100</w:t>
      </w:r>
      <w:r>
        <w:rPr>
          <w:rFonts w:hint="eastAsia" w:ascii="Times New Roman" w:hAnsi="Times New Roman" w:eastAsia="仿宋_GB2312" w:cs="仿宋_GB2312"/>
          <w:color w:val="auto"/>
          <w:sz w:val="32"/>
          <w:szCs w:val="32"/>
          <w:highlight w:val="none"/>
          <w:lang w:eastAsia="zh-CN"/>
        </w:rPr>
        <w:t>%</w:t>
      </w:r>
      <w:r>
        <w:rPr>
          <w:rFonts w:hint="eastAsia" w:eastAsia="仿宋_GB2312" w:cs="仿宋_GB2312"/>
          <w:color w:val="auto"/>
          <w:sz w:val="32"/>
          <w:szCs w:val="32"/>
          <w:highlight w:val="none"/>
          <w:lang w:eastAsia="zh-CN"/>
        </w:rPr>
        <w:t>。</w:t>
      </w:r>
      <w:bookmarkEnd w:id="32"/>
    </w:p>
    <w:p w14:paraId="75966C4D">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eastAsia="仿宋_GB2312" w:cs="仿宋_GB2312"/>
          <w:color w:val="auto"/>
          <w:sz w:val="32"/>
          <w:szCs w:val="32"/>
          <w:highlight w:val="none"/>
          <w:lang w:eastAsia="zh-CN"/>
        </w:rPr>
      </w:pPr>
    </w:p>
    <w:p w14:paraId="6458240A">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eastAsia="仿宋_GB2312" w:cs="仿宋_GB2312"/>
          <w:color w:val="auto"/>
          <w:sz w:val="32"/>
          <w:szCs w:val="32"/>
          <w:highlight w:val="none"/>
          <w:lang w:eastAsia="zh-CN"/>
        </w:rPr>
      </w:pPr>
    </w:p>
    <w:p w14:paraId="37180656">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eastAsia="仿宋_GB2312" w:cs="仿宋_GB2312"/>
          <w:color w:val="auto"/>
          <w:sz w:val="32"/>
          <w:szCs w:val="32"/>
          <w:highlight w:val="none"/>
          <w:lang w:eastAsia="zh-CN"/>
        </w:rPr>
      </w:pPr>
    </w:p>
    <w:p w14:paraId="202FB88C">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420" w:firstLineChars="200"/>
        <w:textAlignment w:val="auto"/>
        <w:outlineLvl w:val="1"/>
        <w:rPr>
          <w:rFonts w:hint="eastAsia" w:eastAsia="仿宋_GB2312" w:cs="仿宋_GB2312"/>
          <w:color w:val="auto"/>
          <w:sz w:val="32"/>
          <w:szCs w:val="32"/>
          <w:highlight w:val="none"/>
          <w:lang w:eastAsia="zh-CN"/>
        </w:rPr>
      </w:pPr>
      <w:r>
        <w:drawing>
          <wp:anchor distT="0" distB="0" distL="114300" distR="114300" simplePos="0" relativeHeight="251660288" behindDoc="1" locked="0" layoutInCell="1" allowOverlap="1">
            <wp:simplePos x="0" y="0"/>
            <wp:positionH relativeFrom="column">
              <wp:posOffset>76200</wp:posOffset>
            </wp:positionH>
            <wp:positionV relativeFrom="paragraph">
              <wp:posOffset>180975</wp:posOffset>
            </wp:positionV>
            <wp:extent cx="4829175" cy="2752725"/>
            <wp:effectExtent l="0" t="0" r="9525" b="9525"/>
            <wp:wrapNone/>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10"/>
                    <a:stretch>
                      <a:fillRect/>
                    </a:stretch>
                  </pic:blipFill>
                  <pic:spPr>
                    <a:xfrm>
                      <a:off x="0" y="0"/>
                      <a:ext cx="4829175" cy="2752725"/>
                    </a:xfrm>
                    <a:prstGeom prst="rect">
                      <a:avLst/>
                    </a:prstGeom>
                    <a:noFill/>
                    <a:ln>
                      <a:noFill/>
                    </a:ln>
                  </pic:spPr>
                </pic:pic>
              </a:graphicData>
            </a:graphic>
          </wp:anchor>
        </w:drawing>
      </w:r>
    </w:p>
    <w:p w14:paraId="0432122B">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eastAsia="仿宋_GB2312" w:cs="仿宋_GB2312"/>
          <w:color w:val="auto"/>
          <w:sz w:val="32"/>
          <w:szCs w:val="32"/>
          <w:highlight w:val="none"/>
          <w:lang w:eastAsia="zh-CN"/>
        </w:rPr>
      </w:pPr>
    </w:p>
    <w:p w14:paraId="75A52DDA">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eastAsia="仿宋_GB2312" w:cs="仿宋_GB2312"/>
          <w:color w:val="auto"/>
          <w:sz w:val="32"/>
          <w:szCs w:val="32"/>
          <w:highlight w:val="none"/>
          <w:lang w:eastAsia="zh-CN"/>
        </w:rPr>
      </w:pPr>
    </w:p>
    <w:p w14:paraId="198D6CFF">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eastAsia="仿宋_GB2312" w:cs="仿宋_GB2312"/>
          <w:color w:val="auto"/>
          <w:sz w:val="32"/>
          <w:szCs w:val="32"/>
          <w:highlight w:val="none"/>
          <w:lang w:eastAsia="zh-CN"/>
        </w:rPr>
      </w:pPr>
    </w:p>
    <w:p w14:paraId="2D917383">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eastAsia="仿宋_GB2312" w:cs="仿宋_GB2312"/>
          <w:color w:val="auto"/>
          <w:sz w:val="32"/>
          <w:szCs w:val="32"/>
          <w:highlight w:val="none"/>
          <w:lang w:eastAsia="zh-CN"/>
        </w:rPr>
      </w:pPr>
    </w:p>
    <w:p w14:paraId="3F1F4A2C">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eastAsia="仿宋_GB2312" w:cs="仿宋_GB2312"/>
          <w:color w:val="auto"/>
          <w:sz w:val="32"/>
          <w:szCs w:val="32"/>
          <w:highlight w:val="none"/>
          <w:lang w:eastAsia="zh-CN"/>
        </w:rPr>
      </w:pPr>
    </w:p>
    <w:p w14:paraId="09282757">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eastAsia="仿宋_GB2312" w:cs="仿宋_GB2312"/>
          <w:color w:val="auto"/>
          <w:sz w:val="32"/>
          <w:szCs w:val="32"/>
          <w:highlight w:val="none"/>
          <w:lang w:eastAsia="zh-CN"/>
        </w:rPr>
      </w:pPr>
    </w:p>
    <w:p w14:paraId="4B995A5A">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eastAsia="仿宋_GB2312" w:cs="仿宋_GB2312"/>
          <w:color w:val="auto"/>
          <w:sz w:val="32"/>
          <w:szCs w:val="32"/>
          <w:highlight w:val="none"/>
          <w:lang w:eastAsia="zh-CN"/>
        </w:rPr>
      </w:pPr>
    </w:p>
    <w:p w14:paraId="61FBB699">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bookmarkStart w:id="33" w:name="_Toc9746"/>
      <w:r>
        <w:rPr>
          <w:rFonts w:hint="eastAsia" w:ascii="Times New Roman" w:hAnsi="Times New Roman" w:eastAsia="仿宋_GB2312" w:cs="仿宋_GB2312"/>
          <w:color w:val="auto"/>
          <w:sz w:val="32"/>
          <w:szCs w:val="32"/>
          <w:highlight w:val="none"/>
          <w:lang w:eastAsia="zh-CN"/>
        </w:rPr>
        <w:t>（图2：收入决算结构图）（饼状图）</w:t>
      </w:r>
      <w:bookmarkEnd w:id="33"/>
    </w:p>
    <w:p w14:paraId="21724843">
      <w:pPr>
        <w:ind w:firstLine="800" w:firstLineChars="250"/>
        <w:rPr>
          <w:rFonts w:hint="eastAsia" w:ascii="Times New Roman" w:hAnsi="Times New Roman" w:eastAsia="仿宋_GB2312" w:cs="仿宋_GB2312"/>
          <w:color w:val="auto"/>
          <w:sz w:val="32"/>
          <w:szCs w:val="32"/>
          <w:highlight w:val="none"/>
          <w:lang w:eastAsia="zh-CN"/>
        </w:rPr>
      </w:pPr>
    </w:p>
    <w:p w14:paraId="6BFFDF13">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Style w:val="30"/>
          <w:rFonts w:hint="eastAsia" w:ascii="Times New Roman" w:hAnsi="Times New Roman" w:eastAsia="黑体"/>
          <w:b w:val="0"/>
          <w:color w:val="auto"/>
          <w:highlight w:val="none"/>
        </w:rPr>
      </w:pPr>
      <w:bookmarkStart w:id="34" w:name="_Toc15377207"/>
      <w:bookmarkStart w:id="35" w:name="_Toc31525"/>
      <w:bookmarkStart w:id="36" w:name="_Toc15396605"/>
      <w:r>
        <w:rPr>
          <w:rFonts w:hint="eastAsia" w:ascii="Times New Roman" w:hAnsi="Times New Roman" w:eastAsia="黑体"/>
          <w:color w:val="auto"/>
          <w:sz w:val="32"/>
          <w:szCs w:val="32"/>
          <w:highlight w:val="none"/>
          <w:lang w:eastAsia="zh-CN"/>
        </w:rPr>
        <w:t>三、</w:t>
      </w:r>
      <w:r>
        <w:rPr>
          <w:rFonts w:hint="eastAsia" w:ascii="Times New Roman" w:hAnsi="Times New Roman" w:eastAsia="黑体"/>
          <w:color w:val="auto"/>
          <w:sz w:val="32"/>
          <w:szCs w:val="32"/>
          <w:highlight w:val="none"/>
        </w:rPr>
        <w:t>支</w:t>
      </w:r>
      <w:r>
        <w:rPr>
          <w:rStyle w:val="30"/>
          <w:rFonts w:hint="eastAsia" w:ascii="Times New Roman" w:hAnsi="Times New Roman" w:eastAsia="黑体"/>
          <w:b w:val="0"/>
          <w:color w:val="auto"/>
          <w:highlight w:val="none"/>
        </w:rPr>
        <w:t>出决算情况说明</w:t>
      </w:r>
      <w:bookmarkEnd w:id="34"/>
      <w:bookmarkEnd w:id="35"/>
      <w:bookmarkEnd w:id="36"/>
    </w:p>
    <w:p w14:paraId="6510021A">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bookmarkStart w:id="37" w:name="_Toc21756"/>
      <w:r>
        <w:rPr>
          <w:rFonts w:hint="eastAsia" w:eastAsia="仿宋_GB2312" w:cs="仿宋_GB2312"/>
          <w:color w:val="auto"/>
          <w:sz w:val="32"/>
          <w:szCs w:val="32"/>
          <w:highlight w:val="none"/>
          <w:lang w:eastAsia="zh-CN"/>
        </w:rPr>
        <w:t>2025年度</w:t>
      </w:r>
      <w:r>
        <w:rPr>
          <w:rFonts w:hint="eastAsia" w:ascii="Times New Roman" w:hAnsi="Times New Roman" w:eastAsia="仿宋_GB2312" w:cs="仿宋_GB2312"/>
          <w:color w:val="auto"/>
          <w:sz w:val="32"/>
          <w:szCs w:val="32"/>
          <w:highlight w:val="none"/>
          <w:lang w:eastAsia="zh-CN"/>
        </w:rPr>
        <w:t>本年支出合计</w:t>
      </w:r>
      <w:r>
        <w:rPr>
          <w:rFonts w:hint="eastAsia" w:eastAsia="仿宋_GB2312" w:cs="仿宋_GB2312"/>
          <w:color w:val="auto"/>
          <w:sz w:val="32"/>
          <w:szCs w:val="32"/>
          <w:highlight w:val="none"/>
          <w:lang w:val="en-US" w:eastAsia="zh-CN"/>
        </w:rPr>
        <w:t>142.44</w:t>
      </w:r>
      <w:r>
        <w:rPr>
          <w:rFonts w:hint="eastAsia" w:ascii="Times New Roman" w:hAnsi="Times New Roman" w:eastAsia="仿宋_GB2312" w:cs="仿宋_GB2312"/>
          <w:color w:val="auto"/>
          <w:sz w:val="32"/>
          <w:szCs w:val="32"/>
          <w:highlight w:val="none"/>
          <w:lang w:eastAsia="zh-CN"/>
        </w:rPr>
        <w:t>万元，其中：基本支出</w:t>
      </w:r>
      <w:r>
        <w:rPr>
          <w:rFonts w:hint="eastAsia" w:eastAsia="仿宋_GB2312" w:cs="仿宋_GB2312"/>
          <w:color w:val="auto"/>
          <w:sz w:val="32"/>
          <w:szCs w:val="32"/>
          <w:highlight w:val="none"/>
          <w:lang w:val="en-US" w:eastAsia="zh-CN"/>
        </w:rPr>
        <w:t>142.44</w:t>
      </w:r>
      <w:r>
        <w:rPr>
          <w:rFonts w:hint="eastAsia" w:ascii="Times New Roman" w:hAnsi="Times New Roman" w:eastAsia="仿宋_GB2312" w:cs="仿宋_GB2312"/>
          <w:color w:val="auto"/>
          <w:sz w:val="32"/>
          <w:szCs w:val="32"/>
          <w:highlight w:val="none"/>
          <w:lang w:eastAsia="zh-CN"/>
        </w:rPr>
        <w:t>万元，占</w:t>
      </w:r>
      <w:r>
        <w:rPr>
          <w:rFonts w:hint="eastAsia" w:eastAsia="仿宋_GB2312" w:cs="仿宋_GB2312"/>
          <w:color w:val="auto"/>
          <w:sz w:val="32"/>
          <w:szCs w:val="32"/>
          <w:highlight w:val="none"/>
          <w:lang w:val="en-US" w:eastAsia="zh-CN"/>
        </w:rPr>
        <w:t>100</w:t>
      </w:r>
      <w:r>
        <w:rPr>
          <w:rFonts w:hint="eastAsia" w:ascii="Times New Roman" w:hAnsi="Times New Roman" w:eastAsia="仿宋_GB2312" w:cs="仿宋_GB2312"/>
          <w:color w:val="auto"/>
          <w:sz w:val="32"/>
          <w:szCs w:val="32"/>
          <w:highlight w:val="none"/>
          <w:lang w:eastAsia="zh-CN"/>
        </w:rPr>
        <w:t>%。</w:t>
      </w:r>
      <w:bookmarkEnd w:id="37"/>
    </w:p>
    <w:p w14:paraId="6386D73E">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p>
    <w:p w14:paraId="16A17278">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p>
    <w:p w14:paraId="0D681F98">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p>
    <w:p w14:paraId="7AAA526E">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p>
    <w:p w14:paraId="074D8F0F">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p>
    <w:p w14:paraId="6511057E">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p>
    <w:p w14:paraId="3F653348">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p>
    <w:p w14:paraId="2B29F57E">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420" w:firstLineChars="200"/>
        <w:textAlignment w:val="auto"/>
        <w:outlineLvl w:val="1"/>
        <w:rPr>
          <w:rFonts w:hint="eastAsia" w:ascii="Times New Roman" w:hAnsi="Times New Roman" w:eastAsia="仿宋_GB2312" w:cs="仿宋_GB2312"/>
          <w:color w:val="auto"/>
          <w:sz w:val="32"/>
          <w:szCs w:val="32"/>
          <w:highlight w:val="none"/>
          <w:lang w:eastAsia="zh-CN"/>
        </w:rPr>
      </w:pPr>
      <w:r>
        <w:drawing>
          <wp:anchor distT="0" distB="0" distL="114300" distR="114300" simplePos="0" relativeHeight="251661312" behindDoc="1" locked="0" layoutInCell="1" allowOverlap="1">
            <wp:simplePos x="0" y="0"/>
            <wp:positionH relativeFrom="column">
              <wp:posOffset>266700</wp:posOffset>
            </wp:positionH>
            <wp:positionV relativeFrom="paragraph">
              <wp:posOffset>-2457450</wp:posOffset>
            </wp:positionV>
            <wp:extent cx="4848225" cy="2752725"/>
            <wp:effectExtent l="0" t="0" r="9525" b="9525"/>
            <wp:wrapNone/>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r:embed="rId11"/>
                    <a:stretch>
                      <a:fillRect/>
                    </a:stretch>
                  </pic:blipFill>
                  <pic:spPr>
                    <a:xfrm>
                      <a:off x="0" y="0"/>
                      <a:ext cx="4848225" cy="2752725"/>
                    </a:xfrm>
                    <a:prstGeom prst="rect">
                      <a:avLst/>
                    </a:prstGeom>
                    <a:noFill/>
                    <a:ln>
                      <a:noFill/>
                    </a:ln>
                  </pic:spPr>
                </pic:pic>
              </a:graphicData>
            </a:graphic>
          </wp:anchor>
        </w:drawing>
      </w:r>
    </w:p>
    <w:p w14:paraId="41C36999">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bookmarkStart w:id="38" w:name="_Toc1151"/>
      <w:r>
        <w:rPr>
          <w:rFonts w:hint="eastAsia" w:ascii="Times New Roman" w:hAnsi="Times New Roman" w:eastAsia="仿宋_GB2312" w:cs="仿宋_GB2312"/>
          <w:color w:val="auto"/>
          <w:sz w:val="32"/>
          <w:szCs w:val="32"/>
          <w:highlight w:val="none"/>
          <w:lang w:eastAsia="zh-CN"/>
        </w:rPr>
        <w:t>（图3：支出决算结构图）（饼状图）</w:t>
      </w:r>
      <w:bookmarkEnd w:id="38"/>
    </w:p>
    <w:p w14:paraId="67655085">
      <w:pPr>
        <w:ind w:firstLine="800" w:firstLineChars="250"/>
        <w:rPr>
          <w:rFonts w:hint="eastAsia" w:ascii="Times New Roman" w:hAnsi="Times New Roman" w:eastAsia="仿宋_GB2312" w:cs="仿宋_GB2312"/>
          <w:color w:val="auto"/>
          <w:sz w:val="32"/>
          <w:szCs w:val="32"/>
          <w:highlight w:val="none"/>
          <w:lang w:eastAsia="zh-CN"/>
        </w:rPr>
      </w:pPr>
    </w:p>
    <w:p w14:paraId="466ACD89">
      <w:pPr>
        <w:spacing w:line="600" w:lineRule="exact"/>
        <w:ind w:firstLine="640" w:firstLineChars="200"/>
        <w:outlineLvl w:val="1"/>
        <w:rPr>
          <w:rStyle w:val="30"/>
          <w:rFonts w:ascii="Times New Roman" w:hAnsi="Times New Roman" w:eastAsia="黑体"/>
          <w:b w:val="0"/>
          <w:color w:val="auto"/>
          <w:highlight w:val="none"/>
        </w:rPr>
      </w:pPr>
      <w:bookmarkStart w:id="39" w:name="_Toc15396606"/>
      <w:bookmarkStart w:id="40" w:name="_Toc15377208"/>
      <w:bookmarkStart w:id="41" w:name="_Toc15414"/>
      <w:r>
        <w:rPr>
          <w:rFonts w:hint="eastAsia" w:ascii="Times New Roman" w:hAnsi="Times New Roman" w:eastAsia="黑体"/>
          <w:color w:val="auto"/>
          <w:sz w:val="32"/>
          <w:szCs w:val="32"/>
          <w:highlight w:val="none"/>
        </w:rPr>
        <w:t>四、财</w:t>
      </w:r>
      <w:r>
        <w:rPr>
          <w:rStyle w:val="30"/>
          <w:rFonts w:hint="eastAsia" w:ascii="Times New Roman" w:hAnsi="Times New Roman" w:eastAsia="黑体"/>
          <w:b w:val="0"/>
          <w:color w:val="auto"/>
          <w:highlight w:val="none"/>
        </w:rPr>
        <w:t>政拨款收入支出决算总体情况说明</w:t>
      </w:r>
      <w:bookmarkEnd w:id="39"/>
      <w:bookmarkEnd w:id="40"/>
      <w:bookmarkEnd w:id="41"/>
    </w:p>
    <w:p w14:paraId="3D20E7C5">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kern w:val="2"/>
          <w:sz w:val="32"/>
          <w:szCs w:val="32"/>
          <w:highlight w:val="none"/>
          <w:lang w:val="en-US" w:eastAsia="zh-CN" w:bidi="ar-SA"/>
        </w:rPr>
      </w:pPr>
      <w:bookmarkStart w:id="42" w:name="_Toc1021"/>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财政拨款收入、支出总计均为</w:t>
      </w:r>
      <w:r>
        <w:rPr>
          <w:rFonts w:hint="eastAsia" w:eastAsia="仿宋_GB2312" w:cs="仿宋_GB2312"/>
          <w:color w:val="auto"/>
          <w:kern w:val="2"/>
          <w:sz w:val="32"/>
          <w:szCs w:val="32"/>
          <w:highlight w:val="none"/>
          <w:lang w:val="en-US" w:eastAsia="zh-CN" w:bidi="ar-SA"/>
        </w:rPr>
        <w:t>142.44</w:t>
      </w:r>
      <w:r>
        <w:rPr>
          <w:rFonts w:hint="eastAsia" w:ascii="Times New Roman" w:hAnsi="Times New Roman" w:eastAsia="仿宋_GB2312" w:cs="仿宋_GB2312"/>
          <w:color w:val="auto"/>
          <w:kern w:val="2"/>
          <w:sz w:val="32"/>
          <w:szCs w:val="32"/>
          <w:highlight w:val="none"/>
          <w:lang w:val="en-US" w:eastAsia="zh-CN" w:bidi="ar-SA"/>
        </w:rPr>
        <w:t>万元。与</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年度相比，财政拨款收入、支出总计各减少</w:t>
      </w:r>
      <w:r>
        <w:rPr>
          <w:rFonts w:hint="eastAsia" w:eastAsia="仿宋_GB2312" w:cs="仿宋_GB2312"/>
          <w:color w:val="auto"/>
          <w:kern w:val="2"/>
          <w:sz w:val="32"/>
          <w:szCs w:val="32"/>
          <w:highlight w:val="none"/>
          <w:lang w:val="en-US" w:eastAsia="zh-CN" w:bidi="ar-SA"/>
        </w:rPr>
        <w:t>43.27</w:t>
      </w:r>
      <w:r>
        <w:rPr>
          <w:rFonts w:hint="eastAsia" w:ascii="Times New Roman" w:hAnsi="Times New Roman" w:eastAsia="仿宋_GB2312" w:cs="仿宋_GB2312"/>
          <w:color w:val="auto"/>
          <w:kern w:val="2"/>
          <w:sz w:val="32"/>
          <w:szCs w:val="32"/>
          <w:highlight w:val="none"/>
          <w:lang w:val="en-US" w:eastAsia="zh-CN" w:bidi="ar-SA"/>
        </w:rPr>
        <w:t>万元，下降</w:t>
      </w:r>
      <w:r>
        <w:rPr>
          <w:rFonts w:hint="eastAsia" w:eastAsia="仿宋_GB2312" w:cs="仿宋_GB2312"/>
          <w:color w:val="auto"/>
          <w:sz w:val="32"/>
          <w:szCs w:val="32"/>
          <w:highlight w:val="none"/>
          <w:lang w:val="en-US" w:eastAsia="zh-CN"/>
        </w:rPr>
        <w:t>23.30</w:t>
      </w:r>
      <w:r>
        <w:rPr>
          <w:rFonts w:hint="eastAsia" w:ascii="Times New Roman" w:hAnsi="Times New Roman" w:eastAsia="仿宋_GB2312" w:cs="仿宋_GB2312"/>
          <w:color w:val="auto"/>
          <w:sz w:val="32"/>
          <w:szCs w:val="32"/>
          <w:highlight w:val="none"/>
        </w:rPr>
        <w:t>%。主要变动原因是</w:t>
      </w:r>
      <w:r>
        <w:rPr>
          <w:rFonts w:hint="eastAsia" w:eastAsia="仿宋_GB2312" w:cs="仿宋_GB2312"/>
          <w:color w:val="auto"/>
          <w:sz w:val="32"/>
          <w:szCs w:val="32"/>
          <w:highlight w:val="none"/>
          <w:lang w:val="en-US" w:eastAsia="zh-CN"/>
        </w:rPr>
        <w:t>上年度年底退休三人，人数减少。</w:t>
      </w:r>
      <w:bookmarkEnd w:id="42"/>
    </w:p>
    <w:p w14:paraId="25FF81FD">
      <w:pPr>
        <w:pStyle w:val="7"/>
        <w:rPr>
          <w:rFonts w:hint="eastAsia" w:ascii="Times New Roman" w:hAnsi="Times New Roman" w:eastAsia="仿宋_GB2312" w:cs="仿宋_GB2312"/>
          <w:color w:val="auto"/>
          <w:kern w:val="2"/>
          <w:sz w:val="32"/>
          <w:szCs w:val="32"/>
          <w:highlight w:val="none"/>
          <w:lang w:val="en-US" w:eastAsia="zh-CN" w:bidi="ar-SA"/>
        </w:rPr>
      </w:pPr>
      <w:r>
        <w:drawing>
          <wp:inline distT="0" distB="0" distL="114300" distR="114300">
            <wp:extent cx="4800600" cy="2771775"/>
            <wp:effectExtent l="0" t="0" r="0" b="9525"/>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pic:cNvPicPr>
                  </pic:nvPicPr>
                  <pic:blipFill>
                    <a:blip r:embed="rId12"/>
                    <a:stretch>
                      <a:fillRect/>
                    </a:stretch>
                  </pic:blipFill>
                  <pic:spPr>
                    <a:xfrm>
                      <a:off x="0" y="0"/>
                      <a:ext cx="4800600" cy="2771775"/>
                    </a:xfrm>
                    <a:prstGeom prst="rect">
                      <a:avLst/>
                    </a:prstGeom>
                    <a:noFill/>
                    <a:ln>
                      <a:noFill/>
                    </a:ln>
                  </pic:spPr>
                </pic:pic>
              </a:graphicData>
            </a:graphic>
          </wp:inline>
        </w:drawing>
      </w:r>
    </w:p>
    <w:p w14:paraId="368B122C">
      <w:pPr>
        <w:spacing w:line="600" w:lineRule="exact"/>
        <w:ind w:firstLine="640" w:firstLineChars="20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（图4：财政拨款收、支决算总计变动情况）（柱状图）</w:t>
      </w:r>
    </w:p>
    <w:p w14:paraId="30C96D2A">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6083FCA9">
      <w:pPr>
        <w:spacing w:line="600" w:lineRule="exact"/>
        <w:ind w:firstLine="640" w:firstLineChars="200"/>
        <w:outlineLvl w:val="1"/>
        <w:rPr>
          <w:rStyle w:val="30"/>
          <w:rFonts w:ascii="Times New Roman" w:hAnsi="Times New Roman" w:eastAsia="黑体"/>
          <w:b w:val="0"/>
          <w:color w:val="auto"/>
          <w:highlight w:val="none"/>
        </w:rPr>
      </w:pPr>
      <w:bookmarkStart w:id="43" w:name="_Toc15377209"/>
      <w:bookmarkStart w:id="44" w:name="_Toc15396607"/>
      <w:bookmarkStart w:id="45" w:name="_Toc12112"/>
      <w:r>
        <w:rPr>
          <w:rFonts w:hint="eastAsia" w:ascii="Times New Roman" w:hAnsi="Times New Roman" w:eastAsia="黑体"/>
          <w:color w:val="auto"/>
          <w:sz w:val="32"/>
          <w:szCs w:val="32"/>
          <w:highlight w:val="none"/>
        </w:rPr>
        <w:t>五、</w:t>
      </w:r>
      <w:r>
        <w:rPr>
          <w:rFonts w:hint="eastAsia" w:ascii="Times New Roman" w:hAnsi="Times New Roman" w:eastAsia="黑体"/>
          <w:b/>
          <w:color w:val="auto"/>
          <w:sz w:val="32"/>
          <w:szCs w:val="32"/>
          <w:highlight w:val="none"/>
        </w:rPr>
        <w:t>一</w:t>
      </w:r>
      <w:r>
        <w:rPr>
          <w:rStyle w:val="30"/>
          <w:rFonts w:hint="eastAsia" w:ascii="Times New Roman" w:hAnsi="Times New Roman" w:eastAsia="黑体"/>
          <w:b w:val="0"/>
          <w:color w:val="auto"/>
          <w:highlight w:val="none"/>
        </w:rPr>
        <w:t>般公共预算财政拨款支出决算情况说明</w:t>
      </w:r>
      <w:bookmarkEnd w:id="43"/>
      <w:bookmarkEnd w:id="44"/>
      <w:bookmarkEnd w:id="45"/>
    </w:p>
    <w:p w14:paraId="256148C1">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46" w:name="_Toc30478"/>
      <w:bookmarkStart w:id="47" w:name="_Toc15377210"/>
      <w:r>
        <w:rPr>
          <w:rFonts w:hint="eastAsia" w:ascii="Times New Roman" w:hAnsi="Times New Roman" w:eastAsia="楷体_GB2312" w:cs="楷体_GB2312"/>
          <w:b/>
          <w:color w:val="auto"/>
          <w:sz w:val="32"/>
          <w:szCs w:val="32"/>
          <w:highlight w:val="none"/>
        </w:rPr>
        <w:t>（一）一般公共预算财政拨款支出决算总体情况</w:t>
      </w:r>
      <w:bookmarkEnd w:id="46"/>
      <w:bookmarkEnd w:id="47"/>
    </w:p>
    <w:p w14:paraId="0706F6E3">
      <w:pPr>
        <w:spacing w:line="600" w:lineRule="exact"/>
        <w:ind w:firstLine="640"/>
        <w:rPr>
          <w:rFonts w:hint="eastAsia" w:eastAsia="仿宋_GB2312" w:cs="仿宋_GB2312"/>
          <w:color w:val="auto"/>
          <w:sz w:val="32"/>
          <w:szCs w:val="32"/>
          <w:highlight w:val="none"/>
          <w:lang w:val="en-US" w:eastAsia="zh-CN"/>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一般公共预算财政拨款支出</w:t>
      </w:r>
      <w:r>
        <w:rPr>
          <w:rFonts w:hint="eastAsia" w:eastAsia="仿宋_GB2312" w:cs="仿宋_GB2312"/>
          <w:color w:val="auto"/>
          <w:kern w:val="2"/>
          <w:sz w:val="32"/>
          <w:szCs w:val="32"/>
          <w:highlight w:val="none"/>
          <w:lang w:val="en-US" w:eastAsia="zh-CN" w:bidi="ar-SA"/>
        </w:rPr>
        <w:t>142.44万</w:t>
      </w:r>
      <w:r>
        <w:rPr>
          <w:rFonts w:hint="eastAsia" w:ascii="Times New Roman" w:hAnsi="Times New Roman" w:eastAsia="仿宋_GB2312" w:cs="仿宋_GB2312"/>
          <w:color w:val="auto"/>
          <w:kern w:val="2"/>
          <w:sz w:val="32"/>
          <w:szCs w:val="32"/>
          <w:highlight w:val="none"/>
          <w:lang w:val="en-US" w:eastAsia="zh-CN" w:bidi="ar-SA"/>
        </w:rPr>
        <w:t>元，占本年支出合计的</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%。与</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年度相比，一般公共预算财政拨款支出减少</w:t>
      </w:r>
      <w:r>
        <w:rPr>
          <w:rFonts w:hint="eastAsia" w:eastAsia="仿宋_GB2312" w:cs="仿宋_GB2312"/>
          <w:color w:val="auto"/>
          <w:kern w:val="2"/>
          <w:sz w:val="32"/>
          <w:szCs w:val="32"/>
          <w:highlight w:val="none"/>
          <w:lang w:val="en-US" w:eastAsia="zh-CN" w:bidi="ar-SA"/>
        </w:rPr>
        <w:t>43.27</w:t>
      </w:r>
      <w:r>
        <w:rPr>
          <w:rFonts w:hint="eastAsia" w:ascii="Times New Roman" w:hAnsi="Times New Roman" w:eastAsia="仿宋_GB2312" w:cs="仿宋_GB2312"/>
          <w:color w:val="auto"/>
          <w:kern w:val="2"/>
          <w:sz w:val="32"/>
          <w:szCs w:val="32"/>
          <w:highlight w:val="none"/>
          <w:lang w:val="en-US" w:eastAsia="zh-CN" w:bidi="ar-SA"/>
        </w:rPr>
        <w:t>万元，下降</w:t>
      </w:r>
      <w:r>
        <w:rPr>
          <w:rFonts w:hint="eastAsia" w:eastAsia="仿宋_GB2312" w:cs="仿宋_GB2312"/>
          <w:color w:val="auto"/>
          <w:kern w:val="2"/>
          <w:sz w:val="32"/>
          <w:szCs w:val="32"/>
          <w:highlight w:val="none"/>
          <w:lang w:val="en-US" w:eastAsia="zh-CN" w:bidi="ar-SA"/>
        </w:rPr>
        <w:t>23.30</w:t>
      </w:r>
      <w:r>
        <w:rPr>
          <w:rFonts w:hint="eastAsia" w:ascii="Times New Roman" w:hAnsi="Times New Roman" w:eastAsia="仿宋_GB2312" w:cs="仿宋_GB2312"/>
          <w:color w:val="auto"/>
          <w:kern w:val="2"/>
          <w:sz w:val="32"/>
          <w:szCs w:val="32"/>
          <w:highlight w:val="none"/>
          <w:lang w:val="en-US" w:eastAsia="zh-CN" w:bidi="ar-SA"/>
        </w:rPr>
        <w:t>%。主要变动原因是</w:t>
      </w:r>
      <w:r>
        <w:rPr>
          <w:rFonts w:hint="eastAsia" w:eastAsia="仿宋_GB2312" w:cs="仿宋_GB2312"/>
          <w:color w:val="auto"/>
          <w:sz w:val="32"/>
          <w:szCs w:val="32"/>
          <w:highlight w:val="none"/>
          <w:lang w:val="en-US" w:eastAsia="zh-CN"/>
        </w:rPr>
        <w:t>上年度年底退休三人，人数减少。</w:t>
      </w:r>
    </w:p>
    <w:p w14:paraId="1B2859F1">
      <w:pPr>
        <w:pStyle w:val="13"/>
        <w:rPr>
          <w:rFonts w:hint="eastAsia" w:eastAsia="仿宋_GB2312" w:cs="仿宋_GB2312"/>
          <w:color w:val="auto"/>
          <w:sz w:val="32"/>
          <w:szCs w:val="32"/>
          <w:highlight w:val="none"/>
          <w:lang w:val="en-US" w:eastAsia="zh-CN"/>
        </w:rPr>
      </w:pPr>
    </w:p>
    <w:p w14:paraId="42A4DE48">
      <w:pPr>
        <w:pStyle w:val="7"/>
        <w:ind w:left="0" w:leftChars="0" w:firstLine="0" w:firstLineChars="0"/>
        <w:rPr>
          <w:rFonts w:hint="eastAsia" w:eastAsia="仿宋_GB2312" w:cs="仿宋_GB2312"/>
          <w:color w:val="auto"/>
          <w:sz w:val="32"/>
          <w:szCs w:val="32"/>
          <w:highlight w:val="none"/>
          <w:lang w:val="en-US" w:eastAsia="zh-CN"/>
        </w:rPr>
      </w:pPr>
    </w:p>
    <w:p w14:paraId="00D2A888">
      <w:pPr>
        <w:pStyle w:val="7"/>
        <w:rPr>
          <w:rFonts w:hint="eastAsia" w:eastAsia="仿宋_GB2312" w:cs="仿宋_GB2312"/>
          <w:color w:val="auto"/>
          <w:sz w:val="32"/>
          <w:szCs w:val="32"/>
          <w:highlight w:val="none"/>
          <w:lang w:val="en-US" w:eastAsia="zh-CN"/>
        </w:rPr>
      </w:pPr>
      <w:r>
        <w:drawing>
          <wp:inline distT="0" distB="0" distL="114300" distR="114300">
            <wp:extent cx="4810125" cy="2752725"/>
            <wp:effectExtent l="0" t="0" r="9525" b="9525"/>
            <wp:docPr id="7"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6"/>
                    <pic:cNvPicPr>
                      <a:picLocks noChangeAspect="1"/>
                    </pic:cNvPicPr>
                  </pic:nvPicPr>
                  <pic:blipFill>
                    <a:blip r:embed="rId13"/>
                    <a:stretch>
                      <a:fillRect/>
                    </a:stretch>
                  </pic:blipFill>
                  <pic:spPr>
                    <a:xfrm>
                      <a:off x="0" y="0"/>
                      <a:ext cx="4810125" cy="2752725"/>
                    </a:xfrm>
                    <a:prstGeom prst="rect">
                      <a:avLst/>
                    </a:prstGeom>
                    <a:noFill/>
                    <a:ln>
                      <a:noFill/>
                    </a:ln>
                  </pic:spPr>
                </pic:pic>
              </a:graphicData>
            </a:graphic>
          </wp:inline>
        </w:drawing>
      </w:r>
    </w:p>
    <w:p w14:paraId="63FECF8D">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（图5：一般公共预算财政拨款支出决算变动情况）（柱状图）</w:t>
      </w:r>
    </w:p>
    <w:p w14:paraId="5CAEAAD3">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6337C572">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48" w:name="_Toc3490"/>
      <w:bookmarkStart w:id="49" w:name="_Toc15377211"/>
      <w:r>
        <w:rPr>
          <w:rFonts w:hint="eastAsia" w:ascii="Times New Roman" w:hAnsi="Times New Roman" w:eastAsia="楷体_GB2312" w:cs="楷体_GB2312"/>
          <w:b/>
          <w:color w:val="auto"/>
          <w:sz w:val="32"/>
          <w:szCs w:val="32"/>
          <w:highlight w:val="none"/>
        </w:rPr>
        <w:t>（二）一般公共预算财政拨款支出决算结构情况</w:t>
      </w:r>
      <w:bookmarkEnd w:id="48"/>
      <w:bookmarkEnd w:id="49"/>
    </w:p>
    <w:p w14:paraId="7099CC86">
      <w:pPr>
        <w:spacing w:line="600" w:lineRule="exact"/>
        <w:ind w:firstLine="640"/>
        <w:rPr>
          <w:rFonts w:hint="eastAsia"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一般公共预算财政拨款支出</w:t>
      </w:r>
      <w:r>
        <w:rPr>
          <w:rFonts w:hint="eastAsia" w:eastAsia="仿宋_GB2312" w:cs="仿宋_GB2312"/>
          <w:color w:val="auto"/>
          <w:kern w:val="2"/>
          <w:sz w:val="32"/>
          <w:szCs w:val="32"/>
          <w:highlight w:val="none"/>
          <w:lang w:val="en-US" w:eastAsia="zh-CN" w:bidi="ar-SA"/>
        </w:rPr>
        <w:t>142.44</w:t>
      </w:r>
      <w:r>
        <w:rPr>
          <w:rFonts w:hint="eastAsia" w:ascii="Times New Roman" w:hAnsi="Times New Roman" w:eastAsia="仿宋_GB2312" w:cs="仿宋_GB2312"/>
          <w:color w:val="auto"/>
          <w:kern w:val="2"/>
          <w:sz w:val="32"/>
          <w:szCs w:val="32"/>
          <w:highlight w:val="none"/>
          <w:lang w:val="en-US" w:eastAsia="zh-CN" w:bidi="ar-SA"/>
        </w:rPr>
        <w:t>万元，主要用于以下方面</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科学技术支出</w:t>
      </w:r>
      <w:r>
        <w:rPr>
          <w:rFonts w:hint="eastAsia" w:eastAsia="仿宋_GB2312" w:cs="仿宋_GB2312"/>
          <w:color w:val="auto"/>
          <w:kern w:val="2"/>
          <w:sz w:val="32"/>
          <w:szCs w:val="32"/>
          <w:highlight w:val="none"/>
          <w:lang w:val="en-US" w:eastAsia="zh-CN" w:bidi="ar-SA"/>
        </w:rPr>
        <w:t>97.74</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68.62</w:t>
      </w:r>
      <w:r>
        <w:rPr>
          <w:rFonts w:hint="eastAsia" w:ascii="Times New Roman" w:hAnsi="Times New Roman" w:eastAsia="仿宋_GB2312" w:cs="仿宋_GB2312"/>
          <w:color w:val="auto"/>
          <w:kern w:val="2"/>
          <w:sz w:val="32"/>
          <w:szCs w:val="32"/>
          <w:highlight w:val="none"/>
          <w:lang w:val="en-US" w:eastAsia="zh-CN" w:bidi="ar-SA"/>
        </w:rPr>
        <w:t>%；社会保障和就业支出30.43万元，占</w:t>
      </w:r>
      <w:r>
        <w:rPr>
          <w:rFonts w:hint="eastAsia" w:eastAsia="仿宋_GB2312" w:cs="仿宋_GB2312"/>
          <w:color w:val="auto"/>
          <w:kern w:val="2"/>
          <w:sz w:val="32"/>
          <w:szCs w:val="32"/>
          <w:highlight w:val="none"/>
          <w:lang w:val="en-US" w:eastAsia="zh-CN" w:bidi="ar-SA"/>
        </w:rPr>
        <w:t>21.36</w:t>
      </w:r>
      <w:r>
        <w:rPr>
          <w:rFonts w:hint="eastAsia" w:ascii="Times New Roman" w:hAnsi="Times New Roman" w:eastAsia="仿宋_GB2312" w:cs="仿宋_GB2312"/>
          <w:color w:val="auto"/>
          <w:kern w:val="2"/>
          <w:sz w:val="32"/>
          <w:szCs w:val="32"/>
          <w:highlight w:val="none"/>
          <w:lang w:val="en-US" w:eastAsia="zh-CN" w:bidi="ar-SA"/>
        </w:rPr>
        <w:t>%；卫生健康支出6.26万元，占</w:t>
      </w:r>
      <w:r>
        <w:rPr>
          <w:rFonts w:hint="eastAsia" w:eastAsia="仿宋_GB2312" w:cs="仿宋_GB2312"/>
          <w:color w:val="auto"/>
          <w:kern w:val="2"/>
          <w:sz w:val="32"/>
          <w:szCs w:val="32"/>
          <w:highlight w:val="none"/>
          <w:lang w:val="en-US" w:eastAsia="zh-CN" w:bidi="ar-SA"/>
        </w:rPr>
        <w:t>4.40</w:t>
      </w:r>
      <w:r>
        <w:rPr>
          <w:rFonts w:hint="eastAsia" w:ascii="Times New Roman" w:hAnsi="Times New Roman" w:eastAsia="仿宋_GB2312" w:cs="仿宋_GB2312"/>
          <w:color w:val="auto"/>
          <w:kern w:val="2"/>
          <w:sz w:val="32"/>
          <w:szCs w:val="32"/>
          <w:highlight w:val="none"/>
          <w:lang w:val="en-US" w:eastAsia="zh-CN" w:bidi="ar-SA"/>
        </w:rPr>
        <w:t>%；住房保障支出8万元，占</w:t>
      </w:r>
      <w:r>
        <w:rPr>
          <w:rFonts w:hint="eastAsia" w:eastAsia="仿宋_GB2312" w:cs="仿宋_GB2312"/>
          <w:color w:val="auto"/>
          <w:kern w:val="2"/>
          <w:sz w:val="32"/>
          <w:szCs w:val="32"/>
          <w:highlight w:val="none"/>
          <w:lang w:val="en-US" w:eastAsia="zh-CN" w:bidi="ar-SA"/>
        </w:rPr>
        <w:t>5.62</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p>
    <w:p w14:paraId="7D620F23">
      <w:pPr>
        <w:pStyle w:val="7"/>
        <w:rPr>
          <w:rFonts w:hint="eastAsia" w:eastAsia="仿宋_GB2312" w:cs="仿宋_GB2312"/>
          <w:color w:val="auto"/>
          <w:kern w:val="2"/>
          <w:sz w:val="32"/>
          <w:szCs w:val="32"/>
          <w:highlight w:val="none"/>
          <w:lang w:val="en-US" w:eastAsia="zh-CN" w:bidi="ar-SA"/>
        </w:rPr>
      </w:pPr>
      <w:r>
        <w:drawing>
          <wp:inline distT="0" distB="0" distL="114300" distR="114300">
            <wp:extent cx="4810125" cy="2771775"/>
            <wp:effectExtent l="0" t="0" r="9525" b="9525"/>
            <wp:docPr id="8"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7"/>
                    <pic:cNvPicPr>
                      <a:picLocks noChangeAspect="1"/>
                    </pic:cNvPicPr>
                  </pic:nvPicPr>
                  <pic:blipFill>
                    <a:blip r:embed="rId14"/>
                    <a:stretch>
                      <a:fillRect/>
                    </a:stretch>
                  </pic:blipFill>
                  <pic:spPr>
                    <a:xfrm>
                      <a:off x="0" y="0"/>
                      <a:ext cx="4810125" cy="2771775"/>
                    </a:xfrm>
                    <a:prstGeom prst="rect">
                      <a:avLst/>
                    </a:prstGeom>
                    <a:noFill/>
                    <a:ln>
                      <a:noFill/>
                    </a:ln>
                  </pic:spPr>
                </pic:pic>
              </a:graphicData>
            </a:graphic>
          </wp:inline>
        </w:drawing>
      </w:r>
    </w:p>
    <w:p w14:paraId="43A09460">
      <w:pPr>
        <w:pStyle w:val="7"/>
        <w:rPr>
          <w:rFonts w:hint="eastAsia" w:eastAsia="仿宋_GB2312" w:cs="仿宋_GB2312"/>
          <w:color w:val="auto"/>
          <w:kern w:val="2"/>
          <w:sz w:val="32"/>
          <w:szCs w:val="32"/>
          <w:highlight w:val="none"/>
          <w:lang w:val="en-US" w:eastAsia="zh-CN" w:bidi="ar-SA"/>
        </w:rPr>
      </w:pPr>
    </w:p>
    <w:p w14:paraId="1111D80E">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（图6：一般公共预算财政拨款支出决算结构）（饼状图）</w:t>
      </w:r>
    </w:p>
    <w:p w14:paraId="57F51E8D">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2FEA1CFC">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50" w:name="_Toc15377212"/>
      <w:bookmarkStart w:id="51" w:name="_Toc24493"/>
      <w:r>
        <w:rPr>
          <w:rFonts w:hint="eastAsia" w:ascii="Times New Roman" w:hAnsi="Times New Roman" w:eastAsia="楷体_GB2312" w:cs="楷体_GB2312"/>
          <w:b/>
          <w:color w:val="auto"/>
          <w:sz w:val="32"/>
          <w:szCs w:val="32"/>
          <w:highlight w:val="none"/>
        </w:rPr>
        <w:t>（三）一般公共预算财政拨款支出决算具体情况</w:t>
      </w:r>
      <w:bookmarkEnd w:id="50"/>
      <w:bookmarkEnd w:id="51"/>
    </w:p>
    <w:p w14:paraId="0C2806EF">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bookmarkStart w:id="52" w:name="_Toc15377444"/>
      <w:bookmarkStart w:id="53" w:name="_Toc15378460"/>
      <w:bookmarkStart w:id="54" w:name="_Toc15377213"/>
      <w:r>
        <w:rPr>
          <w:rFonts w:hint="eastAsia" w:ascii="Times New Roman" w:hAnsi="Times New Roman" w:eastAsia="仿宋_GB2312" w:cs="仿宋_GB2312"/>
          <w:color w:val="auto"/>
          <w:kern w:val="2"/>
          <w:sz w:val="32"/>
          <w:szCs w:val="32"/>
          <w:highlight w:val="none"/>
          <w:lang w:val="en-US" w:eastAsia="zh-CN" w:bidi="ar-SA"/>
        </w:rPr>
        <w:t>202</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年度一般公共预算财政拨款支出决算数为</w:t>
      </w:r>
      <w:r>
        <w:rPr>
          <w:rFonts w:hint="eastAsia" w:ascii="仿宋_GB2312" w:hAnsi="仿宋_GB2312" w:eastAsia="仿宋_GB2312" w:cs="仿宋_GB2312"/>
          <w:sz w:val="32"/>
          <w:szCs w:val="32"/>
          <w:lang w:val="en-US" w:eastAsia="zh-CN"/>
        </w:rPr>
        <w:t>142.44</w:t>
      </w:r>
      <w:r>
        <w:rPr>
          <w:rFonts w:hint="eastAsia" w:ascii="仿宋_GB2312" w:hAnsi="仿宋_GB2312"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完成预算100%。其中：</w:t>
      </w:r>
      <w:bookmarkEnd w:id="52"/>
      <w:bookmarkEnd w:id="53"/>
      <w:bookmarkEnd w:id="54"/>
    </w:p>
    <w:p w14:paraId="118CC702">
      <w:pPr>
        <w:numPr>
          <w:ilvl w:val="0"/>
          <w:numId w:val="0"/>
        </w:numPr>
        <w:spacing w:line="600" w:lineRule="exact"/>
        <w:ind w:firstLine="640" w:firstLineChars="200"/>
        <w:rPr>
          <w:rFonts w:hint="eastAsia"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1.</w:t>
      </w:r>
      <w:r>
        <w:rPr>
          <w:rFonts w:hint="eastAsia" w:ascii="Times New Roman" w:hAnsi="Times New Roman" w:eastAsia="仿宋_GB2312" w:cs="仿宋_GB2312"/>
          <w:color w:val="auto"/>
          <w:kern w:val="2"/>
          <w:sz w:val="32"/>
          <w:szCs w:val="32"/>
          <w:highlight w:val="none"/>
          <w:lang w:val="en-US" w:eastAsia="zh-CN" w:bidi="ar-SA"/>
        </w:rPr>
        <w:t>科学技术（类）</w:t>
      </w:r>
      <w:r>
        <w:rPr>
          <w:rFonts w:hint="eastAsia" w:eastAsia="仿宋_GB2312" w:cs="仿宋_GB2312"/>
          <w:color w:val="auto"/>
          <w:kern w:val="2"/>
          <w:sz w:val="32"/>
          <w:szCs w:val="32"/>
          <w:highlight w:val="none"/>
          <w:lang w:val="en-US" w:eastAsia="zh-CN" w:bidi="ar-SA"/>
        </w:rPr>
        <w:t>206</w:t>
      </w:r>
      <w:r>
        <w:rPr>
          <w:rFonts w:hint="eastAsia" w:ascii="Times New Roman" w:hAnsi="Times New Roman" w:eastAsia="仿宋_GB2312" w:cs="仿宋_GB2312"/>
          <w:color w:val="auto"/>
          <w:kern w:val="2"/>
          <w:sz w:val="32"/>
          <w:szCs w:val="32"/>
          <w:highlight w:val="none"/>
          <w:lang w:val="en-US" w:eastAsia="zh-CN" w:bidi="ar-SA"/>
        </w:rPr>
        <w:t>（款）</w:t>
      </w:r>
      <w:r>
        <w:rPr>
          <w:rFonts w:hint="eastAsia" w:eastAsia="仿宋_GB2312" w:cs="仿宋_GB2312"/>
          <w:color w:val="auto"/>
          <w:kern w:val="2"/>
          <w:sz w:val="32"/>
          <w:szCs w:val="32"/>
          <w:highlight w:val="none"/>
          <w:lang w:val="en-US" w:eastAsia="zh-CN" w:bidi="ar-SA"/>
        </w:rPr>
        <w:t>07</w:t>
      </w:r>
      <w:r>
        <w:rPr>
          <w:rFonts w:hint="eastAsia" w:ascii="Times New Roman" w:hAnsi="Times New Roman" w:eastAsia="仿宋_GB2312" w:cs="仿宋_GB2312"/>
          <w:color w:val="auto"/>
          <w:kern w:val="2"/>
          <w:sz w:val="32"/>
          <w:szCs w:val="32"/>
          <w:highlight w:val="none"/>
          <w:lang w:val="en-US" w:eastAsia="zh-CN" w:bidi="ar-SA"/>
        </w:rPr>
        <w:t>（项）</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支出决算为97.74万元，完成预算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p>
    <w:p w14:paraId="07155D48">
      <w:pPr>
        <w:spacing w:line="600" w:lineRule="exact"/>
        <w:ind w:firstLine="640"/>
        <w:rPr>
          <w:rFonts w:hint="eastAsia"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w:t>
      </w:r>
      <w:r>
        <w:rPr>
          <w:rFonts w:hint="eastAsia" w:ascii="Times New Roman" w:hAnsi="Times New Roman" w:eastAsia="仿宋_GB2312" w:cs="仿宋_GB2312"/>
          <w:color w:val="auto"/>
          <w:kern w:val="2"/>
          <w:sz w:val="32"/>
          <w:szCs w:val="32"/>
          <w:highlight w:val="none"/>
          <w:lang w:val="en-US" w:eastAsia="zh-CN" w:bidi="ar-SA"/>
        </w:rPr>
        <w:t>.社会保障和就业（类）</w:t>
      </w:r>
      <w:r>
        <w:rPr>
          <w:rFonts w:hint="eastAsia" w:eastAsia="仿宋_GB2312" w:cs="仿宋_GB2312"/>
          <w:color w:val="auto"/>
          <w:kern w:val="2"/>
          <w:sz w:val="32"/>
          <w:szCs w:val="32"/>
          <w:highlight w:val="none"/>
          <w:lang w:val="en-US" w:eastAsia="zh-CN" w:bidi="ar-SA"/>
        </w:rPr>
        <w:t>208</w:t>
      </w:r>
      <w:r>
        <w:rPr>
          <w:rFonts w:hint="eastAsia" w:ascii="Times New Roman" w:hAnsi="Times New Roman" w:eastAsia="仿宋_GB2312" w:cs="仿宋_GB2312"/>
          <w:color w:val="auto"/>
          <w:kern w:val="2"/>
          <w:sz w:val="32"/>
          <w:szCs w:val="32"/>
          <w:highlight w:val="none"/>
          <w:lang w:val="en-US" w:eastAsia="zh-CN" w:bidi="ar-SA"/>
        </w:rPr>
        <w:t>（款）</w:t>
      </w:r>
      <w:r>
        <w:rPr>
          <w:rFonts w:hint="eastAsia" w:eastAsia="仿宋_GB2312" w:cs="仿宋_GB2312"/>
          <w:color w:val="auto"/>
          <w:kern w:val="2"/>
          <w:sz w:val="32"/>
          <w:szCs w:val="32"/>
          <w:highlight w:val="none"/>
          <w:lang w:val="en-US" w:eastAsia="zh-CN" w:bidi="ar-SA"/>
        </w:rPr>
        <w:t>05</w:t>
      </w:r>
      <w:r>
        <w:rPr>
          <w:rFonts w:hint="eastAsia" w:ascii="Times New Roman" w:hAnsi="Times New Roman" w:eastAsia="仿宋_GB2312" w:cs="仿宋_GB2312"/>
          <w:color w:val="auto"/>
          <w:kern w:val="2"/>
          <w:sz w:val="32"/>
          <w:szCs w:val="32"/>
          <w:highlight w:val="none"/>
          <w:lang w:val="en-US" w:eastAsia="zh-CN" w:bidi="ar-SA"/>
        </w:rPr>
        <w:t>（项）</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支出决算为</w:t>
      </w:r>
      <w:r>
        <w:rPr>
          <w:rFonts w:hint="eastAsia" w:eastAsia="仿宋_GB2312" w:cs="仿宋_GB2312"/>
          <w:color w:val="auto"/>
          <w:kern w:val="2"/>
          <w:sz w:val="32"/>
          <w:szCs w:val="32"/>
          <w:highlight w:val="none"/>
          <w:lang w:val="en-US" w:eastAsia="zh-CN" w:bidi="ar-SA"/>
        </w:rPr>
        <w:t>30.43</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p>
    <w:p w14:paraId="5B4741BD">
      <w:pPr>
        <w:spacing w:line="600" w:lineRule="exact"/>
        <w:ind w:firstLine="640"/>
        <w:rPr>
          <w:rFonts w:hint="eastAsia"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3.卫生健康（类）</w:t>
      </w:r>
      <w:r>
        <w:rPr>
          <w:rFonts w:hint="eastAsia" w:eastAsia="仿宋_GB2312" w:cs="仿宋_GB2312"/>
          <w:color w:val="auto"/>
          <w:kern w:val="2"/>
          <w:sz w:val="32"/>
          <w:szCs w:val="32"/>
          <w:highlight w:val="none"/>
          <w:lang w:val="en-US" w:eastAsia="zh-CN" w:bidi="ar-SA"/>
        </w:rPr>
        <w:t>210</w:t>
      </w:r>
      <w:r>
        <w:rPr>
          <w:rFonts w:hint="eastAsia" w:ascii="Times New Roman" w:hAnsi="Times New Roman" w:eastAsia="仿宋_GB2312" w:cs="仿宋_GB2312"/>
          <w:color w:val="auto"/>
          <w:kern w:val="2"/>
          <w:sz w:val="32"/>
          <w:szCs w:val="32"/>
          <w:highlight w:val="none"/>
          <w:lang w:val="en-US" w:eastAsia="zh-CN" w:bidi="ar-SA"/>
        </w:rPr>
        <w:t>（款）</w:t>
      </w:r>
      <w:r>
        <w:rPr>
          <w:rFonts w:hint="eastAsia" w:eastAsia="仿宋_GB2312" w:cs="仿宋_GB2312"/>
          <w:color w:val="auto"/>
          <w:kern w:val="2"/>
          <w:sz w:val="32"/>
          <w:szCs w:val="32"/>
          <w:highlight w:val="none"/>
          <w:lang w:val="en-US" w:eastAsia="zh-CN" w:bidi="ar-SA"/>
        </w:rPr>
        <w:t>11</w:t>
      </w:r>
      <w:r>
        <w:rPr>
          <w:rFonts w:hint="eastAsia" w:ascii="Times New Roman" w:hAnsi="Times New Roman" w:eastAsia="仿宋_GB2312" w:cs="仿宋_GB2312"/>
          <w:color w:val="auto"/>
          <w:kern w:val="2"/>
          <w:sz w:val="32"/>
          <w:szCs w:val="32"/>
          <w:highlight w:val="none"/>
          <w:lang w:val="en-US" w:eastAsia="zh-CN" w:bidi="ar-SA"/>
        </w:rPr>
        <w:t>（项）</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支出决算为</w:t>
      </w:r>
      <w:r>
        <w:rPr>
          <w:rFonts w:hint="eastAsia" w:eastAsia="仿宋_GB2312" w:cs="仿宋_GB2312"/>
          <w:color w:val="auto"/>
          <w:kern w:val="2"/>
          <w:sz w:val="32"/>
          <w:szCs w:val="32"/>
          <w:highlight w:val="none"/>
          <w:lang w:val="en-US" w:eastAsia="zh-CN" w:bidi="ar-SA"/>
        </w:rPr>
        <w:t>6.26</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p>
    <w:p w14:paraId="0CCAC796">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4.住房保障（类）221</w:t>
      </w:r>
      <w:r>
        <w:rPr>
          <w:rFonts w:hint="eastAsia" w:ascii="Times New Roman" w:hAnsi="Times New Roman" w:eastAsia="仿宋_GB2312" w:cs="仿宋_GB2312"/>
          <w:color w:val="auto"/>
          <w:kern w:val="2"/>
          <w:sz w:val="32"/>
          <w:szCs w:val="32"/>
          <w:highlight w:val="none"/>
          <w:lang w:val="en-US" w:eastAsia="zh-CN" w:bidi="ar-SA"/>
        </w:rPr>
        <w:t>（款）</w:t>
      </w:r>
      <w:r>
        <w:rPr>
          <w:rFonts w:hint="eastAsia" w:eastAsia="仿宋_GB2312" w:cs="仿宋_GB2312"/>
          <w:color w:val="auto"/>
          <w:kern w:val="2"/>
          <w:sz w:val="32"/>
          <w:szCs w:val="32"/>
          <w:highlight w:val="none"/>
          <w:lang w:val="en-US" w:eastAsia="zh-CN" w:bidi="ar-SA"/>
        </w:rPr>
        <w:t>02</w:t>
      </w:r>
      <w:r>
        <w:rPr>
          <w:rFonts w:hint="eastAsia" w:ascii="Times New Roman" w:hAnsi="Times New Roman" w:eastAsia="仿宋_GB2312" w:cs="仿宋_GB2312"/>
          <w:color w:val="auto"/>
          <w:kern w:val="2"/>
          <w:sz w:val="32"/>
          <w:szCs w:val="32"/>
          <w:highlight w:val="none"/>
          <w:lang w:val="en-US" w:eastAsia="zh-CN" w:bidi="ar-SA"/>
        </w:rPr>
        <w:t>（项）:支出决算为</w:t>
      </w:r>
      <w:r>
        <w:rPr>
          <w:rFonts w:hint="eastAsia" w:eastAsia="仿宋_GB2312" w:cs="仿宋_GB2312"/>
          <w:color w:val="auto"/>
          <w:kern w:val="2"/>
          <w:sz w:val="32"/>
          <w:szCs w:val="32"/>
          <w:highlight w:val="none"/>
          <w:lang w:val="en-US" w:eastAsia="zh-CN" w:bidi="ar-SA"/>
        </w:rPr>
        <w:t>8</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p>
    <w:p w14:paraId="35EF764D">
      <w:pPr>
        <w:tabs>
          <w:tab w:val="right" w:pos="8306"/>
        </w:tabs>
        <w:spacing w:line="600" w:lineRule="exact"/>
        <w:ind w:firstLine="640"/>
        <w:outlineLvl w:val="1"/>
        <w:rPr>
          <w:rStyle w:val="30"/>
          <w:rFonts w:ascii="Times New Roman" w:hAnsi="Times New Roman"/>
          <w:color w:val="auto"/>
          <w:highlight w:val="none"/>
        </w:rPr>
      </w:pPr>
      <w:bookmarkStart w:id="55" w:name="_Toc15396608"/>
      <w:bookmarkStart w:id="56" w:name="_Toc15377214"/>
      <w:bookmarkStart w:id="57" w:name="_Toc19114"/>
      <w:r>
        <w:rPr>
          <w:rFonts w:hint="eastAsia" w:ascii="Times New Roman" w:hAnsi="Times New Roman" w:eastAsia="黑体"/>
          <w:color w:val="auto"/>
          <w:sz w:val="32"/>
          <w:szCs w:val="32"/>
          <w:highlight w:val="none"/>
        </w:rPr>
        <w:t>六</w:t>
      </w:r>
      <w:r>
        <w:rPr>
          <w:rFonts w:hint="eastAsia" w:ascii="Times New Roman" w:hAnsi="Times New Roman" w:eastAsia="黑体"/>
          <w:b/>
          <w:color w:val="auto"/>
          <w:sz w:val="32"/>
          <w:szCs w:val="32"/>
          <w:highlight w:val="none"/>
        </w:rPr>
        <w:t>、一</w:t>
      </w:r>
      <w:r>
        <w:rPr>
          <w:rStyle w:val="30"/>
          <w:rFonts w:hint="eastAsia" w:ascii="Times New Roman" w:hAnsi="Times New Roman" w:eastAsia="黑体"/>
          <w:b w:val="0"/>
          <w:color w:val="auto"/>
          <w:highlight w:val="none"/>
        </w:rPr>
        <w:t>般公共预算财政拨款基本支出决算情况说明</w:t>
      </w:r>
      <w:bookmarkEnd w:id="55"/>
      <w:bookmarkEnd w:id="56"/>
      <w:bookmarkEnd w:id="57"/>
      <w:r>
        <w:rPr>
          <w:rStyle w:val="30"/>
          <w:rFonts w:ascii="Times New Roman" w:hAnsi="Times New Roman" w:eastAsia="黑体"/>
          <w:b w:val="0"/>
          <w:color w:val="auto"/>
          <w:highlight w:val="none"/>
        </w:rPr>
        <w:tab/>
      </w:r>
    </w:p>
    <w:p w14:paraId="4FCFA2BC">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一般公共预算财政拨款基本支出</w:t>
      </w:r>
      <w:r>
        <w:rPr>
          <w:rFonts w:hint="eastAsia" w:eastAsia="仿宋_GB2312" w:cs="仿宋_GB2312"/>
          <w:color w:val="auto"/>
          <w:kern w:val="2"/>
          <w:sz w:val="32"/>
          <w:szCs w:val="32"/>
          <w:highlight w:val="none"/>
          <w:lang w:val="en-US" w:eastAsia="zh-CN" w:bidi="ar-SA"/>
        </w:rPr>
        <w:t>142.44</w:t>
      </w:r>
      <w:r>
        <w:rPr>
          <w:rFonts w:hint="eastAsia" w:ascii="Times New Roman" w:hAnsi="Times New Roman" w:eastAsia="仿宋_GB2312" w:cs="仿宋_GB2312"/>
          <w:color w:val="auto"/>
          <w:kern w:val="2"/>
          <w:sz w:val="32"/>
          <w:szCs w:val="32"/>
          <w:highlight w:val="none"/>
          <w:lang w:val="en-US" w:eastAsia="zh-CN" w:bidi="ar-SA"/>
        </w:rPr>
        <w:t>万元，其中：</w:t>
      </w:r>
    </w:p>
    <w:p w14:paraId="178DA075">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人员经费</w:t>
      </w:r>
      <w:r>
        <w:rPr>
          <w:rFonts w:hint="eastAsia" w:eastAsia="仿宋_GB2312" w:cs="仿宋_GB2312"/>
          <w:color w:val="auto"/>
          <w:kern w:val="2"/>
          <w:sz w:val="32"/>
          <w:szCs w:val="32"/>
          <w:highlight w:val="none"/>
          <w:lang w:val="en-US" w:eastAsia="zh-CN" w:bidi="ar-SA"/>
        </w:rPr>
        <w:t>127.86</w:t>
      </w:r>
      <w:r>
        <w:rPr>
          <w:rFonts w:hint="eastAsia" w:ascii="Times New Roman" w:hAnsi="Times New Roman" w:eastAsia="仿宋_GB2312" w:cs="仿宋_GB2312"/>
          <w:color w:val="auto"/>
          <w:kern w:val="2"/>
          <w:sz w:val="32"/>
          <w:szCs w:val="32"/>
          <w:highlight w:val="none"/>
          <w:lang w:val="en-US" w:eastAsia="zh-CN" w:bidi="ar-SA"/>
        </w:rPr>
        <w:t>万元，主要包括：基本工资、津贴补贴、奖金、伙食补助费、绩效工资、机关事业单位基本养老保险缴费、职业年金缴费、其他社会保障缴费、其他工资福利支出、离休费、退休费、抚恤金、生活补助、医疗费补助、奖励金、住房公积金、其他对个人和家庭的补助支出等。</w:t>
      </w:r>
      <w:r>
        <w:rPr>
          <w:rFonts w:hint="eastAsia" w:ascii="Times New Roman" w:hAnsi="Times New Roman" w:eastAsia="仿宋_GB2312" w:cs="仿宋_GB2312"/>
          <w:color w:val="auto"/>
          <w:kern w:val="2"/>
          <w:sz w:val="32"/>
          <w:szCs w:val="32"/>
          <w:highlight w:val="none"/>
          <w:lang w:val="en-US" w:eastAsia="zh-CN" w:bidi="ar-SA"/>
        </w:rPr>
        <w:br w:type="textWrapping"/>
      </w:r>
      <w:r>
        <w:rPr>
          <w:rFonts w:hint="eastAsia" w:ascii="Times New Roman" w:hAnsi="Times New Roman" w:eastAsia="仿宋_GB2312" w:cs="仿宋_GB2312"/>
          <w:color w:val="auto"/>
          <w:kern w:val="2"/>
          <w:sz w:val="32"/>
          <w:szCs w:val="32"/>
          <w:highlight w:val="none"/>
          <w:lang w:val="en-US" w:eastAsia="zh-CN" w:bidi="ar-SA"/>
        </w:rPr>
        <w:t>　　公用经费</w:t>
      </w:r>
      <w:r>
        <w:rPr>
          <w:rFonts w:hint="eastAsia" w:eastAsia="仿宋_GB2312" w:cs="仿宋_GB2312"/>
          <w:color w:val="auto"/>
          <w:kern w:val="2"/>
          <w:sz w:val="32"/>
          <w:szCs w:val="32"/>
          <w:highlight w:val="none"/>
          <w:lang w:val="en-US" w:eastAsia="zh-CN" w:bidi="ar-SA"/>
        </w:rPr>
        <w:t>14.58</w:t>
      </w:r>
      <w:r>
        <w:rPr>
          <w:rFonts w:hint="eastAsia" w:ascii="Times New Roman" w:hAnsi="Times New Roman" w:eastAsia="仿宋_GB2312" w:cs="仿宋_GB2312"/>
          <w:color w:val="auto"/>
          <w:kern w:val="2"/>
          <w:sz w:val="32"/>
          <w:szCs w:val="32"/>
          <w:highlight w:val="none"/>
          <w:lang w:val="en-US" w:eastAsia="zh-CN" w:bidi="ar-SA"/>
        </w:rPr>
        <w:t>万元，主要包括：办公费、印刷费、咨询费、手续费、水费、电费、邮电费、取暖费、物业管理费、差旅费、因公出国（境）费用、维修（护）费、租赁费、会议费、培训费、公务接待费、劳务费、委托业务费、工会经费、福利费、公务用车运行维护费、其他交通费、税金及附加费用、其他商品和服务支出、办公设备购置、专用设备购置、信息网络及软件购置更新、其他资本性支出等。</w:t>
      </w:r>
    </w:p>
    <w:p w14:paraId="2C26BF7B">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75A1DDF0">
      <w:pPr>
        <w:spacing w:line="600" w:lineRule="exact"/>
        <w:ind w:firstLine="640"/>
        <w:outlineLvl w:val="1"/>
        <w:rPr>
          <w:rStyle w:val="30"/>
          <w:rFonts w:ascii="Times New Roman" w:hAnsi="Times New Roman" w:eastAsia="黑体"/>
          <w:b w:val="0"/>
          <w:color w:val="auto"/>
          <w:highlight w:val="none"/>
        </w:rPr>
      </w:pPr>
      <w:bookmarkStart w:id="58" w:name="_Toc16135"/>
      <w:bookmarkStart w:id="59" w:name="_Toc15396609"/>
      <w:bookmarkStart w:id="60" w:name="_Toc15377215"/>
      <w:r>
        <w:rPr>
          <w:rFonts w:hint="eastAsia" w:ascii="Times New Roman" w:hAnsi="Times New Roman" w:eastAsia="黑体"/>
          <w:color w:val="auto"/>
          <w:sz w:val="32"/>
          <w:szCs w:val="32"/>
          <w:highlight w:val="none"/>
        </w:rPr>
        <w:t>七、</w:t>
      </w:r>
      <w:r>
        <w:rPr>
          <w:rStyle w:val="30"/>
          <w:rFonts w:hint="eastAsia" w:ascii="Times New Roman" w:hAnsi="Times New Roman" w:eastAsia="黑体"/>
          <w:b w:val="0"/>
          <w:color w:val="auto"/>
          <w:highlight w:val="none"/>
        </w:rPr>
        <w:t>财政拨款</w:t>
      </w:r>
      <w:r>
        <w:rPr>
          <w:rStyle w:val="30"/>
          <w:rFonts w:hint="eastAsia" w:ascii="Times New Roman" w:hAnsi="Times New Roman" w:eastAsia="黑体"/>
          <w:color w:val="auto"/>
          <w:highlight w:val="none"/>
        </w:rPr>
        <w:t>“</w:t>
      </w:r>
      <w:r>
        <w:rPr>
          <w:rStyle w:val="30"/>
          <w:rFonts w:hint="eastAsia" w:ascii="Times New Roman" w:hAnsi="Times New Roman" w:eastAsia="黑体"/>
          <w:b w:val="0"/>
          <w:color w:val="auto"/>
          <w:highlight w:val="none"/>
        </w:rPr>
        <w:t>三公”经费支出决算情况说明</w:t>
      </w:r>
      <w:bookmarkEnd w:id="58"/>
      <w:bookmarkEnd w:id="59"/>
      <w:bookmarkEnd w:id="60"/>
    </w:p>
    <w:p w14:paraId="6062CDC8">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61" w:name="_Toc15377216"/>
      <w:bookmarkStart w:id="62" w:name="_Toc30691"/>
      <w:r>
        <w:rPr>
          <w:rFonts w:hint="eastAsia" w:ascii="Times New Roman" w:hAnsi="Times New Roman" w:eastAsia="楷体_GB2312" w:cs="楷体_GB2312"/>
          <w:b/>
          <w:color w:val="auto"/>
          <w:sz w:val="32"/>
          <w:szCs w:val="32"/>
          <w:highlight w:val="none"/>
        </w:rPr>
        <w:t>（一）财政拨款“三公”经费支出决算总体情况说明</w:t>
      </w:r>
      <w:bookmarkEnd w:id="61"/>
      <w:bookmarkEnd w:id="62"/>
    </w:p>
    <w:p w14:paraId="698CC4F5">
      <w:pPr>
        <w:spacing w:line="600" w:lineRule="exact"/>
        <w:ind w:firstLine="640"/>
        <w:rPr>
          <w:rFonts w:hint="eastAsia" w:ascii="Times New Roman" w:hAnsi="Times New Roman" w:eastAsia="仿宋_GB2312" w:cs="仿宋_GB2312"/>
          <w:b/>
          <w:bCs/>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财政拨款“三公”经费支出决算为</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与上年持平</w:t>
      </w:r>
      <w:r>
        <w:rPr>
          <w:rFonts w:hint="eastAsia" w:ascii="Times New Roman" w:hAnsi="Times New Roman" w:eastAsia="仿宋_GB2312" w:cs="仿宋_GB2312"/>
          <w:color w:val="auto"/>
          <w:kern w:val="2"/>
          <w:sz w:val="32"/>
          <w:szCs w:val="32"/>
          <w:highlight w:val="none"/>
          <w:lang w:val="en-US" w:eastAsia="zh-CN" w:bidi="ar-SA"/>
        </w:rPr>
        <w:t>。</w:t>
      </w:r>
    </w:p>
    <w:p w14:paraId="7EFC015D">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63" w:name="_Toc10664"/>
      <w:bookmarkStart w:id="64" w:name="_Toc15377217"/>
      <w:r>
        <w:rPr>
          <w:rFonts w:hint="eastAsia" w:ascii="Times New Roman" w:hAnsi="Times New Roman" w:eastAsia="楷体_GB2312" w:cs="楷体_GB2312"/>
          <w:b/>
          <w:color w:val="auto"/>
          <w:sz w:val="32"/>
          <w:szCs w:val="32"/>
          <w:highlight w:val="none"/>
        </w:rPr>
        <w:t>（二）财政拨款“三公”经费支出决算具体情况说明</w:t>
      </w:r>
      <w:bookmarkEnd w:id="63"/>
      <w:bookmarkEnd w:id="64"/>
    </w:p>
    <w:p w14:paraId="42E8B9F8">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财政拨款“三公”经费支出决算中，因公出国（境）费支出决算</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w:t>
      </w:r>
      <w:r>
        <w:rPr>
          <w:rFonts w:hint="eastAsia" w:eastAsia="仿宋_GB2312" w:cs="仿宋_GB2312"/>
          <w:color w:val="auto"/>
          <w:kern w:val="2"/>
          <w:sz w:val="32"/>
          <w:szCs w:val="32"/>
          <w:highlight w:val="none"/>
          <w:lang w:val="en-US" w:eastAsia="zh-CN" w:bidi="ar-SA"/>
        </w:rPr>
        <w:t>。</w:t>
      </w:r>
    </w:p>
    <w:p w14:paraId="76D5CF74">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1.因公出国（境）经费支出</w:t>
      </w:r>
      <w:r>
        <w:rPr>
          <w:rFonts w:hint="eastAsia"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万元，完成预算</w:t>
      </w:r>
      <w:r>
        <w:rPr>
          <w:rFonts w:hint="eastAsia" w:eastAsia="仿宋_GB2312" w:cs="仿宋_GB2312"/>
          <w:b/>
          <w:bCs/>
          <w:color w:val="auto"/>
          <w:kern w:val="2"/>
          <w:sz w:val="32"/>
          <w:szCs w:val="32"/>
          <w:highlight w:val="none"/>
          <w:lang w:val="en-US" w:eastAsia="zh-CN" w:bidi="ar-SA"/>
        </w:rPr>
        <w:t>100</w:t>
      </w:r>
      <w:r>
        <w:rPr>
          <w:rFonts w:hint="eastAsia" w:ascii="Times New Roman" w:hAnsi="Times New Roman" w:eastAsia="仿宋_GB2312" w:cs="仿宋_GB2312"/>
          <w:b/>
          <w:bCs/>
          <w:color w:val="auto"/>
          <w:kern w:val="2"/>
          <w:sz w:val="32"/>
          <w:szCs w:val="32"/>
          <w:highlight w:val="none"/>
          <w:lang w:val="en-US" w:eastAsia="zh-CN" w:bidi="ar-SA"/>
        </w:rPr>
        <w:t>%。</w:t>
      </w:r>
    </w:p>
    <w:p w14:paraId="79BC2589">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2.公务用车购置及运行维护费支出</w:t>
      </w:r>
      <w:r>
        <w:rPr>
          <w:rFonts w:hint="eastAsia"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万元</w:t>
      </w:r>
      <w:r>
        <w:rPr>
          <w:rFonts w:hint="eastAsia"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b/>
          <w:bCs/>
          <w:color w:val="auto"/>
          <w:kern w:val="2"/>
          <w:sz w:val="32"/>
          <w:szCs w:val="32"/>
          <w:highlight w:val="none"/>
          <w:lang w:val="en-US" w:eastAsia="zh-CN" w:bidi="ar-SA"/>
        </w:rPr>
        <w:t>完成预算</w:t>
      </w:r>
      <w:r>
        <w:rPr>
          <w:rFonts w:hint="eastAsia" w:eastAsia="仿宋_GB2312" w:cs="仿宋_GB2312"/>
          <w:b/>
          <w:bCs/>
          <w:color w:val="auto"/>
          <w:kern w:val="2"/>
          <w:sz w:val="32"/>
          <w:szCs w:val="32"/>
          <w:highlight w:val="none"/>
          <w:lang w:val="en-US" w:eastAsia="zh-CN" w:bidi="ar-SA"/>
        </w:rPr>
        <w:t>100</w:t>
      </w:r>
      <w:r>
        <w:rPr>
          <w:rFonts w:hint="eastAsia" w:ascii="Times New Roman" w:hAnsi="Times New Roman" w:eastAsia="仿宋_GB2312" w:cs="仿宋_GB2312"/>
          <w:b/>
          <w:bCs/>
          <w:color w:val="auto"/>
          <w:kern w:val="2"/>
          <w:sz w:val="32"/>
          <w:szCs w:val="32"/>
          <w:highlight w:val="none"/>
          <w:lang w:val="en-US" w:eastAsia="zh-CN" w:bidi="ar-SA"/>
        </w:rPr>
        <w:t>%。</w:t>
      </w:r>
    </w:p>
    <w:p w14:paraId="68D10357">
      <w:pPr>
        <w:spacing w:line="600" w:lineRule="exact"/>
        <w:ind w:firstLine="640"/>
        <w:outlineLvl w:val="1"/>
        <w:rPr>
          <w:rFonts w:hint="eastAsia" w:ascii="Times New Roman" w:hAnsi="Times New Roman" w:eastAsia="仿宋_GB2312" w:cs="仿宋_GB2312"/>
          <w:b/>
          <w:bCs/>
          <w:color w:val="auto"/>
          <w:kern w:val="2"/>
          <w:sz w:val="32"/>
          <w:szCs w:val="32"/>
          <w:highlight w:val="none"/>
          <w:lang w:val="en-US" w:eastAsia="zh-CN" w:bidi="ar-SA"/>
        </w:rPr>
      </w:pPr>
      <w:bookmarkStart w:id="65" w:name="_Toc25787"/>
      <w:r>
        <w:rPr>
          <w:rFonts w:hint="eastAsia" w:ascii="Times New Roman" w:hAnsi="Times New Roman" w:eastAsia="仿宋_GB2312" w:cs="仿宋_GB2312"/>
          <w:b/>
          <w:bCs/>
          <w:color w:val="auto"/>
          <w:kern w:val="2"/>
          <w:sz w:val="32"/>
          <w:szCs w:val="32"/>
          <w:highlight w:val="none"/>
          <w:lang w:val="en-US" w:eastAsia="zh-CN" w:bidi="ar-SA"/>
        </w:rPr>
        <w:t>3.公务接待费支出</w:t>
      </w:r>
      <w:r>
        <w:rPr>
          <w:rFonts w:hint="eastAsia"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万元，完成预算</w:t>
      </w:r>
      <w:r>
        <w:rPr>
          <w:rFonts w:hint="eastAsia" w:eastAsia="仿宋_GB2312" w:cs="仿宋_GB2312"/>
          <w:b/>
          <w:bCs/>
          <w:color w:val="auto"/>
          <w:kern w:val="2"/>
          <w:sz w:val="32"/>
          <w:szCs w:val="32"/>
          <w:highlight w:val="none"/>
          <w:lang w:val="en-US" w:eastAsia="zh-CN" w:bidi="ar-SA"/>
        </w:rPr>
        <w:t>100</w:t>
      </w:r>
      <w:r>
        <w:rPr>
          <w:rFonts w:hint="eastAsia" w:ascii="Times New Roman" w:hAnsi="Times New Roman" w:eastAsia="仿宋_GB2312" w:cs="仿宋_GB2312"/>
          <w:b/>
          <w:bCs/>
          <w:color w:val="auto"/>
          <w:kern w:val="2"/>
          <w:sz w:val="32"/>
          <w:szCs w:val="32"/>
          <w:highlight w:val="none"/>
          <w:lang w:val="en-US" w:eastAsia="zh-CN" w:bidi="ar-SA"/>
        </w:rPr>
        <w:t>%。</w:t>
      </w:r>
      <w:bookmarkEnd w:id="65"/>
      <w:bookmarkStart w:id="66" w:name="_Toc15396610"/>
      <w:bookmarkStart w:id="67" w:name="_Toc15377218"/>
    </w:p>
    <w:p w14:paraId="75DA8B58">
      <w:pPr>
        <w:spacing w:line="600" w:lineRule="exact"/>
        <w:ind w:firstLine="640"/>
        <w:outlineLvl w:val="1"/>
        <w:rPr>
          <w:rStyle w:val="30"/>
          <w:rFonts w:ascii="Times New Roman" w:hAnsi="Times New Roman" w:eastAsia="黑体"/>
          <w:color w:val="auto"/>
          <w:highlight w:val="none"/>
        </w:rPr>
      </w:pPr>
      <w:bookmarkStart w:id="68" w:name="_Toc21009"/>
      <w:r>
        <w:rPr>
          <w:rFonts w:hint="eastAsia" w:ascii="Times New Roman" w:hAnsi="Times New Roman" w:eastAsia="黑体"/>
          <w:color w:val="auto"/>
          <w:sz w:val="32"/>
          <w:szCs w:val="32"/>
          <w:highlight w:val="none"/>
        </w:rPr>
        <w:t>八、</w:t>
      </w:r>
      <w:r>
        <w:rPr>
          <w:rStyle w:val="30"/>
          <w:rFonts w:hint="eastAsia" w:ascii="Times New Roman" w:hAnsi="Times New Roman" w:eastAsia="黑体"/>
          <w:b w:val="0"/>
          <w:color w:val="auto"/>
          <w:highlight w:val="none"/>
        </w:rPr>
        <w:t>政府性基金预算支出决算情况说明</w:t>
      </w:r>
      <w:bookmarkEnd w:id="66"/>
      <w:bookmarkEnd w:id="67"/>
      <w:bookmarkEnd w:id="68"/>
    </w:p>
    <w:p w14:paraId="53148A58">
      <w:pPr>
        <w:spacing w:line="600" w:lineRule="exact"/>
        <w:ind w:firstLine="640"/>
        <w:rPr>
          <w:rFonts w:hint="default"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无政府性基金预算支出</w:t>
      </w:r>
    </w:p>
    <w:p w14:paraId="6EDF50E5">
      <w:pPr>
        <w:numPr>
          <w:ilvl w:val="0"/>
          <w:numId w:val="0"/>
        </w:numPr>
        <w:spacing w:line="600" w:lineRule="exact"/>
        <w:ind w:left="630" w:leftChars="0"/>
        <w:outlineLvl w:val="1"/>
        <w:rPr>
          <w:rStyle w:val="30"/>
          <w:rFonts w:ascii="Times New Roman" w:hAnsi="Times New Roman" w:eastAsia="黑体"/>
          <w:b w:val="0"/>
          <w:color w:val="auto"/>
          <w:highlight w:val="none"/>
        </w:rPr>
      </w:pPr>
      <w:bookmarkStart w:id="69" w:name="_Toc15377219"/>
      <w:bookmarkStart w:id="70" w:name="_Toc15396611"/>
      <w:bookmarkStart w:id="71" w:name="_Toc16207"/>
      <w:r>
        <w:rPr>
          <w:rStyle w:val="30"/>
          <w:rFonts w:hint="eastAsia" w:ascii="Times New Roman" w:hAnsi="Times New Roman" w:eastAsia="黑体"/>
          <w:b w:val="0"/>
          <w:color w:val="auto"/>
          <w:highlight w:val="none"/>
          <w:lang w:eastAsia="zh-CN"/>
        </w:rPr>
        <w:t>九、</w:t>
      </w:r>
      <w:r>
        <w:rPr>
          <w:rStyle w:val="30"/>
          <w:rFonts w:hint="eastAsia" w:ascii="Times New Roman" w:hAnsi="Times New Roman" w:eastAsia="黑体"/>
          <w:b w:val="0"/>
          <w:color w:val="auto"/>
          <w:highlight w:val="none"/>
        </w:rPr>
        <w:t>国有资本经营预算支出决算情况说明</w:t>
      </w:r>
      <w:bookmarkEnd w:id="69"/>
      <w:bookmarkEnd w:id="70"/>
      <w:bookmarkEnd w:id="71"/>
    </w:p>
    <w:p w14:paraId="09193D60">
      <w:pPr>
        <w:spacing w:line="600" w:lineRule="exact"/>
        <w:ind w:firstLine="640"/>
        <w:rPr>
          <w:rFonts w:hint="default"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无国有资本经营预算支出</w:t>
      </w:r>
    </w:p>
    <w:p w14:paraId="7603ABEE">
      <w:pPr>
        <w:numPr>
          <w:ilvl w:val="0"/>
          <w:numId w:val="0"/>
        </w:numPr>
        <w:spacing w:line="600" w:lineRule="exact"/>
        <w:ind w:left="630" w:leftChars="0"/>
        <w:outlineLvl w:val="1"/>
        <w:rPr>
          <w:rStyle w:val="30"/>
          <w:rFonts w:hint="eastAsia" w:ascii="Times New Roman" w:hAnsi="Times New Roman" w:eastAsia="黑体"/>
          <w:b w:val="0"/>
          <w:color w:val="auto"/>
          <w:highlight w:val="none"/>
        </w:rPr>
      </w:pPr>
      <w:bookmarkStart w:id="72" w:name="_Toc15396612"/>
      <w:bookmarkStart w:id="73" w:name="_Toc15377221"/>
      <w:bookmarkStart w:id="74" w:name="_Toc25856"/>
      <w:r>
        <w:rPr>
          <w:rStyle w:val="30"/>
          <w:rFonts w:hint="eastAsia" w:ascii="Times New Roman" w:hAnsi="Times New Roman" w:eastAsia="黑体"/>
          <w:b w:val="0"/>
          <w:color w:val="auto"/>
          <w:highlight w:val="none"/>
          <w:lang w:eastAsia="zh-CN"/>
        </w:rPr>
        <w:t>十、</w:t>
      </w:r>
      <w:r>
        <w:rPr>
          <w:rStyle w:val="30"/>
          <w:rFonts w:hint="eastAsia" w:ascii="Times New Roman" w:hAnsi="Times New Roman" w:eastAsia="黑体"/>
          <w:b w:val="0"/>
          <w:color w:val="auto"/>
          <w:highlight w:val="none"/>
        </w:rPr>
        <w:t>其他重要事项的情况说明</w:t>
      </w:r>
      <w:bookmarkEnd w:id="72"/>
      <w:bookmarkEnd w:id="73"/>
      <w:bookmarkEnd w:id="74"/>
    </w:p>
    <w:p w14:paraId="49EB38D8">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75" w:name="_Toc17436"/>
      <w:bookmarkStart w:id="76" w:name="_Toc15377222"/>
      <w:r>
        <w:rPr>
          <w:rFonts w:hint="eastAsia" w:ascii="Times New Roman" w:hAnsi="Times New Roman" w:eastAsia="楷体_GB2312" w:cs="楷体_GB2312"/>
          <w:b/>
          <w:color w:val="auto"/>
          <w:sz w:val="32"/>
          <w:szCs w:val="32"/>
          <w:highlight w:val="none"/>
        </w:rPr>
        <w:t>（一）机关运行经费支出情况</w:t>
      </w:r>
      <w:bookmarkEnd w:id="75"/>
      <w:bookmarkEnd w:id="76"/>
    </w:p>
    <w:p w14:paraId="1F492498">
      <w:pPr>
        <w:spacing w:line="600" w:lineRule="exact"/>
        <w:ind w:firstLine="640" w:firstLineChars="200"/>
        <w:rPr>
          <w:rFonts w:hint="default"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我单位为事业单位，无机关运行经费支出。</w:t>
      </w:r>
    </w:p>
    <w:p w14:paraId="7F661849">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77" w:name="_Toc15377223"/>
      <w:bookmarkStart w:id="78" w:name="_Toc11501"/>
      <w:r>
        <w:rPr>
          <w:rFonts w:hint="eastAsia" w:ascii="Times New Roman" w:hAnsi="Times New Roman" w:eastAsia="楷体_GB2312" w:cs="楷体_GB2312"/>
          <w:b/>
          <w:color w:val="auto"/>
          <w:sz w:val="32"/>
          <w:szCs w:val="32"/>
          <w:highlight w:val="none"/>
        </w:rPr>
        <w:t>（二）政府采购支出情况</w:t>
      </w:r>
      <w:bookmarkEnd w:id="77"/>
      <w:bookmarkEnd w:id="78"/>
    </w:p>
    <w:p w14:paraId="4D17ED9C">
      <w:pPr>
        <w:spacing w:line="600" w:lineRule="exact"/>
        <w:ind w:firstLine="640"/>
        <w:rPr>
          <w:rFonts w:hint="default"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无政府采购支出</w:t>
      </w:r>
    </w:p>
    <w:p w14:paraId="6925F3B0">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79" w:name="_Toc15352"/>
      <w:bookmarkStart w:id="80" w:name="_Toc15377224"/>
      <w:r>
        <w:rPr>
          <w:rFonts w:hint="eastAsia" w:ascii="Times New Roman" w:hAnsi="Times New Roman" w:eastAsia="楷体_GB2312" w:cs="楷体_GB2312"/>
          <w:b/>
          <w:color w:val="auto"/>
          <w:sz w:val="32"/>
          <w:szCs w:val="32"/>
          <w:highlight w:val="none"/>
        </w:rPr>
        <w:t>（三）国有资产占有使用情况</w:t>
      </w:r>
      <w:bookmarkEnd w:id="79"/>
      <w:bookmarkEnd w:id="80"/>
    </w:p>
    <w:p w14:paraId="5941BDA8">
      <w:pPr>
        <w:spacing w:line="600" w:lineRule="exact"/>
        <w:ind w:firstLine="640"/>
        <w:rPr>
          <w:rFonts w:hint="default"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无国有资产</w:t>
      </w:r>
    </w:p>
    <w:p w14:paraId="62F749E0">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81" w:name="_Toc24207"/>
      <w:r>
        <w:rPr>
          <w:rFonts w:hint="eastAsia" w:ascii="Times New Roman" w:hAnsi="Times New Roman" w:eastAsia="楷体_GB2312" w:cs="楷体_GB2312"/>
          <w:b/>
          <w:color w:val="auto"/>
          <w:sz w:val="32"/>
          <w:szCs w:val="32"/>
          <w:highlight w:val="none"/>
        </w:rPr>
        <w:t>（四）预算绩效管理情况</w:t>
      </w:r>
      <w:bookmarkEnd w:id="81"/>
    </w:p>
    <w:p w14:paraId="7D672F03">
      <w:pPr>
        <w:spacing w:line="600" w:lineRule="exact"/>
        <w:ind w:firstLine="640"/>
        <w:rPr>
          <w:rFonts w:hint="default"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我单位无项目预算，不涉及项目绩效运行监控和项目绩效自评。</w:t>
      </w:r>
    </w:p>
    <w:p w14:paraId="0D07751C">
      <w:pPr>
        <w:numPr>
          <w:ilvl w:val="0"/>
          <w:numId w:val="0"/>
        </w:numPr>
        <w:spacing w:line="600" w:lineRule="exact"/>
        <w:jc w:val="center"/>
        <w:outlineLvl w:val="0"/>
        <w:rPr>
          <w:rFonts w:hint="eastAsia" w:ascii="Times New Roman" w:hAnsi="Times New Roman" w:eastAsia="黑体"/>
          <w:color w:val="auto"/>
          <w:sz w:val="44"/>
          <w:szCs w:val="44"/>
          <w:highlight w:val="none"/>
        </w:rPr>
      </w:pPr>
      <w:bookmarkStart w:id="82" w:name="_Toc15377225"/>
      <w:bookmarkStart w:id="83" w:name="_Toc17169"/>
      <w:bookmarkStart w:id="84" w:name="_Toc15396613"/>
      <w:r>
        <w:rPr>
          <w:rFonts w:hint="eastAsia" w:ascii="Times New Roman" w:hAnsi="Times New Roman" w:eastAsia="黑体"/>
          <w:color w:val="auto"/>
          <w:sz w:val="44"/>
          <w:szCs w:val="44"/>
          <w:highlight w:val="none"/>
        </w:rPr>
        <w:t>第</w:t>
      </w:r>
      <w:r>
        <w:rPr>
          <w:rFonts w:hint="eastAsia" w:eastAsia="黑体"/>
          <w:color w:val="auto"/>
          <w:sz w:val="44"/>
          <w:szCs w:val="44"/>
          <w:highlight w:val="none"/>
          <w:lang w:eastAsia="zh-CN"/>
        </w:rPr>
        <w:t>三</w:t>
      </w:r>
      <w:r>
        <w:rPr>
          <w:rFonts w:hint="eastAsia" w:ascii="Times New Roman" w:hAnsi="Times New Roman" w:eastAsia="黑体"/>
          <w:color w:val="auto"/>
          <w:sz w:val="44"/>
          <w:szCs w:val="44"/>
          <w:highlight w:val="none"/>
        </w:rPr>
        <w:t>部分</w:t>
      </w:r>
      <w:r>
        <w:rPr>
          <w:rFonts w:hint="eastAsia" w:ascii="Times New Roman" w:hAnsi="Times New Roman" w:eastAsia="黑体"/>
          <w:color w:val="auto"/>
          <w:sz w:val="44"/>
          <w:szCs w:val="44"/>
          <w:highlight w:val="none"/>
          <w:lang w:val="en-US" w:eastAsia="zh-CN"/>
        </w:rPr>
        <w:t xml:space="preserve"> </w:t>
      </w:r>
      <w:r>
        <w:rPr>
          <w:rFonts w:hint="eastAsia" w:eastAsia="黑体"/>
          <w:color w:val="auto"/>
          <w:sz w:val="44"/>
          <w:szCs w:val="44"/>
          <w:highlight w:val="none"/>
          <w:lang w:val="en-US" w:eastAsia="zh-CN"/>
        </w:rPr>
        <w:t xml:space="preserve"> </w:t>
      </w:r>
      <w:r>
        <w:rPr>
          <w:rFonts w:hint="eastAsia" w:ascii="Times New Roman" w:hAnsi="Times New Roman" w:eastAsia="黑体"/>
          <w:color w:val="auto"/>
          <w:sz w:val="44"/>
          <w:szCs w:val="44"/>
          <w:highlight w:val="none"/>
        </w:rPr>
        <w:t>名词解释</w:t>
      </w:r>
      <w:bookmarkEnd w:id="82"/>
      <w:bookmarkEnd w:id="83"/>
      <w:bookmarkEnd w:id="84"/>
    </w:p>
    <w:p w14:paraId="38C013ED">
      <w:pPr>
        <w:spacing w:line="600" w:lineRule="exact"/>
        <w:jc w:val="left"/>
        <w:rPr>
          <w:rFonts w:ascii="Times New Roman" w:hAnsi="Times New Roman"/>
          <w:b/>
          <w:color w:val="auto"/>
          <w:sz w:val="44"/>
          <w:szCs w:val="44"/>
          <w:highlight w:val="none"/>
        </w:rPr>
      </w:pPr>
    </w:p>
    <w:p w14:paraId="52A51402">
      <w:pPr>
        <w:pStyle w:val="27"/>
        <w:spacing w:line="560" w:lineRule="exact"/>
        <w:ind w:firstLine="640" w:firstLineChars="200"/>
        <w:rPr>
          <w:rFonts w:hint="eastAsia" w:ascii="仿宋_GB2312" w:eastAsia="仿宋_GB2312"/>
          <w:color w:val="auto"/>
          <w:sz w:val="32"/>
          <w:szCs w:val="32"/>
          <w:highlight w:val="none"/>
        </w:rPr>
      </w:pPr>
      <w:r>
        <w:rPr>
          <w:rFonts w:hint="eastAsia" w:ascii="仿宋_GB2312" w:eastAsia="仿宋_GB2312"/>
          <w:color w:val="auto"/>
          <w:sz w:val="32"/>
          <w:szCs w:val="32"/>
          <w:highlight w:val="none"/>
        </w:rPr>
        <w:t>1.财政拨款收入：指单位从同级财政部门取得的财政预算资金。</w:t>
      </w:r>
    </w:p>
    <w:p w14:paraId="14F30547">
      <w:pPr>
        <w:ind w:firstLine="640" w:firstLineChars="200"/>
        <w:rPr>
          <w:rFonts w:hint="eastAsia" w:ascii="仿宋_GB2312" w:eastAsia="仿宋_GB2312"/>
          <w:color w:val="auto"/>
          <w:sz w:val="32"/>
          <w:szCs w:val="32"/>
          <w:highlight w:val="none"/>
        </w:rPr>
      </w:pPr>
      <w:r>
        <w:rPr>
          <w:rFonts w:hint="eastAsia" w:ascii="仿宋_GB2312" w:eastAsia="仿宋_GB2312"/>
          <w:color w:val="auto"/>
          <w:sz w:val="32"/>
          <w:szCs w:val="32"/>
          <w:highlight w:val="none"/>
          <w:lang w:val="en-US" w:eastAsia="zh-CN"/>
        </w:rPr>
        <w:t>2</w:t>
      </w:r>
      <w:r>
        <w:rPr>
          <w:rFonts w:hint="eastAsia" w:ascii="仿宋_GB2312" w:eastAsia="仿宋_GB2312"/>
          <w:color w:val="auto"/>
          <w:sz w:val="32"/>
          <w:szCs w:val="32"/>
          <w:highlight w:val="none"/>
        </w:rPr>
        <w:t>.科学技术（类）</w:t>
      </w:r>
      <w:r>
        <w:rPr>
          <w:rFonts w:hint="eastAsia" w:ascii="仿宋_GB2312" w:eastAsia="仿宋_GB2312"/>
          <w:color w:val="auto"/>
          <w:sz w:val="32"/>
          <w:szCs w:val="32"/>
          <w:highlight w:val="none"/>
          <w:lang w:val="en-US" w:eastAsia="zh-CN"/>
        </w:rPr>
        <w:t>206</w:t>
      </w:r>
      <w:r>
        <w:rPr>
          <w:rFonts w:hint="eastAsia" w:ascii="仿宋_GB2312" w:eastAsia="仿宋_GB2312"/>
          <w:color w:val="auto"/>
          <w:sz w:val="32"/>
          <w:szCs w:val="32"/>
          <w:highlight w:val="none"/>
        </w:rPr>
        <w:t>（款）</w:t>
      </w:r>
      <w:r>
        <w:rPr>
          <w:rFonts w:hint="eastAsia" w:ascii="仿宋_GB2312" w:eastAsia="仿宋_GB2312"/>
          <w:color w:val="auto"/>
          <w:sz w:val="32"/>
          <w:szCs w:val="32"/>
          <w:highlight w:val="none"/>
          <w:lang w:val="en-US" w:eastAsia="zh-CN"/>
        </w:rPr>
        <w:t>07</w:t>
      </w:r>
      <w:r>
        <w:rPr>
          <w:rFonts w:hint="eastAsia" w:ascii="仿宋_GB2312" w:eastAsia="仿宋_GB2312"/>
          <w:color w:val="auto"/>
          <w:sz w:val="32"/>
          <w:szCs w:val="32"/>
          <w:highlight w:val="none"/>
        </w:rPr>
        <w:t>（项）</w:t>
      </w:r>
      <w:r>
        <w:rPr>
          <w:rFonts w:hint="eastAsia" w:ascii="仿宋_GB2312" w:eastAsia="仿宋_GB2312"/>
          <w:color w:val="auto"/>
          <w:sz w:val="32"/>
          <w:szCs w:val="32"/>
          <w:highlight w:val="none"/>
          <w:lang w:val="en-US" w:eastAsia="zh-CN"/>
        </w:rPr>
        <w:t>01</w:t>
      </w:r>
      <w:r>
        <w:rPr>
          <w:rFonts w:hint="eastAsia" w:ascii="仿宋_GB2312" w:eastAsia="仿宋_GB2312"/>
          <w:color w:val="auto"/>
          <w:sz w:val="32"/>
          <w:szCs w:val="32"/>
          <w:highlight w:val="none"/>
        </w:rPr>
        <w:t>：指</w:t>
      </w:r>
      <w:r>
        <w:rPr>
          <w:rFonts w:hint="eastAsia" w:ascii="仿宋_GB2312" w:eastAsia="仿宋_GB2312"/>
          <w:color w:val="auto"/>
          <w:sz w:val="32"/>
          <w:szCs w:val="32"/>
          <w:highlight w:val="none"/>
          <w:lang w:eastAsia="zh-CN"/>
        </w:rPr>
        <w:t>反映科普事业单位的基本支出</w:t>
      </w:r>
      <w:r>
        <w:rPr>
          <w:rFonts w:hint="eastAsia" w:ascii="仿宋_GB2312" w:eastAsia="仿宋_GB2312"/>
          <w:color w:val="auto"/>
          <w:sz w:val="32"/>
          <w:szCs w:val="32"/>
          <w:highlight w:val="none"/>
        </w:rPr>
        <w:t>。</w:t>
      </w:r>
    </w:p>
    <w:p w14:paraId="53C8F17E">
      <w:pPr>
        <w:ind w:firstLine="640" w:firstLineChars="200"/>
        <w:rPr>
          <w:rFonts w:hint="eastAsia" w:ascii="仿宋_GB2312" w:eastAsia="仿宋_GB2312"/>
          <w:color w:val="auto"/>
          <w:sz w:val="32"/>
          <w:szCs w:val="32"/>
          <w:highlight w:val="none"/>
        </w:rPr>
      </w:pPr>
      <w:r>
        <w:rPr>
          <w:rFonts w:hint="eastAsia" w:ascii="仿宋_GB2312" w:eastAsia="仿宋_GB2312"/>
          <w:color w:val="auto"/>
          <w:sz w:val="32"/>
          <w:szCs w:val="32"/>
          <w:highlight w:val="none"/>
          <w:lang w:val="en-US" w:eastAsia="zh-CN"/>
        </w:rPr>
        <w:t>3</w:t>
      </w:r>
      <w:r>
        <w:rPr>
          <w:rFonts w:hint="eastAsia" w:ascii="仿宋_GB2312" w:eastAsia="仿宋_GB2312"/>
          <w:color w:val="auto"/>
          <w:sz w:val="32"/>
          <w:szCs w:val="32"/>
          <w:highlight w:val="none"/>
        </w:rPr>
        <w:t>.社会保障和就业（类）</w:t>
      </w:r>
      <w:r>
        <w:rPr>
          <w:rFonts w:hint="eastAsia" w:ascii="仿宋_GB2312" w:eastAsia="仿宋_GB2312"/>
          <w:color w:val="auto"/>
          <w:sz w:val="32"/>
          <w:szCs w:val="32"/>
          <w:highlight w:val="none"/>
          <w:lang w:val="en-US" w:eastAsia="zh-CN"/>
        </w:rPr>
        <w:t>208</w:t>
      </w:r>
      <w:r>
        <w:rPr>
          <w:rFonts w:hint="eastAsia" w:ascii="仿宋_GB2312" w:eastAsia="仿宋_GB2312"/>
          <w:color w:val="auto"/>
          <w:sz w:val="32"/>
          <w:szCs w:val="32"/>
          <w:highlight w:val="none"/>
        </w:rPr>
        <w:t>（款）</w:t>
      </w:r>
      <w:r>
        <w:rPr>
          <w:rFonts w:hint="eastAsia" w:ascii="仿宋_GB2312" w:eastAsia="仿宋_GB2312"/>
          <w:color w:val="auto"/>
          <w:sz w:val="32"/>
          <w:szCs w:val="32"/>
          <w:highlight w:val="none"/>
          <w:lang w:val="en-US" w:eastAsia="zh-CN"/>
        </w:rPr>
        <w:t>05</w:t>
      </w:r>
      <w:r>
        <w:rPr>
          <w:rFonts w:hint="eastAsia" w:ascii="仿宋_GB2312" w:eastAsia="仿宋_GB2312"/>
          <w:color w:val="auto"/>
          <w:sz w:val="32"/>
          <w:szCs w:val="32"/>
          <w:highlight w:val="none"/>
        </w:rPr>
        <w:t>（项）</w:t>
      </w:r>
      <w:r>
        <w:rPr>
          <w:rFonts w:hint="eastAsia" w:ascii="仿宋_GB2312" w:eastAsia="仿宋_GB2312"/>
          <w:color w:val="auto"/>
          <w:sz w:val="32"/>
          <w:szCs w:val="32"/>
          <w:highlight w:val="none"/>
          <w:lang w:val="en-US" w:eastAsia="zh-CN"/>
        </w:rPr>
        <w:t>05</w:t>
      </w:r>
      <w:r>
        <w:rPr>
          <w:rFonts w:hint="eastAsia" w:ascii="仿宋_GB2312" w:eastAsia="仿宋_GB2312"/>
          <w:color w:val="auto"/>
          <w:sz w:val="32"/>
          <w:szCs w:val="32"/>
          <w:highlight w:val="none"/>
        </w:rPr>
        <w:t>：指</w:t>
      </w:r>
      <w:r>
        <w:rPr>
          <w:rFonts w:hint="eastAsia" w:ascii="仿宋_GB2312" w:eastAsia="仿宋_GB2312"/>
          <w:color w:val="auto"/>
          <w:sz w:val="32"/>
          <w:szCs w:val="32"/>
          <w:highlight w:val="none"/>
          <w:lang w:eastAsia="zh-CN"/>
        </w:rPr>
        <w:t>反映机关事业单位实施养老保险制度由单位缴纳的基本养老保险费支出</w:t>
      </w:r>
      <w:r>
        <w:rPr>
          <w:rFonts w:hint="eastAsia" w:ascii="仿宋_GB2312" w:eastAsia="仿宋_GB2312"/>
          <w:color w:val="auto"/>
          <w:sz w:val="32"/>
          <w:szCs w:val="32"/>
          <w:highlight w:val="none"/>
        </w:rPr>
        <w:t>。</w:t>
      </w:r>
    </w:p>
    <w:p w14:paraId="06626836">
      <w:pPr>
        <w:keepNext w:val="0"/>
        <w:keepLines w:val="0"/>
        <w:pageBreakBefore w:val="0"/>
        <w:widowControl w:val="0"/>
        <w:suppressAutoHyphens/>
        <w:kinsoku/>
        <w:wordWrap/>
        <w:overflowPunct/>
        <w:topLinePunct w:val="0"/>
        <w:autoSpaceDE/>
        <w:autoSpaceDN/>
        <w:bidi w:val="0"/>
        <w:adjustRightInd/>
        <w:snapToGrid/>
        <w:ind w:firstLine="640" w:firstLineChars="200"/>
        <w:textAlignment w:val="auto"/>
        <w:rPr>
          <w:rFonts w:hint="eastAsia" w:ascii="仿宋_GB2312" w:eastAsia="仿宋_GB2312"/>
          <w:color w:val="auto"/>
          <w:sz w:val="32"/>
          <w:szCs w:val="32"/>
          <w:highlight w:val="none"/>
        </w:rPr>
      </w:pPr>
      <w:r>
        <w:rPr>
          <w:rFonts w:hint="eastAsia" w:ascii="仿宋_GB2312" w:eastAsia="仿宋_GB2312"/>
          <w:color w:val="auto"/>
          <w:sz w:val="32"/>
          <w:szCs w:val="32"/>
          <w:highlight w:val="none"/>
          <w:lang w:val="en-US" w:eastAsia="zh-CN"/>
        </w:rPr>
        <w:t>4</w:t>
      </w:r>
      <w:r>
        <w:rPr>
          <w:rFonts w:hint="eastAsia" w:ascii="仿宋_GB2312" w:eastAsia="仿宋_GB2312"/>
          <w:color w:val="auto"/>
          <w:sz w:val="32"/>
          <w:szCs w:val="32"/>
          <w:highlight w:val="none"/>
        </w:rPr>
        <w:t>.社会保障和就业（类）</w:t>
      </w:r>
      <w:r>
        <w:rPr>
          <w:rFonts w:hint="eastAsia" w:ascii="仿宋_GB2312" w:eastAsia="仿宋_GB2312"/>
          <w:color w:val="auto"/>
          <w:sz w:val="32"/>
          <w:szCs w:val="32"/>
          <w:highlight w:val="none"/>
          <w:lang w:val="en-US" w:eastAsia="zh-CN"/>
        </w:rPr>
        <w:t>208</w:t>
      </w:r>
      <w:r>
        <w:rPr>
          <w:rFonts w:hint="eastAsia" w:ascii="仿宋_GB2312" w:eastAsia="仿宋_GB2312"/>
          <w:color w:val="auto"/>
          <w:sz w:val="32"/>
          <w:szCs w:val="32"/>
          <w:highlight w:val="none"/>
        </w:rPr>
        <w:t>（款）</w:t>
      </w:r>
      <w:r>
        <w:rPr>
          <w:rFonts w:hint="eastAsia" w:ascii="仿宋_GB2312" w:eastAsia="仿宋_GB2312"/>
          <w:color w:val="auto"/>
          <w:sz w:val="32"/>
          <w:szCs w:val="32"/>
          <w:highlight w:val="none"/>
          <w:lang w:val="en-US" w:eastAsia="zh-CN"/>
        </w:rPr>
        <w:t>05</w:t>
      </w:r>
      <w:r>
        <w:rPr>
          <w:rFonts w:hint="eastAsia" w:ascii="仿宋_GB2312" w:eastAsia="仿宋_GB2312"/>
          <w:color w:val="auto"/>
          <w:sz w:val="32"/>
          <w:szCs w:val="32"/>
          <w:highlight w:val="none"/>
        </w:rPr>
        <w:t>（项）</w:t>
      </w:r>
      <w:r>
        <w:rPr>
          <w:rFonts w:hint="eastAsia" w:ascii="仿宋_GB2312" w:eastAsia="仿宋_GB2312"/>
          <w:color w:val="auto"/>
          <w:sz w:val="32"/>
          <w:szCs w:val="32"/>
          <w:highlight w:val="none"/>
          <w:lang w:val="en-US" w:eastAsia="zh-CN"/>
        </w:rPr>
        <w:t>06</w:t>
      </w:r>
      <w:r>
        <w:rPr>
          <w:rFonts w:hint="eastAsia" w:ascii="仿宋_GB2312" w:eastAsia="仿宋_GB2312"/>
          <w:color w:val="auto"/>
          <w:sz w:val="32"/>
          <w:szCs w:val="32"/>
          <w:highlight w:val="none"/>
        </w:rPr>
        <w:t>：</w:t>
      </w:r>
      <w:r>
        <w:rPr>
          <w:rFonts w:hint="eastAsia" w:ascii="仿宋_GB2312" w:eastAsia="仿宋_GB2312" w:cs="Times New Roman"/>
          <w:color w:val="auto"/>
          <w:kern w:val="2"/>
          <w:sz w:val="32"/>
          <w:szCs w:val="32"/>
          <w:highlight w:val="none"/>
          <w:lang w:val="en-US" w:eastAsia="zh-CN" w:bidi="ar-SA"/>
        </w:rPr>
        <w:t xml:space="preserve">指机关事业单位实施养老保险制度由单位缴纳的职业年金支出。                       </w:t>
      </w:r>
      <w:r>
        <w:rPr>
          <w:rFonts w:hint="eastAsia" w:ascii="仿宋_GB2312" w:eastAsia="仿宋_GB2312"/>
          <w:color w:val="auto"/>
          <w:sz w:val="32"/>
          <w:szCs w:val="32"/>
          <w:highlight w:val="none"/>
          <w:lang w:val="en-US" w:eastAsia="zh-CN"/>
        </w:rPr>
        <w:t>5.</w:t>
      </w:r>
      <w:r>
        <w:rPr>
          <w:rFonts w:hint="eastAsia" w:ascii="仿宋_GB2312" w:eastAsia="仿宋_GB2312"/>
          <w:color w:val="auto"/>
          <w:sz w:val="32"/>
          <w:szCs w:val="32"/>
          <w:highlight w:val="none"/>
          <w:lang w:eastAsia="zh-CN"/>
        </w:rPr>
        <w:t>卫生健康</w:t>
      </w:r>
      <w:r>
        <w:rPr>
          <w:rFonts w:hint="eastAsia" w:ascii="仿宋_GB2312" w:eastAsia="仿宋_GB2312"/>
          <w:color w:val="auto"/>
          <w:sz w:val="32"/>
          <w:szCs w:val="32"/>
          <w:highlight w:val="none"/>
        </w:rPr>
        <w:t>（类）</w:t>
      </w:r>
      <w:r>
        <w:rPr>
          <w:rFonts w:hint="eastAsia" w:ascii="仿宋_GB2312" w:eastAsia="仿宋_GB2312"/>
          <w:color w:val="auto"/>
          <w:sz w:val="32"/>
          <w:szCs w:val="32"/>
          <w:highlight w:val="none"/>
          <w:lang w:val="en-US" w:eastAsia="zh-CN"/>
        </w:rPr>
        <w:t>210</w:t>
      </w:r>
      <w:r>
        <w:rPr>
          <w:rFonts w:hint="eastAsia" w:ascii="仿宋_GB2312" w:eastAsia="仿宋_GB2312"/>
          <w:color w:val="auto"/>
          <w:sz w:val="32"/>
          <w:szCs w:val="32"/>
          <w:highlight w:val="none"/>
        </w:rPr>
        <w:t>（款）</w:t>
      </w:r>
      <w:r>
        <w:rPr>
          <w:rFonts w:hint="eastAsia" w:ascii="仿宋_GB2312" w:eastAsia="仿宋_GB2312"/>
          <w:color w:val="auto"/>
          <w:sz w:val="32"/>
          <w:szCs w:val="32"/>
          <w:highlight w:val="none"/>
          <w:lang w:val="en-US" w:eastAsia="zh-CN"/>
        </w:rPr>
        <w:t>11</w:t>
      </w:r>
      <w:r>
        <w:rPr>
          <w:rFonts w:hint="eastAsia" w:ascii="仿宋_GB2312" w:eastAsia="仿宋_GB2312"/>
          <w:color w:val="auto"/>
          <w:sz w:val="32"/>
          <w:szCs w:val="32"/>
          <w:highlight w:val="none"/>
        </w:rPr>
        <w:t>（项）</w:t>
      </w:r>
      <w:r>
        <w:rPr>
          <w:rFonts w:hint="eastAsia" w:ascii="仿宋_GB2312" w:eastAsia="仿宋_GB2312"/>
          <w:color w:val="auto"/>
          <w:sz w:val="32"/>
          <w:szCs w:val="32"/>
          <w:highlight w:val="none"/>
          <w:lang w:val="en-US" w:eastAsia="zh-CN"/>
        </w:rPr>
        <w:t>02</w:t>
      </w:r>
      <w:r>
        <w:rPr>
          <w:rFonts w:hint="eastAsia" w:ascii="仿宋_GB2312" w:eastAsia="仿宋_GB2312"/>
          <w:color w:val="auto"/>
          <w:sz w:val="32"/>
          <w:szCs w:val="32"/>
          <w:highlight w:val="none"/>
        </w:rPr>
        <w:t>：指</w:t>
      </w:r>
      <w:r>
        <w:rPr>
          <w:rFonts w:hint="eastAsia" w:ascii="仿宋_GB2312" w:eastAsia="仿宋_GB2312"/>
          <w:color w:val="auto"/>
          <w:sz w:val="32"/>
          <w:szCs w:val="32"/>
          <w:highlight w:val="none"/>
          <w:lang w:eastAsia="zh-CN"/>
        </w:rPr>
        <w:t>反映财政部门安排的事业单位基本医疗保险缴费经费，未参加医疗保险的事业单位的公费医疗经费，按国家规定享受离休人员、红军老战士待遇人员的医疗经费</w:t>
      </w:r>
      <w:r>
        <w:rPr>
          <w:rFonts w:hint="eastAsia" w:ascii="仿宋_GB2312" w:eastAsia="仿宋_GB2312"/>
          <w:color w:val="auto"/>
          <w:sz w:val="32"/>
          <w:szCs w:val="32"/>
          <w:highlight w:val="none"/>
        </w:rPr>
        <w:t>。</w:t>
      </w:r>
    </w:p>
    <w:p w14:paraId="1A9DD801">
      <w:pPr>
        <w:keepNext w:val="0"/>
        <w:keepLines w:val="0"/>
        <w:pageBreakBefore w:val="0"/>
        <w:widowControl w:val="0"/>
        <w:suppressAutoHyphens/>
        <w:kinsoku/>
        <w:wordWrap/>
        <w:overflowPunct/>
        <w:topLinePunct w:val="0"/>
        <w:autoSpaceDE/>
        <w:autoSpaceDN/>
        <w:bidi w:val="0"/>
        <w:adjustRightInd/>
        <w:snapToGrid/>
        <w:ind w:firstLine="640" w:firstLineChars="200"/>
        <w:textAlignment w:val="auto"/>
        <w:rPr>
          <w:rFonts w:hint="eastAsia" w:ascii="仿宋_GB2312" w:eastAsia="仿宋_GB2312"/>
          <w:color w:val="auto"/>
          <w:sz w:val="32"/>
          <w:szCs w:val="32"/>
          <w:highlight w:val="none"/>
          <w:lang w:val="en-US" w:eastAsia="zh-CN"/>
        </w:rPr>
      </w:pPr>
      <w:r>
        <w:rPr>
          <w:rFonts w:hint="eastAsia" w:ascii="仿宋_GB2312" w:eastAsia="仿宋_GB2312"/>
          <w:color w:val="auto"/>
          <w:sz w:val="32"/>
          <w:szCs w:val="32"/>
          <w:highlight w:val="none"/>
          <w:lang w:val="en-US" w:eastAsia="zh-CN"/>
        </w:rPr>
        <w:t>6.</w:t>
      </w:r>
      <w:r>
        <w:rPr>
          <w:rFonts w:hint="eastAsia" w:ascii="仿宋_GB2312" w:eastAsia="仿宋_GB2312"/>
          <w:color w:val="auto"/>
          <w:sz w:val="32"/>
          <w:szCs w:val="32"/>
          <w:highlight w:val="none"/>
          <w:lang w:eastAsia="zh-CN"/>
        </w:rPr>
        <w:t>卫生健康</w:t>
      </w:r>
      <w:r>
        <w:rPr>
          <w:rFonts w:hint="eastAsia" w:ascii="仿宋_GB2312" w:eastAsia="仿宋_GB2312"/>
          <w:color w:val="auto"/>
          <w:sz w:val="32"/>
          <w:szCs w:val="32"/>
          <w:highlight w:val="none"/>
        </w:rPr>
        <w:t>（类）</w:t>
      </w:r>
      <w:r>
        <w:rPr>
          <w:rFonts w:hint="eastAsia" w:ascii="仿宋_GB2312" w:eastAsia="仿宋_GB2312"/>
          <w:color w:val="auto"/>
          <w:sz w:val="32"/>
          <w:szCs w:val="32"/>
          <w:highlight w:val="none"/>
          <w:lang w:val="en-US" w:eastAsia="zh-CN"/>
        </w:rPr>
        <w:t>210</w:t>
      </w:r>
      <w:r>
        <w:rPr>
          <w:rFonts w:hint="eastAsia" w:ascii="仿宋_GB2312" w:eastAsia="仿宋_GB2312"/>
          <w:color w:val="auto"/>
          <w:sz w:val="32"/>
          <w:szCs w:val="32"/>
          <w:highlight w:val="none"/>
        </w:rPr>
        <w:t>（款）</w:t>
      </w:r>
      <w:r>
        <w:rPr>
          <w:rFonts w:hint="eastAsia" w:ascii="仿宋_GB2312" w:eastAsia="仿宋_GB2312"/>
          <w:color w:val="auto"/>
          <w:sz w:val="32"/>
          <w:szCs w:val="32"/>
          <w:highlight w:val="none"/>
          <w:lang w:val="en-US" w:eastAsia="zh-CN"/>
        </w:rPr>
        <w:t>11</w:t>
      </w:r>
      <w:r>
        <w:rPr>
          <w:rFonts w:hint="eastAsia" w:ascii="仿宋_GB2312" w:eastAsia="仿宋_GB2312"/>
          <w:color w:val="auto"/>
          <w:sz w:val="32"/>
          <w:szCs w:val="32"/>
          <w:highlight w:val="none"/>
        </w:rPr>
        <w:t>（项）</w:t>
      </w:r>
      <w:r>
        <w:rPr>
          <w:rFonts w:hint="eastAsia" w:ascii="仿宋_GB2312" w:eastAsia="仿宋_GB2312"/>
          <w:color w:val="auto"/>
          <w:sz w:val="32"/>
          <w:szCs w:val="32"/>
          <w:highlight w:val="none"/>
          <w:lang w:val="en-US" w:eastAsia="zh-CN"/>
        </w:rPr>
        <w:t>99：反映除上述项目以外的其他用于行政事业单位医疗方面的支出。</w:t>
      </w:r>
    </w:p>
    <w:p w14:paraId="5D75018C">
      <w:pPr>
        <w:pStyle w:val="15"/>
        <w:keepNext w:val="0"/>
        <w:keepLines w:val="0"/>
        <w:widowControl/>
        <w:suppressLineNumbers w:val="0"/>
        <w:pBdr>
          <w:top w:val="none" w:color="auto" w:sz="0" w:space="0"/>
          <w:bottom w:val="none" w:color="auto" w:sz="0" w:space="0"/>
        </w:pBdr>
        <w:suppressAutoHyphens/>
        <w:spacing w:before="100" w:beforeAutospacing="1" w:after="100" w:afterAutospacing="1" w:line="576" w:lineRule="atLeast"/>
        <w:ind w:left="0" w:right="0" w:firstLine="640"/>
        <w:jc w:val="both"/>
        <w:rPr>
          <w:rFonts w:hint="eastAsia" w:ascii="仿宋_GB2312" w:eastAsia="仿宋_GB2312" w:cs="Times New Roman"/>
          <w:color w:val="auto"/>
          <w:kern w:val="2"/>
          <w:sz w:val="32"/>
          <w:szCs w:val="32"/>
          <w:highlight w:val="none"/>
          <w:lang w:val="en-US" w:eastAsia="zh-CN" w:bidi="ar-SA"/>
        </w:rPr>
      </w:pPr>
      <w:r>
        <w:rPr>
          <w:rFonts w:hint="eastAsia" w:ascii="仿宋_GB2312" w:eastAsia="仿宋_GB2312" w:cs="Times New Roman"/>
          <w:color w:val="auto"/>
          <w:kern w:val="2"/>
          <w:sz w:val="32"/>
          <w:szCs w:val="32"/>
          <w:highlight w:val="none"/>
          <w:lang w:val="en-US" w:eastAsia="zh-CN" w:bidi="ar-SA"/>
        </w:rPr>
        <w:t>7.住房保障（</w:t>
      </w:r>
      <w:r>
        <w:rPr>
          <w:rFonts w:hint="eastAsia" w:ascii="仿宋_GB2312" w:eastAsia="仿宋_GB2312"/>
          <w:color w:val="auto"/>
          <w:sz w:val="32"/>
          <w:szCs w:val="32"/>
          <w:highlight w:val="none"/>
        </w:rPr>
        <w:t>类）</w:t>
      </w:r>
      <w:r>
        <w:rPr>
          <w:rFonts w:hint="eastAsia" w:ascii="仿宋_GB2312" w:eastAsia="仿宋_GB2312"/>
          <w:color w:val="auto"/>
          <w:sz w:val="32"/>
          <w:szCs w:val="32"/>
          <w:highlight w:val="none"/>
          <w:lang w:val="en-US" w:eastAsia="zh-CN"/>
        </w:rPr>
        <w:t>221</w:t>
      </w:r>
      <w:r>
        <w:rPr>
          <w:rFonts w:hint="eastAsia" w:ascii="仿宋_GB2312" w:eastAsia="仿宋_GB2312"/>
          <w:color w:val="auto"/>
          <w:sz w:val="32"/>
          <w:szCs w:val="32"/>
          <w:highlight w:val="none"/>
        </w:rPr>
        <w:t>（款）</w:t>
      </w:r>
      <w:r>
        <w:rPr>
          <w:rFonts w:hint="eastAsia" w:ascii="仿宋_GB2312" w:eastAsia="仿宋_GB2312"/>
          <w:color w:val="auto"/>
          <w:sz w:val="32"/>
          <w:szCs w:val="32"/>
          <w:highlight w:val="none"/>
          <w:lang w:val="en-US" w:eastAsia="zh-CN"/>
        </w:rPr>
        <w:t>02</w:t>
      </w:r>
      <w:r>
        <w:rPr>
          <w:rFonts w:hint="eastAsia" w:ascii="仿宋_GB2312" w:eastAsia="仿宋_GB2312"/>
          <w:color w:val="auto"/>
          <w:sz w:val="32"/>
          <w:szCs w:val="32"/>
          <w:highlight w:val="none"/>
        </w:rPr>
        <w:t>（项）</w:t>
      </w:r>
      <w:r>
        <w:rPr>
          <w:rFonts w:hint="eastAsia" w:ascii="仿宋_GB2312" w:eastAsia="仿宋_GB2312"/>
          <w:color w:val="auto"/>
          <w:sz w:val="32"/>
          <w:szCs w:val="32"/>
          <w:highlight w:val="none"/>
          <w:lang w:val="en-US" w:eastAsia="zh-CN"/>
        </w:rPr>
        <w:t>01：</w:t>
      </w:r>
      <w:r>
        <w:rPr>
          <w:rFonts w:hint="eastAsia" w:ascii="仿宋_GB2312" w:eastAsia="仿宋_GB2312" w:cs="Times New Roman"/>
          <w:color w:val="auto"/>
          <w:kern w:val="2"/>
          <w:sz w:val="32"/>
          <w:szCs w:val="32"/>
          <w:highlight w:val="none"/>
          <w:lang w:val="en-US" w:eastAsia="zh-CN" w:bidi="ar-SA"/>
        </w:rPr>
        <w:t>指行政事业单位按人力资源和社会保障部、财政部规定的基本工资和津贴补贴以及规定比例为职工缴纳的住房公积金。</w:t>
      </w:r>
    </w:p>
    <w:p w14:paraId="0F0A890F">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27.基本支出：指为保障机构正常运转、完成日常工作任务而发生的人员支出和公用支出。</w:t>
      </w:r>
    </w:p>
    <w:p w14:paraId="7BABB4ED">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 xml:space="preserve">28.项目支出：指在基本支出之外为完成特定行政任务和事业发展目标所发生的支出。 </w:t>
      </w:r>
    </w:p>
    <w:p w14:paraId="36459130">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29.经营支出：指事业单位在专业业务活动及其辅助活动之外开展非独立核算经营活动发生的支出。</w:t>
      </w:r>
    </w:p>
    <w:p w14:paraId="144BC020">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30.</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三公</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14:paraId="6EECF90B">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31.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1CD35350">
      <w:pPr>
        <w:spacing w:line="600" w:lineRule="exact"/>
        <w:rPr>
          <w:rFonts w:hint="eastAsia" w:ascii="Times New Roman" w:hAnsi="Times New Roman" w:eastAsia="仿宋_GB2312" w:cs="仿宋_GB2312"/>
          <w:color w:val="auto"/>
          <w:kern w:val="2"/>
          <w:sz w:val="32"/>
          <w:szCs w:val="32"/>
          <w:highlight w:val="none"/>
          <w:lang w:val="en-US" w:eastAsia="zh-CN" w:bidi="ar-SA"/>
        </w:rPr>
      </w:pPr>
    </w:p>
    <w:p w14:paraId="5134137F">
      <w:pPr>
        <w:spacing w:line="600" w:lineRule="exact"/>
        <w:ind w:firstLine="640"/>
        <w:rPr>
          <w:rFonts w:hint="eastAsia" w:ascii="Times New Roman" w:hAnsi="Times New Roman" w:eastAsia="仿宋_GB2312" w:cs="仿宋_GB2312"/>
          <w:b/>
          <w:bCs/>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（注：名词解释部分请根据各部门实际列支情况罗列，并根据本部门职责职能增减名词解释内容）</w:t>
      </w:r>
    </w:p>
    <w:p w14:paraId="2A4860E2">
      <w:pPr>
        <w:keepNext w:val="0"/>
        <w:keepLines w:val="0"/>
        <w:pageBreakBefore w:val="0"/>
        <w:widowControl w:val="0"/>
        <w:kinsoku/>
        <w:wordWrap/>
        <w:overflowPunct/>
        <w:topLinePunct w:val="0"/>
        <w:autoSpaceDE/>
        <w:autoSpaceDN/>
        <w:bidi w:val="0"/>
        <w:spacing w:line="578" w:lineRule="exact"/>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bookmarkStart w:id="85" w:name="_Toc15377226"/>
      <w:r>
        <w:rPr>
          <w:rFonts w:hint="eastAsia" w:ascii="Times New Roman" w:hAnsi="Times New Roman" w:eastAsia="仿宋_GB2312" w:cs="仿宋_GB2312"/>
          <w:color w:val="auto"/>
          <w:kern w:val="2"/>
          <w:sz w:val="32"/>
          <w:szCs w:val="32"/>
          <w:highlight w:val="none"/>
          <w:lang w:val="en-US" w:eastAsia="zh-CN" w:bidi="ar-SA"/>
        </w:rPr>
        <w:br w:type="page"/>
      </w:r>
      <w:bookmarkStart w:id="86" w:name="_Toc15396618"/>
    </w:p>
    <w:p w14:paraId="29E4F2F7">
      <w:pPr>
        <w:widowControl/>
        <w:jc w:val="center"/>
        <w:rPr>
          <w:rFonts w:hint="eastAsia" w:ascii="Times New Roman" w:hAnsi="Times New Roman" w:eastAsia="仿宋"/>
          <w:b w:val="0"/>
          <w:color w:val="auto"/>
          <w:highlight w:val="none"/>
        </w:rPr>
      </w:pPr>
      <w:r>
        <w:rPr>
          <w:rFonts w:hint="eastAsia" w:ascii="Times New Roman" w:hAnsi="Times New Roman" w:eastAsia="黑体"/>
          <w:color w:val="auto"/>
          <w:sz w:val="44"/>
          <w:szCs w:val="44"/>
          <w:highlight w:val="none"/>
        </w:rPr>
        <w:t>第</w:t>
      </w:r>
      <w:r>
        <w:rPr>
          <w:rStyle w:val="29"/>
          <w:rFonts w:hint="eastAsia" w:ascii="Times New Roman" w:hAnsi="Times New Roman" w:eastAsia="黑体"/>
          <w:b w:val="0"/>
          <w:color w:val="auto"/>
          <w:highlight w:val="none"/>
        </w:rPr>
        <w:t>五部分 附表</w:t>
      </w:r>
      <w:bookmarkEnd w:id="85"/>
      <w:bookmarkEnd w:id="86"/>
      <w:bookmarkStart w:id="87" w:name="_Toc15396619"/>
    </w:p>
    <w:p w14:paraId="35FBE7F5">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p>
    <w:p w14:paraId="2280EA2C">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一、收入支出决算总表</w:t>
      </w:r>
      <w:bookmarkEnd w:id="87"/>
    </w:p>
    <w:p w14:paraId="40EAB37F">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88" w:name="_Toc15396620"/>
      <w:r>
        <w:rPr>
          <w:rFonts w:hint="eastAsia" w:ascii="Times New Roman" w:hAnsi="Times New Roman" w:eastAsia="仿宋_GB2312" w:cs="仿宋_GB2312"/>
          <w:color w:val="auto"/>
          <w:sz w:val="32"/>
          <w:szCs w:val="32"/>
          <w:highlight w:val="none"/>
        </w:rPr>
        <w:t>二、收入决算表</w:t>
      </w:r>
      <w:bookmarkEnd w:id="88"/>
    </w:p>
    <w:p w14:paraId="4B99B856">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89" w:name="_Toc15396621"/>
      <w:r>
        <w:rPr>
          <w:rFonts w:hint="eastAsia" w:ascii="Times New Roman" w:hAnsi="Times New Roman" w:eastAsia="仿宋_GB2312" w:cs="仿宋_GB2312"/>
          <w:color w:val="auto"/>
          <w:sz w:val="32"/>
          <w:szCs w:val="32"/>
          <w:highlight w:val="none"/>
        </w:rPr>
        <w:t>三、支出决算表</w:t>
      </w:r>
      <w:bookmarkEnd w:id="89"/>
    </w:p>
    <w:p w14:paraId="53C29BF4">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90" w:name="_Toc15396622"/>
      <w:r>
        <w:rPr>
          <w:rFonts w:hint="eastAsia" w:ascii="Times New Roman" w:hAnsi="Times New Roman" w:eastAsia="仿宋_GB2312" w:cs="仿宋_GB2312"/>
          <w:color w:val="auto"/>
          <w:sz w:val="32"/>
          <w:szCs w:val="32"/>
          <w:highlight w:val="none"/>
        </w:rPr>
        <w:t>四、财政拨款收入支出决算总表</w:t>
      </w:r>
      <w:bookmarkEnd w:id="90"/>
    </w:p>
    <w:p w14:paraId="43FBDB62">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91" w:name="_Toc15396623"/>
      <w:r>
        <w:rPr>
          <w:rFonts w:hint="eastAsia" w:ascii="Times New Roman" w:hAnsi="Times New Roman" w:eastAsia="仿宋_GB2312" w:cs="仿宋_GB2312"/>
          <w:color w:val="auto"/>
          <w:sz w:val="32"/>
          <w:szCs w:val="32"/>
          <w:highlight w:val="none"/>
        </w:rPr>
        <w:t>五、财政拨款支出决算明细表</w:t>
      </w:r>
      <w:bookmarkEnd w:id="91"/>
      <w:bookmarkStart w:id="92" w:name="_Toc15396624"/>
    </w:p>
    <w:p w14:paraId="763171BE">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六、一般公共预算财政拨款支出决算表</w:t>
      </w:r>
      <w:bookmarkEnd w:id="92"/>
    </w:p>
    <w:p w14:paraId="6C410C14">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93" w:name="_Toc15396625"/>
      <w:r>
        <w:rPr>
          <w:rFonts w:hint="eastAsia" w:ascii="Times New Roman" w:hAnsi="Times New Roman" w:eastAsia="仿宋_GB2312" w:cs="仿宋_GB2312"/>
          <w:color w:val="auto"/>
          <w:sz w:val="32"/>
          <w:szCs w:val="32"/>
          <w:highlight w:val="none"/>
        </w:rPr>
        <w:t>七、一般公共预算财政拨款支出决算明细表</w:t>
      </w:r>
      <w:bookmarkEnd w:id="93"/>
    </w:p>
    <w:p w14:paraId="4EB52868">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94" w:name="_Toc15396626"/>
      <w:r>
        <w:rPr>
          <w:rFonts w:hint="eastAsia" w:ascii="Times New Roman" w:hAnsi="Times New Roman" w:eastAsia="仿宋_GB2312" w:cs="仿宋_GB2312"/>
          <w:color w:val="auto"/>
          <w:sz w:val="32"/>
          <w:szCs w:val="32"/>
          <w:highlight w:val="none"/>
        </w:rPr>
        <w:t>八、一般公共预算财政拨款基本支出决算表</w:t>
      </w:r>
      <w:bookmarkEnd w:id="94"/>
    </w:p>
    <w:p w14:paraId="25505003">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95" w:name="_Toc15396627"/>
      <w:r>
        <w:rPr>
          <w:rFonts w:hint="eastAsia" w:ascii="Times New Roman" w:hAnsi="Times New Roman" w:eastAsia="仿宋_GB2312" w:cs="仿宋_GB2312"/>
          <w:color w:val="auto"/>
          <w:sz w:val="32"/>
          <w:szCs w:val="32"/>
          <w:highlight w:val="none"/>
        </w:rPr>
        <w:t>九、一般公共预算财政拨款项目支出决算表</w:t>
      </w:r>
      <w:bookmarkEnd w:id="95"/>
    </w:p>
    <w:p w14:paraId="26362D44">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96" w:name="_Toc15396628"/>
      <w:r>
        <w:rPr>
          <w:rFonts w:hint="eastAsia" w:ascii="Times New Roman" w:hAnsi="Times New Roman" w:eastAsia="仿宋_GB2312" w:cs="仿宋_GB2312"/>
          <w:color w:val="auto"/>
          <w:sz w:val="32"/>
          <w:szCs w:val="32"/>
          <w:highlight w:val="none"/>
        </w:rPr>
        <w:t>十、</w:t>
      </w:r>
      <w:bookmarkEnd w:id="96"/>
      <w:r>
        <w:rPr>
          <w:rFonts w:hint="eastAsia" w:ascii="Times New Roman" w:hAnsi="Times New Roman" w:eastAsia="仿宋_GB2312" w:cs="仿宋_GB2312"/>
          <w:color w:val="auto"/>
          <w:sz w:val="32"/>
          <w:szCs w:val="32"/>
          <w:highlight w:val="none"/>
        </w:rPr>
        <w:t>政府性基金预算财政拨款收入支出决算表</w:t>
      </w:r>
    </w:p>
    <w:p w14:paraId="7AC6FD74">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97" w:name="_Toc15396629"/>
      <w:r>
        <w:rPr>
          <w:rFonts w:hint="eastAsia" w:ascii="Times New Roman" w:hAnsi="Times New Roman" w:eastAsia="仿宋_GB2312" w:cs="仿宋_GB2312"/>
          <w:color w:val="auto"/>
          <w:sz w:val="32"/>
          <w:szCs w:val="32"/>
          <w:highlight w:val="none"/>
        </w:rPr>
        <w:t>十一、</w:t>
      </w:r>
      <w:bookmarkEnd w:id="97"/>
      <w:r>
        <w:rPr>
          <w:rFonts w:hint="eastAsia" w:ascii="Times New Roman" w:hAnsi="Times New Roman" w:eastAsia="仿宋_GB2312" w:cs="仿宋_GB2312"/>
          <w:color w:val="auto"/>
          <w:sz w:val="32"/>
          <w:szCs w:val="32"/>
          <w:highlight w:val="none"/>
        </w:rPr>
        <w:t>国有资本经营预算</w:t>
      </w:r>
      <w:r>
        <w:rPr>
          <w:rFonts w:hint="eastAsia" w:ascii="Times New Roman" w:hAnsi="Times New Roman" w:eastAsia="仿宋_GB2312" w:cs="仿宋_GB2312"/>
          <w:color w:val="auto"/>
          <w:sz w:val="32"/>
          <w:szCs w:val="32"/>
          <w:highlight w:val="none"/>
          <w:lang w:eastAsia="zh-CN"/>
        </w:rPr>
        <w:t>财政拨款收入</w:t>
      </w:r>
      <w:r>
        <w:rPr>
          <w:rFonts w:hint="eastAsia" w:ascii="Times New Roman" w:hAnsi="Times New Roman" w:eastAsia="仿宋_GB2312" w:cs="仿宋_GB2312"/>
          <w:color w:val="auto"/>
          <w:sz w:val="32"/>
          <w:szCs w:val="32"/>
          <w:highlight w:val="none"/>
        </w:rPr>
        <w:t>支出决算表</w:t>
      </w:r>
    </w:p>
    <w:p w14:paraId="2CB5AA5F">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98" w:name="_Toc15396630"/>
      <w:r>
        <w:rPr>
          <w:rFonts w:hint="eastAsia" w:ascii="Times New Roman" w:hAnsi="Times New Roman" w:eastAsia="仿宋_GB2312" w:cs="仿宋_GB2312"/>
          <w:color w:val="auto"/>
          <w:sz w:val="32"/>
          <w:szCs w:val="32"/>
          <w:highlight w:val="none"/>
        </w:rPr>
        <w:t>十二、</w:t>
      </w:r>
      <w:bookmarkEnd w:id="98"/>
      <w:r>
        <w:rPr>
          <w:rFonts w:hint="eastAsia" w:ascii="Times New Roman" w:hAnsi="Times New Roman" w:eastAsia="仿宋_GB2312" w:cs="仿宋_GB2312"/>
          <w:color w:val="auto"/>
          <w:sz w:val="32"/>
          <w:szCs w:val="32"/>
          <w:highlight w:val="none"/>
          <w:lang w:eastAsia="zh-CN"/>
        </w:rPr>
        <w:t>国有资本经营预算财政拨款支出决算表</w:t>
      </w:r>
    </w:p>
    <w:p w14:paraId="07B26F4E">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lang w:eastAsia="zh-CN"/>
        </w:rPr>
      </w:pPr>
      <w:bookmarkStart w:id="99" w:name="_Toc15396631"/>
      <w:r>
        <w:rPr>
          <w:rFonts w:hint="eastAsia" w:ascii="Times New Roman" w:hAnsi="Times New Roman" w:eastAsia="仿宋_GB2312" w:cs="仿宋_GB2312"/>
          <w:color w:val="auto"/>
          <w:sz w:val="32"/>
          <w:szCs w:val="32"/>
          <w:highlight w:val="none"/>
        </w:rPr>
        <w:t>十三、</w:t>
      </w:r>
      <w:bookmarkEnd w:id="99"/>
      <w:r>
        <w:rPr>
          <w:rFonts w:hint="eastAsia" w:ascii="Times New Roman" w:hAnsi="Times New Roman" w:eastAsia="仿宋_GB2312" w:cs="仿宋_GB2312"/>
          <w:color w:val="auto"/>
          <w:sz w:val="32"/>
          <w:szCs w:val="32"/>
          <w:highlight w:val="none"/>
          <w:lang w:eastAsia="zh-CN"/>
        </w:rPr>
        <w:t>财政拨款“三公”经费支出决算表</w:t>
      </w:r>
    </w:p>
    <w:p w14:paraId="63969D9B">
      <w:pPr>
        <w:rPr>
          <w:rFonts w:hint="eastAsia" w:ascii="Times New Roman" w:hAnsi="Times New Roman"/>
          <w:lang w:eastAsia="zh-CN"/>
        </w:rPr>
      </w:pPr>
    </w:p>
    <w:sectPr>
      <w:footerReference r:id="rId7" w:type="default"/>
      <w:pgSz w:w="11906" w:h="16838"/>
      <w:pgMar w:top="1440" w:right="1800" w:bottom="1440" w:left="1800" w:header="851" w:footer="992" w:gutter="0"/>
      <w:pgNumType w:fmt="decimal" w:start="2"/>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B1"/>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
    <w:altName w:val="Segoe Print"/>
    <w:panose1 w:val="00000000000000000000"/>
    <w:charset w:val="00"/>
    <w:family w:val="roman"/>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方正小标宋简体">
    <w:altName w:val="黑体"/>
    <w:panose1 w:val="03000509000000000000"/>
    <w:charset w:val="86"/>
    <w:family w:val="script"/>
    <w:pitch w:val="default"/>
    <w:sig w:usb0="00000000" w:usb1="00000000" w:usb2="00000000" w:usb3="00000000" w:csb0="00040000" w:csb1="00000000"/>
  </w:font>
  <w:font w:name="楷体_GB2312">
    <w:altName w:val="楷体"/>
    <w:panose1 w:val="02010609030101010101"/>
    <w:charset w:val="86"/>
    <w:family w:val="auto"/>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KSOFE44F9426">
    <w:panose1 w:val="02010609060101010101"/>
    <w:charset w:val="86"/>
    <w:family w:val="auto"/>
    <w:pitch w:val="default"/>
    <w:sig w:usb0="00000001" w:usb1="00000000" w:usb2="00000000" w:usb3="00000000" w:csb0="00040001"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3E4011">
    <w:pPr>
      <w:pStyle w:val="10"/>
      <w:jc w:val="center"/>
    </w:pPr>
  </w:p>
  <w:p w14:paraId="533140FE">
    <w:pPr>
      <w:pStyle w:val="1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34E5C8">
    <w:pPr>
      <w:pStyle w:val="10"/>
      <w:jc w:val="center"/>
    </w:pPr>
  </w:p>
  <w:p w14:paraId="19185DD3">
    <w:pPr>
      <w:pStyle w:val="1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3F6C22">
    <w:pPr>
      <w:pStyle w:val="10"/>
      <w:jc w:val="center"/>
    </w:pPr>
    <w:r>
      <w:rPr>
        <w:sz w:val="1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14" name="文本框 1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6055F8B">
                          <w:pPr>
                            <w:pStyle w:val="10"/>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MFE50yAgAAYwQAAA4AAABkcnMvZTJvRG9jLnhtbK1UzY7TMBC+I/EO&#10;lu80aYFV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QYphGxU8/vp9+&#10;Ppx+fSM4g0CNCzPE3TtExvadbRE8nAccJt5t5XX6ghGBH/IeL/KKNhKeLk0n02kOF4dv2AA/e7zu&#10;fIjvhdUkGQX1qF8nKztsQuxDh5CUzdi1VKqroTKkKejV67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IwUTnTICAABjBAAADgAAAAAAAAABACAAAAAfAQAAZHJzL2Uyb0RvYy54bWxQSwUG&#10;AAAAAAYABgBZAQAAwwUAAAAA&#10;">
              <v:fill on="f" focussize="0,0"/>
              <v:stroke on="f" weight="0.5pt"/>
              <v:imagedata o:title=""/>
              <o:lock v:ext="edit" aspectratio="f"/>
              <v:textbox inset="0mm,0mm,0mm,0mm" style="mso-fit-shape-to-text:t;">
                <w:txbxContent>
                  <w:p w14:paraId="66055F8B">
                    <w:pPr>
                      <w:pStyle w:val="10"/>
                    </w:pPr>
                    <w:r>
                      <w:fldChar w:fldCharType="begin"/>
                    </w:r>
                    <w:r>
                      <w:instrText xml:space="preserve"> PAGE  \* MERGEFORMAT </w:instrText>
                    </w:r>
                    <w:r>
                      <w:fldChar w:fldCharType="separate"/>
                    </w:r>
                    <w:r>
                      <w:t>1</w:t>
                    </w:r>
                    <w:r>
                      <w:fldChar w:fldCharType="end"/>
                    </w:r>
                  </w:p>
                </w:txbxContent>
              </v:textbox>
            </v:shape>
          </w:pict>
        </mc:Fallback>
      </mc:AlternateContent>
    </w:r>
  </w:p>
  <w:p w14:paraId="6413D6FC">
    <w:pPr>
      <w:pStyle w:val="1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F6B03D">
    <w:pPr>
      <w:pStyle w:val="10"/>
      <w:jc w:val="center"/>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288D10C">
                          <w:pPr>
                            <w:pStyle w:val="10"/>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rADh6MQIAAGMEAAAOAAAAAAAAAAEAIAAAAB8BAABkcnMvZTJvRG9jLnhtbFBLBQYA&#10;AAAABgAGAFkBAADCBQAAAAA=&#10;">
              <v:fill on="f" focussize="0,0"/>
              <v:stroke on="f" weight="0.5pt"/>
              <v:imagedata o:title=""/>
              <o:lock v:ext="edit" aspectratio="f"/>
              <v:textbox inset="0mm,0mm,0mm,0mm" style="mso-fit-shape-to-text:t;">
                <w:txbxContent>
                  <w:p w14:paraId="7288D10C">
                    <w:pPr>
                      <w:pStyle w:val="10"/>
                    </w:pPr>
                    <w:r>
                      <w:fldChar w:fldCharType="begin"/>
                    </w:r>
                    <w:r>
                      <w:instrText xml:space="preserve"> PAGE  \* MERGEFORMAT </w:instrText>
                    </w:r>
                    <w:r>
                      <w:fldChar w:fldCharType="separate"/>
                    </w:r>
                    <w:r>
                      <w:t>1</w:t>
                    </w:r>
                    <w:r>
                      <w:fldChar w:fldCharType="end"/>
                    </w:r>
                  </w:p>
                </w:txbxContent>
              </v:textbox>
            </v:shape>
          </w:pict>
        </mc:Fallback>
      </mc:AlternateContent>
    </w:r>
  </w:p>
  <w:p w14:paraId="62BB475D">
    <w:pPr>
      <w:pStyle w:val="1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C7E14E">
    <w:pPr>
      <w:pStyle w:val="11"/>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1BCB04A"/>
    <w:multiLevelType w:val="singleLevel"/>
    <w:tmpl w:val="31BCB04A"/>
    <w:lvl w:ilvl="0" w:tentative="0">
      <w:start w:val="1"/>
      <w:numFmt w:val="chineseCounting"/>
      <w:suff w:val="nothing"/>
      <w:lvlText w:val="%1、"/>
      <w:lvlJc w:val="left"/>
      <w:rPr>
        <w:rFonts w:hint="eastAsia"/>
      </w:rPr>
    </w:lvl>
  </w:abstractNum>
  <w:abstractNum w:abstractNumId="1">
    <w:nsid w:val="62621CDC"/>
    <w:multiLevelType w:val="multilevel"/>
    <w:tmpl w:val="62621CDC"/>
    <w:lvl w:ilvl="0" w:tentative="0">
      <w:start w:val="1"/>
      <w:numFmt w:val="decimal"/>
      <w:lvlText w:val="%1."/>
      <w:lvlJc w:val="left"/>
      <w:pPr>
        <w:ind w:left="1152" w:hanging="480"/>
      </w:pPr>
      <w:rPr>
        <w:rFonts w:hint="default"/>
      </w:rPr>
    </w:lvl>
    <w:lvl w:ilvl="1" w:tentative="0">
      <w:start w:val="1"/>
      <w:numFmt w:val="lowerLetter"/>
      <w:lvlText w:val="%2)"/>
      <w:lvlJc w:val="left"/>
      <w:pPr>
        <w:ind w:left="1512" w:hanging="420"/>
      </w:pPr>
    </w:lvl>
    <w:lvl w:ilvl="2" w:tentative="0">
      <w:start w:val="1"/>
      <w:numFmt w:val="lowerRoman"/>
      <w:lvlText w:val="%3."/>
      <w:lvlJc w:val="right"/>
      <w:pPr>
        <w:ind w:left="1932" w:hanging="420"/>
      </w:pPr>
    </w:lvl>
    <w:lvl w:ilvl="3" w:tentative="0">
      <w:start w:val="1"/>
      <w:numFmt w:val="decimal"/>
      <w:lvlText w:val="%4."/>
      <w:lvlJc w:val="left"/>
      <w:pPr>
        <w:ind w:left="2352" w:hanging="420"/>
      </w:pPr>
    </w:lvl>
    <w:lvl w:ilvl="4" w:tentative="0">
      <w:start w:val="1"/>
      <w:numFmt w:val="lowerLetter"/>
      <w:lvlText w:val="%5)"/>
      <w:lvlJc w:val="left"/>
      <w:pPr>
        <w:ind w:left="2772" w:hanging="420"/>
      </w:pPr>
    </w:lvl>
    <w:lvl w:ilvl="5" w:tentative="0">
      <w:start w:val="1"/>
      <w:numFmt w:val="lowerRoman"/>
      <w:lvlText w:val="%6."/>
      <w:lvlJc w:val="right"/>
      <w:pPr>
        <w:ind w:left="3192" w:hanging="420"/>
      </w:pPr>
    </w:lvl>
    <w:lvl w:ilvl="6" w:tentative="0">
      <w:start w:val="1"/>
      <w:numFmt w:val="decimal"/>
      <w:lvlText w:val="%7."/>
      <w:lvlJc w:val="left"/>
      <w:pPr>
        <w:ind w:left="3612" w:hanging="420"/>
      </w:pPr>
    </w:lvl>
    <w:lvl w:ilvl="7" w:tentative="0">
      <w:start w:val="1"/>
      <w:numFmt w:val="lowerLetter"/>
      <w:lvlText w:val="%8)"/>
      <w:lvlJc w:val="left"/>
      <w:pPr>
        <w:ind w:left="4032" w:hanging="420"/>
      </w:pPr>
    </w:lvl>
    <w:lvl w:ilvl="8" w:tentative="0">
      <w:start w:val="1"/>
      <w:numFmt w:val="lowerRoman"/>
      <w:lvlText w:val="%9."/>
      <w:lvlJc w:val="right"/>
      <w:pPr>
        <w:ind w:left="4452" w:hanging="4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361C"/>
    <w:rsid w:val="000222C6"/>
    <w:rsid w:val="0002549F"/>
    <w:rsid w:val="000468DB"/>
    <w:rsid w:val="0006487A"/>
    <w:rsid w:val="00065F8F"/>
    <w:rsid w:val="00070A43"/>
    <w:rsid w:val="000768F2"/>
    <w:rsid w:val="0009184B"/>
    <w:rsid w:val="00094236"/>
    <w:rsid w:val="0009593C"/>
    <w:rsid w:val="00097322"/>
    <w:rsid w:val="000A6A92"/>
    <w:rsid w:val="000B047F"/>
    <w:rsid w:val="000B5923"/>
    <w:rsid w:val="000B5A48"/>
    <w:rsid w:val="000B6FF3"/>
    <w:rsid w:val="000C3467"/>
    <w:rsid w:val="000C3CA6"/>
    <w:rsid w:val="000D1267"/>
    <w:rsid w:val="000D1D50"/>
    <w:rsid w:val="000D5782"/>
    <w:rsid w:val="000E6613"/>
    <w:rsid w:val="000E7119"/>
    <w:rsid w:val="00114E9B"/>
    <w:rsid w:val="00142216"/>
    <w:rsid w:val="00144D6A"/>
    <w:rsid w:val="0014729F"/>
    <w:rsid w:val="00157BAB"/>
    <w:rsid w:val="001654D1"/>
    <w:rsid w:val="00174518"/>
    <w:rsid w:val="0018106D"/>
    <w:rsid w:val="001877A7"/>
    <w:rsid w:val="00191536"/>
    <w:rsid w:val="00196687"/>
    <w:rsid w:val="001C0962"/>
    <w:rsid w:val="001D7531"/>
    <w:rsid w:val="001E737D"/>
    <w:rsid w:val="001F0592"/>
    <w:rsid w:val="001F7506"/>
    <w:rsid w:val="002006CD"/>
    <w:rsid w:val="00202B36"/>
    <w:rsid w:val="00204B7A"/>
    <w:rsid w:val="00204CDE"/>
    <w:rsid w:val="0021101A"/>
    <w:rsid w:val="00220536"/>
    <w:rsid w:val="00235629"/>
    <w:rsid w:val="00260C38"/>
    <w:rsid w:val="002616C0"/>
    <w:rsid w:val="00265372"/>
    <w:rsid w:val="002662AA"/>
    <w:rsid w:val="00280496"/>
    <w:rsid w:val="00294DC9"/>
    <w:rsid w:val="00295495"/>
    <w:rsid w:val="002A31DE"/>
    <w:rsid w:val="002B2613"/>
    <w:rsid w:val="002D6D05"/>
    <w:rsid w:val="002F1818"/>
    <w:rsid w:val="002F567B"/>
    <w:rsid w:val="003216A9"/>
    <w:rsid w:val="00335A74"/>
    <w:rsid w:val="0036561B"/>
    <w:rsid w:val="0037013F"/>
    <w:rsid w:val="00380C92"/>
    <w:rsid w:val="003A484F"/>
    <w:rsid w:val="003A4883"/>
    <w:rsid w:val="003B0BE0"/>
    <w:rsid w:val="003B0C1B"/>
    <w:rsid w:val="003B688C"/>
    <w:rsid w:val="003C0291"/>
    <w:rsid w:val="003C39AE"/>
    <w:rsid w:val="003C7B60"/>
    <w:rsid w:val="003D0C0F"/>
    <w:rsid w:val="003D1FB2"/>
    <w:rsid w:val="003D66DA"/>
    <w:rsid w:val="003E1310"/>
    <w:rsid w:val="003E6F55"/>
    <w:rsid w:val="00406254"/>
    <w:rsid w:val="004223DE"/>
    <w:rsid w:val="00434489"/>
    <w:rsid w:val="00437085"/>
    <w:rsid w:val="00443880"/>
    <w:rsid w:val="004464F4"/>
    <w:rsid w:val="00471401"/>
    <w:rsid w:val="00473F31"/>
    <w:rsid w:val="0048263A"/>
    <w:rsid w:val="00487E5D"/>
    <w:rsid w:val="004A711F"/>
    <w:rsid w:val="004B199D"/>
    <w:rsid w:val="004B4690"/>
    <w:rsid w:val="004E0A2D"/>
    <w:rsid w:val="004E206B"/>
    <w:rsid w:val="004E6DF7"/>
    <w:rsid w:val="004F0FBD"/>
    <w:rsid w:val="00505A47"/>
    <w:rsid w:val="00512FDA"/>
    <w:rsid w:val="00520DA0"/>
    <w:rsid w:val="005664BB"/>
    <w:rsid w:val="00566FFA"/>
    <w:rsid w:val="0057481D"/>
    <w:rsid w:val="0058486E"/>
    <w:rsid w:val="00585B33"/>
    <w:rsid w:val="0059014D"/>
    <w:rsid w:val="005B5C64"/>
    <w:rsid w:val="005C5337"/>
    <w:rsid w:val="005C6BD0"/>
    <w:rsid w:val="005D1C8B"/>
    <w:rsid w:val="005D468D"/>
    <w:rsid w:val="005D5CED"/>
    <w:rsid w:val="005F1A4C"/>
    <w:rsid w:val="00605688"/>
    <w:rsid w:val="006070AF"/>
    <w:rsid w:val="00607E6C"/>
    <w:rsid w:val="006101B1"/>
    <w:rsid w:val="00614E44"/>
    <w:rsid w:val="0062270A"/>
    <w:rsid w:val="00622830"/>
    <w:rsid w:val="00623DA0"/>
    <w:rsid w:val="00630AEF"/>
    <w:rsid w:val="006325F8"/>
    <w:rsid w:val="00633463"/>
    <w:rsid w:val="00634C9A"/>
    <w:rsid w:val="006440E4"/>
    <w:rsid w:val="0066343B"/>
    <w:rsid w:val="00664777"/>
    <w:rsid w:val="006748A4"/>
    <w:rsid w:val="00681A31"/>
    <w:rsid w:val="00683E73"/>
    <w:rsid w:val="006A3141"/>
    <w:rsid w:val="006A5E34"/>
    <w:rsid w:val="006B2422"/>
    <w:rsid w:val="006B2B9A"/>
    <w:rsid w:val="006C1937"/>
    <w:rsid w:val="006F020C"/>
    <w:rsid w:val="007127B7"/>
    <w:rsid w:val="0071798E"/>
    <w:rsid w:val="007416B6"/>
    <w:rsid w:val="00746F48"/>
    <w:rsid w:val="0075404D"/>
    <w:rsid w:val="0076182A"/>
    <w:rsid w:val="00767B7E"/>
    <w:rsid w:val="007770C3"/>
    <w:rsid w:val="00784D24"/>
    <w:rsid w:val="00785FBA"/>
    <w:rsid w:val="00786E4A"/>
    <w:rsid w:val="007875EB"/>
    <w:rsid w:val="0079426B"/>
    <w:rsid w:val="007D1682"/>
    <w:rsid w:val="007D312A"/>
    <w:rsid w:val="007D3F19"/>
    <w:rsid w:val="007E23B0"/>
    <w:rsid w:val="007E23E5"/>
    <w:rsid w:val="007F1991"/>
    <w:rsid w:val="007F2C2F"/>
    <w:rsid w:val="007F55FC"/>
    <w:rsid w:val="007F5665"/>
    <w:rsid w:val="00800112"/>
    <w:rsid w:val="00813348"/>
    <w:rsid w:val="008253BB"/>
    <w:rsid w:val="0083706E"/>
    <w:rsid w:val="008408F6"/>
    <w:rsid w:val="008423A5"/>
    <w:rsid w:val="00850625"/>
    <w:rsid w:val="00853718"/>
    <w:rsid w:val="00855221"/>
    <w:rsid w:val="00860645"/>
    <w:rsid w:val="00871F71"/>
    <w:rsid w:val="00872FD8"/>
    <w:rsid w:val="00885AF4"/>
    <w:rsid w:val="008939CD"/>
    <w:rsid w:val="008B768C"/>
    <w:rsid w:val="008C4DB1"/>
    <w:rsid w:val="008C4EAF"/>
    <w:rsid w:val="008C5176"/>
    <w:rsid w:val="008C7FD0"/>
    <w:rsid w:val="008E1DE7"/>
    <w:rsid w:val="008E707C"/>
    <w:rsid w:val="00900B08"/>
    <w:rsid w:val="00902155"/>
    <w:rsid w:val="00902FA3"/>
    <w:rsid w:val="00923564"/>
    <w:rsid w:val="0092392E"/>
    <w:rsid w:val="009315F9"/>
    <w:rsid w:val="00933499"/>
    <w:rsid w:val="00935C98"/>
    <w:rsid w:val="00946945"/>
    <w:rsid w:val="00951248"/>
    <w:rsid w:val="0095152F"/>
    <w:rsid w:val="00954C49"/>
    <w:rsid w:val="00955E37"/>
    <w:rsid w:val="0097099F"/>
    <w:rsid w:val="00971997"/>
    <w:rsid w:val="00971FFC"/>
    <w:rsid w:val="0098660A"/>
    <w:rsid w:val="009931C3"/>
    <w:rsid w:val="009B2C43"/>
    <w:rsid w:val="009B4EAE"/>
    <w:rsid w:val="009B7573"/>
    <w:rsid w:val="009C22F4"/>
    <w:rsid w:val="009C2A4B"/>
    <w:rsid w:val="009C2E98"/>
    <w:rsid w:val="009D3447"/>
    <w:rsid w:val="009D4711"/>
    <w:rsid w:val="009F1185"/>
    <w:rsid w:val="009F18CD"/>
    <w:rsid w:val="009F2A13"/>
    <w:rsid w:val="009F7527"/>
    <w:rsid w:val="00A04EB0"/>
    <w:rsid w:val="00A13CC1"/>
    <w:rsid w:val="00A16847"/>
    <w:rsid w:val="00A237D8"/>
    <w:rsid w:val="00A268C4"/>
    <w:rsid w:val="00A307CD"/>
    <w:rsid w:val="00A331C8"/>
    <w:rsid w:val="00A40A00"/>
    <w:rsid w:val="00A4142F"/>
    <w:rsid w:val="00A422EB"/>
    <w:rsid w:val="00A45BB7"/>
    <w:rsid w:val="00A56DF2"/>
    <w:rsid w:val="00A56E6E"/>
    <w:rsid w:val="00A67AB5"/>
    <w:rsid w:val="00A733B2"/>
    <w:rsid w:val="00A741C2"/>
    <w:rsid w:val="00A91760"/>
    <w:rsid w:val="00A93B00"/>
    <w:rsid w:val="00A93C21"/>
    <w:rsid w:val="00AB64C9"/>
    <w:rsid w:val="00AC3C6A"/>
    <w:rsid w:val="00AD5620"/>
    <w:rsid w:val="00AD656B"/>
    <w:rsid w:val="00AD7C1B"/>
    <w:rsid w:val="00AE16BA"/>
    <w:rsid w:val="00AE1EBE"/>
    <w:rsid w:val="00B03C9D"/>
    <w:rsid w:val="00B060AE"/>
    <w:rsid w:val="00B10517"/>
    <w:rsid w:val="00B14E76"/>
    <w:rsid w:val="00B161B8"/>
    <w:rsid w:val="00B2048C"/>
    <w:rsid w:val="00B310B9"/>
    <w:rsid w:val="00B35F3F"/>
    <w:rsid w:val="00B36CBB"/>
    <w:rsid w:val="00B425E0"/>
    <w:rsid w:val="00B440AA"/>
    <w:rsid w:val="00B44B70"/>
    <w:rsid w:val="00B53C56"/>
    <w:rsid w:val="00B57DAF"/>
    <w:rsid w:val="00B77EA6"/>
    <w:rsid w:val="00B81598"/>
    <w:rsid w:val="00B841F1"/>
    <w:rsid w:val="00B944D6"/>
    <w:rsid w:val="00BB4DF0"/>
    <w:rsid w:val="00BC289F"/>
    <w:rsid w:val="00BC2D50"/>
    <w:rsid w:val="00BC5361"/>
    <w:rsid w:val="00BC5460"/>
    <w:rsid w:val="00BC6B50"/>
    <w:rsid w:val="00BD0E25"/>
    <w:rsid w:val="00BF5BD6"/>
    <w:rsid w:val="00C03E31"/>
    <w:rsid w:val="00C33E72"/>
    <w:rsid w:val="00C354B2"/>
    <w:rsid w:val="00C35554"/>
    <w:rsid w:val="00C42709"/>
    <w:rsid w:val="00C533CC"/>
    <w:rsid w:val="00C5751C"/>
    <w:rsid w:val="00C61BFC"/>
    <w:rsid w:val="00C62B85"/>
    <w:rsid w:val="00C65438"/>
    <w:rsid w:val="00C87FD8"/>
    <w:rsid w:val="00C91381"/>
    <w:rsid w:val="00C91CBB"/>
    <w:rsid w:val="00CB4E70"/>
    <w:rsid w:val="00CC09B6"/>
    <w:rsid w:val="00CC666F"/>
    <w:rsid w:val="00CD1E3F"/>
    <w:rsid w:val="00CE44F6"/>
    <w:rsid w:val="00CE49DA"/>
    <w:rsid w:val="00CE7B61"/>
    <w:rsid w:val="00D00095"/>
    <w:rsid w:val="00D114F0"/>
    <w:rsid w:val="00D20620"/>
    <w:rsid w:val="00D254F7"/>
    <w:rsid w:val="00D26091"/>
    <w:rsid w:val="00D2685C"/>
    <w:rsid w:val="00D34E7C"/>
    <w:rsid w:val="00D35489"/>
    <w:rsid w:val="00D36AFE"/>
    <w:rsid w:val="00D51276"/>
    <w:rsid w:val="00D7035F"/>
    <w:rsid w:val="00DA634F"/>
    <w:rsid w:val="00DA65AC"/>
    <w:rsid w:val="00DB1913"/>
    <w:rsid w:val="00DC410D"/>
    <w:rsid w:val="00DC5A81"/>
    <w:rsid w:val="00DC68CA"/>
    <w:rsid w:val="00DC7CBA"/>
    <w:rsid w:val="00DD73B7"/>
    <w:rsid w:val="00DF28BC"/>
    <w:rsid w:val="00DF34B9"/>
    <w:rsid w:val="00E01053"/>
    <w:rsid w:val="00E07ACF"/>
    <w:rsid w:val="00E331A1"/>
    <w:rsid w:val="00E33202"/>
    <w:rsid w:val="00E336A9"/>
    <w:rsid w:val="00E472B1"/>
    <w:rsid w:val="00E50624"/>
    <w:rsid w:val="00E54633"/>
    <w:rsid w:val="00E568DF"/>
    <w:rsid w:val="00E64269"/>
    <w:rsid w:val="00E82267"/>
    <w:rsid w:val="00E853CE"/>
    <w:rsid w:val="00E867B6"/>
    <w:rsid w:val="00EA010F"/>
    <w:rsid w:val="00ED1B63"/>
    <w:rsid w:val="00ED3C1F"/>
    <w:rsid w:val="00ED4085"/>
    <w:rsid w:val="00ED420E"/>
    <w:rsid w:val="00ED6FBE"/>
    <w:rsid w:val="00EE2F57"/>
    <w:rsid w:val="00EF4C34"/>
    <w:rsid w:val="00EF77C6"/>
    <w:rsid w:val="00F05438"/>
    <w:rsid w:val="00F1361C"/>
    <w:rsid w:val="00F156F0"/>
    <w:rsid w:val="00F160C7"/>
    <w:rsid w:val="00F2408F"/>
    <w:rsid w:val="00F240E9"/>
    <w:rsid w:val="00F36D8F"/>
    <w:rsid w:val="00F417B1"/>
    <w:rsid w:val="00F45853"/>
    <w:rsid w:val="00F602DF"/>
    <w:rsid w:val="00F754A1"/>
    <w:rsid w:val="00F81FD9"/>
    <w:rsid w:val="00F841AA"/>
    <w:rsid w:val="00F84A94"/>
    <w:rsid w:val="00F87E96"/>
    <w:rsid w:val="00FA23E8"/>
    <w:rsid w:val="00FD3CC1"/>
    <w:rsid w:val="00FF1E02"/>
    <w:rsid w:val="00FF30B4"/>
    <w:rsid w:val="015975B8"/>
    <w:rsid w:val="02317B1B"/>
    <w:rsid w:val="02FEBE30"/>
    <w:rsid w:val="061E35DE"/>
    <w:rsid w:val="066E0107"/>
    <w:rsid w:val="07996F6E"/>
    <w:rsid w:val="07DFD8BA"/>
    <w:rsid w:val="08DB07E4"/>
    <w:rsid w:val="09867E8F"/>
    <w:rsid w:val="0A2032A3"/>
    <w:rsid w:val="0C6C4794"/>
    <w:rsid w:val="0CA8290A"/>
    <w:rsid w:val="0D35B1ED"/>
    <w:rsid w:val="0DE07E2B"/>
    <w:rsid w:val="0F98263C"/>
    <w:rsid w:val="101860EC"/>
    <w:rsid w:val="10C055FF"/>
    <w:rsid w:val="11772AA4"/>
    <w:rsid w:val="118107EC"/>
    <w:rsid w:val="13D50BC4"/>
    <w:rsid w:val="14022904"/>
    <w:rsid w:val="152F2A07"/>
    <w:rsid w:val="165E0673"/>
    <w:rsid w:val="16BB723D"/>
    <w:rsid w:val="186504BB"/>
    <w:rsid w:val="1938089F"/>
    <w:rsid w:val="19A445FC"/>
    <w:rsid w:val="1B7D550C"/>
    <w:rsid w:val="1BE8440E"/>
    <w:rsid w:val="1D155CEE"/>
    <w:rsid w:val="1D2C3119"/>
    <w:rsid w:val="1E740ACF"/>
    <w:rsid w:val="1F62156A"/>
    <w:rsid w:val="1FF35744"/>
    <w:rsid w:val="1FF6BC77"/>
    <w:rsid w:val="21962A9E"/>
    <w:rsid w:val="21AE7C77"/>
    <w:rsid w:val="22BC3C41"/>
    <w:rsid w:val="23860B96"/>
    <w:rsid w:val="240371BF"/>
    <w:rsid w:val="260F557C"/>
    <w:rsid w:val="281408E2"/>
    <w:rsid w:val="29FD04D3"/>
    <w:rsid w:val="2BFF7BC6"/>
    <w:rsid w:val="2C8A61B5"/>
    <w:rsid w:val="2D2E01CF"/>
    <w:rsid w:val="2DF04E50"/>
    <w:rsid w:val="2E9545B0"/>
    <w:rsid w:val="2F040D46"/>
    <w:rsid w:val="2FAE5751"/>
    <w:rsid w:val="2FB1A395"/>
    <w:rsid w:val="2FD9A7D8"/>
    <w:rsid w:val="319F7F4E"/>
    <w:rsid w:val="321B2544"/>
    <w:rsid w:val="3304709D"/>
    <w:rsid w:val="34281836"/>
    <w:rsid w:val="349D6851"/>
    <w:rsid w:val="35BA6CAF"/>
    <w:rsid w:val="364D14C1"/>
    <w:rsid w:val="36AA5135"/>
    <w:rsid w:val="36BE0DA7"/>
    <w:rsid w:val="376B6AA6"/>
    <w:rsid w:val="376D39B2"/>
    <w:rsid w:val="37E16F03"/>
    <w:rsid w:val="37F53A3B"/>
    <w:rsid w:val="389B6C89"/>
    <w:rsid w:val="38D469F0"/>
    <w:rsid w:val="39627CCD"/>
    <w:rsid w:val="397BAF1F"/>
    <w:rsid w:val="3AB79AF3"/>
    <w:rsid w:val="3B7EF35A"/>
    <w:rsid w:val="3B9FDB6C"/>
    <w:rsid w:val="3BF5BC2F"/>
    <w:rsid w:val="3CEBA265"/>
    <w:rsid w:val="3D98207C"/>
    <w:rsid w:val="3D9B0D99"/>
    <w:rsid w:val="3DEE7CF3"/>
    <w:rsid w:val="3DF02244"/>
    <w:rsid w:val="3E78745D"/>
    <w:rsid w:val="3FB63FDA"/>
    <w:rsid w:val="3FF4CAE0"/>
    <w:rsid w:val="3FF7B227"/>
    <w:rsid w:val="40E54C45"/>
    <w:rsid w:val="43A407DF"/>
    <w:rsid w:val="44515BEA"/>
    <w:rsid w:val="44E268DA"/>
    <w:rsid w:val="453F7E5B"/>
    <w:rsid w:val="486A6C7A"/>
    <w:rsid w:val="49176D9B"/>
    <w:rsid w:val="4A627F82"/>
    <w:rsid w:val="4B0E749A"/>
    <w:rsid w:val="4B4F25DA"/>
    <w:rsid w:val="4BDA0CFB"/>
    <w:rsid w:val="4BE068DB"/>
    <w:rsid w:val="4D3C0CCC"/>
    <w:rsid w:val="4D577224"/>
    <w:rsid w:val="4DBF1CEB"/>
    <w:rsid w:val="4DCE002E"/>
    <w:rsid w:val="4EAB630A"/>
    <w:rsid w:val="4ECE2238"/>
    <w:rsid w:val="4F833267"/>
    <w:rsid w:val="4FE9BD67"/>
    <w:rsid w:val="4FFB052F"/>
    <w:rsid w:val="53083A92"/>
    <w:rsid w:val="537E6D0A"/>
    <w:rsid w:val="53AF27A2"/>
    <w:rsid w:val="53F74C96"/>
    <w:rsid w:val="56073ED8"/>
    <w:rsid w:val="56E47B74"/>
    <w:rsid w:val="57BD3DD4"/>
    <w:rsid w:val="5AF92295"/>
    <w:rsid w:val="5BDD79E6"/>
    <w:rsid w:val="5BF561CA"/>
    <w:rsid w:val="5BFF5DFC"/>
    <w:rsid w:val="5CD71FC4"/>
    <w:rsid w:val="5D1F11B5"/>
    <w:rsid w:val="5DAE1B18"/>
    <w:rsid w:val="5DE7D9E5"/>
    <w:rsid w:val="5ECEC941"/>
    <w:rsid w:val="5F493CB7"/>
    <w:rsid w:val="5FBF9FF3"/>
    <w:rsid w:val="5FCD4E2C"/>
    <w:rsid w:val="5FD15F49"/>
    <w:rsid w:val="5FEB5BEE"/>
    <w:rsid w:val="5FEF394A"/>
    <w:rsid w:val="5FF67715"/>
    <w:rsid w:val="62BF3928"/>
    <w:rsid w:val="647F5392"/>
    <w:rsid w:val="65C32AD3"/>
    <w:rsid w:val="65CA5427"/>
    <w:rsid w:val="664B1D71"/>
    <w:rsid w:val="67AA3209"/>
    <w:rsid w:val="681C4F0D"/>
    <w:rsid w:val="69046D0F"/>
    <w:rsid w:val="698D0931"/>
    <w:rsid w:val="6A993CED"/>
    <w:rsid w:val="6B053271"/>
    <w:rsid w:val="6BCE6674"/>
    <w:rsid w:val="6C4A05C8"/>
    <w:rsid w:val="6C8742B8"/>
    <w:rsid w:val="6C8A170F"/>
    <w:rsid w:val="6CB54609"/>
    <w:rsid w:val="6DBF5E93"/>
    <w:rsid w:val="6DFF077E"/>
    <w:rsid w:val="6E7E3605"/>
    <w:rsid w:val="6E7FDCC7"/>
    <w:rsid w:val="6ED6A62E"/>
    <w:rsid w:val="6EE00B15"/>
    <w:rsid w:val="6F544B20"/>
    <w:rsid w:val="6F6FB3EB"/>
    <w:rsid w:val="6F784160"/>
    <w:rsid w:val="6F8731EA"/>
    <w:rsid w:val="6FCE6052"/>
    <w:rsid w:val="6FD57C00"/>
    <w:rsid w:val="6FEFFFD8"/>
    <w:rsid w:val="6FF5CC65"/>
    <w:rsid w:val="6FFB47EC"/>
    <w:rsid w:val="6FFF034A"/>
    <w:rsid w:val="70496804"/>
    <w:rsid w:val="712A28F1"/>
    <w:rsid w:val="715C0E4B"/>
    <w:rsid w:val="72233669"/>
    <w:rsid w:val="72734D90"/>
    <w:rsid w:val="7332FE48"/>
    <w:rsid w:val="73AB61DA"/>
    <w:rsid w:val="73AD73D5"/>
    <w:rsid w:val="73B6EB34"/>
    <w:rsid w:val="73FA497D"/>
    <w:rsid w:val="744731E5"/>
    <w:rsid w:val="74527205"/>
    <w:rsid w:val="74BBD01D"/>
    <w:rsid w:val="74ED5379"/>
    <w:rsid w:val="74FC2395"/>
    <w:rsid w:val="75DEEEC2"/>
    <w:rsid w:val="76E3355F"/>
    <w:rsid w:val="76FF5125"/>
    <w:rsid w:val="776F6FFA"/>
    <w:rsid w:val="778769C8"/>
    <w:rsid w:val="77DC22F5"/>
    <w:rsid w:val="78992647"/>
    <w:rsid w:val="79086DAD"/>
    <w:rsid w:val="79974F09"/>
    <w:rsid w:val="79D7FD79"/>
    <w:rsid w:val="79EE5BA4"/>
    <w:rsid w:val="7A894339"/>
    <w:rsid w:val="7AFF7572"/>
    <w:rsid w:val="7B6C7DFB"/>
    <w:rsid w:val="7BBFBED0"/>
    <w:rsid w:val="7BC3E394"/>
    <w:rsid w:val="7C1F3737"/>
    <w:rsid w:val="7CBFC87B"/>
    <w:rsid w:val="7CFE0F48"/>
    <w:rsid w:val="7D7EC23E"/>
    <w:rsid w:val="7D916348"/>
    <w:rsid w:val="7E8ADEBF"/>
    <w:rsid w:val="7EEF11D3"/>
    <w:rsid w:val="7F0971A6"/>
    <w:rsid w:val="7F3F679B"/>
    <w:rsid w:val="7F4FC4EF"/>
    <w:rsid w:val="7F5E4D54"/>
    <w:rsid w:val="7F6E0135"/>
    <w:rsid w:val="7F954DBA"/>
    <w:rsid w:val="7FA30C79"/>
    <w:rsid w:val="7FAF8ABF"/>
    <w:rsid w:val="7FB7269E"/>
    <w:rsid w:val="7FC96657"/>
    <w:rsid w:val="7FDA9588"/>
    <w:rsid w:val="7FDF220F"/>
    <w:rsid w:val="7FEDC5F7"/>
    <w:rsid w:val="7FEDD9DE"/>
    <w:rsid w:val="7FF5890D"/>
    <w:rsid w:val="7FF93490"/>
    <w:rsid w:val="99FF2014"/>
    <w:rsid w:val="A6DD0D7F"/>
    <w:rsid w:val="ADC6F725"/>
    <w:rsid w:val="B7CF06AB"/>
    <w:rsid w:val="B7CFA926"/>
    <w:rsid w:val="B7F8786B"/>
    <w:rsid w:val="BABB6AA1"/>
    <w:rsid w:val="BB2F4199"/>
    <w:rsid w:val="BD079C78"/>
    <w:rsid w:val="BD733540"/>
    <w:rsid w:val="BF3735D5"/>
    <w:rsid w:val="BF7F09AC"/>
    <w:rsid w:val="BFD475C3"/>
    <w:rsid w:val="BFDE5EA6"/>
    <w:rsid w:val="CF6FC6F3"/>
    <w:rsid w:val="CFD3D3D7"/>
    <w:rsid w:val="CFDF1009"/>
    <w:rsid w:val="D7D7B16A"/>
    <w:rsid w:val="D8D6DB89"/>
    <w:rsid w:val="DB6F4CAB"/>
    <w:rsid w:val="DB777682"/>
    <w:rsid w:val="DD1FB521"/>
    <w:rsid w:val="DEFBFEAE"/>
    <w:rsid w:val="DF1F3B80"/>
    <w:rsid w:val="DF6F9789"/>
    <w:rsid w:val="DFFFA9E8"/>
    <w:rsid w:val="E5F4E9DC"/>
    <w:rsid w:val="E70FE695"/>
    <w:rsid w:val="ECFED1BC"/>
    <w:rsid w:val="ED1D69BB"/>
    <w:rsid w:val="ED7FD312"/>
    <w:rsid w:val="EF53993F"/>
    <w:rsid w:val="EF6FD633"/>
    <w:rsid w:val="EFBFB2F4"/>
    <w:rsid w:val="EFBFFA21"/>
    <w:rsid w:val="F2BEBCB8"/>
    <w:rsid w:val="F36FB518"/>
    <w:rsid w:val="F3DE1A04"/>
    <w:rsid w:val="F3F722E5"/>
    <w:rsid w:val="FA5F1E70"/>
    <w:rsid w:val="FA5FDB97"/>
    <w:rsid w:val="FB7F486A"/>
    <w:rsid w:val="FBFF5B2E"/>
    <w:rsid w:val="FD7FFE2B"/>
    <w:rsid w:val="FDEE196B"/>
    <w:rsid w:val="FDFE6575"/>
    <w:rsid w:val="FEDFDDC2"/>
    <w:rsid w:val="FEED32F6"/>
    <w:rsid w:val="FEF781DD"/>
    <w:rsid w:val="FF3F7E3F"/>
    <w:rsid w:val="FFBA12D7"/>
    <w:rsid w:val="FFDFFAEE"/>
    <w:rsid w:val="FFF9B57B"/>
    <w:rsid w:val="FFFD61D9"/>
    <w:rsid w:val="FFFD8F59"/>
    <w:rsid w:val="FFFF2BB1"/>
    <w:rsid w:val="FFFFB04D"/>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29"/>
    <w:qFormat/>
    <w:uiPriority w:val="9"/>
    <w:pPr>
      <w:keepNext/>
      <w:keepLines/>
      <w:spacing w:before="340" w:after="330" w:line="578" w:lineRule="auto"/>
      <w:outlineLvl w:val="0"/>
    </w:pPr>
    <w:rPr>
      <w:b/>
      <w:bCs/>
      <w:kern w:val="44"/>
      <w:sz w:val="44"/>
      <w:szCs w:val="44"/>
    </w:rPr>
  </w:style>
  <w:style w:type="paragraph" w:styleId="3">
    <w:name w:val="heading 2"/>
    <w:basedOn w:val="1"/>
    <w:next w:val="1"/>
    <w:link w:val="30"/>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4">
    <w:name w:val="heading 3"/>
    <w:basedOn w:val="1"/>
    <w:next w:val="1"/>
    <w:link w:val="33"/>
    <w:unhideWhenUsed/>
    <w:qFormat/>
    <w:uiPriority w:val="9"/>
    <w:pPr>
      <w:keepNext/>
      <w:keepLines/>
      <w:spacing w:before="260" w:after="260" w:line="416" w:lineRule="auto"/>
      <w:outlineLvl w:val="2"/>
    </w:pPr>
    <w:rPr>
      <w:b/>
      <w:bCs/>
      <w:sz w:val="32"/>
      <w:szCs w:val="32"/>
    </w:rPr>
  </w:style>
  <w:style w:type="character" w:default="1" w:styleId="17">
    <w:name w:val="Default Paragraph Font"/>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5">
    <w:name w:val="Body Text"/>
    <w:basedOn w:val="1"/>
    <w:link w:val="26"/>
    <w:qFormat/>
    <w:uiPriority w:val="99"/>
    <w:pPr>
      <w:spacing w:beforeLines="30"/>
    </w:pPr>
    <w:rPr>
      <w:rFonts w:ascii="仿宋_GB2312" w:eastAsia="仿宋_GB2312"/>
      <w:kern w:val="0"/>
      <w:sz w:val="30"/>
    </w:rPr>
  </w:style>
  <w:style w:type="paragraph" w:styleId="6">
    <w:name w:val="Body Text Indent"/>
    <w:basedOn w:val="1"/>
    <w:next w:val="7"/>
    <w:qFormat/>
    <w:uiPriority w:val="0"/>
    <w:pPr>
      <w:spacing w:after="120"/>
      <w:ind w:leftChars="200"/>
    </w:pPr>
    <w:rPr>
      <w:rFonts w:ascii="仿宋_GB2312"/>
      <w:szCs w:val="32"/>
    </w:rPr>
  </w:style>
  <w:style w:type="paragraph" w:styleId="7">
    <w:name w:val="Body Text First Indent 2"/>
    <w:basedOn w:val="6"/>
    <w:unhideWhenUsed/>
    <w:qFormat/>
    <w:uiPriority w:val="99"/>
    <w:pPr>
      <w:ind w:firstLine="420" w:firstLineChars="200"/>
    </w:pPr>
  </w:style>
  <w:style w:type="paragraph" w:styleId="8">
    <w:name w:val="toc 3"/>
    <w:basedOn w:val="1"/>
    <w:next w:val="1"/>
    <w:unhideWhenUsed/>
    <w:qFormat/>
    <w:uiPriority w:val="39"/>
    <w:pPr>
      <w:tabs>
        <w:tab w:val="right" w:leader="dot" w:pos="8296"/>
      </w:tabs>
      <w:ind w:left="840" w:leftChars="400"/>
    </w:pPr>
  </w:style>
  <w:style w:type="paragraph" w:styleId="9">
    <w:name w:val="Balloon Text"/>
    <w:basedOn w:val="1"/>
    <w:link w:val="32"/>
    <w:semiHidden/>
    <w:unhideWhenUsed/>
    <w:qFormat/>
    <w:uiPriority w:val="99"/>
    <w:rPr>
      <w:sz w:val="18"/>
      <w:szCs w:val="18"/>
    </w:rPr>
  </w:style>
  <w:style w:type="paragraph" w:styleId="10">
    <w:name w:val="footer"/>
    <w:basedOn w:val="1"/>
    <w:link w:val="24"/>
    <w:qFormat/>
    <w:uiPriority w:val="99"/>
    <w:pPr>
      <w:tabs>
        <w:tab w:val="center" w:pos="4153"/>
        <w:tab w:val="right" w:pos="8306"/>
      </w:tabs>
      <w:snapToGrid w:val="0"/>
      <w:jc w:val="left"/>
    </w:pPr>
    <w:rPr>
      <w:rFonts w:ascii="Calibri" w:hAnsi="Calibri"/>
      <w:kern w:val="0"/>
      <w:sz w:val="18"/>
      <w:szCs w:val="18"/>
    </w:rPr>
  </w:style>
  <w:style w:type="paragraph" w:styleId="11">
    <w:name w:val="header"/>
    <w:basedOn w:val="1"/>
    <w:link w:val="22"/>
    <w:semiHidden/>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2">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13">
    <w:name w:val="footnote text"/>
    <w:basedOn w:val="1"/>
    <w:next w:val="7"/>
    <w:semiHidden/>
    <w:qFormat/>
    <w:uiPriority w:val="0"/>
    <w:pPr>
      <w:snapToGrid w:val="0"/>
      <w:jc w:val="left"/>
    </w:pPr>
    <w:rPr>
      <w:sz w:val="18"/>
      <w:szCs w:val="18"/>
    </w:rPr>
  </w:style>
  <w:style w:type="paragraph" w:styleId="14">
    <w:name w:val="toc 2"/>
    <w:basedOn w:val="1"/>
    <w:next w:val="1"/>
    <w:unhideWhenUsed/>
    <w:qFormat/>
    <w:uiPriority w:val="39"/>
    <w:pPr>
      <w:tabs>
        <w:tab w:val="right" w:leader="dot" w:pos="8296"/>
      </w:tabs>
      <w:ind w:left="420" w:leftChars="200"/>
    </w:pPr>
  </w:style>
  <w:style w:type="paragraph" w:styleId="15">
    <w:name w:val="Normal (Web)"/>
    <w:basedOn w:val="1"/>
    <w:qFormat/>
    <w:uiPriority w:val="0"/>
    <w:pPr>
      <w:spacing w:before="100" w:beforeAutospacing="1" w:after="100" w:afterAutospacing="1"/>
      <w:ind w:left="0" w:right="0"/>
      <w:jc w:val="left"/>
    </w:pPr>
    <w:rPr>
      <w:kern w:val="0"/>
      <w:sz w:val="24"/>
      <w:lang w:val="en-US" w:eastAsia="zh-CN" w:bidi="ar"/>
    </w:rPr>
  </w:style>
  <w:style w:type="character" w:styleId="18">
    <w:name w:val="Strong"/>
    <w:basedOn w:val="17"/>
    <w:qFormat/>
    <w:uiPriority w:val="99"/>
    <w:rPr>
      <w:b/>
    </w:rPr>
  </w:style>
  <w:style w:type="character" w:styleId="19">
    <w:name w:val="Hyperlink"/>
    <w:basedOn w:val="17"/>
    <w:unhideWhenUsed/>
    <w:qFormat/>
    <w:uiPriority w:val="99"/>
    <w:rPr>
      <w:color w:val="0000FF" w:themeColor="hyperlink"/>
      <w:u w:val="single"/>
      <w14:textFill>
        <w14:solidFill>
          <w14:schemeClr w14:val="hlink"/>
        </w14:solidFill>
      </w14:textFill>
    </w:rPr>
  </w:style>
  <w:style w:type="paragraph" w:customStyle="1" w:styleId="20">
    <w:name w:val="标题 5（有编号）（绿盟科技）"/>
    <w:next w:val="1"/>
    <w:qFormat/>
    <w:uiPriority w:val="99"/>
    <w:pPr>
      <w:keepNext/>
      <w:keepLines/>
      <w:widowControl w:val="0"/>
      <w:spacing w:before="280" w:after="156" w:line="377" w:lineRule="auto"/>
      <w:jc w:val="left"/>
      <w:outlineLvl w:val="4"/>
    </w:pPr>
    <w:rPr>
      <w:rFonts w:ascii="Arial" w:hAnsi="Arial" w:eastAsia="黑体" w:cs="Times New Roman"/>
      <w:b/>
      <w:kern w:val="2"/>
      <w:sz w:val="24"/>
      <w:szCs w:val="28"/>
      <w:lang w:val="en-US" w:eastAsia="zh-CN" w:bidi="ar-SA"/>
    </w:rPr>
  </w:style>
  <w:style w:type="character" w:customStyle="1" w:styleId="21">
    <w:name w:val="Header Char"/>
    <w:basedOn w:val="17"/>
    <w:semiHidden/>
    <w:qFormat/>
    <w:uiPriority w:val="99"/>
    <w:rPr>
      <w:rFonts w:ascii="Times New Roman" w:hAnsi="Times New Roman"/>
      <w:sz w:val="18"/>
      <w:szCs w:val="18"/>
    </w:rPr>
  </w:style>
  <w:style w:type="character" w:customStyle="1" w:styleId="22">
    <w:name w:val="页眉 Char"/>
    <w:link w:val="11"/>
    <w:semiHidden/>
    <w:qFormat/>
    <w:locked/>
    <w:uiPriority w:val="99"/>
    <w:rPr>
      <w:sz w:val="18"/>
    </w:rPr>
  </w:style>
  <w:style w:type="character" w:customStyle="1" w:styleId="23">
    <w:name w:val="Footer Char"/>
    <w:basedOn w:val="17"/>
    <w:semiHidden/>
    <w:qFormat/>
    <w:uiPriority w:val="99"/>
    <w:rPr>
      <w:rFonts w:ascii="Times New Roman" w:hAnsi="Times New Roman"/>
      <w:sz w:val="18"/>
      <w:szCs w:val="18"/>
    </w:rPr>
  </w:style>
  <w:style w:type="character" w:customStyle="1" w:styleId="24">
    <w:name w:val="页脚 Char"/>
    <w:link w:val="10"/>
    <w:qFormat/>
    <w:locked/>
    <w:uiPriority w:val="99"/>
    <w:rPr>
      <w:sz w:val="18"/>
    </w:rPr>
  </w:style>
  <w:style w:type="character" w:customStyle="1" w:styleId="25">
    <w:name w:val="Body Text Char"/>
    <w:basedOn w:val="17"/>
    <w:semiHidden/>
    <w:qFormat/>
    <w:uiPriority w:val="99"/>
    <w:rPr>
      <w:rFonts w:ascii="Times New Roman" w:hAnsi="Times New Roman"/>
      <w:szCs w:val="24"/>
    </w:rPr>
  </w:style>
  <w:style w:type="character" w:customStyle="1" w:styleId="26">
    <w:name w:val="正文文本 Char"/>
    <w:link w:val="5"/>
    <w:qFormat/>
    <w:locked/>
    <w:uiPriority w:val="99"/>
    <w:rPr>
      <w:rFonts w:ascii="仿宋_GB2312" w:hAnsi="Times New Roman" w:eastAsia="仿宋_GB2312"/>
      <w:sz w:val="24"/>
    </w:rPr>
  </w:style>
  <w:style w:type="paragraph" w:customStyle="1" w:styleId="27">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styleId="28">
    <w:name w:val="List Paragraph"/>
    <w:basedOn w:val="1"/>
    <w:qFormat/>
    <w:uiPriority w:val="34"/>
    <w:pPr>
      <w:ind w:firstLine="420" w:firstLineChars="200"/>
    </w:pPr>
  </w:style>
  <w:style w:type="character" w:customStyle="1" w:styleId="29">
    <w:name w:val="标题 1 Char"/>
    <w:basedOn w:val="17"/>
    <w:link w:val="2"/>
    <w:qFormat/>
    <w:uiPriority w:val="9"/>
    <w:rPr>
      <w:rFonts w:ascii="Times New Roman" w:hAnsi="Times New Roman"/>
      <w:b/>
      <w:bCs/>
      <w:kern w:val="44"/>
      <w:sz w:val="44"/>
      <w:szCs w:val="44"/>
    </w:rPr>
  </w:style>
  <w:style w:type="character" w:customStyle="1" w:styleId="30">
    <w:name w:val="标题 2 Char"/>
    <w:basedOn w:val="17"/>
    <w:link w:val="3"/>
    <w:qFormat/>
    <w:uiPriority w:val="9"/>
    <w:rPr>
      <w:rFonts w:asciiTheme="majorHAnsi" w:hAnsiTheme="majorHAnsi" w:eastAsiaTheme="majorEastAsia" w:cstheme="majorBidi"/>
      <w:b/>
      <w:bCs/>
      <w:kern w:val="2"/>
      <w:sz w:val="32"/>
      <w:szCs w:val="32"/>
    </w:rPr>
  </w:style>
  <w:style w:type="paragraph" w:customStyle="1" w:styleId="31">
    <w:name w:val="TOC 标题1"/>
    <w:basedOn w:val="2"/>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32">
    <w:name w:val="批注框文本 Char"/>
    <w:basedOn w:val="17"/>
    <w:link w:val="9"/>
    <w:semiHidden/>
    <w:qFormat/>
    <w:uiPriority w:val="99"/>
    <w:rPr>
      <w:rFonts w:ascii="Times New Roman" w:hAnsi="Times New Roman"/>
      <w:kern w:val="2"/>
      <w:sz w:val="18"/>
      <w:szCs w:val="18"/>
    </w:rPr>
  </w:style>
  <w:style w:type="character" w:customStyle="1" w:styleId="33">
    <w:name w:val="标题 3 Char"/>
    <w:basedOn w:val="17"/>
    <w:link w:val="4"/>
    <w:qFormat/>
    <w:uiPriority w:val="9"/>
    <w:rPr>
      <w:rFonts w:ascii="Times New Roman" w:hAnsi="Times New Roman"/>
      <w:b/>
      <w:bCs/>
      <w:kern w:val="2"/>
      <w:sz w:val="32"/>
      <w:szCs w:val="32"/>
    </w:rPr>
  </w:style>
  <w:style w:type="paragraph" w:customStyle="1" w:styleId="34">
    <w:name w:val="TOC Heading"/>
    <w:basedOn w:val="2"/>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paragraph" w:customStyle="1" w:styleId="35">
    <w:name w:val="四号正文"/>
    <w:basedOn w:val="1"/>
    <w:qFormat/>
    <w:uiPriority w:val="0"/>
    <w:pPr>
      <w:spacing w:line="360" w:lineRule="auto"/>
    </w:pPr>
    <w:rPr>
      <w:rFonts w:ascii="??" w:hAnsi="??" w:eastAsia="宋体"/>
      <w:color w:val="000000"/>
      <w:kern w:val="0"/>
      <w:sz w:val="28"/>
      <w:szCs w:val="21"/>
      <w:lang w:val="zh-CN" w:eastAsia="zh-CN"/>
    </w:rPr>
  </w:style>
</w:styles>
</file>

<file path=word/_rels/document.xml.rels><?xml version="1.0" encoding="UTF-8" standalone="yes"?>
<Relationships xmlns="http://schemas.openxmlformats.org/package/2006/relationships"><Relationship Id="rId9" Type="http://schemas.openxmlformats.org/officeDocument/2006/relationships/image" Target="media/image1.png"/><Relationship Id="rId8" Type="http://schemas.openxmlformats.org/officeDocument/2006/relationships/theme" Target="theme/theme1.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numbering" Target="numbering.xml"/><Relationship Id="rId15" Type="http://schemas.openxmlformats.org/officeDocument/2006/relationships/customXml" Target="../customXml/item1.xml"/><Relationship Id="rId14" Type="http://schemas.openxmlformats.org/officeDocument/2006/relationships/image" Target="media/image6.png"/><Relationship Id="rId13" Type="http://schemas.openxmlformats.org/officeDocument/2006/relationships/image" Target="media/image5.png"/><Relationship Id="rId12" Type="http://schemas.openxmlformats.org/officeDocument/2006/relationships/image" Target="media/image4.png"/><Relationship Id="rId11" Type="http://schemas.openxmlformats.org/officeDocument/2006/relationships/image" Target="media/image3.png"/><Relationship Id="rId10" Type="http://schemas.openxmlformats.org/officeDocument/2006/relationships/image" Target="media/image2.png"/><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四川省财政厅</Company>
  <Pages>15</Pages>
  <Words>3473</Words>
  <Characters>3741</Characters>
  <Lines>61</Lines>
  <Paragraphs>17</Paragraphs>
  <TotalTime>0</TotalTime>
  <ScaleCrop>false</ScaleCrop>
  <LinksUpToDate>false</LinksUpToDate>
  <CharactersWithSpaces>3811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2020-08-08T17:49:00Z</dcterms:created>
  <dc:creator>曹颖</dc:creator>
  <cp:lastModifiedBy>淘～小～店</cp:lastModifiedBy>
  <cp:lastPrinted>2026-08-03T09:27:00Z</cp:lastPrinted>
  <dcterms:modified xsi:type="dcterms:W3CDTF">2026-09-15T00:39:39Z</dcterms:modified>
  <dc:title>四川省***</dc:title>
  <cp:revision>32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58DF983B3C834F2B81CE8C8736D3D0F1_13</vt:lpwstr>
  </property>
  <property fmtid="{D5CDD505-2E9C-101B-9397-08002B2CF9AE}" pid="4" name="KSOTemplateDocerSaveRecord">
    <vt:lpwstr>eyJoZGlkIjoiNThkMmQxNzYxNmFmODgxZDJjZGVjY2ExYjBjMGIyODMiLCJ1c2VySWQiOiI0Mjk1Mzg1ODUifQ==</vt:lpwstr>
  </property>
</Properties>
</file>