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EC909">
      <w:pPr>
        <w:pStyle w:val="5"/>
        <w:rPr>
          <w:rFonts w:hint="eastAsia" w:ascii="黑体" w:hAnsi="黑体" w:eastAsia="黑体" w:cs="黑体"/>
          <w:color w:val="auto"/>
          <w:kern w:val="2"/>
          <w:sz w:val="32"/>
          <w:szCs w:val="32"/>
          <w:highlight w:val="none"/>
          <w:lang w:val="en-US" w:eastAsia="zh-CN" w:bidi="ar-SA"/>
        </w:rPr>
      </w:pPr>
      <w:bookmarkStart w:id="0" w:name="_Toc15306267"/>
      <w:bookmarkStart w:id="1" w:name="_Toc15396597"/>
      <w:bookmarkStart w:id="2" w:name="_Toc15377193"/>
      <w:bookmarkStart w:id="3" w:name="_Toc15377425"/>
      <w:bookmarkStart w:id="4" w:name="_Toc15396475"/>
      <w:bookmarkStart w:id="5" w:name="_Toc15378441"/>
    </w:p>
    <w:p w14:paraId="48439689">
      <w:pPr>
        <w:pStyle w:val="5"/>
        <w:rPr>
          <w:rFonts w:hint="eastAsia" w:ascii="Times New Roman" w:hAnsi="Times New Roman" w:eastAsia="方正小标宋简体" w:cs="Times New Roman"/>
          <w:color w:val="auto"/>
          <w:kern w:val="2"/>
          <w:sz w:val="72"/>
          <w:szCs w:val="72"/>
          <w:highlight w:val="none"/>
          <w:lang w:val="en-US" w:eastAsia="zh-CN" w:bidi="ar-SA"/>
        </w:rPr>
      </w:pPr>
    </w:p>
    <w:p w14:paraId="30F1EED1">
      <w:pPr>
        <w:pStyle w:val="5"/>
        <w:rPr>
          <w:rFonts w:hint="eastAsia" w:ascii="Times New Roman" w:hAnsi="Times New Roman" w:eastAsia="方正小标宋简体" w:cs="Times New Roman"/>
          <w:color w:val="auto"/>
          <w:kern w:val="2"/>
          <w:sz w:val="72"/>
          <w:szCs w:val="72"/>
          <w:highlight w:val="none"/>
          <w:lang w:val="en-US" w:eastAsia="zh-CN" w:bidi="ar-SA"/>
        </w:rPr>
      </w:pPr>
    </w:p>
    <w:p w14:paraId="6E71B645">
      <w:pPr>
        <w:pStyle w:val="5"/>
        <w:rPr>
          <w:rFonts w:hint="eastAsia" w:ascii="Times New Roman" w:hAnsi="Times New Roman" w:eastAsia="方正小标宋简体" w:cs="Times New Roman"/>
          <w:color w:val="auto"/>
          <w:kern w:val="2"/>
          <w:sz w:val="72"/>
          <w:szCs w:val="72"/>
          <w:highlight w:val="none"/>
          <w:lang w:val="en-US" w:eastAsia="zh-CN" w:bidi="ar-SA"/>
        </w:rPr>
      </w:pPr>
    </w:p>
    <w:p w14:paraId="70E85226">
      <w:pPr>
        <w:pStyle w:val="5"/>
        <w:rPr>
          <w:rFonts w:hint="eastAsia" w:ascii="Times New Roman" w:hAnsi="Times New Roman" w:eastAsia="方正小标宋简体" w:cs="Times New Roman"/>
          <w:color w:val="auto"/>
          <w:kern w:val="2"/>
          <w:sz w:val="72"/>
          <w:szCs w:val="72"/>
          <w:highlight w:val="none"/>
          <w:lang w:val="en-US" w:eastAsia="zh-CN" w:bidi="ar-SA"/>
        </w:rPr>
      </w:pPr>
    </w:p>
    <w:p w14:paraId="57047853">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2025年度阿坝州科学技术协会</w:t>
      </w:r>
      <w:r>
        <w:rPr>
          <w:rFonts w:hint="eastAsia" w:ascii="Times New Roman" w:hAnsi="Times New Roman" w:eastAsia="方正小标宋简体" w:cs="Times New Roman"/>
          <w:color w:val="auto"/>
          <w:kern w:val="2"/>
          <w:sz w:val="44"/>
          <w:szCs w:val="44"/>
          <w:highlight w:val="none"/>
          <w:lang w:val="en-US" w:eastAsia="zh-CN" w:bidi="ar-SA"/>
        </w:rPr>
        <w:t>部门</w:t>
      </w:r>
    </w:p>
    <w:p w14:paraId="22191295">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14:paraId="2349B97F">
      <w:pPr>
        <w:spacing w:line="600" w:lineRule="exact"/>
        <w:jc w:val="center"/>
        <w:outlineLvl w:val="0"/>
        <w:rPr>
          <w:rFonts w:ascii="Times New Roman" w:hAnsi="Times New Roman" w:eastAsia="方正小标宋简体"/>
          <w:color w:val="auto"/>
          <w:sz w:val="72"/>
          <w:szCs w:val="72"/>
          <w:highlight w:val="none"/>
        </w:rPr>
      </w:pPr>
    </w:p>
    <w:p w14:paraId="292A6B03">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6448F64E">
      <w:pPr>
        <w:pStyle w:val="5"/>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72B89E4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0F94C13">
      <w:pPr>
        <w:widowControl/>
        <w:jc w:val="center"/>
        <w:rPr>
          <w:rFonts w:ascii="Times New Roman" w:hAnsi="Times New Roman" w:eastAsia="黑体" w:cstheme="minorBidi"/>
          <w:color w:val="auto"/>
          <w:sz w:val="28"/>
          <w:szCs w:val="28"/>
          <w:highlight w:val="none"/>
        </w:rPr>
      </w:pPr>
    </w:p>
    <w:p w14:paraId="7EEA1B10">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bookmarkStart w:id="106" w:name="_GoBack"/>
      <w:bookmarkEnd w:id="106"/>
      <w:r>
        <w:rPr>
          <w:rFonts w:hint="eastAsia" w:ascii="Times New Roman" w:hAnsi="Times New Roman" w:eastAsia="仿宋_GB2312" w:cs="仿宋_GB2312"/>
          <w:color w:val="auto"/>
          <w:sz w:val="32"/>
          <w:szCs w:val="32"/>
          <w:highlight w:val="none"/>
        </w:rPr>
        <w:t>日</w:t>
      </w:r>
    </w:p>
    <w:p w14:paraId="26D0F943">
      <w:pPr>
        <w:rPr>
          <w:rFonts w:ascii="Times New Roman" w:hAnsi="Times New Roman"/>
          <w:color w:val="auto"/>
          <w:highlight w:val="none"/>
        </w:rPr>
      </w:pPr>
    </w:p>
    <w:p w14:paraId="2B611DF7">
      <w:pPr>
        <w:pStyle w:val="11"/>
        <w:tabs>
          <w:tab w:val="right" w:leader="dot" w:pos="8306"/>
          <w:tab w:val="clear" w:pos="8296"/>
        </w:tabs>
      </w:pPr>
      <w:bookmarkStart w:id="6" w:name="_Toc15377196"/>
      <w:bookmarkStart w:id="7" w:name="_Toc15396599"/>
      <w:r>
        <w:fldChar w:fldCharType="begin"/>
      </w:r>
      <w:r>
        <w:instrText xml:space="preserve">TOC \o "1-3" \h \u </w:instrText>
      </w:r>
      <w:r>
        <w:fldChar w:fldCharType="separate"/>
      </w:r>
      <w:r>
        <w:fldChar w:fldCharType="begin"/>
      </w:r>
      <w:r>
        <w:instrText xml:space="preserve"> HYPERLINK \l _Toc25533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_Toc25533 \h </w:instrText>
      </w:r>
      <w:r>
        <w:fldChar w:fldCharType="separate"/>
      </w:r>
      <w:r>
        <w:t>3</w:t>
      </w:r>
      <w:r>
        <w:fldChar w:fldCharType="end"/>
      </w:r>
      <w:r>
        <w:fldChar w:fldCharType="end"/>
      </w:r>
    </w:p>
    <w:p w14:paraId="728431DB">
      <w:pPr>
        <w:pStyle w:val="14"/>
        <w:tabs>
          <w:tab w:val="right" w:leader="dot" w:pos="8306"/>
          <w:tab w:val="clear" w:pos="8296"/>
        </w:tabs>
      </w:pPr>
      <w:r>
        <w:fldChar w:fldCharType="begin"/>
      </w:r>
      <w:r>
        <w:instrText xml:space="preserve"> HYPERLINK \l _Toc31139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_Toc31139 \h </w:instrText>
      </w:r>
      <w:r>
        <w:fldChar w:fldCharType="separate"/>
      </w:r>
      <w:r>
        <w:t>3</w:t>
      </w:r>
      <w:r>
        <w:fldChar w:fldCharType="end"/>
      </w:r>
      <w:r>
        <w:fldChar w:fldCharType="end"/>
      </w:r>
    </w:p>
    <w:p w14:paraId="6599D6B7">
      <w:pPr>
        <w:pStyle w:val="7"/>
        <w:tabs>
          <w:tab w:val="right" w:leader="dot" w:pos="8306"/>
          <w:tab w:val="clear" w:pos="8296"/>
        </w:tabs>
      </w:pPr>
      <w:r>
        <w:fldChar w:fldCharType="begin"/>
      </w:r>
      <w:r>
        <w:instrText xml:space="preserve"> HYPERLINK \l _Toc380 </w:instrText>
      </w:r>
      <w:r>
        <w:fldChar w:fldCharType="separate"/>
      </w:r>
      <w:r>
        <w:rPr>
          <w:rFonts w:hint="default" w:ascii="Times New Roman" w:hAnsi="Times New Roman" w:eastAsia="仿宋_GB2312" w:cs="仿宋_GB2312"/>
          <w:szCs w:val="32"/>
        </w:rPr>
        <w:t xml:space="preserve">1. </w:t>
      </w:r>
      <w:r>
        <w:rPr>
          <w:rFonts w:hint="eastAsia" w:ascii="Times New Roman" w:cs="仿宋_GB2312"/>
          <w:szCs w:val="32"/>
          <w:highlight w:val="none"/>
          <w:lang w:eastAsia="zh-CN"/>
        </w:rPr>
        <w:t>阿坝州科学技术协会</w:t>
      </w:r>
      <w:r>
        <w:tab/>
      </w:r>
      <w:r>
        <w:fldChar w:fldCharType="begin"/>
      </w:r>
      <w:r>
        <w:instrText xml:space="preserve"> PAGEREF _Toc380 \h </w:instrText>
      </w:r>
      <w:r>
        <w:fldChar w:fldCharType="separate"/>
      </w:r>
      <w:r>
        <w:t>4</w:t>
      </w:r>
      <w:r>
        <w:fldChar w:fldCharType="end"/>
      </w:r>
      <w:r>
        <w:fldChar w:fldCharType="end"/>
      </w:r>
    </w:p>
    <w:p w14:paraId="4D53EE7E">
      <w:pPr>
        <w:pStyle w:val="7"/>
        <w:tabs>
          <w:tab w:val="right" w:leader="dot" w:pos="8306"/>
          <w:tab w:val="clear" w:pos="8296"/>
        </w:tabs>
      </w:pPr>
      <w:r>
        <w:fldChar w:fldCharType="begin"/>
      </w:r>
      <w:r>
        <w:instrText xml:space="preserve"> HYPERLINK \l _Toc16324 </w:instrText>
      </w:r>
      <w:r>
        <w:fldChar w:fldCharType="separate"/>
      </w:r>
      <w:r>
        <w:rPr>
          <w:rFonts w:hint="default" w:ascii="Times New Roman" w:hAnsi="Times New Roman" w:eastAsia="仿宋_GB2312" w:cs="仿宋_GB2312"/>
          <w:szCs w:val="32"/>
        </w:rPr>
        <w:t xml:space="preserve">2. </w:t>
      </w:r>
      <w:r>
        <w:rPr>
          <w:rFonts w:hint="eastAsia" w:ascii="Times New Roman" w:cs="仿宋_GB2312"/>
          <w:szCs w:val="32"/>
          <w:highlight w:val="none"/>
          <w:lang w:eastAsia="zh-CN"/>
        </w:rPr>
        <w:t>阿坝州民族科普工作队</w:t>
      </w:r>
      <w:r>
        <w:tab/>
      </w:r>
      <w:r>
        <w:fldChar w:fldCharType="begin"/>
      </w:r>
      <w:r>
        <w:instrText xml:space="preserve"> PAGEREF _Toc16324 \h </w:instrText>
      </w:r>
      <w:r>
        <w:fldChar w:fldCharType="separate"/>
      </w:r>
      <w:r>
        <w:t>4</w:t>
      </w:r>
      <w:r>
        <w:fldChar w:fldCharType="end"/>
      </w:r>
      <w:r>
        <w:fldChar w:fldCharType="end"/>
      </w:r>
    </w:p>
    <w:p w14:paraId="77663E97">
      <w:pPr>
        <w:pStyle w:val="7"/>
        <w:tabs>
          <w:tab w:val="right" w:leader="dot" w:pos="8306"/>
          <w:tab w:val="clear" w:pos="8296"/>
        </w:tabs>
      </w:pPr>
      <w:r>
        <w:fldChar w:fldCharType="begin"/>
      </w:r>
      <w:r>
        <w:instrText xml:space="preserve"> HYPERLINK \l _Toc11299 </w:instrText>
      </w:r>
      <w:r>
        <w:fldChar w:fldCharType="separate"/>
      </w:r>
      <w:r>
        <w:rPr>
          <w:rFonts w:hint="default" w:ascii="Times New Roman" w:hAnsi="Times New Roman" w:eastAsia="仿宋_GB2312" w:cs="仿宋_GB2312"/>
          <w:szCs w:val="32"/>
        </w:rPr>
        <w:t xml:space="preserve">3. </w:t>
      </w:r>
      <w:r>
        <w:rPr>
          <w:rFonts w:hint="eastAsia" w:ascii="Times New Roman" w:cs="仿宋_GB2312"/>
          <w:szCs w:val="32"/>
          <w:highlight w:val="none"/>
          <w:lang w:eastAsia="zh-CN"/>
        </w:rPr>
        <w:t>阿坝州科技馆</w:t>
      </w:r>
      <w:r>
        <w:tab/>
      </w:r>
      <w:r>
        <w:fldChar w:fldCharType="begin"/>
      </w:r>
      <w:r>
        <w:instrText xml:space="preserve"> PAGEREF _Toc11299 \h </w:instrText>
      </w:r>
      <w:r>
        <w:fldChar w:fldCharType="separate"/>
      </w:r>
      <w:r>
        <w:t>4</w:t>
      </w:r>
      <w:r>
        <w:fldChar w:fldCharType="end"/>
      </w:r>
      <w:r>
        <w:fldChar w:fldCharType="end"/>
      </w:r>
    </w:p>
    <w:p w14:paraId="50BFCE9C">
      <w:pPr>
        <w:pStyle w:val="11"/>
        <w:tabs>
          <w:tab w:val="right" w:leader="dot" w:pos="8306"/>
          <w:tab w:val="clear" w:pos="8296"/>
        </w:tabs>
      </w:pPr>
      <w:r>
        <w:fldChar w:fldCharType="begin"/>
      </w:r>
      <w:r>
        <w:instrText xml:space="preserve"> HYPERLINK \l _Toc14156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_Toc14156 \h </w:instrText>
      </w:r>
      <w:r>
        <w:fldChar w:fldCharType="separate"/>
      </w:r>
      <w:r>
        <w:t>5</w:t>
      </w:r>
      <w:r>
        <w:fldChar w:fldCharType="end"/>
      </w:r>
      <w:r>
        <w:fldChar w:fldCharType="end"/>
      </w:r>
    </w:p>
    <w:p w14:paraId="2EE70B4E">
      <w:pPr>
        <w:pStyle w:val="14"/>
        <w:tabs>
          <w:tab w:val="right" w:leader="dot" w:pos="8306"/>
          <w:tab w:val="clear" w:pos="8296"/>
        </w:tabs>
      </w:pPr>
      <w:r>
        <w:fldChar w:fldCharType="begin"/>
      </w:r>
      <w:r>
        <w:instrText xml:space="preserve"> HYPERLINK \l _Toc4911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_Toc4911 \h </w:instrText>
      </w:r>
      <w:r>
        <w:fldChar w:fldCharType="separate"/>
      </w:r>
      <w:r>
        <w:t>5</w:t>
      </w:r>
      <w:r>
        <w:fldChar w:fldCharType="end"/>
      </w:r>
      <w:r>
        <w:fldChar w:fldCharType="end"/>
      </w:r>
    </w:p>
    <w:p w14:paraId="3F271983">
      <w:pPr>
        <w:pStyle w:val="14"/>
        <w:tabs>
          <w:tab w:val="right" w:leader="dot" w:pos="8306"/>
          <w:tab w:val="clear" w:pos="8296"/>
        </w:tabs>
      </w:pPr>
      <w:r>
        <w:fldChar w:fldCharType="begin"/>
      </w:r>
      <w:r>
        <w:instrText xml:space="preserve"> HYPERLINK \l _Toc29632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_Toc29632 \h </w:instrText>
      </w:r>
      <w:r>
        <w:fldChar w:fldCharType="separate"/>
      </w:r>
      <w:r>
        <w:t>5</w:t>
      </w:r>
      <w:r>
        <w:fldChar w:fldCharType="end"/>
      </w:r>
      <w:r>
        <w:fldChar w:fldCharType="end"/>
      </w:r>
    </w:p>
    <w:p w14:paraId="03E3FBAC">
      <w:pPr>
        <w:pStyle w:val="14"/>
        <w:tabs>
          <w:tab w:val="right" w:leader="dot" w:pos="8306"/>
          <w:tab w:val="clear" w:pos="8296"/>
        </w:tabs>
      </w:pPr>
      <w:r>
        <w:fldChar w:fldCharType="begin"/>
      </w:r>
      <w:r>
        <w:instrText xml:space="preserve"> HYPERLINK \l _Toc21492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_Toc21492 \h </w:instrText>
      </w:r>
      <w:r>
        <w:fldChar w:fldCharType="separate"/>
      </w:r>
      <w:r>
        <w:t>6</w:t>
      </w:r>
      <w:r>
        <w:fldChar w:fldCharType="end"/>
      </w:r>
      <w:r>
        <w:fldChar w:fldCharType="end"/>
      </w:r>
    </w:p>
    <w:p w14:paraId="007F54A9">
      <w:pPr>
        <w:pStyle w:val="14"/>
        <w:tabs>
          <w:tab w:val="right" w:leader="dot" w:pos="8306"/>
          <w:tab w:val="clear" w:pos="8296"/>
        </w:tabs>
      </w:pPr>
      <w:r>
        <w:fldChar w:fldCharType="begin"/>
      </w:r>
      <w:r>
        <w:instrText xml:space="preserve"> HYPERLINK \l _Toc2733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_Toc2733 \h </w:instrText>
      </w:r>
      <w:r>
        <w:fldChar w:fldCharType="separate"/>
      </w:r>
      <w:r>
        <w:t>7</w:t>
      </w:r>
      <w:r>
        <w:fldChar w:fldCharType="end"/>
      </w:r>
      <w:r>
        <w:fldChar w:fldCharType="end"/>
      </w:r>
    </w:p>
    <w:p w14:paraId="52BF2F4D">
      <w:pPr>
        <w:pStyle w:val="14"/>
        <w:tabs>
          <w:tab w:val="right" w:leader="dot" w:pos="8306"/>
          <w:tab w:val="clear" w:pos="8296"/>
        </w:tabs>
      </w:pPr>
      <w:r>
        <w:fldChar w:fldCharType="begin"/>
      </w:r>
      <w:r>
        <w:instrText xml:space="preserve"> HYPERLINK \l _Toc9132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_Toc9132 \h </w:instrText>
      </w:r>
      <w:r>
        <w:fldChar w:fldCharType="separate"/>
      </w:r>
      <w:r>
        <w:t>7</w:t>
      </w:r>
      <w:r>
        <w:fldChar w:fldCharType="end"/>
      </w:r>
      <w:r>
        <w:fldChar w:fldCharType="end"/>
      </w:r>
    </w:p>
    <w:p w14:paraId="46B3A31F">
      <w:pPr>
        <w:pStyle w:val="7"/>
        <w:tabs>
          <w:tab w:val="right" w:leader="dot" w:pos="8306"/>
          <w:tab w:val="clear" w:pos="8296"/>
        </w:tabs>
      </w:pPr>
      <w:r>
        <w:fldChar w:fldCharType="begin"/>
      </w:r>
      <w:r>
        <w:instrText xml:space="preserve"> HYPERLINK \l _Toc32506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_Toc32506 \h </w:instrText>
      </w:r>
      <w:r>
        <w:fldChar w:fldCharType="separate"/>
      </w:r>
      <w:r>
        <w:t>7</w:t>
      </w:r>
      <w:r>
        <w:fldChar w:fldCharType="end"/>
      </w:r>
      <w:r>
        <w:fldChar w:fldCharType="end"/>
      </w:r>
    </w:p>
    <w:p w14:paraId="24131500">
      <w:pPr>
        <w:pStyle w:val="7"/>
        <w:tabs>
          <w:tab w:val="right" w:leader="dot" w:pos="8306"/>
          <w:tab w:val="clear" w:pos="8296"/>
        </w:tabs>
      </w:pPr>
      <w:r>
        <w:fldChar w:fldCharType="begin"/>
      </w:r>
      <w:r>
        <w:instrText xml:space="preserve"> HYPERLINK \l _Toc19485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_Toc19485 \h </w:instrText>
      </w:r>
      <w:r>
        <w:fldChar w:fldCharType="separate"/>
      </w:r>
      <w:r>
        <w:t>8</w:t>
      </w:r>
      <w:r>
        <w:fldChar w:fldCharType="end"/>
      </w:r>
      <w:r>
        <w:fldChar w:fldCharType="end"/>
      </w:r>
    </w:p>
    <w:p w14:paraId="6F744868">
      <w:pPr>
        <w:pStyle w:val="7"/>
        <w:tabs>
          <w:tab w:val="right" w:leader="dot" w:pos="8306"/>
          <w:tab w:val="clear" w:pos="8296"/>
        </w:tabs>
      </w:pPr>
      <w:r>
        <w:fldChar w:fldCharType="begin"/>
      </w:r>
      <w:r>
        <w:instrText xml:space="preserve"> HYPERLINK \l _Toc4541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_Toc4541 \h </w:instrText>
      </w:r>
      <w:r>
        <w:fldChar w:fldCharType="separate"/>
      </w:r>
      <w:r>
        <w:t>9</w:t>
      </w:r>
      <w:r>
        <w:fldChar w:fldCharType="end"/>
      </w:r>
      <w:r>
        <w:fldChar w:fldCharType="end"/>
      </w:r>
    </w:p>
    <w:p w14:paraId="4BDF7D10">
      <w:pPr>
        <w:pStyle w:val="14"/>
        <w:tabs>
          <w:tab w:val="right" w:leader="dot" w:pos="8306"/>
          <w:tab w:val="clear" w:pos="8296"/>
        </w:tabs>
      </w:pPr>
      <w:r>
        <w:fldChar w:fldCharType="begin"/>
      </w:r>
      <w:r>
        <w:instrText xml:space="preserve"> HYPERLINK \l _Toc6960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_Toc6960 \h </w:instrText>
      </w:r>
      <w:r>
        <w:fldChar w:fldCharType="separate"/>
      </w:r>
      <w:r>
        <w:t>9</w:t>
      </w:r>
      <w:r>
        <w:fldChar w:fldCharType="end"/>
      </w:r>
      <w:r>
        <w:fldChar w:fldCharType="end"/>
      </w:r>
    </w:p>
    <w:p w14:paraId="1E6AF418">
      <w:pPr>
        <w:pStyle w:val="14"/>
        <w:tabs>
          <w:tab w:val="right" w:leader="dot" w:pos="8306"/>
          <w:tab w:val="clear" w:pos="8296"/>
        </w:tabs>
      </w:pPr>
      <w:r>
        <w:fldChar w:fldCharType="begin"/>
      </w:r>
      <w:r>
        <w:instrText xml:space="preserve"> HYPERLINK \l _Toc2959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_Toc2959 \h </w:instrText>
      </w:r>
      <w:r>
        <w:fldChar w:fldCharType="separate"/>
      </w:r>
      <w:r>
        <w:t>10</w:t>
      </w:r>
      <w:r>
        <w:fldChar w:fldCharType="end"/>
      </w:r>
      <w:r>
        <w:fldChar w:fldCharType="end"/>
      </w:r>
    </w:p>
    <w:p w14:paraId="2325C9FC">
      <w:pPr>
        <w:pStyle w:val="7"/>
        <w:tabs>
          <w:tab w:val="right" w:leader="dot" w:pos="8306"/>
          <w:tab w:val="clear" w:pos="8296"/>
        </w:tabs>
      </w:pPr>
      <w:r>
        <w:fldChar w:fldCharType="begin"/>
      </w:r>
      <w:r>
        <w:instrText xml:space="preserve"> HYPERLINK \l _Toc318 </w:instrText>
      </w:r>
      <w: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_Toc318 \h </w:instrText>
      </w:r>
      <w:r>
        <w:fldChar w:fldCharType="separate"/>
      </w:r>
      <w:r>
        <w:t>10</w:t>
      </w:r>
      <w:r>
        <w:fldChar w:fldCharType="end"/>
      </w:r>
      <w:r>
        <w:fldChar w:fldCharType="end"/>
      </w:r>
    </w:p>
    <w:p w14:paraId="5ACAC35A">
      <w:pPr>
        <w:pStyle w:val="7"/>
        <w:tabs>
          <w:tab w:val="right" w:leader="dot" w:pos="8306"/>
          <w:tab w:val="clear" w:pos="8296"/>
        </w:tabs>
      </w:pPr>
      <w:r>
        <w:fldChar w:fldCharType="begin"/>
      </w:r>
      <w:r>
        <w:instrText xml:space="preserve"> HYPERLINK \l _Toc17660 </w:instrText>
      </w:r>
      <w: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_Toc17660 \h </w:instrText>
      </w:r>
      <w:r>
        <w:fldChar w:fldCharType="separate"/>
      </w:r>
      <w:r>
        <w:t>10</w:t>
      </w:r>
      <w:r>
        <w:fldChar w:fldCharType="end"/>
      </w:r>
      <w:r>
        <w:fldChar w:fldCharType="end"/>
      </w:r>
    </w:p>
    <w:p w14:paraId="11C2D7B2">
      <w:pPr>
        <w:pStyle w:val="14"/>
        <w:tabs>
          <w:tab w:val="right" w:leader="dot" w:pos="8306"/>
          <w:tab w:val="clear" w:pos="8296"/>
        </w:tabs>
      </w:pPr>
      <w:r>
        <w:fldChar w:fldCharType="begin"/>
      </w:r>
      <w:r>
        <w:instrText xml:space="preserve"> HYPERLINK \l _Toc24529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_Toc24529 \h </w:instrText>
      </w:r>
      <w:r>
        <w:fldChar w:fldCharType="separate"/>
      </w:r>
      <w:r>
        <w:t>11</w:t>
      </w:r>
      <w:r>
        <w:fldChar w:fldCharType="end"/>
      </w:r>
      <w:r>
        <w:fldChar w:fldCharType="end"/>
      </w:r>
    </w:p>
    <w:p w14:paraId="3B143252">
      <w:pPr>
        <w:pStyle w:val="14"/>
        <w:tabs>
          <w:tab w:val="right" w:leader="dot" w:pos="8306"/>
          <w:tab w:val="clear" w:pos="8296"/>
        </w:tabs>
      </w:pPr>
      <w:r>
        <w:fldChar w:fldCharType="begin"/>
      </w:r>
      <w:r>
        <w:instrText xml:space="preserve"> HYPERLINK \l _Toc8143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_Toc8143 \h </w:instrText>
      </w:r>
      <w:r>
        <w:fldChar w:fldCharType="separate"/>
      </w:r>
      <w:r>
        <w:t>11</w:t>
      </w:r>
      <w:r>
        <w:fldChar w:fldCharType="end"/>
      </w:r>
      <w:r>
        <w:fldChar w:fldCharType="end"/>
      </w:r>
    </w:p>
    <w:p w14:paraId="06E6AA07">
      <w:pPr>
        <w:pStyle w:val="14"/>
        <w:tabs>
          <w:tab w:val="right" w:leader="dot" w:pos="8306"/>
          <w:tab w:val="clear" w:pos="8296"/>
        </w:tabs>
      </w:pPr>
      <w:r>
        <w:fldChar w:fldCharType="begin"/>
      </w:r>
      <w:r>
        <w:instrText xml:space="preserve"> HYPERLINK \l _Toc9806 </w:instrText>
      </w:r>
      <w:r>
        <w:fldChar w:fldCharType="separate"/>
      </w:r>
      <w:r>
        <w:rPr>
          <w:rFonts w:hint="eastAsia" w:eastAsia="仿宋_GB2312" w:cs="仿宋_GB2312"/>
          <w:kern w:val="2"/>
          <w:szCs w:val="32"/>
          <w:highlight w:val="none"/>
          <w:lang w:val="en-US" w:eastAsia="zh-CN" w:bidi="ar-SA"/>
        </w:rPr>
        <w:t>本单位无国有资本经营预算支出</w:t>
      </w:r>
      <w:r>
        <w:tab/>
      </w:r>
      <w:r>
        <w:fldChar w:fldCharType="begin"/>
      </w:r>
      <w:r>
        <w:instrText xml:space="preserve"> PAGEREF _Toc9806 \h </w:instrText>
      </w:r>
      <w:r>
        <w:fldChar w:fldCharType="separate"/>
      </w:r>
      <w:r>
        <w:t>11</w:t>
      </w:r>
      <w:r>
        <w:fldChar w:fldCharType="end"/>
      </w:r>
      <w:r>
        <w:fldChar w:fldCharType="end"/>
      </w:r>
    </w:p>
    <w:p w14:paraId="50B0E310">
      <w:pPr>
        <w:pStyle w:val="14"/>
        <w:tabs>
          <w:tab w:val="right" w:leader="dot" w:pos="8306"/>
          <w:tab w:val="clear" w:pos="8296"/>
        </w:tabs>
      </w:pPr>
      <w:r>
        <w:fldChar w:fldCharType="begin"/>
      </w:r>
      <w:r>
        <w:instrText xml:space="preserve"> HYPERLINK \l _Toc6041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_Toc6041 \h </w:instrText>
      </w:r>
      <w:r>
        <w:fldChar w:fldCharType="separate"/>
      </w:r>
      <w:r>
        <w:t>11</w:t>
      </w:r>
      <w:r>
        <w:fldChar w:fldCharType="end"/>
      </w:r>
      <w:r>
        <w:fldChar w:fldCharType="end"/>
      </w:r>
    </w:p>
    <w:p w14:paraId="3CF85E66">
      <w:pPr>
        <w:pStyle w:val="7"/>
        <w:tabs>
          <w:tab w:val="right" w:leader="dot" w:pos="8306"/>
          <w:tab w:val="clear" w:pos="8296"/>
        </w:tabs>
      </w:pPr>
      <w:r>
        <w:fldChar w:fldCharType="begin"/>
      </w:r>
      <w:r>
        <w:instrText xml:space="preserve"> HYPERLINK \l _Toc27860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_Toc27860 \h </w:instrText>
      </w:r>
      <w:r>
        <w:fldChar w:fldCharType="separate"/>
      </w:r>
      <w:r>
        <w:t>11</w:t>
      </w:r>
      <w:r>
        <w:fldChar w:fldCharType="end"/>
      </w:r>
      <w:r>
        <w:fldChar w:fldCharType="end"/>
      </w:r>
    </w:p>
    <w:p w14:paraId="303F2CB7">
      <w:pPr>
        <w:pStyle w:val="7"/>
        <w:tabs>
          <w:tab w:val="right" w:leader="dot" w:pos="8306"/>
          <w:tab w:val="clear" w:pos="8296"/>
        </w:tabs>
      </w:pPr>
      <w:r>
        <w:fldChar w:fldCharType="begin"/>
      </w:r>
      <w:r>
        <w:instrText xml:space="preserve"> HYPERLINK \l _Toc2945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_Toc2945 \h </w:instrText>
      </w:r>
      <w:r>
        <w:fldChar w:fldCharType="separate"/>
      </w:r>
      <w:r>
        <w:t>11</w:t>
      </w:r>
      <w:r>
        <w:fldChar w:fldCharType="end"/>
      </w:r>
      <w:r>
        <w:fldChar w:fldCharType="end"/>
      </w:r>
    </w:p>
    <w:p w14:paraId="3A30C41B">
      <w:pPr>
        <w:pStyle w:val="7"/>
        <w:tabs>
          <w:tab w:val="right" w:leader="dot" w:pos="8306"/>
          <w:tab w:val="clear" w:pos="8296"/>
        </w:tabs>
      </w:pPr>
      <w:r>
        <w:fldChar w:fldCharType="begin"/>
      </w:r>
      <w:r>
        <w:instrText xml:space="preserve"> HYPERLINK \l _Toc18251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_Toc18251 \h </w:instrText>
      </w:r>
      <w:r>
        <w:fldChar w:fldCharType="separate"/>
      </w:r>
      <w:r>
        <w:t>12</w:t>
      </w:r>
      <w:r>
        <w:fldChar w:fldCharType="end"/>
      </w:r>
      <w:r>
        <w:fldChar w:fldCharType="end"/>
      </w:r>
    </w:p>
    <w:p w14:paraId="62FE1A97">
      <w:pPr>
        <w:pStyle w:val="7"/>
        <w:tabs>
          <w:tab w:val="right" w:leader="dot" w:pos="8306"/>
          <w:tab w:val="clear" w:pos="8296"/>
        </w:tabs>
      </w:pPr>
      <w:r>
        <w:fldChar w:fldCharType="begin"/>
      </w:r>
      <w:r>
        <w:instrText xml:space="preserve"> HYPERLINK \l _Toc13229 </w:instrText>
      </w:r>
      <w: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_Toc13229 \h </w:instrText>
      </w:r>
      <w:r>
        <w:fldChar w:fldCharType="separate"/>
      </w:r>
      <w:r>
        <w:t>12</w:t>
      </w:r>
      <w:r>
        <w:fldChar w:fldCharType="end"/>
      </w:r>
      <w:r>
        <w:fldChar w:fldCharType="end"/>
      </w:r>
    </w:p>
    <w:p w14:paraId="56C22D2D">
      <w:pPr>
        <w:pStyle w:val="11"/>
        <w:tabs>
          <w:tab w:val="right" w:leader="dot" w:pos="8306"/>
          <w:tab w:val="clear" w:pos="8296"/>
        </w:tabs>
      </w:pPr>
      <w:r>
        <w:fldChar w:fldCharType="begin"/>
      </w:r>
      <w:r>
        <w:instrText xml:space="preserve"> HYPERLINK \l _Toc6583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_Toc6583 \h </w:instrText>
      </w:r>
      <w:r>
        <w:fldChar w:fldCharType="separate"/>
      </w:r>
      <w:r>
        <w:t>12</w:t>
      </w:r>
      <w:r>
        <w:fldChar w:fldCharType="end"/>
      </w:r>
      <w:r>
        <w:fldChar w:fldCharType="end"/>
      </w:r>
    </w:p>
    <w:p w14:paraId="6BE6CD51">
      <w:r>
        <w:fldChar w:fldCharType="end"/>
      </w:r>
    </w:p>
    <w:p w14:paraId="1B6ABF27">
      <w:pPr>
        <w:pStyle w:val="2"/>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8" w:name="_Toc25533"/>
    </w:p>
    <w:p w14:paraId="5E7063D0">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14:paraId="00CBD749">
      <w:pPr>
        <w:widowControl/>
        <w:jc w:val="left"/>
        <w:rPr>
          <w:rFonts w:ascii="Times New Roman" w:hAnsi="Times New Roman" w:eastAsia="黑体"/>
          <w:color w:val="auto"/>
          <w:sz w:val="32"/>
          <w:szCs w:val="32"/>
          <w:highlight w:val="none"/>
        </w:rPr>
      </w:pPr>
    </w:p>
    <w:p w14:paraId="3E79FC6C">
      <w:pPr>
        <w:pStyle w:val="3"/>
        <w:numPr>
          <w:ilvl w:val="0"/>
          <w:numId w:val="1"/>
        </w:numPr>
        <w:rPr>
          <w:rFonts w:hint="eastAsia" w:ascii="Times New Roman" w:hAnsi="Times New Roman" w:eastAsia="黑体"/>
          <w:b w:val="0"/>
          <w:color w:val="auto"/>
          <w:highlight w:val="none"/>
          <w:lang w:eastAsia="zh-CN"/>
        </w:rPr>
      </w:pPr>
      <w:bookmarkStart w:id="9" w:name="_Toc31139"/>
      <w:r>
        <w:rPr>
          <w:rFonts w:hint="eastAsia" w:ascii="Times New Roman" w:hAnsi="Times New Roman" w:eastAsia="黑体"/>
          <w:b w:val="0"/>
          <w:color w:val="auto"/>
          <w:highlight w:val="none"/>
          <w:lang w:eastAsia="zh-CN"/>
        </w:rPr>
        <w:t>部门职责</w:t>
      </w:r>
      <w:bookmarkEnd w:id="9"/>
    </w:p>
    <w:p w14:paraId="476E7E1E">
      <w:pPr>
        <w:ind w:firstLine="800" w:firstLineChars="250"/>
        <w:rPr>
          <w:rFonts w:hint="eastAsia"/>
          <w:lang w:eastAsia="zh-CN"/>
        </w:rPr>
      </w:pPr>
      <w:r>
        <w:rPr>
          <w:rFonts w:hint="eastAsia" w:ascii="仿宋" w:hAnsi="仿宋" w:eastAsia="仿宋"/>
          <w:sz w:val="32"/>
          <w:szCs w:val="32"/>
          <w:lang w:val="en-US" w:eastAsia="zh-CN"/>
        </w:rPr>
        <w:t>①开展学术交流，活跃学术思想，促进学科发展，推动决策科学化和民主化。②宏扬科学精神，普及科学知识；科学思想和科学方法，捍卫科学尊严，推广先进技术，开展青少年科学技术教育活动，提高全民族科学文化素质。③反映科技工作者的意见和要求，维护科技工作者的合法权益。组织科技工作者参与科技政策、法规制度，引导科技工作者在全国家和社会事务管理中发挥积极作用。④表彰奖励有突出贡献的优秀科技团体和科技工作者，举荐人才。⑤开展科学论证、咨询服务，提出政策建议，促进科技成果的转化。⑥开展同州外民间科技交流与合作，发展同国内蒙古自治区外的科技团体和人员的友好交往，促进对外开放。⑦和所属州级学会、协会进行管理，对基层科协进行业务指导。⑧承担州委，州政府和上级科协交办的其它事项。</w:t>
      </w:r>
    </w:p>
    <w:p w14:paraId="594C5486">
      <w:pPr>
        <w:numPr>
          <w:ilvl w:val="0"/>
          <w:numId w:val="0"/>
        </w:numPr>
        <w:rPr>
          <w:rFonts w:hint="eastAsia"/>
          <w:lang w:eastAsia="zh-CN"/>
        </w:rPr>
      </w:pPr>
    </w:p>
    <w:p w14:paraId="74A5CECB">
      <w:pPr>
        <w:pStyle w:val="3"/>
        <w:rPr>
          <w:rStyle w:val="30"/>
          <w:rFonts w:ascii="Times New Roman" w:hAnsi="Times New Roman"/>
          <w:b w:val="0"/>
          <w:bCs w:val="0"/>
          <w:color w:val="auto"/>
          <w:highlight w:val="none"/>
        </w:rPr>
      </w:pPr>
      <w:bookmarkStart w:id="10" w:name="_Toc2583"/>
      <w:bookmarkStart w:id="11" w:name="_Toc15396601"/>
      <w:bookmarkStart w:id="12"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bookmarkEnd w:id="12"/>
    </w:p>
    <w:p w14:paraId="1BD7219F">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阿坝藏族羌族自治州科学技术协会</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w:t>
      </w:r>
    </w:p>
    <w:p w14:paraId="31466E05">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阿坝藏族羌族自治州科学技术协会</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722A91EF">
      <w:pPr>
        <w:pStyle w:val="5"/>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3" w:name="_Toc15306276"/>
      <w:bookmarkStart w:id="14" w:name="_Toc15377433"/>
      <w:bookmarkStart w:id="15" w:name="_Toc15377202"/>
      <w:bookmarkStart w:id="16" w:name="_Toc15378449"/>
      <w:bookmarkStart w:id="17" w:name="_Toc24512"/>
      <w:bookmarkStart w:id="18" w:name="_Toc380"/>
      <w:r>
        <w:rPr>
          <w:rFonts w:hint="eastAsia" w:ascii="Times New Roman" w:cs="仿宋_GB2312"/>
          <w:color w:val="auto"/>
          <w:sz w:val="32"/>
          <w:szCs w:val="32"/>
          <w:highlight w:val="none"/>
          <w:lang w:eastAsia="zh-CN"/>
        </w:rPr>
        <w:t>阿坝州科学技术协</w:t>
      </w:r>
      <w:bookmarkEnd w:id="13"/>
      <w:bookmarkEnd w:id="14"/>
      <w:bookmarkEnd w:id="15"/>
      <w:bookmarkEnd w:id="16"/>
      <w:r>
        <w:rPr>
          <w:rFonts w:hint="eastAsia" w:ascii="Times New Roman" w:cs="仿宋_GB2312"/>
          <w:color w:val="auto"/>
          <w:sz w:val="32"/>
          <w:szCs w:val="32"/>
          <w:highlight w:val="none"/>
          <w:lang w:eastAsia="zh-CN"/>
        </w:rPr>
        <w:t>会</w:t>
      </w:r>
      <w:bookmarkEnd w:id="17"/>
      <w:bookmarkEnd w:id="18"/>
    </w:p>
    <w:p w14:paraId="26313C58">
      <w:pPr>
        <w:pStyle w:val="5"/>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9" w:name="_Toc21413"/>
      <w:bookmarkStart w:id="20" w:name="_Toc16324"/>
      <w:r>
        <w:rPr>
          <w:rFonts w:hint="eastAsia" w:ascii="Times New Roman" w:cs="仿宋_GB2312"/>
          <w:color w:val="auto"/>
          <w:sz w:val="32"/>
          <w:szCs w:val="32"/>
          <w:highlight w:val="none"/>
          <w:lang w:eastAsia="zh-CN"/>
        </w:rPr>
        <w:t>阿坝州民族科普工作队</w:t>
      </w:r>
      <w:bookmarkEnd w:id="19"/>
      <w:bookmarkEnd w:id="20"/>
    </w:p>
    <w:p w14:paraId="794B35E4">
      <w:pPr>
        <w:pStyle w:val="5"/>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21" w:name="_Toc13290"/>
      <w:bookmarkStart w:id="22" w:name="_Toc11299"/>
      <w:r>
        <w:rPr>
          <w:rFonts w:hint="eastAsia" w:ascii="Times New Roman" w:cs="仿宋_GB2312"/>
          <w:color w:val="auto"/>
          <w:sz w:val="32"/>
          <w:szCs w:val="32"/>
          <w:highlight w:val="none"/>
          <w:lang w:eastAsia="zh-CN"/>
        </w:rPr>
        <w:t>阿坝州科技馆</w:t>
      </w:r>
      <w:bookmarkEnd w:id="21"/>
      <w:bookmarkEnd w:id="22"/>
    </w:p>
    <w:p w14:paraId="6FF437AA">
      <w:pPr>
        <w:pStyle w:val="5"/>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p>
    <w:p w14:paraId="3D8F1BBB">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DDDF530">
      <w:pPr>
        <w:pStyle w:val="2"/>
        <w:jc w:val="center"/>
        <w:rPr>
          <w:rFonts w:hint="eastAsia" w:ascii="Times New Roman" w:hAnsi="Times New Roman" w:eastAsia="方正小标宋简体" w:cs="方正小标宋简体"/>
          <w:b w:val="0"/>
          <w:color w:val="auto"/>
          <w:highlight w:val="none"/>
        </w:rPr>
      </w:pPr>
      <w:bookmarkStart w:id="23" w:name="_Toc14156"/>
      <w:bookmarkStart w:id="24" w:name="_Toc15396602"/>
      <w:bookmarkStart w:id="2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3"/>
      <w:bookmarkEnd w:id="24"/>
      <w:bookmarkEnd w:id="25"/>
    </w:p>
    <w:p w14:paraId="60536CE4">
      <w:pPr>
        <w:rPr>
          <w:rFonts w:ascii="Times New Roman" w:hAnsi="Times New Roman"/>
          <w:color w:val="auto"/>
          <w:highlight w:val="none"/>
        </w:rPr>
      </w:pPr>
    </w:p>
    <w:p w14:paraId="032582E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6" w:name="_Toc15396603"/>
      <w:bookmarkStart w:id="27" w:name="_Toc15377205"/>
      <w:bookmarkStart w:id="28" w:name="_Toc4911"/>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6"/>
      <w:bookmarkEnd w:id="27"/>
      <w:bookmarkEnd w:id="28"/>
    </w:p>
    <w:p w14:paraId="546D772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bookmarkStart w:id="29" w:name="_Toc31962"/>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为1207.36万元、</w:t>
      </w:r>
      <w:r>
        <w:rPr>
          <w:rFonts w:hint="eastAsia" w:ascii="Times New Roman" w:hAnsi="Times New Roman" w:eastAsia="仿宋_GB2312" w:cs="仿宋_GB2312"/>
          <w:color w:val="auto"/>
          <w:sz w:val="32"/>
          <w:szCs w:val="32"/>
          <w:highlight w:val="none"/>
          <w:lang w:eastAsia="zh-CN"/>
        </w:rPr>
        <w:t>支出为</w:t>
      </w:r>
      <w:r>
        <w:rPr>
          <w:rFonts w:hint="eastAsia" w:eastAsia="仿宋_GB2312" w:cs="仿宋_GB2312"/>
          <w:color w:val="auto"/>
          <w:sz w:val="32"/>
          <w:szCs w:val="32"/>
          <w:highlight w:val="none"/>
          <w:lang w:val="en-US" w:eastAsia="zh-CN"/>
        </w:rPr>
        <w:t>1187.36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增加236.11万元</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216.11</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收入</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24.31</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支出增长22.25%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本年项目经费增加。</w:t>
      </w:r>
      <w:bookmarkEnd w:id="29"/>
    </w:p>
    <w:p w14:paraId="7471941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60ABCA8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1599728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30C992B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6252E40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40E9A17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268FE91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389CB5D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eastAsia="仿宋_GB2312" w:cs="仿宋_GB2312"/>
          <w:color w:val="auto"/>
          <w:sz w:val="32"/>
          <w:szCs w:val="32"/>
          <w:highlight w:val="none"/>
          <w:lang w:val="en-US" w:eastAsia="zh-CN"/>
        </w:rPr>
      </w:pPr>
      <w:r>
        <w:drawing>
          <wp:anchor distT="0" distB="0" distL="114300" distR="114300" simplePos="0" relativeHeight="251659264" behindDoc="1" locked="0" layoutInCell="1" allowOverlap="1">
            <wp:simplePos x="0" y="0"/>
            <wp:positionH relativeFrom="column">
              <wp:posOffset>266700</wp:posOffset>
            </wp:positionH>
            <wp:positionV relativeFrom="paragraph">
              <wp:posOffset>-2514600</wp:posOffset>
            </wp:positionV>
            <wp:extent cx="4857750" cy="2809875"/>
            <wp:effectExtent l="0" t="0" r="0" b="952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4857750" cy="2809875"/>
                    </a:xfrm>
                    <a:prstGeom prst="rect">
                      <a:avLst/>
                    </a:prstGeom>
                    <a:noFill/>
                    <a:ln>
                      <a:noFill/>
                    </a:ln>
                  </pic:spPr>
                </pic:pic>
              </a:graphicData>
            </a:graphic>
          </wp:anchor>
        </w:drawing>
      </w:r>
    </w:p>
    <w:p w14:paraId="677599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30" w:name="_Toc4427"/>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30"/>
    </w:p>
    <w:p w14:paraId="0347A7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2913116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1" w:name="_Toc15377206"/>
      <w:bookmarkStart w:id="32" w:name="_Toc29632"/>
      <w:bookmarkStart w:id="33" w:name="_Toc15396604"/>
      <w:r>
        <w:rPr>
          <w:rFonts w:hint="eastAsia" w:ascii="Times New Roman" w:hAnsi="Times New Roman" w:eastAsia="黑体"/>
          <w:color w:val="auto"/>
          <w:sz w:val="32"/>
          <w:szCs w:val="32"/>
          <w:highlight w:val="none"/>
          <w:lang w:eastAsia="zh-CN"/>
        </w:rPr>
        <w:t>二、收入决算情况说明</w:t>
      </w:r>
      <w:bookmarkEnd w:id="31"/>
      <w:bookmarkEnd w:id="32"/>
      <w:bookmarkEnd w:id="33"/>
    </w:p>
    <w:p w14:paraId="5CDF451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4" w:name="_Toc557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1207.36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1187.36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98.34</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20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1.66</w:t>
      </w:r>
      <w:r>
        <w:rPr>
          <w:rFonts w:hint="eastAsia" w:ascii="Times New Roman" w:hAnsi="Times New Roman" w:eastAsia="仿宋_GB2312" w:cs="仿宋_GB2312"/>
          <w:color w:val="auto"/>
          <w:sz w:val="32"/>
          <w:szCs w:val="32"/>
          <w:highlight w:val="none"/>
          <w:lang w:eastAsia="zh-CN"/>
        </w:rPr>
        <w:t>%。</w:t>
      </w:r>
      <w:bookmarkEnd w:id="34"/>
    </w:p>
    <w:p w14:paraId="16C3655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A36EBE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6260E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1" locked="0" layoutInCell="1" allowOverlap="1">
            <wp:simplePos x="0" y="0"/>
            <wp:positionH relativeFrom="column">
              <wp:posOffset>19050</wp:posOffset>
            </wp:positionH>
            <wp:positionV relativeFrom="paragraph">
              <wp:posOffset>228600</wp:posOffset>
            </wp:positionV>
            <wp:extent cx="4848225" cy="2762250"/>
            <wp:effectExtent l="0" t="0" r="9525"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4848225" cy="2762250"/>
                    </a:xfrm>
                    <a:prstGeom prst="rect">
                      <a:avLst/>
                    </a:prstGeom>
                    <a:noFill/>
                    <a:ln>
                      <a:noFill/>
                    </a:ln>
                  </pic:spPr>
                </pic:pic>
              </a:graphicData>
            </a:graphic>
          </wp:anchor>
        </w:drawing>
      </w:r>
    </w:p>
    <w:p w14:paraId="14AEDC2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52F0F0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D7526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769204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3283F9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88513F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928EEC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1FBB6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5" w:name="_Toc14605"/>
      <w:r>
        <w:rPr>
          <w:rFonts w:hint="eastAsia" w:ascii="Times New Roman" w:hAnsi="Times New Roman" w:eastAsia="仿宋_GB2312" w:cs="仿宋_GB2312"/>
          <w:color w:val="auto"/>
          <w:sz w:val="32"/>
          <w:szCs w:val="32"/>
          <w:highlight w:val="none"/>
          <w:lang w:eastAsia="zh-CN"/>
        </w:rPr>
        <w:t>（图2：收入决算结构图）（饼状图）</w:t>
      </w:r>
      <w:bookmarkEnd w:id="35"/>
    </w:p>
    <w:p w14:paraId="21724843">
      <w:pPr>
        <w:ind w:firstLine="800" w:firstLineChars="250"/>
        <w:rPr>
          <w:rFonts w:hint="eastAsia" w:ascii="Times New Roman" w:hAnsi="Times New Roman" w:eastAsia="仿宋_GB2312" w:cs="仿宋_GB2312"/>
          <w:color w:val="auto"/>
          <w:sz w:val="32"/>
          <w:szCs w:val="32"/>
          <w:highlight w:val="none"/>
          <w:lang w:eastAsia="zh-CN"/>
        </w:rPr>
      </w:pPr>
    </w:p>
    <w:p w14:paraId="6BFFDF1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36" w:name="_Toc15377207"/>
      <w:bookmarkStart w:id="37" w:name="_Toc15396605"/>
      <w:bookmarkStart w:id="38" w:name="_Toc2149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6"/>
      <w:bookmarkEnd w:id="37"/>
      <w:bookmarkEnd w:id="38"/>
    </w:p>
    <w:p w14:paraId="77EE0C9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9" w:name="_Toc2687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1187.36</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673.66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56.74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513.70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43.26</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39"/>
    </w:p>
    <w:p w14:paraId="38B93E3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61312" behindDoc="1" locked="0" layoutInCell="1" allowOverlap="1">
            <wp:simplePos x="0" y="0"/>
            <wp:positionH relativeFrom="column">
              <wp:posOffset>276225</wp:posOffset>
            </wp:positionH>
            <wp:positionV relativeFrom="paragraph">
              <wp:posOffset>361950</wp:posOffset>
            </wp:positionV>
            <wp:extent cx="4819650" cy="2771775"/>
            <wp:effectExtent l="0" t="0" r="0" b="9525"/>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4819650" cy="2771775"/>
                    </a:xfrm>
                    <a:prstGeom prst="rect">
                      <a:avLst/>
                    </a:prstGeom>
                    <a:noFill/>
                    <a:ln>
                      <a:noFill/>
                    </a:ln>
                  </pic:spPr>
                </pic:pic>
              </a:graphicData>
            </a:graphic>
          </wp:anchor>
        </w:drawing>
      </w:r>
    </w:p>
    <w:p w14:paraId="3FB56C1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5975B02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6ADB4C3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63C5F0A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472EBB0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779AC3A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44CB61E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2D031BF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41C369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40" w:name="_Toc12194"/>
      <w:r>
        <w:rPr>
          <w:rFonts w:hint="eastAsia" w:ascii="Times New Roman" w:hAnsi="Times New Roman" w:eastAsia="仿宋_GB2312" w:cs="仿宋_GB2312"/>
          <w:color w:val="auto"/>
          <w:sz w:val="32"/>
          <w:szCs w:val="32"/>
          <w:highlight w:val="none"/>
          <w:lang w:eastAsia="zh-CN"/>
        </w:rPr>
        <w:t>（图3：支出决算结构图）（饼状图）</w:t>
      </w:r>
      <w:bookmarkEnd w:id="40"/>
    </w:p>
    <w:p w14:paraId="67655085">
      <w:pPr>
        <w:ind w:firstLine="800" w:firstLineChars="250"/>
        <w:rPr>
          <w:rFonts w:hint="eastAsia" w:ascii="Times New Roman" w:hAnsi="Times New Roman" w:eastAsia="仿宋_GB2312" w:cs="仿宋_GB2312"/>
          <w:color w:val="auto"/>
          <w:sz w:val="32"/>
          <w:szCs w:val="32"/>
          <w:highlight w:val="none"/>
          <w:lang w:eastAsia="zh-CN"/>
        </w:rPr>
      </w:pPr>
    </w:p>
    <w:p w14:paraId="466ACD89">
      <w:pPr>
        <w:spacing w:line="600" w:lineRule="exact"/>
        <w:ind w:firstLine="640" w:firstLineChars="200"/>
        <w:outlineLvl w:val="1"/>
        <w:rPr>
          <w:rStyle w:val="30"/>
          <w:rFonts w:ascii="Times New Roman" w:hAnsi="Times New Roman" w:eastAsia="黑体"/>
          <w:b w:val="0"/>
          <w:color w:val="auto"/>
          <w:highlight w:val="none"/>
        </w:rPr>
      </w:pPr>
      <w:bookmarkStart w:id="41" w:name="_Toc2733"/>
      <w:bookmarkStart w:id="42" w:name="_Toc15377208"/>
      <w:bookmarkStart w:id="43"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41"/>
      <w:bookmarkEnd w:id="42"/>
      <w:bookmarkEnd w:id="43"/>
    </w:p>
    <w:p w14:paraId="7A85661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1187.36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216.11</w:t>
      </w:r>
      <w:r>
        <w:rPr>
          <w:rFonts w:hint="eastAsia" w:ascii="Times New Roman" w:hAnsi="Times New Roman" w:eastAsia="仿宋_GB2312" w:cs="仿宋_GB2312"/>
          <w:color w:val="auto"/>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，增长</w:t>
      </w:r>
      <w:r>
        <w:rPr>
          <w:rFonts w:hint="eastAsia" w:eastAsia="仿宋_GB2312" w:cs="仿宋_GB2312"/>
          <w:color w:val="auto"/>
          <w:kern w:val="2"/>
          <w:sz w:val="32"/>
          <w:szCs w:val="32"/>
          <w:highlight w:val="none"/>
          <w:lang w:val="en-US" w:eastAsia="zh-CN" w:bidi="ar-SA"/>
        </w:rPr>
        <w:t>22.25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本年项目经费增加。</w:t>
      </w:r>
    </w:p>
    <w:p w14:paraId="4B970B6A">
      <w:pPr>
        <w:pStyle w:val="12"/>
        <w:rPr>
          <w:rFonts w:hint="default" w:eastAsia="仿宋_GB2312" w:cs="仿宋_GB2312"/>
          <w:color w:val="auto"/>
          <w:kern w:val="2"/>
          <w:sz w:val="32"/>
          <w:szCs w:val="32"/>
          <w:highlight w:val="none"/>
          <w:lang w:val="en-US" w:eastAsia="zh-CN" w:bidi="ar-SA"/>
        </w:rPr>
      </w:pPr>
      <w:r>
        <w:drawing>
          <wp:inline distT="0" distB="0" distL="114300" distR="114300">
            <wp:extent cx="5271770" cy="2078355"/>
            <wp:effectExtent l="0" t="0" r="5080" b="1714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5271770" cy="2078355"/>
                    </a:xfrm>
                    <a:prstGeom prst="rect">
                      <a:avLst/>
                    </a:prstGeom>
                    <a:noFill/>
                    <a:ln>
                      <a:noFill/>
                    </a:ln>
                  </pic:spPr>
                </pic:pic>
              </a:graphicData>
            </a:graphic>
          </wp:inline>
        </w:drawing>
      </w:r>
    </w:p>
    <w:p w14:paraId="368B122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0C96D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83FCA9">
      <w:pPr>
        <w:spacing w:line="600" w:lineRule="exact"/>
        <w:ind w:firstLine="640" w:firstLineChars="200"/>
        <w:outlineLvl w:val="1"/>
        <w:rPr>
          <w:rStyle w:val="30"/>
          <w:rFonts w:ascii="Times New Roman" w:hAnsi="Times New Roman" w:eastAsia="黑体"/>
          <w:b w:val="0"/>
          <w:color w:val="auto"/>
          <w:highlight w:val="none"/>
        </w:rPr>
      </w:pPr>
      <w:bookmarkStart w:id="44" w:name="_Toc15377209"/>
      <w:bookmarkStart w:id="45" w:name="_Toc15396607"/>
      <w:bookmarkStart w:id="46" w:name="_Toc913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44"/>
      <w:bookmarkEnd w:id="45"/>
      <w:bookmarkEnd w:id="46"/>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0"/>
      <w:bookmarkStart w:id="48" w:name="_Toc32506"/>
      <w:r>
        <w:rPr>
          <w:rFonts w:hint="eastAsia" w:ascii="Times New Roman" w:hAnsi="Times New Roman" w:eastAsia="楷体_GB2312" w:cs="楷体_GB2312"/>
          <w:b/>
          <w:color w:val="auto"/>
          <w:sz w:val="32"/>
          <w:szCs w:val="32"/>
          <w:highlight w:val="none"/>
        </w:rPr>
        <w:t>（一）一般公共预算财政拨款支出决算总体情况</w:t>
      </w:r>
      <w:bookmarkEnd w:id="47"/>
      <w:bookmarkEnd w:id="48"/>
    </w:p>
    <w:p w14:paraId="2CD23E9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1187.36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216.11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22.25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本年项目经费增加。</w:t>
      </w:r>
    </w:p>
    <w:p w14:paraId="6886E6E3">
      <w:pPr>
        <w:pStyle w:val="12"/>
        <w:rPr>
          <w:rFonts w:hint="eastAsia" w:eastAsia="仿宋_GB2312" w:cs="仿宋_GB2312"/>
          <w:color w:val="auto"/>
          <w:kern w:val="2"/>
          <w:sz w:val="32"/>
          <w:szCs w:val="32"/>
          <w:highlight w:val="none"/>
          <w:lang w:val="en-US" w:eastAsia="zh-CN" w:bidi="ar-SA"/>
        </w:rPr>
      </w:pPr>
    </w:p>
    <w:p w14:paraId="2D097936">
      <w:pPr>
        <w:pStyle w:val="13"/>
        <w:rPr>
          <w:rFonts w:hint="eastAsia" w:eastAsia="仿宋_GB2312" w:cs="仿宋_GB2312"/>
          <w:color w:val="auto"/>
          <w:kern w:val="2"/>
          <w:sz w:val="32"/>
          <w:szCs w:val="32"/>
          <w:highlight w:val="none"/>
          <w:lang w:val="en-US" w:eastAsia="zh-CN" w:bidi="ar-SA"/>
        </w:rPr>
      </w:pPr>
    </w:p>
    <w:p w14:paraId="5C0EBCCA">
      <w:pPr>
        <w:pStyle w:val="13"/>
        <w:rPr>
          <w:rFonts w:hint="eastAsia" w:eastAsia="仿宋_GB2312" w:cs="仿宋_GB2312"/>
          <w:color w:val="auto"/>
          <w:kern w:val="2"/>
          <w:sz w:val="32"/>
          <w:szCs w:val="32"/>
          <w:highlight w:val="none"/>
          <w:lang w:val="en-US" w:eastAsia="zh-CN" w:bidi="ar-SA"/>
        </w:rPr>
      </w:pPr>
    </w:p>
    <w:p w14:paraId="5B9D791E">
      <w:pPr>
        <w:pStyle w:val="13"/>
        <w:rPr>
          <w:rFonts w:hint="eastAsia" w:eastAsia="仿宋_GB2312" w:cs="仿宋_GB2312"/>
          <w:color w:val="auto"/>
          <w:kern w:val="2"/>
          <w:sz w:val="32"/>
          <w:szCs w:val="32"/>
          <w:highlight w:val="none"/>
          <w:lang w:val="en-US" w:eastAsia="zh-CN" w:bidi="ar-SA"/>
        </w:rPr>
      </w:pPr>
      <w:r>
        <w:drawing>
          <wp:inline distT="0" distB="0" distL="114300" distR="114300">
            <wp:extent cx="4829175" cy="2771775"/>
            <wp:effectExtent l="0" t="0" r="9525" b="952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3"/>
                    <a:stretch>
                      <a:fillRect/>
                    </a:stretch>
                  </pic:blipFill>
                  <pic:spPr>
                    <a:xfrm>
                      <a:off x="0" y="0"/>
                      <a:ext cx="4829175" cy="2771775"/>
                    </a:xfrm>
                    <a:prstGeom prst="rect">
                      <a:avLst/>
                    </a:prstGeom>
                    <a:noFill/>
                    <a:ln>
                      <a:noFill/>
                    </a:ln>
                  </pic:spPr>
                </pic:pic>
              </a:graphicData>
            </a:graphic>
          </wp:inline>
        </w:drawing>
      </w:r>
    </w:p>
    <w:p w14:paraId="63FECF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CAEAA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9485"/>
      <w:bookmarkStart w:id="5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9"/>
      <w:bookmarkEnd w:id="50"/>
    </w:p>
    <w:p w14:paraId="701CEBDA">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1187.36</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科学技术支出1021.24万元，占</w:t>
      </w:r>
      <w:r>
        <w:rPr>
          <w:rFonts w:hint="eastAsia" w:eastAsia="仿宋_GB2312" w:cs="仿宋_GB2312"/>
          <w:color w:val="auto"/>
          <w:kern w:val="2"/>
          <w:sz w:val="32"/>
          <w:szCs w:val="32"/>
          <w:highlight w:val="none"/>
          <w:lang w:val="en-US" w:eastAsia="zh-CN" w:bidi="ar-SA"/>
        </w:rPr>
        <w:t>86.01</w:t>
      </w:r>
      <w:r>
        <w:rPr>
          <w:rFonts w:hint="eastAsia" w:ascii="Times New Roman" w:hAnsi="Times New Roman" w:eastAsia="仿宋_GB2312" w:cs="仿宋_GB2312"/>
          <w:color w:val="auto"/>
          <w:kern w:val="2"/>
          <w:sz w:val="32"/>
          <w:szCs w:val="32"/>
          <w:highlight w:val="none"/>
          <w:lang w:val="en-US" w:eastAsia="zh-CN" w:bidi="ar-SA"/>
        </w:rPr>
        <w:t>%；社会保障和就业支出97.52万元，占</w:t>
      </w:r>
      <w:r>
        <w:rPr>
          <w:rFonts w:hint="eastAsia" w:eastAsia="仿宋_GB2312" w:cs="仿宋_GB2312"/>
          <w:color w:val="auto"/>
          <w:kern w:val="2"/>
          <w:sz w:val="32"/>
          <w:szCs w:val="32"/>
          <w:highlight w:val="none"/>
          <w:lang w:val="en-US" w:eastAsia="zh-CN" w:bidi="ar-SA"/>
        </w:rPr>
        <w:t>8.21</w:t>
      </w:r>
      <w:r>
        <w:rPr>
          <w:rFonts w:hint="eastAsia" w:ascii="Times New Roman" w:hAnsi="Times New Roman" w:eastAsia="仿宋_GB2312" w:cs="仿宋_GB2312"/>
          <w:color w:val="auto"/>
          <w:kern w:val="2"/>
          <w:sz w:val="32"/>
          <w:szCs w:val="32"/>
          <w:highlight w:val="none"/>
          <w:lang w:val="en-US" w:eastAsia="zh-CN" w:bidi="ar-SA"/>
        </w:rPr>
        <w:t>%；卫生健康支出28.98万元，占</w:t>
      </w:r>
      <w:r>
        <w:rPr>
          <w:rFonts w:hint="eastAsia" w:eastAsia="仿宋_GB2312" w:cs="仿宋_GB2312"/>
          <w:color w:val="auto"/>
          <w:kern w:val="2"/>
          <w:sz w:val="32"/>
          <w:szCs w:val="32"/>
          <w:highlight w:val="none"/>
          <w:lang w:val="en-US" w:eastAsia="zh-CN" w:bidi="ar-SA"/>
        </w:rPr>
        <w:t>2.44</w:t>
      </w:r>
      <w:r>
        <w:rPr>
          <w:rFonts w:hint="eastAsia" w:ascii="Times New Roman" w:hAnsi="Times New Roman" w:eastAsia="仿宋_GB2312" w:cs="仿宋_GB2312"/>
          <w:color w:val="auto"/>
          <w:kern w:val="2"/>
          <w:sz w:val="32"/>
          <w:szCs w:val="32"/>
          <w:highlight w:val="none"/>
          <w:lang w:val="en-US" w:eastAsia="zh-CN" w:bidi="ar-SA"/>
        </w:rPr>
        <w:t>%；住房保障支出39.62万元，占</w:t>
      </w:r>
      <w:r>
        <w:rPr>
          <w:rFonts w:hint="eastAsia" w:eastAsia="仿宋_GB2312" w:cs="仿宋_GB2312"/>
          <w:color w:val="auto"/>
          <w:kern w:val="2"/>
          <w:sz w:val="32"/>
          <w:szCs w:val="32"/>
          <w:highlight w:val="none"/>
          <w:lang w:val="en-US" w:eastAsia="zh-CN" w:bidi="ar-SA"/>
        </w:rPr>
        <w:t>3.34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889DFEC">
      <w:pPr>
        <w:pStyle w:val="12"/>
        <w:rPr>
          <w:rFonts w:hint="eastAsia" w:eastAsia="仿宋_GB2312" w:cs="仿宋_GB2312"/>
          <w:color w:val="auto"/>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419100</wp:posOffset>
            </wp:positionH>
            <wp:positionV relativeFrom="paragraph">
              <wp:posOffset>114300</wp:posOffset>
            </wp:positionV>
            <wp:extent cx="4410075" cy="2533650"/>
            <wp:effectExtent l="0" t="0" r="9525" b="0"/>
            <wp:wrapNone/>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4410075" cy="2533650"/>
                    </a:xfrm>
                    <a:prstGeom prst="rect">
                      <a:avLst/>
                    </a:prstGeom>
                    <a:noFill/>
                    <a:ln>
                      <a:noFill/>
                    </a:ln>
                  </pic:spPr>
                </pic:pic>
              </a:graphicData>
            </a:graphic>
          </wp:anchor>
        </w:drawing>
      </w:r>
    </w:p>
    <w:p w14:paraId="16AC5527">
      <w:pPr>
        <w:pStyle w:val="13"/>
        <w:rPr>
          <w:rFonts w:hint="eastAsia" w:eastAsia="仿宋_GB2312" w:cs="仿宋_GB2312"/>
          <w:color w:val="auto"/>
          <w:kern w:val="2"/>
          <w:sz w:val="32"/>
          <w:szCs w:val="32"/>
          <w:highlight w:val="none"/>
          <w:lang w:val="en-US" w:eastAsia="zh-CN" w:bidi="ar-SA"/>
        </w:rPr>
      </w:pPr>
    </w:p>
    <w:p w14:paraId="6AB85EA1">
      <w:pPr>
        <w:pStyle w:val="13"/>
        <w:rPr>
          <w:rFonts w:hint="eastAsia" w:eastAsia="仿宋_GB2312" w:cs="仿宋_GB2312"/>
          <w:color w:val="auto"/>
          <w:kern w:val="2"/>
          <w:sz w:val="32"/>
          <w:szCs w:val="32"/>
          <w:highlight w:val="none"/>
          <w:lang w:val="en-US" w:eastAsia="zh-CN" w:bidi="ar-SA"/>
        </w:rPr>
      </w:pPr>
    </w:p>
    <w:p w14:paraId="754DD57B">
      <w:pPr>
        <w:pStyle w:val="13"/>
        <w:rPr>
          <w:rFonts w:hint="eastAsia" w:eastAsia="仿宋_GB2312" w:cs="仿宋_GB2312"/>
          <w:color w:val="auto"/>
          <w:kern w:val="2"/>
          <w:sz w:val="32"/>
          <w:szCs w:val="32"/>
          <w:highlight w:val="none"/>
          <w:lang w:val="en-US" w:eastAsia="zh-CN" w:bidi="ar-SA"/>
        </w:rPr>
      </w:pPr>
    </w:p>
    <w:p w14:paraId="5434AFCA">
      <w:pPr>
        <w:pStyle w:val="13"/>
        <w:rPr>
          <w:rFonts w:hint="eastAsia" w:eastAsia="仿宋_GB2312" w:cs="仿宋_GB2312"/>
          <w:color w:val="auto"/>
          <w:kern w:val="2"/>
          <w:sz w:val="32"/>
          <w:szCs w:val="32"/>
          <w:highlight w:val="none"/>
          <w:lang w:val="en-US" w:eastAsia="zh-CN" w:bidi="ar-SA"/>
        </w:rPr>
      </w:pPr>
    </w:p>
    <w:p w14:paraId="3096874B">
      <w:pPr>
        <w:pStyle w:val="13"/>
        <w:rPr>
          <w:rFonts w:hint="eastAsia" w:eastAsia="仿宋_GB2312" w:cs="仿宋_GB2312"/>
          <w:color w:val="auto"/>
          <w:kern w:val="2"/>
          <w:sz w:val="32"/>
          <w:szCs w:val="32"/>
          <w:highlight w:val="none"/>
          <w:lang w:val="en-US" w:eastAsia="zh-CN" w:bidi="ar-SA"/>
        </w:rPr>
      </w:pPr>
    </w:p>
    <w:p w14:paraId="06007502">
      <w:pPr>
        <w:pStyle w:val="13"/>
        <w:rPr>
          <w:rFonts w:hint="eastAsia" w:eastAsia="仿宋_GB2312" w:cs="仿宋_GB2312"/>
          <w:color w:val="auto"/>
          <w:kern w:val="2"/>
          <w:sz w:val="32"/>
          <w:szCs w:val="32"/>
          <w:highlight w:val="none"/>
          <w:lang w:val="en-US" w:eastAsia="zh-CN" w:bidi="ar-SA"/>
        </w:rPr>
      </w:pPr>
    </w:p>
    <w:p w14:paraId="1111D8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51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4541"/>
      <w:bookmarkStart w:id="5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1"/>
      <w:bookmarkEnd w:id="52"/>
    </w:p>
    <w:p w14:paraId="765B62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3" w:name="_Toc15378460"/>
      <w:bookmarkStart w:id="54" w:name="_Toc15377213"/>
      <w:bookmarkStart w:id="55" w:name="_Toc15377444"/>
      <w:r>
        <w:rPr>
          <w:rFonts w:hint="eastAsia" w:ascii="Times New Roman" w:hAnsi="Times New Roman" w:eastAsia="仿宋_GB2312" w:cs="仿宋_GB2312"/>
          <w:color w:val="auto"/>
          <w:kern w:val="2"/>
          <w:sz w:val="32"/>
          <w:szCs w:val="32"/>
          <w:highlight w:val="none"/>
          <w:lang w:val="en-US" w:eastAsia="zh-CN" w:bidi="ar-SA"/>
        </w:rPr>
        <w:t>2025年度一般公共预算财政拨款支出决算数为</w:t>
      </w:r>
      <w:r>
        <w:rPr>
          <w:rFonts w:hint="eastAsia" w:ascii="仿宋_GB2312" w:hAnsi="仿宋_GB2312" w:eastAsia="仿宋_GB2312" w:cs="仿宋_GB2312"/>
          <w:sz w:val="32"/>
          <w:szCs w:val="32"/>
          <w:lang w:val="en-US" w:eastAsia="zh-CN"/>
        </w:rPr>
        <w:t>1187.36</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53"/>
      <w:bookmarkEnd w:id="54"/>
      <w:bookmarkEnd w:id="55"/>
    </w:p>
    <w:p w14:paraId="78E5D0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科学技术（类）</w:t>
      </w:r>
      <w:r>
        <w:rPr>
          <w:rFonts w:hint="eastAsia" w:eastAsia="仿宋_GB2312" w:cs="仿宋_GB2312"/>
          <w:color w:val="auto"/>
          <w:kern w:val="2"/>
          <w:sz w:val="32"/>
          <w:szCs w:val="32"/>
          <w:highlight w:val="none"/>
          <w:lang w:val="en-US" w:eastAsia="zh-CN" w:bidi="ar-SA"/>
        </w:rPr>
        <w:t>206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支出决算为687.98万元，完成预算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A5066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2.科学技术（类）</w:t>
      </w:r>
      <w:r>
        <w:rPr>
          <w:rFonts w:hint="eastAsia" w:eastAsia="仿宋_GB2312" w:cs="仿宋_GB2312"/>
          <w:color w:val="auto"/>
          <w:kern w:val="2"/>
          <w:sz w:val="32"/>
          <w:szCs w:val="32"/>
          <w:highlight w:val="none"/>
          <w:lang w:val="en-US" w:eastAsia="zh-CN" w:bidi="ar-SA"/>
        </w:rPr>
        <w:t>206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（项）: 支出决算为333.26万元，完成预算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25E34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支出决算为97.52万元，完成预算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5F1185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支出决算为28.98万元，完成预算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A7BC27C">
      <w:pPr>
        <w:pStyle w:val="12"/>
        <w:ind w:firstLine="640" w:firstLineChars="200"/>
        <w:rPr>
          <w:rFonts w:hint="eastAsia"/>
          <w:b/>
          <w:bCs/>
          <w:lang w:val="en-US" w:eastAsia="zh-CN"/>
        </w:rPr>
      </w:pPr>
      <w:r>
        <w:rPr>
          <w:rFonts w:hint="eastAsia" w:ascii="Times New Roman" w:hAnsi="Times New Roman" w:eastAsia="仿宋_GB2312" w:cs="仿宋_GB2312"/>
          <w:color w:val="auto"/>
          <w:kern w:val="2"/>
          <w:sz w:val="32"/>
          <w:szCs w:val="32"/>
          <w:highlight w:val="none"/>
          <w:lang w:val="en-US" w:eastAsia="zh-CN" w:bidi="ar-SA"/>
        </w:rPr>
        <w:t>5.住房保障（类）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（款）02（项）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支出决算为39.62万元，完成预算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2DA4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5EF764D">
      <w:pPr>
        <w:tabs>
          <w:tab w:val="right" w:pos="8306"/>
        </w:tabs>
        <w:spacing w:line="600" w:lineRule="exact"/>
        <w:ind w:firstLine="640"/>
        <w:outlineLvl w:val="1"/>
        <w:rPr>
          <w:rStyle w:val="30"/>
          <w:rFonts w:ascii="Times New Roman" w:hAnsi="Times New Roman"/>
          <w:color w:val="auto"/>
          <w:highlight w:val="none"/>
        </w:rPr>
      </w:pPr>
      <w:bookmarkStart w:id="56" w:name="_Toc6960"/>
      <w:bookmarkStart w:id="57" w:name="_Toc15396608"/>
      <w:bookmarkStart w:id="58"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6"/>
      <w:bookmarkEnd w:id="57"/>
      <w:bookmarkEnd w:id="58"/>
      <w:r>
        <w:rPr>
          <w:rStyle w:val="30"/>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673.66</w:t>
      </w:r>
      <w:r>
        <w:rPr>
          <w:rFonts w:hint="eastAsia" w:ascii="Times New Roman" w:hAnsi="Times New Roman" w:eastAsia="仿宋_GB2312" w:cs="仿宋_GB2312"/>
          <w:color w:val="auto"/>
          <w:kern w:val="2"/>
          <w:sz w:val="32"/>
          <w:szCs w:val="32"/>
          <w:highlight w:val="none"/>
          <w:lang w:val="en-US" w:eastAsia="zh-CN" w:bidi="ar-SA"/>
        </w:rPr>
        <w:t>万元，其中：</w:t>
      </w:r>
    </w:p>
    <w:p w14:paraId="178DA0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577.76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95.90</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B6C21F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A1DDF0">
      <w:pPr>
        <w:spacing w:line="600" w:lineRule="exact"/>
        <w:ind w:firstLine="640"/>
        <w:outlineLvl w:val="1"/>
        <w:rPr>
          <w:rStyle w:val="30"/>
          <w:rFonts w:ascii="Times New Roman" w:hAnsi="Times New Roman" w:eastAsia="黑体"/>
          <w:b w:val="0"/>
          <w:color w:val="auto"/>
          <w:highlight w:val="none"/>
        </w:rPr>
      </w:pPr>
      <w:bookmarkStart w:id="59" w:name="_Toc15396609"/>
      <w:bookmarkStart w:id="60" w:name="_Toc15377215"/>
      <w:bookmarkStart w:id="61" w:name="_Toc295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9"/>
      <w:bookmarkEnd w:id="60"/>
      <w:bookmarkEnd w:id="61"/>
    </w:p>
    <w:p w14:paraId="7ADB7F8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16"/>
      <w:bookmarkStart w:id="63" w:name="_Toc318"/>
      <w:r>
        <w:rPr>
          <w:rFonts w:hint="eastAsia" w:ascii="Times New Roman" w:hAnsi="Times New Roman" w:eastAsia="楷体_GB2312" w:cs="楷体_GB2312"/>
          <w:b/>
          <w:color w:val="auto"/>
          <w:sz w:val="32"/>
          <w:szCs w:val="32"/>
          <w:highlight w:val="none"/>
        </w:rPr>
        <w:t>（一）财政拨款“三公”经费支出决算总体情况说明</w:t>
      </w:r>
      <w:bookmarkEnd w:id="62"/>
      <w:bookmarkEnd w:id="63"/>
    </w:p>
    <w:p w14:paraId="017B02D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85.45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63.87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295.97</w:t>
      </w:r>
      <w:r>
        <w:rPr>
          <w:rFonts w:hint="eastAsia" w:ascii="Times New Roman" w:hAnsi="Times New Roman" w:eastAsia="仿宋_GB2312" w:cs="仿宋_GB2312"/>
          <w:color w:val="auto"/>
          <w:kern w:val="2"/>
          <w:sz w:val="32"/>
          <w:szCs w:val="32"/>
          <w:highlight w:val="none"/>
          <w:lang w:val="en-US" w:eastAsia="zh-CN" w:bidi="ar-SA"/>
        </w:rPr>
        <w:t>%。</w:t>
      </w:r>
    </w:p>
    <w:p w14:paraId="18FAE90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7660"/>
      <w:bookmarkStart w:id="6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4"/>
      <w:bookmarkEnd w:id="65"/>
    </w:p>
    <w:p w14:paraId="1B9A6808">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eastAsia="仿宋_GB2312" w:cs="仿宋_GB2312"/>
          <w:color w:val="auto"/>
          <w:kern w:val="2"/>
          <w:sz w:val="32"/>
          <w:szCs w:val="32"/>
          <w:highlight w:val="none"/>
          <w:lang w:val="en-US" w:eastAsia="zh-CN" w:bidi="ar-SA"/>
        </w:rPr>
        <w:t>85.45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F983ED5">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bookmarkStart w:id="66" w:name="_Toc15396610"/>
      <w:bookmarkStart w:id="67" w:name="_Toc15377218"/>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85.45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上年度63.87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295.97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本年采购公务车辆一台。</w:t>
      </w:r>
    </w:p>
    <w:p w14:paraId="35B6ECC3">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58.66</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eastAsia="仿宋_GB2312" w:cs="仿宋_GB2312"/>
          <w:color w:val="auto"/>
          <w:kern w:val="2"/>
          <w:sz w:val="32"/>
          <w:szCs w:val="32"/>
          <w:highlight w:val="none"/>
          <w:lang w:val="en-US" w:eastAsia="zh-CN" w:bidi="ar-SA"/>
        </w:rPr>
        <w:t>58.66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开展公务活动</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14:paraId="647F09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26.78</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14:paraId="06912B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341602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DA8B58">
      <w:pPr>
        <w:spacing w:line="600" w:lineRule="exact"/>
        <w:ind w:firstLine="640"/>
        <w:outlineLvl w:val="1"/>
        <w:rPr>
          <w:rStyle w:val="30"/>
          <w:rFonts w:ascii="Times New Roman" w:hAnsi="Times New Roman" w:eastAsia="黑体"/>
          <w:color w:val="auto"/>
          <w:highlight w:val="none"/>
        </w:rPr>
      </w:pPr>
      <w:bookmarkStart w:id="68" w:name="_Toc24529"/>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66"/>
      <w:bookmarkEnd w:id="67"/>
      <w:bookmarkEnd w:id="68"/>
    </w:p>
    <w:p w14:paraId="766617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本单位无政府性基金预算支出</w:t>
      </w:r>
    </w:p>
    <w:p w14:paraId="6EDF50E5">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69" w:name="_Toc8143"/>
      <w:bookmarkStart w:id="70" w:name="_Toc15396611"/>
      <w:bookmarkStart w:id="71"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69"/>
      <w:bookmarkEnd w:id="70"/>
      <w:bookmarkEnd w:id="71"/>
    </w:p>
    <w:p w14:paraId="07323ADD">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bookmarkStart w:id="72" w:name="_Toc9806"/>
      <w:r>
        <w:rPr>
          <w:rFonts w:hint="eastAsia" w:eastAsia="仿宋_GB2312" w:cs="仿宋_GB2312"/>
          <w:color w:val="auto"/>
          <w:kern w:val="2"/>
          <w:sz w:val="32"/>
          <w:szCs w:val="32"/>
          <w:highlight w:val="none"/>
          <w:lang w:val="en-US" w:eastAsia="zh-CN" w:bidi="ar-SA"/>
        </w:rPr>
        <w:t>本单位无国有资本经营预算支出</w:t>
      </w:r>
      <w:bookmarkEnd w:id="72"/>
    </w:p>
    <w:p w14:paraId="7603ABEE">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73" w:name="_Toc15377221"/>
      <w:bookmarkStart w:id="74" w:name="_Toc15396612"/>
      <w:bookmarkStart w:id="75" w:name="_Toc604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73"/>
      <w:bookmarkEnd w:id="74"/>
      <w:bookmarkEnd w:id="75"/>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27860"/>
      <w:bookmarkStart w:id="77" w:name="_Toc15377222"/>
      <w:r>
        <w:rPr>
          <w:rFonts w:hint="eastAsia" w:ascii="Times New Roman" w:hAnsi="Times New Roman" w:eastAsia="楷体_GB2312" w:cs="楷体_GB2312"/>
          <w:b/>
          <w:color w:val="auto"/>
          <w:sz w:val="32"/>
          <w:szCs w:val="32"/>
          <w:highlight w:val="none"/>
        </w:rPr>
        <w:t>（一）机关运行经费支出情况</w:t>
      </w:r>
      <w:bookmarkEnd w:id="76"/>
      <w:bookmarkEnd w:id="77"/>
    </w:p>
    <w:p w14:paraId="1F492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阿坝州科学技术协会</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81.32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6.63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8.88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本年度人员增加。</w:t>
      </w: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8" w:name="_Toc15377223"/>
      <w:bookmarkStart w:id="79" w:name="_Toc2945"/>
      <w:r>
        <w:rPr>
          <w:rFonts w:hint="eastAsia" w:ascii="Times New Roman" w:hAnsi="Times New Roman" w:eastAsia="楷体_GB2312" w:cs="楷体_GB2312"/>
          <w:b/>
          <w:color w:val="auto"/>
          <w:sz w:val="32"/>
          <w:szCs w:val="32"/>
          <w:highlight w:val="none"/>
        </w:rPr>
        <w:t>（二）政府采购支出情况</w:t>
      </w:r>
      <w:bookmarkEnd w:id="78"/>
      <w:bookmarkEnd w:id="79"/>
    </w:p>
    <w:p w14:paraId="6E8FDF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阿坝州科学技术协会</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229.10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175.63</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53.47</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229.10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229.10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743138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0" w:name="_Toc18251"/>
      <w:bookmarkStart w:id="81" w:name="_Toc15377224"/>
      <w:r>
        <w:rPr>
          <w:rFonts w:hint="eastAsia" w:ascii="Times New Roman" w:hAnsi="Times New Roman" w:eastAsia="楷体_GB2312" w:cs="楷体_GB2312"/>
          <w:b/>
          <w:color w:val="auto"/>
          <w:sz w:val="32"/>
          <w:szCs w:val="32"/>
          <w:highlight w:val="none"/>
        </w:rPr>
        <w:t>（三）国有资产占有使用情况</w:t>
      </w:r>
      <w:bookmarkEnd w:id="80"/>
      <w:bookmarkEnd w:id="81"/>
    </w:p>
    <w:p w14:paraId="21DA6B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阿坝州科学技术协会</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辆，其中：特种专业技术用车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开展公务活动。</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79157C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2" w:name="_Toc13229"/>
      <w:r>
        <w:rPr>
          <w:rFonts w:hint="eastAsia" w:ascii="Times New Roman" w:hAnsi="Times New Roman" w:eastAsia="楷体_GB2312" w:cs="楷体_GB2312"/>
          <w:b/>
          <w:color w:val="auto"/>
          <w:sz w:val="32"/>
          <w:szCs w:val="32"/>
          <w:highlight w:val="none"/>
        </w:rPr>
        <w:t>（四）预算绩效管理情况</w:t>
      </w:r>
      <w:bookmarkEnd w:id="82"/>
    </w:p>
    <w:p w14:paraId="20D685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阿坝州科学技术协会</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F1A75CB">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D672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3" w:name="_Toc15396613"/>
      <w:bookmarkStart w:id="84" w:name="_Toc6583"/>
      <w:bookmarkStart w:id="85"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3"/>
      <w:bookmarkEnd w:id="84"/>
      <w:bookmarkEnd w:id="85"/>
    </w:p>
    <w:p w14:paraId="38C013ED">
      <w:pPr>
        <w:spacing w:line="600" w:lineRule="exact"/>
        <w:jc w:val="left"/>
        <w:rPr>
          <w:rFonts w:ascii="Times New Roman" w:hAnsi="Times New Roman"/>
          <w:b/>
          <w:color w:val="auto"/>
          <w:sz w:val="44"/>
          <w:szCs w:val="44"/>
          <w:highlight w:val="none"/>
        </w:rPr>
      </w:pPr>
    </w:p>
    <w:p w14:paraId="73212B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843D3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86314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601F27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w:t>
      </w:r>
      <w:r>
        <w:rPr>
          <w:rFonts w:hint="eastAsia" w:eastAsia="仿宋_GB2312" w:cs="仿宋_GB2312"/>
          <w:color w:val="auto"/>
          <w:sz w:val="32"/>
          <w:szCs w:val="32"/>
          <w:highlight w:val="none"/>
          <w:lang w:val="en-US" w:eastAsia="zh-CN"/>
        </w:rPr>
        <w:t>2025年年底省科协下达20万元科普研学游项目经费</w:t>
      </w:r>
      <w:r>
        <w:rPr>
          <w:rFonts w:hint="eastAsia" w:ascii="Times New Roman" w:hAnsi="Times New Roman" w:eastAsia="仿宋_GB2312" w:cs="仿宋_GB2312"/>
          <w:color w:val="auto"/>
          <w:kern w:val="2"/>
          <w:sz w:val="32"/>
          <w:szCs w:val="32"/>
          <w:highlight w:val="none"/>
          <w:lang w:val="en-US" w:eastAsia="zh-CN" w:bidi="ar-SA"/>
        </w:rPr>
        <w:t xml:space="preserve">。 </w:t>
      </w:r>
    </w:p>
    <w:p w14:paraId="4559E6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9B6FF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B7D51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57B16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F7A1A26">
      <w:pPr>
        <w:pStyle w:val="27"/>
        <w:spacing w:line="560" w:lineRule="exact"/>
        <w:ind w:firstLine="640" w:firstLineChars="200"/>
        <w:outlineLvl w:val="1"/>
        <w:rPr>
          <w:rFonts w:hint="eastAsia" w:ascii="仿宋_GB2312" w:eastAsia="仿宋_GB2312"/>
          <w:color w:val="auto"/>
          <w:sz w:val="32"/>
          <w:szCs w:val="32"/>
          <w:highlight w:val="none"/>
        </w:rPr>
      </w:pPr>
      <w:bookmarkStart w:id="86" w:name="_Toc12029"/>
      <w:bookmarkStart w:id="87" w:name="_Toc16718"/>
      <w:bookmarkStart w:id="88" w:name="_Toc7854"/>
      <w:bookmarkStart w:id="89" w:name="_Toc17491"/>
      <w:bookmarkStart w:id="90" w:name="_Toc1721"/>
      <w:r>
        <w:rPr>
          <w:rFonts w:hint="eastAsia" w:ascii="仿宋_GB2312" w:eastAsia="仿宋_GB2312"/>
          <w:color w:val="auto"/>
          <w:sz w:val="32"/>
          <w:szCs w:val="32"/>
          <w:highlight w:val="none"/>
        </w:rPr>
        <w:t>1.财政拨款收入：指单位从同级财政部门取得的财政预算资金。</w:t>
      </w:r>
      <w:bookmarkEnd w:id="86"/>
      <w:bookmarkEnd w:id="87"/>
      <w:bookmarkEnd w:id="88"/>
      <w:bookmarkEnd w:id="89"/>
      <w:bookmarkEnd w:id="90"/>
    </w:p>
    <w:p w14:paraId="172CD59D">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反映行政单位（包括实行公务员管理的事业单位）的基本支出。</w:t>
      </w:r>
    </w:p>
    <w:p w14:paraId="61345F9B">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反映行政单位（包括实行公务员管理的事业单位）未单独设项级科目的其他项目支出。</w:t>
      </w:r>
    </w:p>
    <w:p w14:paraId="1DB72511">
      <w:pPr>
        <w:ind w:firstLine="640" w:firstLineChars="200"/>
        <w:rPr>
          <w:rFonts w:hint="default"/>
          <w:lang w:val="en-US" w:eastAsia="zh-CN"/>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反映行政单位（包括实行公务员管理的事业单位）未单独设项级科目的其他项目支出。</w:t>
      </w:r>
    </w:p>
    <w:p w14:paraId="72276F32">
      <w:pPr>
        <w:ind w:firstLine="640" w:firstLineChars="200"/>
        <w:rPr>
          <w:rFonts w:hint="eastAsia"/>
          <w:lang w:eastAsia="zh-CN"/>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07</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反映各级政府科技馆、站的支出。</w:t>
      </w:r>
    </w:p>
    <w:p w14:paraId="7B0ACBE5">
      <w:pPr>
        <w:pStyle w:val="12"/>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07</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反映其他用于科学技术普及方面的支出。</w:t>
      </w:r>
    </w:p>
    <w:p w14:paraId="6D9FE37A">
      <w:pPr>
        <w:pStyle w:val="13"/>
        <w:ind w:left="0" w:leftChars="0"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7</w:t>
      </w:r>
      <w:r>
        <w:rPr>
          <w:rFonts w:hint="eastAsia" w:ascii="仿宋_GB2312" w:eastAsia="仿宋_GB2312"/>
          <w:color w:val="auto"/>
          <w:sz w:val="32"/>
          <w:szCs w:val="32"/>
          <w:highlight w:val="none"/>
        </w:rPr>
        <w:t>.科学技术（类）</w:t>
      </w:r>
      <w:r>
        <w:rPr>
          <w:rFonts w:hint="eastAsia" w:ascii="仿宋_GB2312" w:eastAsia="仿宋_GB2312"/>
          <w:color w:val="auto"/>
          <w:sz w:val="32"/>
          <w:szCs w:val="32"/>
          <w:highlight w:val="none"/>
          <w:lang w:val="en-US" w:eastAsia="zh-CN"/>
        </w:rPr>
        <w:t>206</w:t>
      </w:r>
      <w:r>
        <w:rPr>
          <w:rFonts w:hint="eastAsia" w:ascii="仿宋_GB2312" w:eastAsia="仿宋_GB2312"/>
          <w:color w:val="auto"/>
          <w:sz w:val="32"/>
          <w:szCs w:val="32"/>
          <w:highlight w:val="none"/>
        </w:rPr>
        <w:t>（款）</w:t>
      </w:r>
      <w:r>
        <w:rPr>
          <w:rFonts w:hint="eastAsia" w:eastAsia="仿宋_GB2312"/>
          <w:color w:val="auto"/>
          <w:sz w:val="32"/>
          <w:szCs w:val="32"/>
          <w:highlight w:val="none"/>
          <w:lang w:val="en-US" w:eastAsia="zh-CN"/>
        </w:rPr>
        <w:t>99</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反映其</w:t>
      </w:r>
      <w:r>
        <w:rPr>
          <w:rFonts w:hint="eastAsia" w:eastAsia="仿宋_GB2312"/>
          <w:color w:val="auto"/>
          <w:sz w:val="32"/>
          <w:szCs w:val="32"/>
          <w:highlight w:val="none"/>
          <w:lang w:eastAsia="zh-CN"/>
        </w:rPr>
        <w:t>反映其他科学技术中除以上各项外用于科技方面的支出。</w:t>
      </w:r>
    </w:p>
    <w:p w14:paraId="1F7C2F09">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8</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反映机关事业单位实施养老保险制度由单位缴纳的基本养老保险费支出</w:t>
      </w:r>
      <w:r>
        <w:rPr>
          <w:rFonts w:hint="eastAsia" w:ascii="仿宋_GB2312" w:eastAsia="仿宋_GB2312"/>
          <w:color w:val="auto"/>
          <w:sz w:val="32"/>
          <w:szCs w:val="32"/>
          <w:highlight w:val="none"/>
        </w:rPr>
        <w:t>。</w:t>
      </w:r>
    </w:p>
    <w:p w14:paraId="70A19B97">
      <w:pPr>
        <w:pStyle w:val="12"/>
        <w:ind w:firstLine="640" w:firstLineChars="200"/>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9.</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06</w:t>
      </w:r>
      <w:r>
        <w:rPr>
          <w:rFonts w:hint="eastAsia" w:ascii="仿宋_GB2312" w:eastAsia="仿宋_GB2312" w:cs="Times New Roman"/>
          <w:color w:val="auto"/>
          <w:kern w:val="2"/>
          <w:sz w:val="32"/>
          <w:szCs w:val="32"/>
          <w:highlight w:val="none"/>
          <w:lang w:val="en-US" w:eastAsia="zh-CN" w:bidi="ar-SA"/>
        </w:rPr>
        <w:t>: 指机关事业单位实施养老保险制度由单位缴纳的职业年金支出。</w:t>
      </w:r>
    </w:p>
    <w:p w14:paraId="75834CF7">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10.卫生健康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s="Times New Roman"/>
          <w:color w:val="auto"/>
          <w:kern w:val="2"/>
          <w:sz w:val="32"/>
          <w:szCs w:val="32"/>
          <w:highlight w:val="none"/>
          <w:lang w:val="en-US" w:eastAsia="zh-CN" w:bidi="ar-SA"/>
        </w:rPr>
        <w:t xml:space="preserve">:指财政部门安排的行政单位（包括实行公务员管理的事业单位，下同）基本医疗保险缴费经费，未参加医疗保险的行政单位的公费医疗经费，按国家规定享受离休人员、红军老战士待遇的医疗经费。  </w:t>
      </w:r>
    </w:p>
    <w:p w14:paraId="51389F53">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11.卫生健康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03</w:t>
      </w:r>
      <w:r>
        <w:rPr>
          <w:rFonts w:hint="eastAsia" w:ascii="仿宋_GB2312" w:eastAsia="仿宋_GB2312" w:cs="Times New Roman"/>
          <w:color w:val="auto"/>
          <w:kern w:val="2"/>
          <w:sz w:val="32"/>
          <w:szCs w:val="32"/>
          <w:highlight w:val="none"/>
          <w:lang w:val="en-US" w:eastAsia="zh-CN" w:bidi="ar-SA"/>
        </w:rPr>
        <w:t xml:space="preserve">:指财政部门安排的公务员医疗补助经费。 </w:t>
      </w:r>
    </w:p>
    <w:p w14:paraId="4624A09E">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lang w:val="en-US" w:eastAsia="zh-CN"/>
        </w:rPr>
      </w:pPr>
      <w:r>
        <w:rPr>
          <w:rFonts w:hint="eastAsia" w:ascii="仿宋_GB2312" w:eastAsia="仿宋_GB2312" w:cs="Times New Roman"/>
          <w:color w:val="auto"/>
          <w:kern w:val="2"/>
          <w:sz w:val="32"/>
          <w:szCs w:val="32"/>
          <w:highlight w:val="none"/>
          <w:lang w:val="en-US" w:eastAsia="zh-CN" w:bidi="ar-SA"/>
        </w:rPr>
        <w:t>12.住房保障（</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01：</w:t>
      </w:r>
      <w:r>
        <w:rPr>
          <w:rFonts w:hint="eastAsia" w:ascii="仿宋_GB2312" w:eastAsia="仿宋_GB2312" w:cs="Times New Roman"/>
          <w:color w:val="auto"/>
          <w:kern w:val="2"/>
          <w:sz w:val="32"/>
          <w:szCs w:val="32"/>
          <w:highlight w:val="none"/>
          <w:lang w:val="en-US" w:eastAsia="zh-CN" w:bidi="ar-SA"/>
        </w:rPr>
        <w:t>指指行政事业单位按人力资源和社会保障部、财政部规定的基本工资和津贴补贴以及规定比例为职工缴纳的住房公积金。</w:t>
      </w:r>
    </w:p>
    <w:p w14:paraId="5CF7495E">
      <w:pPr>
        <w:pStyle w:val="15"/>
        <w:keepNext w:val="0"/>
        <w:keepLines w:val="0"/>
        <w:widowControl/>
        <w:suppressLineNumbers w:val="0"/>
        <w:pBdr>
          <w:top w:val="none" w:color="auto" w:sz="0" w:space="0"/>
          <w:bottom w:val="none" w:color="auto" w:sz="0" w:space="0"/>
        </w:pBdr>
        <w:suppressAutoHyphens/>
        <w:spacing w:before="100" w:beforeAutospacing="1" w:after="100" w:afterAutospacing="1" w:line="576" w:lineRule="atLeast"/>
        <w:ind w:left="0" w:right="0"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13.住房保障（</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val="en-US" w:eastAsia="zh-CN"/>
        </w:rPr>
        <w:t>03</w:t>
      </w:r>
      <w:r>
        <w:rPr>
          <w:rFonts w:hint="eastAsia" w:ascii="仿宋_GB2312" w:eastAsia="仿宋_GB2312" w:cs="Times New Roman"/>
          <w:color w:val="auto"/>
          <w:kern w:val="2"/>
          <w:sz w:val="32"/>
          <w:szCs w:val="32"/>
          <w:highlight w:val="none"/>
          <w:lang w:val="en-US" w:eastAsia="zh-CN" w:bidi="ar-SA"/>
        </w:rPr>
        <w:t>：指按房改政策规定，行政事业单位向符合条件职工（含离退休人员）、军队（含武警）向转役复员离退休人员发放的用于购买住房的补贴。</w:t>
      </w:r>
    </w:p>
    <w:p w14:paraId="0E0C47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0F0A89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BABB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64591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44BC0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ECF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D353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134137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736E4A05">
      <w:pPr>
        <w:widowControl/>
        <w:spacing w:line="578" w:lineRule="exact"/>
        <w:contextualSpacing/>
        <w:jc w:val="center"/>
        <w:rPr>
          <w:rFonts w:hint="eastAsia" w:eastAsia="方正小标宋简体"/>
          <w:bCs/>
          <w:sz w:val="44"/>
          <w:szCs w:val="44"/>
          <w:shd w:val="clear" w:color="auto" w:fill="FFFFFF"/>
          <w:lang w:val="en-US" w:eastAsia="zh-CN"/>
        </w:rPr>
      </w:pPr>
      <w:bookmarkStart w:id="9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92" w:name="_Toc15396618"/>
      <w:r>
        <w:rPr>
          <w:rFonts w:hint="eastAsia" w:eastAsia="方正小标宋简体"/>
          <w:bCs/>
          <w:sz w:val="44"/>
          <w:szCs w:val="44"/>
          <w:shd w:val="clear" w:color="auto" w:fill="FFFFFF"/>
          <w:lang w:val="en-US" w:eastAsia="zh-CN"/>
        </w:rPr>
        <w:t>阿坝州科学技术协会</w:t>
      </w:r>
    </w:p>
    <w:p w14:paraId="58118BF2">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lang w:val="en-US" w:eastAsia="zh-CN"/>
        </w:rPr>
        <w:t>2025年</w:t>
      </w: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66CAB173">
      <w:pPr>
        <w:widowControl/>
        <w:spacing w:line="578" w:lineRule="exact"/>
        <w:contextualSpacing/>
        <w:jc w:val="center"/>
        <w:rPr>
          <w:szCs w:val="32"/>
          <w:shd w:val="clear" w:color="auto" w:fill="FFFFFF"/>
        </w:rPr>
      </w:pPr>
      <w:r>
        <w:rPr>
          <w:szCs w:val="32"/>
          <w:shd w:val="clear" w:color="auto" w:fill="FFFFFF"/>
        </w:rPr>
        <w:t>（报告范围包括机关和下属单位）</w:t>
      </w:r>
    </w:p>
    <w:p w14:paraId="27F40813">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6E5F78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一、部门（单位）基本情况</w:t>
      </w:r>
    </w:p>
    <w:p w14:paraId="6DF38D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（一）机构组成。</w:t>
      </w:r>
      <w:r>
        <w:rPr>
          <w:rFonts w:hint="eastAsia" w:ascii="Times New Roman" w:hAnsi="Times New Roman" w:eastAsia="仿宋_GB2312" w:cs="仿宋_GB2312"/>
          <w:color w:val="auto"/>
          <w:kern w:val="2"/>
          <w:sz w:val="32"/>
          <w:szCs w:val="32"/>
          <w:highlight w:val="none"/>
          <w:lang w:val="en-US" w:eastAsia="zh-CN" w:bidi="ar-SA"/>
        </w:rPr>
        <w:t>阿坝州科学技术协会内设办公室、青少年部、普及部、学会部四个部室，下属事业单位两个，分别为阿坝州民族科普工作队、阿坝州科技馆。</w:t>
      </w:r>
    </w:p>
    <w:p w14:paraId="0F8D4B7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（二）机构职能。</w:t>
      </w:r>
      <w:r>
        <w:rPr>
          <w:rFonts w:hint="eastAsia" w:ascii="Times New Roman" w:hAnsi="Times New Roman" w:eastAsia="仿宋_GB2312" w:cs="仿宋_GB2312"/>
          <w:color w:val="auto"/>
          <w:kern w:val="2"/>
          <w:sz w:val="32"/>
          <w:szCs w:val="32"/>
          <w:highlight w:val="none"/>
          <w:lang w:val="en-US" w:eastAsia="zh-CN" w:bidi="ar-SA"/>
        </w:rPr>
        <w:t>1.开展学术交流，活跃学术思想，促进学科发展，推动决策科学化和民主化。2.宏扬科学精神，普及科学知识；科学思想和科学方法，捍卫科学尊严，推广先进技术，开展青少年科学技术教育活动，提高全民族科学文化素质。3.反映科技工作者的意见和要求，维护科技工作者的合法权益。组织科技工作者参与科技政策、法规制度，引导科技工作者在全国家和社会事务管理中发挥积极作用。4.表彰奖励有突出贡献的优秀科技团体和科技工作者，举荐人才。5.开展科学论证、咨询服务，提出政策建议，促进科技成果的转化。6.开展同州外民间科技交流与合作，发展同国内蒙古自治区外的科技团体和人员的友好交往，促进对外开放。7.和所属州级学会、协会进行管理，对基层科协进行业务指导。8.承担州委，州政府和上级科协交办的其它事项。</w:t>
      </w:r>
    </w:p>
    <w:p w14:paraId="204942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（三）人员概况。</w:t>
      </w:r>
      <w:r>
        <w:rPr>
          <w:rFonts w:hint="default" w:ascii="Times New Roman" w:hAnsi="Times New Roman" w:eastAsia="仿宋_GB2312" w:cs="仿宋_GB2312"/>
          <w:color w:val="auto"/>
          <w:kern w:val="2"/>
          <w:sz w:val="32"/>
          <w:szCs w:val="32"/>
          <w:highlight w:val="none"/>
          <w:lang w:val="en-US" w:eastAsia="zh-CN" w:bidi="ar-SA"/>
        </w:rPr>
        <w:t>截至202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年末，</w:t>
      </w:r>
      <w:r>
        <w:rPr>
          <w:rFonts w:hint="eastAsia" w:ascii="Times New Roman" w:hAnsi="Times New Roman" w:eastAsia="仿宋_GB2312" w:cs="仿宋_GB2312"/>
          <w:color w:val="auto"/>
          <w:kern w:val="2"/>
          <w:sz w:val="32"/>
          <w:szCs w:val="32"/>
          <w:highlight w:val="none"/>
          <w:lang w:val="en-US" w:eastAsia="zh-CN" w:bidi="ar-SA"/>
        </w:rPr>
        <w:t>我单位总编制22名，其中参公编制10名，参公工勤编制3名，事业民族科普工作队编制5名、科技馆编制4名。截止2025年12月31日在职人员总数19名，其中参公人员10名，参公工勤3名。事业在职：民族科普工作队人员4名，青少年科技馆2名 。</w:t>
      </w:r>
    </w:p>
    <w:p w14:paraId="5AEB07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二、部门资金收支情况</w:t>
      </w:r>
    </w:p>
    <w:p w14:paraId="21AEA8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（一）收入情况。</w:t>
      </w:r>
      <w:r>
        <w:rPr>
          <w:rFonts w:hint="eastAsia" w:ascii="Times New Roman" w:hAnsi="Times New Roman" w:eastAsia="仿宋_GB2312" w:cs="仿宋_GB2312"/>
          <w:color w:val="auto"/>
          <w:kern w:val="2"/>
          <w:sz w:val="32"/>
          <w:szCs w:val="32"/>
          <w:highlight w:val="none"/>
          <w:lang w:val="en-US" w:eastAsia="zh-CN" w:bidi="ar-SA"/>
        </w:rPr>
        <w:t>阿坝州科协部门2025年年初预算收入为814.63万元、决算报表收入为1187.36万元。</w:t>
      </w:r>
    </w:p>
    <w:p w14:paraId="6AE7E4C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（二）支出情况。</w:t>
      </w:r>
      <w:r>
        <w:rPr>
          <w:rFonts w:hint="eastAsia" w:ascii="Times New Roman" w:hAnsi="Times New Roman" w:eastAsia="仿宋_GB2312" w:cs="仿宋_GB2312"/>
          <w:color w:val="auto"/>
          <w:kern w:val="2"/>
          <w:sz w:val="32"/>
          <w:szCs w:val="32"/>
          <w:highlight w:val="none"/>
          <w:lang w:val="en-US" w:eastAsia="zh-CN" w:bidi="ar-SA"/>
        </w:rPr>
        <w:t>阿坝州科协部门2025年年初预算支出情况为814.63万元、决算报表支出为1187.36万元。</w:t>
      </w:r>
    </w:p>
    <w:p w14:paraId="4498101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w:t>
      </w:r>
      <w:r>
        <w:rPr>
          <w:rFonts w:hint="eastAsia" w:ascii="Times New Roman" w:hAnsi="Times New Roman" w:eastAsia="仿宋_GB2312" w:cs="仿宋_GB2312"/>
          <w:color w:val="auto"/>
          <w:kern w:val="2"/>
          <w:sz w:val="32"/>
          <w:szCs w:val="32"/>
          <w:highlight w:val="none"/>
          <w:lang w:val="en-US" w:eastAsia="zh-CN" w:bidi="ar-SA"/>
        </w:rPr>
        <w:t>结余分配和结转结余情况。阿坝州科协部门2025年无结转结余</w:t>
      </w:r>
      <w:r>
        <w:rPr>
          <w:rFonts w:hint="default" w:ascii="Times New Roman" w:hAnsi="Times New Roman" w:eastAsia="仿宋_GB2312" w:cs="仿宋_GB2312"/>
          <w:color w:val="auto"/>
          <w:kern w:val="2"/>
          <w:sz w:val="32"/>
          <w:szCs w:val="32"/>
          <w:highlight w:val="none"/>
          <w:lang w:val="en-US" w:eastAsia="zh-CN" w:bidi="ar-SA"/>
        </w:rPr>
        <w:t>。</w:t>
      </w:r>
    </w:p>
    <w:p w14:paraId="741CED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三、部门预算绩效分析</w:t>
      </w:r>
    </w:p>
    <w:p w14:paraId="4F6FCAF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（一）部门预算总体绩效分析。根据部门预算绩效评价指标体系“总体绩效”涉及二、三级指标进行逐项绩效分析并评分，依次包括履职效能、预算管理、财务管理、资产管理、采购管理等情况。</w:t>
      </w:r>
    </w:p>
    <w:p w14:paraId="0080B3A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56790D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一、聚焦科普赋能，构建多元科普体系</w:t>
      </w:r>
    </w:p>
    <w:p w14:paraId="2601D7A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（一）打造品牌科普，扩大全民覆盖范围</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以品牌创建为引领，构建“特色活动+资源联动+常态推进”的科普体系。一是创新品牌聚合力</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举办全州首个全国科普月暨科技创新大赛，推出“1+4+N”系列活动，联动多县开展特色科普活动，覆盖5万人次，获央视网、科技日报等权威媒体报道，“科普阿坝”品牌效应凸显。二是对接省级强赋能</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争取科普助农活动落地若尔盖，依托科技小院技术展示、专家指导助推农牧区产业升级；对接省地质学会专家赴金川开展地质灾害防治培训，强化科普实效。三是节点科普常态化</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聚焦“科普活动月”“全国科普日”等关键时段，围绕防灾减灾、科学普及等主题，制作展板50个，发放资料3.2万册、宣传品200件，服务群众7800人次；联动教育部门开展校园应急演练，提升师生避险自救能力。</w:t>
      </w:r>
    </w:p>
    <w:p w14:paraId="7C3530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（二）推动文旅融合，探索特色发展模式</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深化科普与文旅深度融合，探索“资源挖掘+产品打造+基层延伸”路径，助力“研学之州”建设。一是打造研学新场景</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构建“地质科普+文旅体验”模式，配套专项资金40万元，落地莲宝叶则“冰火交融”项目，深挖第四纪冰川、高原丹霞资源，开发黄龙喀斯特地貌课程，填补高品质主题课程空白，夯实“天府科普游”根基。二是延伸服务接地气</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在理县设立首个流动科普点，接待超10000人次，打通科普服务“最后一公里”。</w:t>
      </w:r>
    </w:p>
    <w:p w14:paraId="7F84201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（三）强化阵地建设，提升科普服务效能</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充分发挥科技馆科普主阵地作用，释放服务效能，累计接待进馆群众54747人次，提供VR体验服务3900人次；深化“馆校联动”，开展校园科普活动6场次，惠及1400人，与马尔康第二小学校建立长期育人合作关系，开展合作活动62场次，开设创客科学、手工制作、机器搭建、机器人编程等课程97节次，培养青少年科技爱好者472人；完成2次展品更新、1次展厅改造，引入地震体验平台等38类55件展品，增设科学家精神板块，提升阵地服务水平。</w:t>
      </w:r>
    </w:p>
    <w:p w14:paraId="508B10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二、深化科技助农，激活乡村振兴新动能</w:t>
      </w:r>
    </w:p>
    <w:p w14:paraId="5FB18CB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以产业需求为导向，构建“经费保障+技术支撑+帮扶服务”全链条助农体系，赋能乡村产业高质量发展。</w:t>
      </w:r>
      <w:r>
        <w:rPr>
          <w:rFonts w:hint="eastAsia" w:ascii="Times New Roman" w:hAnsi="Times New Roman" w:eastAsia="仿宋_GB2312" w:cs="仿宋_GB2312"/>
          <w:color w:val="auto"/>
          <w:kern w:val="2"/>
          <w:sz w:val="32"/>
          <w:szCs w:val="32"/>
          <w:highlight w:val="none"/>
          <w:lang w:val="en-US" w:eastAsia="zh-CN" w:bidi="ar-SA"/>
        </w:rPr>
        <w:t>一是</w:t>
      </w:r>
      <w:r>
        <w:rPr>
          <w:rFonts w:hint="default" w:ascii="Times New Roman" w:hAnsi="Times New Roman" w:eastAsia="仿宋_GB2312" w:cs="仿宋_GB2312"/>
          <w:color w:val="auto"/>
          <w:kern w:val="2"/>
          <w:sz w:val="32"/>
          <w:szCs w:val="32"/>
          <w:highlight w:val="none"/>
          <w:lang w:val="en-US" w:eastAsia="zh-CN" w:bidi="ar-SA"/>
        </w:rPr>
        <w:t>强化经费与阵地保障。超前谋划争取机遇，向上争取省级科普资金350万元、配套州级资金50万元，筑牢州县乡三级组织根基，提升履职效能；完成第十批院士（专家）工作站评审，推动红原遛遛牛</w:t>
      </w:r>
      <w:r>
        <w:rPr>
          <w:rFonts w:hint="eastAsia" w:ascii="Times New Roman" w:hAnsi="Times New Roman" w:eastAsia="仿宋_GB2312" w:cs="仿宋_GB2312"/>
          <w:color w:val="auto"/>
          <w:kern w:val="2"/>
          <w:sz w:val="32"/>
          <w:szCs w:val="32"/>
          <w:highlight w:val="none"/>
          <w:lang w:val="en-US" w:eastAsia="zh-CN" w:bidi="ar-SA"/>
        </w:rPr>
        <w:t>、鸿泰锆业、若尔盖县藏医院</w:t>
      </w:r>
      <w:r>
        <w:rPr>
          <w:rFonts w:hint="default" w:ascii="Times New Roman" w:hAnsi="Times New Roman" w:eastAsia="仿宋_GB2312" w:cs="仿宋_GB2312"/>
          <w:color w:val="auto"/>
          <w:kern w:val="2"/>
          <w:sz w:val="32"/>
          <w:szCs w:val="32"/>
          <w:highlight w:val="none"/>
          <w:lang w:val="en-US" w:eastAsia="zh-CN" w:bidi="ar-SA"/>
        </w:rPr>
        <w:t>3家单位</w:t>
      </w:r>
      <w:r>
        <w:rPr>
          <w:rFonts w:hint="eastAsia" w:ascii="Times New Roman" w:hAnsi="Times New Roman" w:eastAsia="仿宋_GB2312" w:cs="仿宋_GB2312"/>
          <w:color w:val="auto"/>
          <w:kern w:val="2"/>
          <w:sz w:val="32"/>
          <w:szCs w:val="32"/>
          <w:highlight w:val="none"/>
          <w:lang w:val="en-US" w:eastAsia="zh-CN" w:bidi="ar-SA"/>
        </w:rPr>
        <w:t>成功建站；</w:t>
      </w:r>
      <w:r>
        <w:rPr>
          <w:rFonts w:hint="default" w:ascii="Times New Roman" w:hAnsi="Times New Roman" w:eastAsia="仿宋_GB2312" w:cs="仿宋_GB2312"/>
          <w:color w:val="auto"/>
          <w:kern w:val="2"/>
          <w:sz w:val="32"/>
          <w:szCs w:val="32"/>
          <w:highlight w:val="none"/>
          <w:lang w:val="en-US" w:eastAsia="zh-CN" w:bidi="ar-SA"/>
        </w:rPr>
        <w:t>申报若尔盖药用植物、松潘川贝母2家国家级科技小院，通过柔性引才为产业发展提供强劲支撑</w:t>
      </w:r>
      <w:r>
        <w:rPr>
          <w:rFonts w:hint="eastAsia" w:ascii="Times New Roman" w:hAnsi="Times New Roman" w:eastAsia="仿宋_GB2312" w:cs="仿宋_GB2312"/>
          <w:color w:val="auto"/>
          <w:kern w:val="2"/>
          <w:sz w:val="32"/>
          <w:szCs w:val="32"/>
          <w:highlight w:val="none"/>
          <w:lang w:val="en-US" w:eastAsia="zh-CN" w:bidi="ar-SA"/>
        </w:rPr>
        <w:t>。二是</w:t>
      </w:r>
      <w:r>
        <w:rPr>
          <w:rFonts w:hint="default" w:ascii="Times New Roman" w:hAnsi="Times New Roman" w:eastAsia="仿宋_GB2312" w:cs="仿宋_GB2312"/>
          <w:color w:val="auto"/>
          <w:kern w:val="2"/>
          <w:sz w:val="32"/>
          <w:szCs w:val="32"/>
          <w:highlight w:val="none"/>
          <w:lang w:val="en-US" w:eastAsia="zh-CN" w:bidi="ar-SA"/>
        </w:rPr>
        <w:t>搭建平台与精准赋能。牵头举办阿坝州首个全国科普月启动仪式，搭建高水平交流展示平台；组织8名选手参加第七届四川省乡村振兴乡土人才创新创业大赛，斩获1项银奖、2项铜奖，充分展现阿坝州乡土人才的创新活力与实干风采。</w:t>
      </w:r>
      <w:r>
        <w:rPr>
          <w:rFonts w:hint="eastAsia" w:ascii="Times New Roman" w:hAnsi="Times New Roman" w:eastAsia="仿宋_GB2312" w:cs="仿宋_GB2312"/>
          <w:color w:val="auto"/>
          <w:kern w:val="2"/>
          <w:sz w:val="32"/>
          <w:szCs w:val="32"/>
          <w:highlight w:val="none"/>
          <w:lang w:val="en-US" w:eastAsia="zh-CN" w:bidi="ar-SA"/>
        </w:rPr>
        <w:t>三是</w:t>
      </w:r>
      <w:r>
        <w:rPr>
          <w:rFonts w:hint="default" w:ascii="Times New Roman" w:hAnsi="Times New Roman" w:eastAsia="仿宋_GB2312" w:cs="仿宋_GB2312"/>
          <w:color w:val="auto"/>
          <w:kern w:val="2"/>
          <w:sz w:val="32"/>
          <w:szCs w:val="32"/>
          <w:highlight w:val="none"/>
          <w:lang w:val="en-US" w:eastAsia="zh-CN" w:bidi="ar-SA"/>
        </w:rPr>
        <w:t>开展惠民与帮扶服务。以群众需求为导向，扎实开展科普宣传、技术咨询、防灾减灾等惠民活动，累计发放各类科普资料5万余册、生活用品700余套，赠送水杯、笔记本等宣传品30类6000余件及环保袋、环保围腰200余条，惠及群众4万余人次，直接服务群众7800余人次。</w:t>
      </w:r>
    </w:p>
    <w:p w14:paraId="716F32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三、抓实青科教育，激发青少年创新活力</w:t>
      </w:r>
    </w:p>
    <w:p w14:paraId="7C4C740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聚焦青少年科技素养提升，践行“赛事引领+活动赋能”双轮驱动模式，全面激发青少年科技创新热情。</w:t>
      </w:r>
      <w:r>
        <w:rPr>
          <w:rFonts w:hint="eastAsia" w:ascii="Times New Roman" w:hAnsi="Times New Roman" w:eastAsia="仿宋_GB2312" w:cs="仿宋_GB2312"/>
          <w:color w:val="auto"/>
          <w:kern w:val="2"/>
          <w:sz w:val="32"/>
          <w:szCs w:val="32"/>
          <w:highlight w:val="none"/>
          <w:lang w:val="en-US" w:eastAsia="zh-CN" w:bidi="ar-SA"/>
        </w:rPr>
        <w:t>一是</w:t>
      </w:r>
      <w:r>
        <w:rPr>
          <w:rFonts w:hint="default" w:ascii="Times New Roman" w:hAnsi="Times New Roman" w:eastAsia="仿宋_GB2312" w:cs="仿宋_GB2312"/>
          <w:color w:val="auto"/>
          <w:kern w:val="2"/>
          <w:sz w:val="32"/>
          <w:szCs w:val="32"/>
          <w:highlight w:val="none"/>
          <w:lang w:val="en-US" w:eastAsia="zh-CN" w:bidi="ar-SA"/>
        </w:rPr>
        <w:t>依托赛事平台展风采。精心举办第三届州青少年科技创新大赛，吸引13县（市）896名师生参与，征集作品489件；在第二届州级大赛基础上，遴选优秀项目及选手代表阿坝州参加四川省第39届青少年科技创新大赛，1名队员获评“优秀科技辅导员”，1名队员晋级全国赛并荣获“科学家精神专项奖”；组织推选2025年全国青少年科技教育创新成果大赛，斩获全国一等奖1项、专项奖1项；组织参与四川省青少年科学调查体验活动，获一等奖1项。</w:t>
      </w:r>
      <w:r>
        <w:rPr>
          <w:rFonts w:hint="eastAsia" w:ascii="Times New Roman" w:hAnsi="Times New Roman" w:eastAsia="仿宋_GB2312" w:cs="仿宋_GB2312"/>
          <w:color w:val="auto"/>
          <w:kern w:val="2"/>
          <w:sz w:val="32"/>
          <w:szCs w:val="32"/>
          <w:highlight w:val="none"/>
          <w:lang w:val="en-US" w:eastAsia="zh-CN" w:bidi="ar-SA"/>
        </w:rPr>
        <w:t>二是</w:t>
      </w:r>
      <w:r>
        <w:rPr>
          <w:rFonts w:hint="default" w:ascii="Times New Roman" w:hAnsi="Times New Roman" w:eastAsia="仿宋_GB2312" w:cs="仿宋_GB2312"/>
          <w:color w:val="auto"/>
          <w:kern w:val="2"/>
          <w:sz w:val="32"/>
          <w:szCs w:val="32"/>
          <w:highlight w:val="none"/>
          <w:lang w:val="en-US" w:eastAsia="zh-CN" w:bidi="ar-SA"/>
        </w:rPr>
        <w:t>丰富活动载体拓视野。打造“星海破壁·幻启未来”科技夏令营，组织31名青少年赴蓉开启沉浸式科技之旅；参与省级科幻创作活动，14件作品获奖；联动开展跨区域交流，组织500余名师生参加银河科幻大会等活动；下沉服务基层，指导7个县（市）开展科普大篷车进校园活动，丰富基层青少年科普体验。</w:t>
      </w:r>
    </w:p>
    <w:p w14:paraId="7ACABD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四、夯实基础保障，提升科普服务水平</w:t>
      </w:r>
    </w:p>
    <w:p w14:paraId="11C3BA7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坚持强基础、补短板、提效能，构建“物资保障+阵地建设+队伍锻造”全方位保障体系，全面增强科普服务能力。</w:t>
      </w:r>
      <w:r>
        <w:rPr>
          <w:rFonts w:hint="eastAsia" w:ascii="Times New Roman" w:hAnsi="Times New Roman" w:eastAsia="仿宋_GB2312" w:cs="仿宋_GB2312"/>
          <w:color w:val="auto"/>
          <w:kern w:val="2"/>
          <w:sz w:val="32"/>
          <w:szCs w:val="32"/>
          <w:highlight w:val="none"/>
          <w:lang w:val="en-US" w:eastAsia="zh-CN" w:bidi="ar-SA"/>
        </w:rPr>
        <w:t>一是</w:t>
      </w:r>
      <w:r>
        <w:rPr>
          <w:rFonts w:hint="default" w:ascii="Times New Roman" w:hAnsi="Times New Roman" w:eastAsia="仿宋_GB2312" w:cs="仿宋_GB2312"/>
          <w:color w:val="auto"/>
          <w:kern w:val="2"/>
          <w:sz w:val="32"/>
          <w:szCs w:val="32"/>
          <w:highlight w:val="none"/>
          <w:lang w:val="en-US" w:eastAsia="zh-CN" w:bidi="ar-SA"/>
        </w:rPr>
        <w:t>完善物资与品牌形象。启用科普IP形象“科阳”“科朵”，统一视觉标识，为“科普七进”等活动注入鲜活载体，推动科普热度转化为科学素质提升深度。</w:t>
      </w:r>
      <w:r>
        <w:rPr>
          <w:rFonts w:hint="eastAsia" w:ascii="Times New Roman" w:hAnsi="Times New Roman" w:eastAsia="仿宋_GB2312" w:cs="仿宋_GB2312"/>
          <w:color w:val="auto"/>
          <w:kern w:val="2"/>
          <w:sz w:val="32"/>
          <w:szCs w:val="32"/>
          <w:highlight w:val="none"/>
          <w:lang w:val="en-US" w:eastAsia="zh-CN" w:bidi="ar-SA"/>
        </w:rPr>
        <w:t>二是</w:t>
      </w:r>
      <w:r>
        <w:rPr>
          <w:rFonts w:hint="default" w:ascii="Times New Roman" w:hAnsi="Times New Roman" w:eastAsia="仿宋_GB2312" w:cs="仿宋_GB2312"/>
          <w:color w:val="auto"/>
          <w:kern w:val="2"/>
          <w:sz w:val="32"/>
          <w:szCs w:val="32"/>
          <w:highlight w:val="none"/>
          <w:lang w:val="en-US" w:eastAsia="zh-CN" w:bidi="ar-SA"/>
        </w:rPr>
        <w:t>建强科普骨干队伍。</w:t>
      </w:r>
      <w:r>
        <w:rPr>
          <w:rFonts w:hint="eastAsia" w:ascii="Times New Roman" w:hAnsi="Times New Roman" w:eastAsia="仿宋_GB2312" w:cs="仿宋_GB2312"/>
          <w:color w:val="auto"/>
          <w:kern w:val="2"/>
          <w:sz w:val="32"/>
          <w:szCs w:val="32"/>
          <w:highlight w:val="none"/>
          <w:lang w:val="en-US" w:eastAsia="zh-CN" w:bidi="ar-SA"/>
        </w:rPr>
        <w:t>精准干部能力提升，在汶川映秀成功举办2期专题培训，累计90人次干部参与系统学习，实现核心业务领域干部培训全覆盖。三是构建全域科普大格局。</w:t>
      </w:r>
      <w:r>
        <w:rPr>
          <w:rFonts w:hint="default" w:ascii="Times New Roman" w:hAnsi="Times New Roman" w:eastAsia="仿宋_GB2312" w:cs="仿宋_GB2312"/>
          <w:color w:val="auto"/>
          <w:kern w:val="2"/>
          <w:sz w:val="32"/>
          <w:szCs w:val="32"/>
          <w:highlight w:val="none"/>
          <w:lang w:val="en-US" w:eastAsia="zh-CN" w:bidi="ar-SA"/>
        </w:rPr>
        <w:t>整合组建全州科普管理员队伍，注册人数达1100余人，累计传播科普信息、科学知识4万余次，开展科普进寺庙活动6场次，惠及群众超10万人次，织密覆盖广泛、服务高效的科普工作网络。</w:t>
      </w:r>
    </w:p>
    <w:p w14:paraId="08C9501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预算管理。</w:t>
      </w:r>
    </w:p>
    <w:p w14:paraId="20F0D7F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预算编制质量</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根据决算报表，本单位财政拨款全年预算数为</w:t>
      </w:r>
      <w:r>
        <w:rPr>
          <w:rFonts w:hint="eastAsia" w:ascii="Times New Roman" w:hAnsi="Times New Roman" w:eastAsia="仿宋_GB2312" w:cs="仿宋_GB2312"/>
          <w:color w:val="auto"/>
          <w:kern w:val="2"/>
          <w:sz w:val="32"/>
          <w:szCs w:val="32"/>
          <w:highlight w:val="none"/>
          <w:lang w:val="en-US" w:eastAsia="zh-CN" w:bidi="ar-SA"/>
        </w:rPr>
        <w:t>1187.36</w:t>
      </w:r>
      <w:r>
        <w:rPr>
          <w:rFonts w:hint="default" w:ascii="Times New Roman" w:hAnsi="Times New Roman" w:eastAsia="仿宋_GB2312" w:cs="仿宋_GB2312"/>
          <w:color w:val="auto"/>
          <w:kern w:val="2"/>
          <w:sz w:val="32"/>
          <w:szCs w:val="32"/>
          <w:highlight w:val="none"/>
          <w:lang w:val="en-US" w:eastAsia="zh-CN" w:bidi="ar-SA"/>
        </w:rPr>
        <w:t>万元，本年无结转，同口径财政拨款预算执行数为</w:t>
      </w:r>
      <w:r>
        <w:rPr>
          <w:rFonts w:hint="eastAsia" w:ascii="Times New Roman" w:hAnsi="Times New Roman" w:eastAsia="仿宋_GB2312" w:cs="仿宋_GB2312"/>
          <w:color w:val="auto"/>
          <w:kern w:val="2"/>
          <w:sz w:val="32"/>
          <w:szCs w:val="32"/>
          <w:highlight w:val="none"/>
          <w:lang w:val="en-US" w:eastAsia="zh-CN" w:bidi="ar-SA"/>
        </w:rPr>
        <w:t>1187.36</w:t>
      </w:r>
      <w:r>
        <w:rPr>
          <w:rFonts w:hint="default" w:ascii="Times New Roman" w:hAnsi="Times New Roman" w:eastAsia="仿宋_GB2312" w:cs="仿宋_GB2312"/>
          <w:color w:val="auto"/>
          <w:kern w:val="2"/>
          <w:sz w:val="32"/>
          <w:szCs w:val="32"/>
          <w:highlight w:val="none"/>
          <w:lang w:val="en-US" w:eastAsia="zh-CN" w:bidi="ar-SA"/>
        </w:rPr>
        <w:t>万元，财政拨款预算偏离度=0。</w:t>
      </w:r>
    </w:p>
    <w:p w14:paraId="52A1357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综上，根据评分标准，该项指标不扣分，得8分</w:t>
      </w:r>
    </w:p>
    <w:p w14:paraId="3C5B52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）单位收入统筹</w:t>
      </w:r>
      <w:r>
        <w:rPr>
          <w:rFonts w:hint="default" w:ascii="Times New Roman" w:hAnsi="Times New Roman" w:eastAsia="仿宋_GB2312" w:cs="仿宋_GB2312"/>
          <w:color w:val="auto"/>
          <w:kern w:val="2"/>
          <w:sz w:val="32"/>
          <w:szCs w:val="32"/>
          <w:highlight w:val="none"/>
          <w:lang w:val="en-US" w:eastAsia="zh-CN" w:bidi="ar-SA"/>
        </w:rPr>
        <w:t>根据单位自有资金收入执行情况表，本单位自有收入全年执行数为0万元，自有收入年初预算数为0万元。</w:t>
      </w:r>
    </w:p>
    <w:p w14:paraId="2E50A4B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314E13CB">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）支出执行进度</w:t>
      </w:r>
    </w:p>
    <w:p w14:paraId="326DE2E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根据1-6月可执行情况表，本单位1至6月预算执行进度为</w:t>
      </w:r>
      <w:r>
        <w:rPr>
          <w:rFonts w:hint="eastAsia" w:ascii="Times New Roman" w:hAnsi="Times New Roman" w:eastAsia="仿宋_GB2312" w:cs="仿宋_GB2312"/>
          <w:color w:val="auto"/>
          <w:kern w:val="2"/>
          <w:sz w:val="32"/>
          <w:szCs w:val="32"/>
          <w:highlight w:val="none"/>
          <w:lang w:val="en-US" w:eastAsia="zh-CN" w:bidi="ar-SA"/>
        </w:rPr>
        <w:t>47.38</w:t>
      </w:r>
      <w:r>
        <w:rPr>
          <w:rFonts w:hint="default" w:ascii="Times New Roman" w:hAnsi="Times New Roman" w:eastAsia="仿宋_GB2312" w:cs="仿宋_GB2312"/>
          <w:color w:val="auto"/>
          <w:kern w:val="2"/>
          <w:sz w:val="32"/>
          <w:szCs w:val="32"/>
          <w:highlight w:val="none"/>
          <w:lang w:val="en-US" w:eastAsia="zh-CN" w:bidi="ar-SA"/>
        </w:rPr>
        <w:t>%。</w:t>
      </w:r>
    </w:p>
    <w:p w14:paraId="13E0C8C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根据1-10月可执行情况表，本单位1至10月预算执行进度为</w:t>
      </w:r>
      <w:r>
        <w:rPr>
          <w:rFonts w:hint="eastAsia" w:ascii="Times New Roman" w:hAnsi="Times New Roman" w:eastAsia="仿宋_GB2312" w:cs="仿宋_GB2312"/>
          <w:color w:val="auto"/>
          <w:kern w:val="2"/>
          <w:sz w:val="32"/>
          <w:szCs w:val="32"/>
          <w:highlight w:val="none"/>
          <w:lang w:val="en-US" w:eastAsia="zh-CN" w:bidi="ar-SA"/>
        </w:rPr>
        <w:t>68.72</w:t>
      </w:r>
      <w:r>
        <w:rPr>
          <w:rFonts w:hint="default" w:ascii="Times New Roman" w:hAnsi="Times New Roman" w:eastAsia="仿宋_GB2312" w:cs="仿宋_GB2312"/>
          <w:color w:val="auto"/>
          <w:kern w:val="2"/>
          <w:sz w:val="32"/>
          <w:szCs w:val="32"/>
          <w:highlight w:val="none"/>
          <w:lang w:val="en-US" w:eastAsia="zh-CN" w:bidi="ar-SA"/>
        </w:rPr>
        <w:t>%。</w:t>
      </w:r>
    </w:p>
    <w:p w14:paraId="604CB6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支出执行进度得分</w:t>
      </w:r>
      <w:r>
        <w:rPr>
          <w:rFonts w:hint="eastAsia" w:ascii="Times New Roman" w:hAnsi="Times New Roman" w:eastAsia="仿宋_GB2312" w:cs="仿宋_GB2312"/>
          <w:color w:val="auto"/>
          <w:kern w:val="2"/>
          <w:sz w:val="32"/>
          <w:szCs w:val="32"/>
          <w:highlight w:val="none"/>
          <w:lang w:val="en-US" w:eastAsia="zh-CN" w:bidi="ar-SA"/>
        </w:rPr>
        <w:t>=（414÷（1259.47×50%）×2）+（1-0.18%×0.8）</w:t>
      </w:r>
      <w:r>
        <w:rPr>
          <w:rFonts w:hint="default" w:ascii="Times New Roman" w:hAnsi="Times New Roman" w:eastAsia="仿宋_GB2312" w:cs="仿宋_GB2312"/>
          <w:color w:val="auto"/>
          <w:kern w:val="2"/>
          <w:sz w:val="32"/>
          <w:szCs w:val="32"/>
          <w:highlight w:val="none"/>
          <w:lang w:val="en-US" w:eastAsia="zh-CN" w:bidi="ar-SA"/>
        </w:rPr>
        <w:t>综上，根据评分标准，该项指标得</w:t>
      </w:r>
      <w:r>
        <w:rPr>
          <w:rFonts w:hint="eastAsia" w:ascii="Times New Roman" w:hAnsi="Times New Roman" w:eastAsia="仿宋_GB2312" w:cs="仿宋_GB2312"/>
          <w:color w:val="auto"/>
          <w:kern w:val="2"/>
          <w:sz w:val="32"/>
          <w:szCs w:val="32"/>
          <w:highlight w:val="none"/>
          <w:lang w:val="en-US" w:eastAsia="zh-CN" w:bidi="ar-SA"/>
        </w:rPr>
        <w:t>3.58</w:t>
      </w:r>
      <w:r>
        <w:rPr>
          <w:rFonts w:hint="default" w:ascii="Times New Roman" w:hAnsi="Times New Roman" w:eastAsia="仿宋_GB2312" w:cs="仿宋_GB2312"/>
          <w:color w:val="auto"/>
          <w:kern w:val="2"/>
          <w:sz w:val="32"/>
          <w:szCs w:val="32"/>
          <w:highlight w:val="none"/>
          <w:lang w:val="en-US" w:eastAsia="zh-CN" w:bidi="ar-SA"/>
        </w:rPr>
        <w:t>分。</w:t>
      </w:r>
    </w:p>
    <w:p w14:paraId="69D29E26">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）预算年终结余</w:t>
      </w:r>
    </w:p>
    <w:p w14:paraId="720EEFA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根据决算报表，本单位预算总金额为</w:t>
      </w:r>
      <w:r>
        <w:rPr>
          <w:rFonts w:hint="eastAsia" w:ascii="Times New Roman" w:hAnsi="Times New Roman" w:eastAsia="仿宋_GB2312" w:cs="仿宋_GB2312"/>
          <w:color w:val="auto"/>
          <w:kern w:val="2"/>
          <w:sz w:val="32"/>
          <w:szCs w:val="32"/>
          <w:highlight w:val="none"/>
          <w:lang w:val="en-US" w:eastAsia="zh-CN" w:bidi="ar-SA"/>
        </w:rPr>
        <w:t>1187.36</w:t>
      </w:r>
      <w:r>
        <w:rPr>
          <w:rFonts w:hint="default" w:ascii="Times New Roman" w:hAnsi="Times New Roman" w:eastAsia="仿宋_GB2312" w:cs="仿宋_GB2312"/>
          <w:color w:val="auto"/>
          <w:kern w:val="2"/>
          <w:sz w:val="32"/>
          <w:szCs w:val="32"/>
          <w:highlight w:val="none"/>
          <w:lang w:val="en-US" w:eastAsia="zh-CN" w:bidi="ar-SA"/>
        </w:rPr>
        <w:t>万元，年终部门预算注销金额为0万元，结转金额为0万元，合计0万元，占比为0。</w:t>
      </w:r>
    </w:p>
    <w:p w14:paraId="71D900C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综上，根据评分标准，该项指标不扣分，得2分。</w:t>
      </w:r>
    </w:p>
    <w:p w14:paraId="40EEC2B8">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）严控一般性支出</w:t>
      </w:r>
    </w:p>
    <w:p w14:paraId="5A1B588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w:t>
      </w:r>
      <w:r>
        <w:rPr>
          <w:rFonts w:hint="default" w:ascii="Times New Roman" w:hAnsi="Times New Roman" w:eastAsia="仿宋_GB2312" w:cs="仿宋_GB2312"/>
          <w:color w:val="auto"/>
          <w:kern w:val="2"/>
          <w:sz w:val="32"/>
          <w:szCs w:val="32"/>
          <w:highlight w:val="none"/>
          <w:lang w:val="zh-CN" w:eastAsia="zh-CN" w:bidi="ar-SA"/>
        </w:rPr>
        <w:t>“三公”经费、会议费、培训费等一般性支出情况</w:t>
      </w:r>
      <w:r>
        <w:rPr>
          <w:rFonts w:hint="default" w:ascii="Times New Roman" w:hAnsi="Times New Roman" w:eastAsia="仿宋_GB2312" w:cs="仿宋_GB2312"/>
          <w:color w:val="auto"/>
          <w:kern w:val="2"/>
          <w:sz w:val="32"/>
          <w:szCs w:val="32"/>
          <w:highlight w:val="none"/>
          <w:lang w:val="en-US" w:eastAsia="zh-CN" w:bidi="ar-SA"/>
        </w:rPr>
        <w:t>详见下表。</w:t>
      </w: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72"/>
        <w:gridCol w:w="1089"/>
        <w:gridCol w:w="1417"/>
        <w:gridCol w:w="1417"/>
        <w:gridCol w:w="1417"/>
        <w:gridCol w:w="1417"/>
      </w:tblGrid>
      <w:tr w14:paraId="5F667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6"/>
            <w:tcBorders>
              <w:top w:val="nil"/>
              <w:left w:val="nil"/>
              <w:bottom w:val="nil"/>
              <w:right w:val="nil"/>
            </w:tcBorders>
            <w:shd w:val="clear" w:color="auto" w:fill="auto"/>
            <w:noWrap/>
            <w:vAlign w:val="center"/>
          </w:tcPr>
          <w:p w14:paraId="7B72312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一般性支出统计表</w:t>
            </w:r>
          </w:p>
        </w:tc>
      </w:tr>
      <w:tr w14:paraId="72E59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B78E59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129F3FC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304BCF3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1A6FC57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5A825D1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单位：万元</w:t>
            </w:r>
          </w:p>
        </w:tc>
        <w:tc>
          <w:tcPr>
            <w:tcW w:w="0" w:type="auto"/>
            <w:tcBorders>
              <w:top w:val="nil"/>
              <w:left w:val="nil"/>
              <w:bottom w:val="nil"/>
              <w:right w:val="nil"/>
            </w:tcBorders>
            <w:shd w:val="clear" w:color="auto" w:fill="auto"/>
            <w:noWrap/>
            <w:vAlign w:val="center"/>
          </w:tcPr>
          <w:p w14:paraId="5E39E3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6DAA3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143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科目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556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6B8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A61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458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B56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年决算数</w:t>
            </w:r>
          </w:p>
        </w:tc>
      </w:tr>
      <w:tr w14:paraId="2ACAF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DA4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7F0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9D4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30.46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A72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62.61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693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74.97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B6E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74.97</w:t>
            </w:r>
          </w:p>
        </w:tc>
      </w:tr>
      <w:tr w14:paraId="1746C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B87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A4D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A76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6DE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40A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FD8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0.6</w:t>
            </w:r>
          </w:p>
        </w:tc>
      </w:tr>
      <w:tr w14:paraId="78E6C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508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咨询费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C75D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559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5EB2CA8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B5B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669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3247B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D36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D33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4BD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711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B17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191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57AE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EF6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CB9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274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3.00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1E3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2.90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A10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B89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1.93</w:t>
            </w:r>
          </w:p>
        </w:tc>
      </w:tr>
      <w:tr w14:paraId="392D3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192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DD0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8724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10.99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BA3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11.59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577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327D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11.27</w:t>
            </w:r>
          </w:p>
        </w:tc>
      </w:tr>
      <w:tr w14:paraId="002ED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900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6E3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549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3.86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A31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AEA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9DB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2F8A3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181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160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497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DF9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917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699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27406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AC0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54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0F3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67.76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EC0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36.27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6F8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42D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41.59</w:t>
            </w:r>
          </w:p>
        </w:tc>
      </w:tr>
      <w:tr w14:paraId="52775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949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0F8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EB2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2756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9.88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745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114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4.79</w:t>
            </w:r>
          </w:p>
        </w:tc>
      </w:tr>
      <w:tr w14:paraId="1848B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7474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F79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896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E2B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F8C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DF2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3.6</w:t>
            </w:r>
          </w:p>
        </w:tc>
      </w:tr>
      <w:tr w14:paraId="1E06B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CFC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778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782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4E8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8.40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F69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B91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9.58</w:t>
            </w:r>
          </w:p>
        </w:tc>
      </w:tr>
      <w:tr w14:paraId="52BBC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241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02B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871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8.53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316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19.84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340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5AD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13.63</w:t>
            </w:r>
          </w:p>
        </w:tc>
      </w:tr>
      <w:tr w14:paraId="6E0D1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55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96C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B89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61.00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CD6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57.54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664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965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63.74</w:t>
            </w:r>
          </w:p>
        </w:tc>
      </w:tr>
      <w:tr w14:paraId="5C0C3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814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F691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542C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2FB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74.04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ED6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47E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58.34</w:t>
            </w:r>
          </w:p>
        </w:tc>
      </w:tr>
      <w:tr w14:paraId="6D863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99D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基建办公设备购置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3645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30902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055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781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C93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9996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27D9A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61C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5C8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31002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914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2A1A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2.63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467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8B7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4.78</w:t>
            </w:r>
          </w:p>
        </w:tc>
      </w:tr>
      <w:tr w14:paraId="0D80E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A31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7C8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997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 xml:space="preserve">299.14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0B1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346.9</w:t>
            </w:r>
            <w:r>
              <w:rPr>
                <w:rFonts w:hint="default" w:ascii="Times New Roman" w:hAnsi="Times New Roman" w:eastAsia="仿宋_GB2312" w:cs="仿宋_GB2312"/>
                <w:color w:val="auto"/>
                <w:kern w:val="2"/>
                <w:sz w:val="32"/>
                <w:szCs w:val="32"/>
                <w:highlight w:val="none"/>
                <w:lang w:val="en-US" w:eastAsia="zh-CN" w:bidi="ar-SA"/>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DA7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51B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288.82</w:t>
            </w:r>
          </w:p>
        </w:tc>
      </w:tr>
    </w:tbl>
    <w:p w14:paraId="2A6008E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94"/>
        <w:gridCol w:w="1532"/>
        <w:gridCol w:w="1532"/>
        <w:gridCol w:w="1532"/>
        <w:gridCol w:w="1532"/>
      </w:tblGrid>
      <w:tr w14:paraId="6466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5"/>
            <w:tcBorders>
              <w:top w:val="nil"/>
              <w:left w:val="nil"/>
              <w:bottom w:val="nil"/>
              <w:right w:val="nil"/>
            </w:tcBorders>
            <w:shd w:val="clear" w:color="auto" w:fill="auto"/>
            <w:noWrap/>
            <w:vAlign w:val="center"/>
          </w:tcPr>
          <w:p w14:paraId="5204CE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三公经费统计表</w:t>
            </w:r>
          </w:p>
        </w:tc>
      </w:tr>
      <w:tr w14:paraId="55EA8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EBE245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58FD7EE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4782D10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nil"/>
              <w:left w:val="nil"/>
              <w:bottom w:val="nil"/>
              <w:right w:val="nil"/>
            </w:tcBorders>
            <w:shd w:val="clear" w:color="auto" w:fill="auto"/>
            <w:noWrap/>
            <w:vAlign w:val="center"/>
          </w:tcPr>
          <w:p w14:paraId="7C95DF5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单位：元</w:t>
            </w:r>
          </w:p>
        </w:tc>
        <w:tc>
          <w:tcPr>
            <w:tcW w:w="0" w:type="auto"/>
            <w:tcBorders>
              <w:top w:val="nil"/>
              <w:left w:val="nil"/>
              <w:bottom w:val="nil"/>
              <w:right w:val="nil"/>
            </w:tcBorders>
            <w:shd w:val="clear" w:color="auto" w:fill="auto"/>
            <w:noWrap/>
            <w:vAlign w:val="center"/>
          </w:tcPr>
          <w:p w14:paraId="228791D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0A156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958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科目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44C7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32C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A38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485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决算数</w:t>
            </w:r>
          </w:p>
        </w:tc>
      </w:tr>
      <w:tr w14:paraId="4FED8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A05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公务接待费</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405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1.79</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5DA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27EF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3AEC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0.08</w:t>
            </w:r>
          </w:p>
        </w:tc>
      </w:tr>
      <w:tr w14:paraId="7F8A6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E80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公务车购置及运行费</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C96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38.8</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19A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AD1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8972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21.50</w:t>
            </w:r>
          </w:p>
        </w:tc>
      </w:tr>
      <w:tr w14:paraId="27EF1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660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因公出国（出境）经费</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632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2BB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D7F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88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tc>
      </w:tr>
      <w:tr w14:paraId="2B5E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DBB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合计</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7EA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40.59</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133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95A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091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21.58</w:t>
            </w:r>
          </w:p>
        </w:tc>
      </w:tr>
    </w:tbl>
    <w:p w14:paraId="4DD5F2B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综上，根据评分标准，得</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en-US" w:eastAsia="zh-CN" w:bidi="ar-SA"/>
        </w:rPr>
        <w:t>分。</w:t>
      </w:r>
    </w:p>
    <w:p w14:paraId="5414D90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财务管理。</w:t>
      </w:r>
      <w:r>
        <w:rPr>
          <w:rFonts w:hint="default" w:ascii="Times New Roman" w:hAnsi="Times New Roman" w:eastAsia="仿宋_GB2312" w:cs="仿宋_GB2312"/>
          <w:color w:val="auto"/>
          <w:kern w:val="2"/>
          <w:sz w:val="32"/>
          <w:szCs w:val="32"/>
          <w:highlight w:val="none"/>
          <w:lang w:val="en-US" w:eastAsia="zh-CN" w:bidi="ar-SA"/>
        </w:rPr>
        <w:t>我单位办公室下设财务室，设置会计岗位一名，出纳岗位一名，岗位职责明确，并严格实行不相容岗位分离，严格按照阿坝州科学技术协会财务制度报销各项费用，2万元以上支出报党组研究决策后支出，涉及政府采购严格按照政府采购要求实施采购。</w:t>
      </w:r>
    </w:p>
    <w:p w14:paraId="6F1EAC07">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w:t>
      </w:r>
      <w:r>
        <w:rPr>
          <w:rFonts w:hint="eastAsia"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en-US" w:eastAsia="zh-CN" w:bidi="ar-SA"/>
        </w:rPr>
        <w:t>分。</w:t>
      </w:r>
    </w:p>
    <w:p w14:paraId="65D3B61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资产管理。</w:t>
      </w:r>
    </w:p>
    <w:p w14:paraId="4F6D156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人均资产变化率</w:t>
      </w:r>
      <w:r>
        <w:rPr>
          <w:rFonts w:hint="eastAsia" w:ascii="Times New Roman" w:hAnsi="Times New Roman" w:eastAsia="仿宋_GB2312" w:cs="仿宋_GB2312"/>
          <w:color w:val="auto"/>
          <w:kern w:val="2"/>
          <w:sz w:val="32"/>
          <w:szCs w:val="32"/>
          <w:highlight w:val="none"/>
          <w:lang w:val="zh-CN" w:eastAsia="zh-CN" w:bidi="ar-SA"/>
        </w:rPr>
        <w:t>。</w:t>
      </w:r>
    </w:p>
    <w:p w14:paraId="094A8D4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根据决算报表和国有资产年报表，本单位202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年末实有人数为</w:t>
      </w:r>
      <w:r>
        <w:rPr>
          <w:rFonts w:hint="eastAsia" w:ascii="Times New Roman" w:hAnsi="Times New Roman" w:eastAsia="仿宋_GB2312" w:cs="仿宋_GB2312"/>
          <w:color w:val="auto"/>
          <w:kern w:val="2"/>
          <w:sz w:val="32"/>
          <w:szCs w:val="32"/>
          <w:highlight w:val="none"/>
          <w:lang w:val="en-US" w:eastAsia="zh-CN" w:bidi="ar-SA"/>
        </w:rPr>
        <w:t>17</w:t>
      </w:r>
      <w:r>
        <w:rPr>
          <w:rFonts w:hint="default" w:ascii="Times New Roman" w:hAnsi="Times New Roman" w:eastAsia="仿宋_GB2312" w:cs="仿宋_GB2312"/>
          <w:color w:val="auto"/>
          <w:kern w:val="2"/>
          <w:sz w:val="32"/>
          <w:szCs w:val="32"/>
          <w:highlight w:val="none"/>
          <w:lang w:val="en-US" w:eastAsia="zh-CN" w:bidi="ar-SA"/>
        </w:rPr>
        <w:t>人，固定资产和无形资产净值合计</w:t>
      </w:r>
      <w:r>
        <w:rPr>
          <w:rFonts w:hint="eastAsia" w:ascii="Times New Roman" w:hAnsi="Times New Roman" w:eastAsia="仿宋_GB2312" w:cs="仿宋_GB2312"/>
          <w:color w:val="auto"/>
          <w:kern w:val="2"/>
          <w:sz w:val="32"/>
          <w:szCs w:val="32"/>
          <w:highlight w:val="none"/>
          <w:lang w:val="en-US" w:eastAsia="zh-CN" w:bidi="ar-SA"/>
        </w:rPr>
        <w:t>134.11</w:t>
      </w:r>
      <w:r>
        <w:rPr>
          <w:rFonts w:hint="default" w:ascii="Times New Roman" w:hAnsi="Times New Roman" w:eastAsia="仿宋_GB2312" w:cs="仿宋_GB2312"/>
          <w:color w:val="auto"/>
          <w:kern w:val="2"/>
          <w:sz w:val="32"/>
          <w:szCs w:val="32"/>
          <w:highlight w:val="none"/>
          <w:lang w:val="en-US" w:eastAsia="zh-CN" w:bidi="ar-SA"/>
        </w:rPr>
        <w:t>万元；根据202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年度决算报表和202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年度国有资产年报表，202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年末实有人数为</w:t>
      </w:r>
      <w:r>
        <w:rPr>
          <w:rFonts w:hint="eastAsia" w:ascii="Times New Roman" w:hAnsi="Times New Roman" w:eastAsia="仿宋_GB2312" w:cs="仿宋_GB2312"/>
          <w:color w:val="auto"/>
          <w:kern w:val="2"/>
          <w:sz w:val="32"/>
          <w:szCs w:val="32"/>
          <w:highlight w:val="none"/>
          <w:lang w:val="en-US" w:eastAsia="zh-CN" w:bidi="ar-SA"/>
        </w:rPr>
        <w:t>19</w:t>
      </w:r>
      <w:r>
        <w:rPr>
          <w:rFonts w:hint="default" w:ascii="Times New Roman" w:hAnsi="Times New Roman" w:eastAsia="仿宋_GB2312" w:cs="仿宋_GB2312"/>
          <w:color w:val="auto"/>
          <w:kern w:val="2"/>
          <w:sz w:val="32"/>
          <w:szCs w:val="32"/>
          <w:highlight w:val="none"/>
          <w:lang w:val="en-US" w:eastAsia="zh-CN" w:bidi="ar-SA"/>
        </w:rPr>
        <w:t>人，固定资产和无形资产净值合计</w:t>
      </w:r>
      <w:r>
        <w:rPr>
          <w:rFonts w:hint="eastAsia" w:ascii="Times New Roman" w:hAnsi="Times New Roman" w:eastAsia="仿宋_GB2312" w:cs="仿宋_GB2312"/>
          <w:color w:val="auto"/>
          <w:kern w:val="2"/>
          <w:sz w:val="32"/>
          <w:szCs w:val="32"/>
          <w:highlight w:val="none"/>
          <w:lang w:val="en-US" w:eastAsia="zh-CN" w:bidi="ar-SA"/>
        </w:rPr>
        <w:t>260.90</w:t>
      </w:r>
      <w:r>
        <w:rPr>
          <w:rFonts w:hint="default" w:ascii="Times New Roman" w:hAnsi="Times New Roman" w:eastAsia="仿宋_GB2312" w:cs="仿宋_GB2312"/>
          <w:color w:val="auto"/>
          <w:kern w:val="2"/>
          <w:sz w:val="32"/>
          <w:szCs w:val="32"/>
          <w:highlight w:val="none"/>
          <w:lang w:val="en-US" w:eastAsia="zh-CN" w:bidi="ar-SA"/>
        </w:rPr>
        <w:t>万元。</w:t>
      </w:r>
    </w:p>
    <w:p w14:paraId="1B037BF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根据评价标准，本单位202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年人均占有资产=</w:t>
      </w:r>
      <w:r>
        <w:rPr>
          <w:rFonts w:hint="eastAsia" w:ascii="Times New Roman" w:hAnsi="Times New Roman" w:eastAsia="仿宋_GB2312" w:cs="仿宋_GB2312"/>
          <w:color w:val="auto"/>
          <w:kern w:val="2"/>
          <w:sz w:val="32"/>
          <w:szCs w:val="32"/>
          <w:highlight w:val="none"/>
          <w:lang w:val="en-US" w:eastAsia="zh-CN" w:bidi="ar-SA"/>
        </w:rPr>
        <w:t>134.11</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17</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7.89</w:t>
      </w:r>
      <w:r>
        <w:rPr>
          <w:rFonts w:hint="default" w:ascii="Times New Roman" w:hAnsi="Times New Roman" w:eastAsia="仿宋_GB2312" w:cs="仿宋_GB2312"/>
          <w:color w:val="auto"/>
          <w:kern w:val="2"/>
          <w:sz w:val="32"/>
          <w:szCs w:val="32"/>
          <w:highlight w:val="none"/>
          <w:lang w:val="en-US" w:eastAsia="zh-CN" w:bidi="ar-SA"/>
        </w:rPr>
        <w:t>（万元/人），202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年人均占有资产=</w:t>
      </w:r>
      <w:r>
        <w:rPr>
          <w:rFonts w:hint="eastAsia" w:ascii="Times New Roman" w:hAnsi="Times New Roman" w:eastAsia="仿宋_GB2312" w:cs="仿宋_GB2312"/>
          <w:color w:val="auto"/>
          <w:kern w:val="2"/>
          <w:sz w:val="32"/>
          <w:szCs w:val="32"/>
          <w:highlight w:val="none"/>
          <w:lang w:val="en-US" w:eastAsia="zh-CN" w:bidi="ar-SA"/>
        </w:rPr>
        <w:t>260.90</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19</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13.73</w:t>
      </w:r>
      <w:r>
        <w:rPr>
          <w:rFonts w:hint="default" w:ascii="Times New Roman" w:hAnsi="Times New Roman" w:eastAsia="仿宋_GB2312" w:cs="仿宋_GB2312"/>
          <w:color w:val="auto"/>
          <w:kern w:val="2"/>
          <w:sz w:val="32"/>
          <w:szCs w:val="32"/>
          <w:highlight w:val="none"/>
          <w:lang w:val="en-US" w:eastAsia="zh-CN" w:bidi="ar-SA"/>
        </w:rPr>
        <w:t>（万元/人），202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年本单位人均资产变化率=(</w:t>
      </w:r>
      <w:r>
        <w:rPr>
          <w:rFonts w:hint="eastAsia" w:ascii="Times New Roman" w:hAnsi="Times New Roman" w:eastAsia="仿宋_GB2312" w:cs="仿宋_GB2312"/>
          <w:color w:val="auto"/>
          <w:kern w:val="2"/>
          <w:sz w:val="32"/>
          <w:szCs w:val="32"/>
          <w:highlight w:val="none"/>
          <w:lang w:val="en-US" w:eastAsia="zh-CN" w:bidi="ar-SA"/>
        </w:rPr>
        <w:t>13.73</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7.89</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7.89</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74.02</w:t>
      </w:r>
      <w:r>
        <w:rPr>
          <w:rFonts w:hint="default" w:ascii="Times New Roman" w:hAnsi="Times New Roman" w:eastAsia="仿宋_GB2312" w:cs="仿宋_GB2312"/>
          <w:color w:val="auto"/>
          <w:kern w:val="2"/>
          <w:sz w:val="32"/>
          <w:szCs w:val="32"/>
          <w:highlight w:val="none"/>
          <w:lang w:val="en-US" w:eastAsia="zh-CN" w:bidi="ar-SA"/>
        </w:rPr>
        <w:t>%。</w:t>
      </w:r>
    </w:p>
    <w:p w14:paraId="58B236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综上，根据评分标准，该项指标得</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en-US" w:eastAsia="zh-CN" w:bidi="ar-SA"/>
        </w:rPr>
        <w:t>分</w:t>
      </w:r>
      <w:r>
        <w:rPr>
          <w:rFonts w:hint="eastAsia" w:ascii="Times New Roman" w:hAnsi="Times New Roman" w:eastAsia="仿宋_GB2312" w:cs="仿宋_GB2312"/>
          <w:color w:val="auto"/>
          <w:kern w:val="2"/>
          <w:sz w:val="32"/>
          <w:szCs w:val="32"/>
          <w:highlight w:val="none"/>
          <w:lang w:val="en-US" w:eastAsia="zh-CN" w:bidi="ar-SA"/>
        </w:rPr>
        <w:t>。</w:t>
      </w:r>
    </w:p>
    <w:p w14:paraId="2B675272">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）资产利用率</w:t>
      </w:r>
    </w:p>
    <w:p w14:paraId="42E68CD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根据公式</w:t>
      </w:r>
      <w:r>
        <w:rPr>
          <w:rFonts w:hint="default" w:ascii="Times New Roman" w:hAnsi="Times New Roman" w:eastAsia="仿宋_GB2312" w:cs="仿宋_GB2312"/>
          <w:color w:val="auto"/>
          <w:kern w:val="2"/>
          <w:sz w:val="32"/>
          <w:szCs w:val="32"/>
          <w:highlight w:val="none"/>
          <w:lang w:val="zh-CN" w:eastAsia="zh-CN" w:bidi="ar-SA"/>
        </w:rPr>
        <w:t>办公家具超最低使用年限资产利用率=超最低使用年限的办公家具账面价值÷办公家具账面价值×100%</w:t>
      </w:r>
      <w:r>
        <w:rPr>
          <w:rFonts w:hint="default" w:ascii="Times New Roman" w:hAnsi="Times New Roman" w:eastAsia="仿宋_GB2312" w:cs="仿宋_GB2312"/>
          <w:color w:val="auto"/>
          <w:kern w:val="2"/>
          <w:sz w:val="32"/>
          <w:szCs w:val="32"/>
          <w:highlight w:val="none"/>
          <w:lang w:val="en-US" w:eastAsia="zh-CN" w:bidi="ar-SA"/>
        </w:rPr>
        <w:t>计算，</w:t>
      </w:r>
      <w:r>
        <w:rPr>
          <w:rFonts w:hint="default" w:ascii="Times New Roman" w:hAnsi="Times New Roman" w:eastAsia="仿宋_GB2312" w:cs="仿宋_GB2312"/>
          <w:color w:val="auto"/>
          <w:kern w:val="2"/>
          <w:sz w:val="32"/>
          <w:szCs w:val="32"/>
          <w:highlight w:val="none"/>
          <w:lang w:val="zh-CN" w:eastAsia="zh-CN" w:bidi="ar-SA"/>
        </w:rPr>
        <w:t>办公家具超最低使用年限资产利用率</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4.72/25.66=18.39</w:t>
      </w:r>
      <w:r>
        <w:rPr>
          <w:rFonts w:hint="default" w:ascii="Times New Roman" w:hAnsi="Times New Roman" w:eastAsia="仿宋_GB2312" w:cs="仿宋_GB2312"/>
          <w:color w:val="auto"/>
          <w:kern w:val="2"/>
          <w:sz w:val="32"/>
          <w:szCs w:val="32"/>
          <w:highlight w:val="none"/>
          <w:lang w:val="en-US" w:eastAsia="zh-CN" w:bidi="ar-SA"/>
        </w:rPr>
        <w:t>%。</w:t>
      </w:r>
    </w:p>
    <w:p w14:paraId="4BE0CED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根据公式部门办公设备超最低使用年限资产利用率=超最低使用年限的办公设备账面价值÷办公设备账面价值×100%计算，办公设备超最低使用年限资产利用率=</w:t>
      </w:r>
      <w:r>
        <w:rPr>
          <w:rFonts w:hint="eastAsia" w:ascii="Times New Roman" w:hAnsi="Times New Roman" w:eastAsia="仿宋_GB2312" w:cs="仿宋_GB2312"/>
          <w:color w:val="auto"/>
          <w:kern w:val="2"/>
          <w:sz w:val="32"/>
          <w:szCs w:val="32"/>
          <w:highlight w:val="none"/>
          <w:lang w:val="en-US" w:eastAsia="zh-CN" w:bidi="ar-SA"/>
        </w:rPr>
        <w:t>281.31</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602.33</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46.70</w:t>
      </w:r>
      <w:r>
        <w:rPr>
          <w:rFonts w:hint="default" w:ascii="Times New Roman" w:hAnsi="Times New Roman" w:eastAsia="仿宋_GB2312" w:cs="仿宋_GB2312"/>
          <w:color w:val="auto"/>
          <w:kern w:val="2"/>
          <w:sz w:val="32"/>
          <w:szCs w:val="32"/>
          <w:highlight w:val="none"/>
          <w:lang w:val="en-US" w:eastAsia="zh-CN" w:bidi="ar-SA"/>
        </w:rPr>
        <w:t>%。</w:t>
      </w:r>
    </w:p>
    <w:p w14:paraId="2D5D0002">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2025年办公家具的利用率是12.93%，办公设备的利用率53.14%。财政增长收入增长率17.1%，2025年人均资产变化率为-3.49%。</w:t>
      </w:r>
    </w:p>
    <w:p w14:paraId="2AF2191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综上，根据评分标准，该项指标得</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分</w:t>
      </w:r>
      <w:r>
        <w:rPr>
          <w:rFonts w:hint="eastAsia" w:ascii="Times New Roman" w:hAnsi="Times New Roman" w:eastAsia="仿宋_GB2312" w:cs="仿宋_GB2312"/>
          <w:color w:val="auto"/>
          <w:kern w:val="2"/>
          <w:sz w:val="32"/>
          <w:szCs w:val="32"/>
          <w:highlight w:val="none"/>
          <w:lang w:val="en-US" w:eastAsia="zh-CN" w:bidi="ar-SA"/>
        </w:rPr>
        <w:t>.</w:t>
      </w:r>
    </w:p>
    <w:p w14:paraId="1E443EBB">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）资产盘活率进行绩效分析。</w:t>
      </w:r>
    </w:p>
    <w:p w14:paraId="1FB4F0F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年及202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年两年我单位均无闲置资产。</w:t>
      </w:r>
    </w:p>
    <w:p w14:paraId="3DB9D77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综上，根据评分标准，该项指标不扣分，得3分。</w:t>
      </w:r>
    </w:p>
    <w:p w14:paraId="5B4F249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采购管理。</w:t>
      </w:r>
    </w:p>
    <w:p w14:paraId="2AA7529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1）支持中小企业发展。本单位严格执行政府采购促进中小企业发展相关管理办法，采用部门集中采购的形式进行采购，已预留采购份额专门面向中小企业采购，并在采购预算中单独列示，采购物资均为必需、急需，采购程序合理、合规。</w:t>
      </w:r>
    </w:p>
    <w:p w14:paraId="4E7EF29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综上，根据评分标准，该项指标不扣分，得3分。</w:t>
      </w:r>
    </w:p>
    <w:p w14:paraId="681D722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）采购执行率</w:t>
      </w:r>
    </w:p>
    <w:p w14:paraId="5FCAC5B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年政府采购项目，根据政府采购情况表和决算报表，本单位202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年政府采购实际支付金额为</w:t>
      </w:r>
      <w:r>
        <w:rPr>
          <w:rFonts w:hint="eastAsia" w:ascii="Times New Roman" w:hAnsi="Times New Roman" w:eastAsia="仿宋_GB2312" w:cs="仿宋_GB2312"/>
          <w:color w:val="auto"/>
          <w:kern w:val="2"/>
          <w:sz w:val="32"/>
          <w:szCs w:val="32"/>
          <w:highlight w:val="none"/>
          <w:lang w:val="en-US" w:eastAsia="zh-CN" w:bidi="ar-SA"/>
        </w:rPr>
        <w:t>212.94</w:t>
      </w:r>
      <w:r>
        <w:rPr>
          <w:rFonts w:hint="default"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2025</w:t>
      </w:r>
      <w:r>
        <w:rPr>
          <w:rFonts w:hint="default" w:ascii="Times New Roman" w:hAnsi="Times New Roman" w:eastAsia="仿宋_GB2312" w:cs="仿宋_GB2312"/>
          <w:color w:val="auto"/>
          <w:kern w:val="2"/>
          <w:sz w:val="32"/>
          <w:szCs w:val="32"/>
          <w:highlight w:val="none"/>
          <w:lang w:val="en-US" w:eastAsia="zh-CN" w:bidi="ar-SA"/>
        </w:rPr>
        <w:t>年政府采购预算为</w:t>
      </w:r>
      <w:r>
        <w:rPr>
          <w:rFonts w:hint="eastAsia" w:ascii="Times New Roman" w:hAnsi="Times New Roman" w:eastAsia="仿宋_GB2312" w:cs="仿宋_GB2312"/>
          <w:color w:val="auto"/>
          <w:kern w:val="2"/>
          <w:sz w:val="32"/>
          <w:szCs w:val="32"/>
          <w:highlight w:val="none"/>
          <w:lang w:val="en-US" w:eastAsia="zh-CN" w:bidi="ar-SA"/>
        </w:rPr>
        <w:t>222.75</w:t>
      </w:r>
      <w:r>
        <w:rPr>
          <w:rFonts w:hint="default" w:ascii="Times New Roman" w:hAnsi="Times New Roman" w:eastAsia="仿宋_GB2312" w:cs="仿宋_GB2312"/>
          <w:color w:val="auto"/>
          <w:kern w:val="2"/>
          <w:sz w:val="32"/>
          <w:szCs w:val="32"/>
          <w:highlight w:val="none"/>
          <w:lang w:val="en-US" w:eastAsia="zh-CN" w:bidi="ar-SA"/>
        </w:rPr>
        <w:t>万元。</w:t>
      </w:r>
    </w:p>
    <w:p w14:paraId="38C0534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212.94/（222.75-9.81）*100%*3=3</w:t>
      </w:r>
    </w:p>
    <w:p w14:paraId="561A6B7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综上，根据评分标准，该项指标得</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分。</w:t>
      </w:r>
    </w:p>
    <w:p w14:paraId="7E7B65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（二）部门预算项目绩效分析。填报以下数据，并根据部门预算绩效评价指标体系“项目绩效”涉及二、三级指标进行逐项绩效分析并评分，依次包括项目</w:t>
      </w:r>
      <w:r>
        <w:rPr>
          <w:rFonts w:hint="eastAsia" w:ascii="Times New Roman" w:hAnsi="Times New Roman" w:eastAsia="仿宋_GB2312" w:cs="仿宋_GB2312"/>
          <w:color w:val="auto"/>
          <w:kern w:val="2"/>
          <w:sz w:val="32"/>
          <w:szCs w:val="32"/>
          <w:highlight w:val="none"/>
          <w:lang w:val="en-US" w:eastAsia="zh-CN" w:bidi="ar-SA"/>
        </w:rPr>
        <w:t>决策、项目执行、目标实现等情况。</w:t>
      </w:r>
    </w:p>
    <w:p w14:paraId="775B15B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常年项目绩效分析。</w:t>
      </w:r>
      <w:r>
        <w:rPr>
          <w:rFonts w:hint="eastAsia"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207.52</w:t>
      </w:r>
      <w:r>
        <w:rPr>
          <w:rFonts w:hint="eastAsia" w:ascii="Times New Roman" w:hAnsi="Times New Roman" w:eastAsia="仿宋_GB2312" w:cs="仿宋_GB2312"/>
          <w:color w:val="auto"/>
          <w:kern w:val="2"/>
          <w:sz w:val="32"/>
          <w:szCs w:val="32"/>
          <w:highlight w:val="none"/>
          <w:lang w:val="zh-CN" w:eastAsia="zh-CN" w:bidi="ar-SA"/>
        </w:rPr>
        <w:t>万元，1—1</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95.05</w:t>
      </w:r>
      <w:r>
        <w:rPr>
          <w:rFonts w:hint="eastAsia" w:ascii="Times New Roman" w:hAnsi="Times New Roman" w:eastAsia="仿宋_GB2312" w:cs="仿宋_GB2312"/>
          <w:color w:val="auto"/>
          <w:kern w:val="2"/>
          <w:sz w:val="32"/>
          <w:szCs w:val="32"/>
          <w:highlight w:val="none"/>
          <w:lang w:val="zh-CN" w:eastAsia="zh-CN" w:bidi="ar-SA"/>
        </w:rPr>
        <w:t>%，其中：预算结余率大于</w:t>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个。</w:t>
      </w:r>
    </w:p>
    <w:p w14:paraId="1E60990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阶段（含一次性）项目绩效分析。</w:t>
      </w:r>
      <w:r>
        <w:rPr>
          <w:rFonts w:hint="eastAsia"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282.18</w:t>
      </w:r>
      <w:r>
        <w:rPr>
          <w:rFonts w:hint="eastAsia" w:ascii="Times New Roman" w:hAnsi="Times New Roman" w:eastAsia="仿宋_GB2312" w:cs="仿宋_GB2312"/>
          <w:color w:val="auto"/>
          <w:kern w:val="2"/>
          <w:sz w:val="32"/>
          <w:szCs w:val="32"/>
          <w:highlight w:val="none"/>
          <w:lang w:val="zh-CN" w:eastAsia="zh-CN" w:bidi="ar-SA"/>
        </w:rPr>
        <w:t>万元，1—1</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zh-CN" w:eastAsia="zh-CN" w:bidi="ar-SA"/>
        </w:rPr>
        <w:t>%，其中：预算结余率大于</w:t>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个。</w:t>
      </w:r>
    </w:p>
    <w:p w14:paraId="4C54419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项目决策。</w:t>
      </w:r>
    </w:p>
    <w:p w14:paraId="520E833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根据可执行情况表，本单位预算阶段项目无未履行事前评估程序的部门预算阶段项目。</w:t>
      </w:r>
    </w:p>
    <w:p w14:paraId="3079315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4630E84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项目执行</w:t>
      </w:r>
      <w:r>
        <w:rPr>
          <w:rFonts w:hint="eastAsia" w:ascii="Times New Roman" w:hAnsi="Times New Roman" w:eastAsia="仿宋_GB2312" w:cs="仿宋_GB2312"/>
          <w:color w:val="auto"/>
          <w:kern w:val="2"/>
          <w:sz w:val="32"/>
          <w:szCs w:val="32"/>
          <w:highlight w:val="none"/>
          <w:lang w:val="zh-CN" w:eastAsia="zh-CN" w:bidi="ar-SA"/>
        </w:rPr>
        <w:t>。</w:t>
      </w:r>
    </w:p>
    <w:p w14:paraId="0FD24F37">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资金执行同向</w:t>
      </w:r>
    </w:p>
    <w:p w14:paraId="4412576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w:t>
      </w:r>
      <w:r>
        <w:rPr>
          <w:rFonts w:hint="default" w:ascii="Times New Roman" w:hAnsi="Times New Roman" w:eastAsia="仿宋_GB2312" w:cs="仿宋_GB2312"/>
          <w:color w:val="auto"/>
          <w:kern w:val="2"/>
          <w:sz w:val="32"/>
          <w:szCs w:val="32"/>
          <w:highlight w:val="none"/>
          <w:lang w:val="zh-CN" w:eastAsia="zh-CN" w:bidi="ar-SA"/>
        </w:rPr>
        <w:t>预算阶段项目</w:t>
      </w:r>
      <w:r>
        <w:rPr>
          <w:rFonts w:hint="default" w:ascii="Times New Roman" w:hAnsi="Times New Roman" w:eastAsia="仿宋_GB2312" w:cs="仿宋_GB2312"/>
          <w:color w:val="auto"/>
          <w:kern w:val="2"/>
          <w:sz w:val="32"/>
          <w:szCs w:val="32"/>
          <w:highlight w:val="none"/>
          <w:lang w:val="en-US" w:eastAsia="zh-CN" w:bidi="ar-SA"/>
        </w:rPr>
        <w:t>无实际列支内容与绩效目标设置方向不相符的部门预算阶段项目。</w:t>
      </w:r>
    </w:p>
    <w:p w14:paraId="2E62BA11">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320B134F">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）项目调整</w:t>
      </w:r>
    </w:p>
    <w:p w14:paraId="7ECC116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本单位应采取收回预算、调整目标等处置措施的部门预算项目均按程序进行预算收回和目标调整。</w:t>
      </w:r>
    </w:p>
    <w:p w14:paraId="5B99A43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7A7ED386">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）执行结果</w:t>
      </w:r>
    </w:p>
    <w:p w14:paraId="7FCBE91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本单位预算项目预算结余率均小于10%。</w:t>
      </w:r>
    </w:p>
    <w:p w14:paraId="5B1F3D6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662D3E6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目标实现。</w:t>
      </w:r>
    </w:p>
    <w:p w14:paraId="728830B4">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）目标完成</w:t>
      </w:r>
    </w:p>
    <w:p w14:paraId="244746E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w:t>
      </w:r>
      <w:r>
        <w:rPr>
          <w:rFonts w:hint="default" w:ascii="Times New Roman" w:hAnsi="Times New Roman" w:eastAsia="仿宋_GB2312" w:cs="仿宋_GB2312"/>
          <w:color w:val="auto"/>
          <w:kern w:val="2"/>
          <w:sz w:val="32"/>
          <w:szCs w:val="32"/>
          <w:highlight w:val="none"/>
          <w:lang w:val="zh-CN" w:eastAsia="zh-CN" w:bidi="ar-SA"/>
        </w:rPr>
        <w:t>预算项目</w:t>
      </w:r>
      <w:r>
        <w:rPr>
          <w:rFonts w:hint="default" w:ascii="Times New Roman" w:hAnsi="Times New Roman" w:eastAsia="仿宋_GB2312" w:cs="仿宋_GB2312"/>
          <w:color w:val="auto"/>
          <w:kern w:val="2"/>
          <w:sz w:val="32"/>
          <w:szCs w:val="32"/>
          <w:highlight w:val="none"/>
          <w:lang w:val="en-US" w:eastAsia="zh-CN" w:bidi="ar-SA"/>
        </w:rPr>
        <w:t>均已完成绩效目标数量指标。</w:t>
      </w:r>
    </w:p>
    <w:p w14:paraId="0E158E28">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3DEBD0C1">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）目标偏离</w:t>
      </w:r>
    </w:p>
    <w:p w14:paraId="309D37A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本单位已完成预期指标值的数量指标中偏离度均在30%以内。</w:t>
      </w:r>
    </w:p>
    <w:p w14:paraId="6306F5DD">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综上，根据评分标准，该项指标不扣分，得4分。</w:t>
      </w:r>
    </w:p>
    <w:p w14:paraId="2B6B8698">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）实现效果</w:t>
      </w:r>
    </w:p>
    <w:p w14:paraId="629C4B3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本单位预算项目绩效目标效益指标实施效果较好，均已达到设定指标值。</w:t>
      </w:r>
    </w:p>
    <w:p w14:paraId="1B29B9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综上，根据评分标准，该项指标不扣分，得3分。</w:t>
      </w:r>
    </w:p>
    <w:p w14:paraId="3EEE500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绩效结果应用情况。</w:t>
      </w:r>
    </w:p>
    <w:p w14:paraId="50D3BAA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年我单位从收支执行，三公经费管理，预算管理，绩效管理等方面进行了详尽单位</w:t>
      </w:r>
      <w:r>
        <w:rPr>
          <w:rFonts w:hint="default" w:ascii="Times New Roman" w:hAnsi="Times New Roman" w:eastAsia="仿宋_GB2312" w:cs="仿宋_GB2312"/>
          <w:color w:val="auto"/>
          <w:kern w:val="2"/>
          <w:sz w:val="32"/>
          <w:szCs w:val="32"/>
          <w:highlight w:val="none"/>
          <w:lang w:val="zh-CN" w:eastAsia="zh-CN" w:bidi="ar-SA"/>
        </w:rPr>
        <w:t>自评，</w:t>
      </w: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年预算绩效目标，项目预算绩效目标等均进行了公开，评价结果较好，对部门预算编制不够精准细化的问题将在后续预算编制和执行工作中逐步改进。</w:t>
      </w:r>
    </w:p>
    <w:p w14:paraId="59855F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四、评价结论及建议</w:t>
      </w:r>
    </w:p>
    <w:p w14:paraId="0EDEA0CA">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（一）评价结论。</w:t>
      </w:r>
      <w:r>
        <w:rPr>
          <w:rFonts w:hint="default" w:ascii="Times New Roman" w:hAnsi="Times New Roman" w:eastAsia="仿宋_GB2312" w:cs="仿宋_GB2312"/>
          <w:color w:val="auto"/>
          <w:kern w:val="2"/>
          <w:sz w:val="32"/>
          <w:szCs w:val="32"/>
          <w:highlight w:val="none"/>
          <w:lang w:val="en-US" w:eastAsia="zh-CN" w:bidi="ar-SA"/>
        </w:rPr>
        <w:t>本单位履职效果和预算管理效果较好，财务管理、资产管理、采购管理规范，项目决策程序严格</w:t>
      </w:r>
      <w:r>
        <w:rPr>
          <w:rFonts w:hint="default" w:ascii="Times New Roman" w:hAnsi="Times New Roman" w:eastAsia="仿宋_GB2312" w:cs="仿宋_GB2312"/>
          <w:color w:val="auto"/>
          <w:kern w:val="2"/>
          <w:sz w:val="32"/>
          <w:szCs w:val="32"/>
          <w:highlight w:val="none"/>
          <w:lang w:val="zh-CN" w:eastAsia="zh-CN" w:bidi="ar-SA"/>
        </w:rPr>
        <w:t>，项目执行</w:t>
      </w:r>
      <w:r>
        <w:rPr>
          <w:rFonts w:hint="default" w:ascii="Times New Roman" w:hAnsi="Times New Roman" w:eastAsia="仿宋_GB2312" w:cs="仿宋_GB2312"/>
          <w:color w:val="auto"/>
          <w:kern w:val="2"/>
          <w:sz w:val="32"/>
          <w:szCs w:val="32"/>
          <w:highlight w:val="none"/>
          <w:lang w:val="en-US" w:eastAsia="zh-CN" w:bidi="ar-SA"/>
        </w:rPr>
        <w:t>进度和绩效目标实现程度良好，严格按照</w:t>
      </w: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阿坝州财政局关于开展2026年州级部门预算绩效自评工作的通知</w:t>
      </w:r>
      <w:r>
        <w:rPr>
          <w:rFonts w:hint="default"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阿州财监绩效</w:t>
      </w: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en-US" w:eastAsia="zh-CN" w:bidi="ar-SA"/>
        </w:rPr>
        <w:t>号）要求，完成一般公共预算和阶段性项目绩效目标自评表的填报，完成专项预算项目自评工作，实现部门预算项目自评全覆盖。</w:t>
      </w:r>
      <w:r>
        <w:rPr>
          <w:rFonts w:hint="default" w:ascii="Times New Roman" w:hAnsi="Times New Roman" w:eastAsia="仿宋_GB2312" w:cs="仿宋_GB2312"/>
          <w:color w:val="auto"/>
          <w:kern w:val="2"/>
          <w:sz w:val="32"/>
          <w:szCs w:val="32"/>
          <w:highlight w:val="none"/>
          <w:lang w:val="zh-CN" w:eastAsia="zh-CN" w:bidi="ar-SA"/>
        </w:rPr>
        <w:t>根据《部门整体支出绩效评价指标体系》，</w:t>
      </w:r>
      <w:r>
        <w:rPr>
          <w:rFonts w:hint="default" w:ascii="Times New Roman" w:hAnsi="Times New Roman" w:eastAsia="仿宋_GB2312" w:cs="仿宋_GB2312"/>
          <w:color w:val="auto"/>
          <w:kern w:val="2"/>
          <w:sz w:val="32"/>
          <w:szCs w:val="32"/>
          <w:highlight w:val="none"/>
          <w:lang w:val="en-US" w:eastAsia="zh-CN" w:bidi="ar-SA"/>
        </w:rPr>
        <w:t>本单位</w:t>
      </w:r>
      <w:r>
        <w:rPr>
          <w:rFonts w:hint="default" w:ascii="Times New Roman" w:hAnsi="Times New Roman" w:eastAsia="仿宋_GB2312" w:cs="仿宋_GB2312"/>
          <w:color w:val="auto"/>
          <w:kern w:val="2"/>
          <w:sz w:val="32"/>
          <w:szCs w:val="32"/>
          <w:highlight w:val="none"/>
          <w:lang w:val="zh-CN"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年度自评得分</w:t>
      </w:r>
      <w:r>
        <w:rPr>
          <w:rFonts w:hint="default" w:ascii="Times New Roman" w:hAnsi="Times New Roman" w:eastAsia="仿宋_GB2312" w:cs="仿宋_GB2312"/>
          <w:color w:val="auto"/>
          <w:kern w:val="2"/>
          <w:sz w:val="32"/>
          <w:szCs w:val="32"/>
          <w:highlight w:val="none"/>
          <w:lang w:val="en-US" w:eastAsia="zh-CN" w:bidi="ar-SA"/>
        </w:rPr>
        <w:t>为</w:t>
      </w:r>
      <w:r>
        <w:rPr>
          <w:rFonts w:hint="eastAsia" w:ascii="Times New Roman" w:hAnsi="Times New Roman" w:eastAsia="仿宋_GB2312" w:cs="仿宋_GB2312"/>
          <w:color w:val="auto"/>
          <w:kern w:val="2"/>
          <w:sz w:val="32"/>
          <w:szCs w:val="32"/>
          <w:highlight w:val="none"/>
          <w:lang w:val="en-US" w:eastAsia="zh-CN" w:bidi="ar-SA"/>
        </w:rPr>
        <w:t>89.58</w:t>
      </w:r>
      <w:r>
        <w:rPr>
          <w:rFonts w:hint="default" w:ascii="Times New Roman" w:hAnsi="Times New Roman" w:eastAsia="仿宋_GB2312" w:cs="仿宋_GB2312"/>
          <w:color w:val="auto"/>
          <w:kern w:val="2"/>
          <w:sz w:val="32"/>
          <w:szCs w:val="32"/>
          <w:highlight w:val="none"/>
          <w:lang w:val="zh-CN" w:eastAsia="zh-CN" w:bidi="ar-SA"/>
        </w:rPr>
        <w:t>分。</w:t>
      </w:r>
    </w:p>
    <w:p w14:paraId="5B93683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（二）存在问题。</w:t>
      </w:r>
    </w:p>
    <w:p w14:paraId="6F37A8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无</w:t>
      </w:r>
    </w:p>
    <w:p w14:paraId="7EC644C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（三）改进建议。</w:t>
      </w:r>
    </w:p>
    <w:p w14:paraId="15910C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1.对各部门预算绩效评价工作进行指导。</w:t>
      </w:r>
    </w:p>
    <w:p w14:paraId="1DF0369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2.简化评价流程</w:t>
      </w:r>
    </w:p>
    <w:p w14:paraId="0B1ACF4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6E6CCBD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55A28A4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32E9CCB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18530E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0920B8F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63711D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0A4863D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D37352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3D7752A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44657C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2BC3E72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4337C3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19BE510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5185190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E3639B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2F5B9B9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5F14201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6445B45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546295C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
        <w:gridCol w:w="664"/>
        <w:gridCol w:w="64"/>
        <w:gridCol w:w="694"/>
        <w:gridCol w:w="73"/>
        <w:gridCol w:w="683"/>
        <w:gridCol w:w="477"/>
        <w:gridCol w:w="280"/>
        <w:gridCol w:w="762"/>
        <w:gridCol w:w="290"/>
        <w:gridCol w:w="469"/>
        <w:gridCol w:w="174"/>
        <w:gridCol w:w="588"/>
        <w:gridCol w:w="136"/>
        <w:gridCol w:w="643"/>
        <w:gridCol w:w="70"/>
        <w:gridCol w:w="758"/>
        <w:gridCol w:w="63"/>
        <w:gridCol w:w="505"/>
        <w:gridCol w:w="191"/>
        <w:gridCol w:w="314"/>
        <w:gridCol w:w="533"/>
      </w:tblGrid>
      <w:tr w14:paraId="1B2A8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2DACB0F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79E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058B430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2025年浙江援建资金-阿坝州科普大篷车建设项目</w:t>
            </w:r>
          </w:p>
        </w:tc>
      </w:tr>
      <w:tr w14:paraId="1C05A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8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89C0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C48B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96" w:type="pct"/>
            <w:gridSpan w:val="3"/>
            <w:tcBorders>
              <w:top w:val="nil"/>
              <w:left w:val="nil"/>
              <w:bottom w:val="nil"/>
              <w:right w:val="nil"/>
            </w:tcBorders>
            <w:shd w:val="clear" w:color="auto" w:fill="auto"/>
            <w:vAlign w:val="center"/>
          </w:tcPr>
          <w:p w14:paraId="2823460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6BE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228F1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F5F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414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10"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30627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2025年7月开始采购工作，共开展3次采购，前两次均采购失败，第3次采购成功，故时间用的比较久，拿到车已至12月，中国科技馆的设备也还未到位，故本年度未开展科普活动。</w:t>
            </w:r>
          </w:p>
        </w:tc>
      </w:tr>
      <w:tr w14:paraId="59FA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4B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92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22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D1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53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60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4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A29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6A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813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F09CE">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06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58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6C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3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90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D0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6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38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9AD1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F84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891E9">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A8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EA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36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8E1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6D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1B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00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AE478">
            <w:pPr>
              <w:rPr>
                <w:rFonts w:hint="eastAsia" w:ascii="黑体" w:hAnsi="黑体" w:eastAsia="黑体" w:cs="黑体"/>
                <w:i/>
                <w:iCs/>
                <w:color w:val="000000"/>
                <w:sz w:val="18"/>
                <w:szCs w:val="18"/>
                <w:u w:val="none"/>
              </w:rPr>
            </w:pPr>
          </w:p>
        </w:tc>
      </w:tr>
      <w:tr w14:paraId="19A58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F3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46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58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DB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E3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C3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83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B63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F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F4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42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B95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B9F4F">
            <w:pPr>
              <w:jc w:val="center"/>
              <w:rPr>
                <w:rFonts w:hint="eastAsia" w:ascii="宋体" w:hAnsi="宋体" w:eastAsia="宋体" w:cs="宋体"/>
                <w:i w:val="0"/>
                <w:iCs w:val="0"/>
                <w:color w:val="000000"/>
                <w:sz w:val="18"/>
                <w:szCs w:val="18"/>
                <w:u w:val="none"/>
              </w:rPr>
            </w:pPr>
          </w:p>
        </w:tc>
        <w:tc>
          <w:tcPr>
            <w:tcW w:w="4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F7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C9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0C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科普活动次数</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9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01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AB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6185E8">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C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9A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517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25年11月完成采购后，12月底才验收，故还未开展科普活动</w:t>
            </w:r>
          </w:p>
        </w:tc>
      </w:tr>
      <w:tr w14:paraId="0E44D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2778C">
            <w:pPr>
              <w:jc w:val="center"/>
              <w:rPr>
                <w:rFonts w:hint="eastAsia" w:ascii="宋体" w:hAnsi="宋体" w:eastAsia="宋体" w:cs="宋体"/>
                <w:i w:val="0"/>
                <w:iCs w:val="0"/>
                <w:color w:val="000000"/>
                <w:sz w:val="18"/>
                <w:szCs w:val="18"/>
                <w:u w:val="none"/>
              </w:rPr>
            </w:pPr>
          </w:p>
        </w:tc>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942EE">
            <w:pPr>
              <w:jc w:val="center"/>
              <w:rPr>
                <w:rFonts w:hint="eastAsia" w:ascii="宋体" w:hAnsi="宋体" w:eastAsia="宋体" w:cs="宋体"/>
                <w:i w:val="0"/>
                <w:iCs w:val="0"/>
                <w:color w:val="000000"/>
                <w:sz w:val="18"/>
                <w:szCs w:val="18"/>
                <w:u w:val="none"/>
              </w:rPr>
            </w:pPr>
          </w:p>
        </w:tc>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B8D36">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CE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科普大篷车采购数量</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70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4F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3D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9C313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45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B5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7F50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因全州特种车辆车编暂停批复，故采购了1辆。</w:t>
            </w:r>
          </w:p>
        </w:tc>
      </w:tr>
      <w:tr w14:paraId="112A3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13F77">
            <w:pPr>
              <w:jc w:val="center"/>
              <w:rPr>
                <w:rFonts w:hint="eastAsia" w:ascii="宋体" w:hAnsi="宋体" w:eastAsia="宋体" w:cs="宋体"/>
                <w:i w:val="0"/>
                <w:iCs w:val="0"/>
                <w:color w:val="000000"/>
                <w:sz w:val="18"/>
                <w:szCs w:val="18"/>
                <w:u w:val="none"/>
              </w:rPr>
            </w:pPr>
          </w:p>
        </w:tc>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EBC2E">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38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B9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科普大篷车验收合格率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3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42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02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2D4A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87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79A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ABF96">
            <w:pPr>
              <w:jc w:val="center"/>
              <w:rPr>
                <w:rFonts w:hint="eastAsia" w:ascii="微软雅黑" w:hAnsi="微软雅黑" w:eastAsia="微软雅黑" w:cs="微软雅黑"/>
                <w:i/>
                <w:iCs/>
                <w:color w:val="000000"/>
                <w:sz w:val="16"/>
                <w:szCs w:val="16"/>
                <w:u w:val="none"/>
              </w:rPr>
            </w:pPr>
          </w:p>
        </w:tc>
      </w:tr>
      <w:tr w14:paraId="0AADF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24E87">
            <w:pPr>
              <w:jc w:val="center"/>
              <w:rPr>
                <w:rFonts w:hint="eastAsia" w:ascii="宋体" w:hAnsi="宋体" w:eastAsia="宋体" w:cs="宋体"/>
                <w:i w:val="0"/>
                <w:iCs w:val="0"/>
                <w:color w:val="000000"/>
                <w:sz w:val="18"/>
                <w:szCs w:val="18"/>
                <w:u w:val="none"/>
              </w:rPr>
            </w:pPr>
          </w:p>
        </w:tc>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51314">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D5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2F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采购完成时间</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F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2D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37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F917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EB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FC2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1AA90">
            <w:pPr>
              <w:jc w:val="center"/>
              <w:rPr>
                <w:rFonts w:hint="eastAsia" w:ascii="微软雅黑" w:hAnsi="微软雅黑" w:eastAsia="微软雅黑" w:cs="微软雅黑"/>
                <w:i/>
                <w:iCs/>
                <w:color w:val="000000"/>
                <w:sz w:val="16"/>
                <w:szCs w:val="16"/>
                <w:u w:val="none"/>
              </w:rPr>
            </w:pPr>
          </w:p>
        </w:tc>
      </w:tr>
      <w:tr w14:paraId="2A7BE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A2C52">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01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11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81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提升全民科学素质</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B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75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258CB">
            <w:pPr>
              <w:jc w:val="center"/>
              <w:rPr>
                <w:rFonts w:hint="eastAsia" w:ascii="宋体" w:hAnsi="宋体" w:eastAsia="宋体" w:cs="宋体"/>
                <w:i w:val="0"/>
                <w:iCs w:val="0"/>
                <w:color w:val="000000"/>
                <w:sz w:val="18"/>
                <w:szCs w:val="18"/>
                <w:u w:val="none"/>
              </w:rPr>
            </w:pP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732FE">
            <w:pPr>
              <w:jc w:val="center"/>
              <w:rPr>
                <w:rFonts w:hint="eastAsia" w:ascii="微软雅黑" w:hAnsi="微软雅黑" w:eastAsia="微软雅黑" w:cs="微软雅黑"/>
                <w:i/>
                <w:iCs/>
                <w:color w:val="000000"/>
                <w:sz w:val="16"/>
                <w:szCs w:val="16"/>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E0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59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C1A90">
            <w:pPr>
              <w:jc w:val="center"/>
              <w:rPr>
                <w:rFonts w:hint="eastAsia" w:ascii="微软雅黑" w:hAnsi="微软雅黑" w:eastAsia="微软雅黑" w:cs="微软雅黑"/>
                <w:i/>
                <w:iCs/>
                <w:color w:val="000000"/>
                <w:sz w:val="16"/>
                <w:szCs w:val="16"/>
                <w:u w:val="none"/>
              </w:rPr>
            </w:pPr>
          </w:p>
        </w:tc>
      </w:tr>
      <w:tr w14:paraId="44C8D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29029">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1F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72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B0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A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FE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E5113">
            <w:pPr>
              <w:jc w:val="center"/>
              <w:rPr>
                <w:rFonts w:hint="eastAsia" w:ascii="宋体" w:hAnsi="宋体" w:eastAsia="宋体" w:cs="宋体"/>
                <w:i w:val="0"/>
                <w:iCs w:val="0"/>
                <w:color w:val="000000"/>
                <w:sz w:val="18"/>
                <w:szCs w:val="18"/>
                <w:u w:val="none"/>
              </w:rPr>
            </w:pP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A8337">
            <w:pPr>
              <w:jc w:val="center"/>
              <w:rPr>
                <w:rFonts w:hint="eastAsia" w:ascii="微软雅黑" w:hAnsi="微软雅黑" w:eastAsia="微软雅黑" w:cs="微软雅黑"/>
                <w:i/>
                <w:iCs/>
                <w:color w:val="000000"/>
                <w:sz w:val="16"/>
                <w:szCs w:val="16"/>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C9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77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9E607">
            <w:pPr>
              <w:jc w:val="center"/>
              <w:rPr>
                <w:rFonts w:hint="eastAsia" w:ascii="微软雅黑" w:hAnsi="微软雅黑" w:eastAsia="微软雅黑" w:cs="微软雅黑"/>
                <w:i/>
                <w:iCs/>
                <w:color w:val="000000"/>
                <w:sz w:val="16"/>
                <w:szCs w:val="16"/>
                <w:u w:val="none"/>
              </w:rPr>
            </w:pPr>
          </w:p>
        </w:tc>
      </w:tr>
      <w:tr w14:paraId="3EA87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4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F47AF">
            <w:pPr>
              <w:jc w:val="center"/>
              <w:rPr>
                <w:rFonts w:hint="eastAsia" w:ascii="宋体" w:hAnsi="宋体" w:eastAsia="宋体" w:cs="宋体"/>
                <w:i w:val="0"/>
                <w:iCs w:val="0"/>
                <w:color w:val="000000"/>
                <w:sz w:val="18"/>
                <w:szCs w:val="18"/>
                <w:u w:val="none"/>
              </w:rPr>
            </w:pP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28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A1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01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D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60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3D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0C5F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44.99</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F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91C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695D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因只采购了一辆车，故有结余</w:t>
            </w:r>
          </w:p>
        </w:tc>
      </w:tr>
      <w:tr w14:paraId="010A4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613"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B98B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3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2751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4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32F2C">
            <w:pPr>
              <w:rPr>
                <w:rFonts w:hint="eastAsia" w:ascii="宋体" w:hAnsi="宋体" w:eastAsia="宋体" w:cs="宋体"/>
                <w:i w:val="0"/>
                <w:iCs w:val="0"/>
                <w:color w:val="000000"/>
                <w:sz w:val="18"/>
                <w:szCs w:val="18"/>
                <w:u w:val="none"/>
              </w:rPr>
            </w:pPr>
          </w:p>
        </w:tc>
      </w:tr>
      <w:tr w14:paraId="36456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5F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55"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1454D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我州地域宽，科普大篷车的机动性能在我州发挥很好的作用，为边远学校、社区、乡村等民众普及科普知识。</w:t>
            </w:r>
          </w:p>
        </w:tc>
      </w:tr>
      <w:tr w14:paraId="730F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DC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55"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55290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55B4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39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55"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D2E6FE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8EE0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222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940A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项目负责人：董品浩</w:t>
            </w:r>
          </w:p>
        </w:tc>
        <w:tc>
          <w:tcPr>
            <w:tcW w:w="2775"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BA32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r w14:paraId="62353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390" w:hRule="atLeast"/>
        </w:trPr>
        <w:tc>
          <w:tcPr>
            <w:tcW w:w="4945" w:type="pct"/>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06C78C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A837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8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E8E7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7"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633E6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51320021T000000057886-科普费</w:t>
            </w:r>
          </w:p>
        </w:tc>
      </w:tr>
      <w:tr w14:paraId="3AE8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8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25CA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4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5F26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521" w:type="pct"/>
            <w:gridSpan w:val="3"/>
            <w:tcBorders>
              <w:top w:val="nil"/>
              <w:left w:val="nil"/>
              <w:bottom w:val="nil"/>
              <w:right w:val="nil"/>
            </w:tcBorders>
            <w:shd w:val="clear" w:color="auto" w:fill="auto"/>
            <w:vAlign w:val="center"/>
          </w:tcPr>
          <w:p w14:paraId="1D32E06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9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659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2AA7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BF8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61E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4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D73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42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487631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853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DA4F0">
            <w:pPr>
              <w:rPr>
                <w:rFonts w:hint="eastAsia" w:ascii="宋体" w:hAnsi="宋体" w:eastAsia="宋体" w:cs="宋体"/>
                <w:i w:val="0"/>
                <w:iCs w:val="0"/>
                <w:color w:val="000000"/>
                <w:sz w:val="18"/>
                <w:szCs w:val="18"/>
                <w:u w:val="none"/>
              </w:rPr>
            </w:pPr>
          </w:p>
        </w:tc>
        <w:tc>
          <w:tcPr>
            <w:tcW w:w="4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73EE1">
            <w:pPr>
              <w:rPr>
                <w:rFonts w:hint="eastAsia" w:ascii="宋体" w:hAnsi="宋体" w:eastAsia="宋体" w:cs="宋体"/>
                <w:i w:val="0"/>
                <w:iCs w:val="0"/>
                <w:color w:val="000000"/>
                <w:sz w:val="18"/>
                <w:szCs w:val="18"/>
                <w:u w:val="none"/>
              </w:rPr>
            </w:pPr>
          </w:p>
        </w:tc>
        <w:tc>
          <w:tcPr>
            <w:tcW w:w="264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7BF0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科普工作融入全州经济社会发展大局，积极作为，在决策咨询、科技创新、科学普及、推动科技服务三农、助力乡村振兴等方面发挥作用。开展好“全国科普日”“科普宣传月”“科技活动周”“科普进寺庙”“防灾减灾”“食品安全”等主题科普活动。</w:t>
            </w:r>
          </w:p>
        </w:tc>
        <w:tc>
          <w:tcPr>
            <w:tcW w:w="142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C40FB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36C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675"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A6CAE">
            <w:pP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835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7"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BE737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开展主题科普宣传活动3次，开展科技培训10次，项目按时完成，满意度达90%以上，全民科学素质增长率达1%。</w:t>
            </w:r>
          </w:p>
        </w:tc>
      </w:tr>
      <w:tr w14:paraId="4ABE2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460" w:hRule="atLeast"/>
        </w:trPr>
        <w:tc>
          <w:tcPr>
            <w:tcW w:w="42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0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ED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F4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7B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C92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54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9C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24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BB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78A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7E68A">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65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25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35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84.35</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2D7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83.18</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49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6A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5E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353E2">
            <w:pPr>
              <w:rPr>
                <w:rFonts w:hint="eastAsia" w:ascii="黑体" w:hAnsi="黑体" w:eastAsia="黑体" w:cs="黑体"/>
                <w:i/>
                <w:iCs/>
                <w:color w:val="000000"/>
                <w:sz w:val="18"/>
                <w:szCs w:val="18"/>
                <w:u w:val="none"/>
              </w:rPr>
            </w:pPr>
          </w:p>
        </w:tc>
      </w:tr>
      <w:tr w14:paraId="2C4E5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E0BDF">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F7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C7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AD7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84.35</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39D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83.18</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12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98.61%</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E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C2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25207">
            <w:pPr>
              <w:rPr>
                <w:rFonts w:hint="eastAsia" w:ascii="黑体" w:hAnsi="黑体" w:eastAsia="黑体" w:cs="黑体"/>
                <w:i/>
                <w:iCs/>
                <w:color w:val="000000"/>
                <w:sz w:val="18"/>
                <w:szCs w:val="18"/>
                <w:u w:val="none"/>
              </w:rPr>
            </w:pPr>
          </w:p>
        </w:tc>
      </w:tr>
      <w:tr w14:paraId="7C5ED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C5BC2">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FB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42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0B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D8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C7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A7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5E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BE24F">
            <w:pPr>
              <w:rPr>
                <w:rFonts w:hint="eastAsia" w:ascii="黑体" w:hAnsi="黑体" w:eastAsia="黑体" w:cs="黑体"/>
                <w:i/>
                <w:iCs/>
                <w:color w:val="000000"/>
                <w:sz w:val="18"/>
                <w:szCs w:val="18"/>
                <w:u w:val="none"/>
              </w:rPr>
            </w:pPr>
          </w:p>
        </w:tc>
      </w:tr>
      <w:tr w14:paraId="4683A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705B4">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58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5A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DAC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FE2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31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FE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77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FAB97">
            <w:pPr>
              <w:rPr>
                <w:rFonts w:hint="eastAsia" w:ascii="黑体" w:hAnsi="黑体" w:eastAsia="黑体" w:cs="黑体"/>
                <w:i/>
                <w:iCs/>
                <w:color w:val="000000"/>
                <w:sz w:val="18"/>
                <w:szCs w:val="18"/>
                <w:u w:val="none"/>
              </w:rPr>
            </w:pPr>
          </w:p>
        </w:tc>
      </w:tr>
      <w:tr w14:paraId="37DC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1A87">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3F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75C95">
            <w:pPr>
              <w:jc w:val="center"/>
              <w:rPr>
                <w:rFonts w:hint="eastAsia" w:ascii="微软雅黑" w:hAnsi="微软雅黑" w:eastAsia="微软雅黑" w:cs="微软雅黑"/>
                <w:i/>
                <w:iCs/>
                <w:color w:val="000000"/>
                <w:sz w:val="16"/>
                <w:szCs w:val="16"/>
                <w:u w:val="none"/>
              </w:rPr>
            </w:pP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4706F">
            <w:pPr>
              <w:jc w:val="center"/>
              <w:rPr>
                <w:rFonts w:hint="eastAsia" w:ascii="微软雅黑" w:hAnsi="微软雅黑" w:eastAsia="微软雅黑" w:cs="微软雅黑"/>
                <w:i/>
                <w:iCs/>
                <w:color w:val="000000"/>
                <w:sz w:val="16"/>
                <w:szCs w:val="16"/>
                <w:u w:val="none"/>
              </w:rPr>
            </w:pPr>
          </w:p>
        </w:tc>
        <w:tc>
          <w:tcPr>
            <w:tcW w:w="1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7FDF2">
            <w:pPr>
              <w:jc w:val="center"/>
              <w:rPr>
                <w:rFonts w:hint="eastAsia" w:ascii="微软雅黑" w:hAnsi="微软雅黑" w:eastAsia="微软雅黑" w:cs="微软雅黑"/>
                <w:i/>
                <w:iCs/>
                <w:color w:val="000000"/>
                <w:sz w:val="16"/>
                <w:szCs w:val="16"/>
                <w:u w:val="none"/>
              </w:rPr>
            </w:pP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38727">
            <w:pPr>
              <w:jc w:val="center"/>
              <w:rPr>
                <w:rFonts w:hint="eastAsia" w:ascii="微软雅黑" w:hAnsi="微软雅黑" w:eastAsia="微软雅黑" w:cs="微软雅黑"/>
                <w:i/>
                <w:iCs/>
                <w:color w:val="000000"/>
                <w:sz w:val="16"/>
                <w:szCs w:val="16"/>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9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FE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7E534">
            <w:pPr>
              <w:rPr>
                <w:rFonts w:hint="eastAsia" w:ascii="黑体" w:hAnsi="黑体" w:eastAsia="黑体" w:cs="黑体"/>
                <w:i/>
                <w:iCs/>
                <w:color w:val="000000"/>
                <w:sz w:val="18"/>
                <w:szCs w:val="18"/>
                <w:u w:val="none"/>
              </w:rPr>
            </w:pPr>
          </w:p>
        </w:tc>
      </w:tr>
      <w:tr w14:paraId="503D4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7A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2E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4A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E9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8E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AF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25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154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F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5D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71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4BE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54" w:type="pct"/>
          <w:trHeight w:val="675"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3FA60">
            <w:pPr>
              <w:jc w:val="center"/>
              <w:rPr>
                <w:rFonts w:hint="eastAsia" w:ascii="宋体" w:hAnsi="宋体" w:eastAsia="宋体" w:cs="宋体"/>
                <w:i w:val="0"/>
                <w:iCs w:val="0"/>
                <w:color w:val="000000"/>
                <w:sz w:val="18"/>
                <w:szCs w:val="18"/>
                <w:u w:val="none"/>
              </w:rPr>
            </w:pPr>
          </w:p>
        </w:tc>
        <w:tc>
          <w:tcPr>
            <w:tcW w:w="4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D5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8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74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1B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开展主题科普宣传活动次数</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39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1A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30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3B5C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9A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8B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1C67F">
            <w:pPr>
              <w:jc w:val="center"/>
              <w:rPr>
                <w:rFonts w:hint="eastAsia" w:ascii="微软雅黑" w:hAnsi="微软雅黑" w:eastAsia="微软雅黑" w:cs="微软雅黑"/>
                <w:i/>
                <w:iCs/>
                <w:color w:val="000000"/>
                <w:sz w:val="16"/>
                <w:szCs w:val="16"/>
                <w:u w:val="none"/>
              </w:rPr>
            </w:pPr>
          </w:p>
        </w:tc>
      </w:tr>
      <w:tr w14:paraId="3923E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8A589">
            <w:pPr>
              <w:jc w:val="center"/>
              <w:rPr>
                <w:rFonts w:hint="eastAsia" w:ascii="宋体" w:hAnsi="宋体" w:eastAsia="宋体" w:cs="宋体"/>
                <w:i w:val="0"/>
                <w:iCs w:val="0"/>
                <w:color w:val="000000"/>
                <w:sz w:val="18"/>
                <w:szCs w:val="18"/>
                <w:u w:val="none"/>
              </w:rPr>
            </w:pPr>
          </w:p>
        </w:tc>
        <w:tc>
          <w:tcPr>
            <w:tcW w:w="4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0B1A8">
            <w:pPr>
              <w:jc w:val="center"/>
              <w:rPr>
                <w:rFonts w:hint="eastAsia" w:ascii="宋体" w:hAnsi="宋体" w:eastAsia="宋体" w:cs="宋体"/>
                <w:i w:val="0"/>
                <w:iCs w:val="0"/>
                <w:color w:val="000000"/>
                <w:sz w:val="18"/>
                <w:szCs w:val="18"/>
                <w:u w:val="none"/>
              </w:rPr>
            </w:pPr>
          </w:p>
        </w:tc>
        <w:tc>
          <w:tcPr>
            <w:tcW w:w="68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82F83">
            <w:pPr>
              <w:jc w:val="center"/>
              <w:rPr>
                <w:rFonts w:hint="eastAsia" w:ascii="宋体" w:hAnsi="宋体" w:eastAsia="宋体" w:cs="宋体"/>
                <w:i w:val="0"/>
                <w:iCs w:val="0"/>
                <w:color w:val="000000"/>
                <w:sz w:val="18"/>
                <w:szCs w:val="18"/>
                <w:u w:val="none"/>
              </w:rPr>
            </w:pP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2F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开展科技培训次数</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F0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8B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3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22A4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AE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40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ADB8">
            <w:pPr>
              <w:jc w:val="center"/>
              <w:rPr>
                <w:rFonts w:hint="eastAsia" w:ascii="微软雅黑" w:hAnsi="微软雅黑" w:eastAsia="微软雅黑" w:cs="微软雅黑"/>
                <w:i/>
                <w:iCs/>
                <w:color w:val="000000"/>
                <w:sz w:val="16"/>
                <w:szCs w:val="16"/>
                <w:u w:val="none"/>
              </w:rPr>
            </w:pPr>
          </w:p>
        </w:tc>
      </w:tr>
      <w:tr w14:paraId="7D021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FF500">
            <w:pPr>
              <w:jc w:val="center"/>
              <w:rPr>
                <w:rFonts w:hint="eastAsia" w:ascii="宋体" w:hAnsi="宋体" w:eastAsia="宋体" w:cs="宋体"/>
                <w:i w:val="0"/>
                <w:iCs w:val="0"/>
                <w:color w:val="000000"/>
                <w:sz w:val="18"/>
                <w:szCs w:val="18"/>
                <w:u w:val="none"/>
              </w:rPr>
            </w:pPr>
          </w:p>
        </w:tc>
        <w:tc>
          <w:tcPr>
            <w:tcW w:w="4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F3751">
            <w:pPr>
              <w:jc w:val="center"/>
              <w:rPr>
                <w:rFonts w:hint="eastAsia" w:ascii="宋体" w:hAnsi="宋体" w:eastAsia="宋体" w:cs="宋体"/>
                <w:i w:val="0"/>
                <w:iCs w:val="0"/>
                <w:color w:val="000000"/>
                <w:sz w:val="18"/>
                <w:szCs w:val="18"/>
                <w:u w:val="none"/>
              </w:rPr>
            </w:pP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12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D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科普工作完成率</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20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7B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75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A1D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A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B4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3F31">
            <w:pPr>
              <w:jc w:val="center"/>
              <w:rPr>
                <w:rFonts w:hint="eastAsia" w:ascii="微软雅黑" w:hAnsi="微软雅黑" w:eastAsia="微软雅黑" w:cs="微软雅黑"/>
                <w:i/>
                <w:iCs/>
                <w:color w:val="000000"/>
                <w:sz w:val="16"/>
                <w:szCs w:val="16"/>
                <w:u w:val="none"/>
              </w:rPr>
            </w:pPr>
          </w:p>
        </w:tc>
      </w:tr>
      <w:tr w14:paraId="56CE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91179">
            <w:pPr>
              <w:jc w:val="center"/>
              <w:rPr>
                <w:rFonts w:hint="eastAsia" w:ascii="宋体" w:hAnsi="宋体" w:eastAsia="宋体" w:cs="宋体"/>
                <w:i w:val="0"/>
                <w:iCs w:val="0"/>
                <w:color w:val="000000"/>
                <w:sz w:val="18"/>
                <w:szCs w:val="18"/>
                <w:u w:val="none"/>
              </w:rPr>
            </w:pPr>
          </w:p>
        </w:tc>
        <w:tc>
          <w:tcPr>
            <w:tcW w:w="4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8661A">
            <w:pPr>
              <w:jc w:val="center"/>
              <w:rPr>
                <w:rFonts w:hint="eastAsia" w:ascii="宋体" w:hAnsi="宋体" w:eastAsia="宋体" w:cs="宋体"/>
                <w:i w:val="0"/>
                <w:iCs w:val="0"/>
                <w:color w:val="000000"/>
                <w:sz w:val="18"/>
                <w:szCs w:val="18"/>
                <w:u w:val="none"/>
              </w:rPr>
            </w:pP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36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383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B1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AB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6646">
            <w:pPr>
              <w:jc w:val="center"/>
              <w:rPr>
                <w:rFonts w:hint="eastAsia" w:ascii="宋体" w:hAnsi="宋体" w:eastAsia="宋体" w:cs="宋体"/>
                <w:i w:val="0"/>
                <w:iCs w:val="0"/>
                <w:color w:val="000000"/>
                <w:sz w:val="18"/>
                <w:szCs w:val="18"/>
                <w:u w:val="none"/>
              </w:rPr>
            </w:pP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5B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C1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FA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DCC7D">
            <w:pPr>
              <w:jc w:val="center"/>
              <w:rPr>
                <w:rFonts w:hint="eastAsia" w:ascii="微软雅黑" w:hAnsi="微软雅黑" w:eastAsia="微软雅黑" w:cs="微软雅黑"/>
                <w:i/>
                <w:iCs/>
                <w:color w:val="000000"/>
                <w:sz w:val="16"/>
                <w:szCs w:val="16"/>
                <w:u w:val="none"/>
              </w:rPr>
            </w:pPr>
          </w:p>
        </w:tc>
      </w:tr>
      <w:tr w14:paraId="63C7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7A61C">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C3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73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8B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全民科学素质增长率</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25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5A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37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2F24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ED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89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9B986">
            <w:pPr>
              <w:jc w:val="center"/>
              <w:rPr>
                <w:rFonts w:hint="eastAsia" w:ascii="微软雅黑" w:hAnsi="微软雅黑" w:eastAsia="微软雅黑" w:cs="微软雅黑"/>
                <w:i/>
                <w:iCs/>
                <w:color w:val="000000"/>
                <w:sz w:val="16"/>
                <w:szCs w:val="16"/>
                <w:u w:val="none"/>
              </w:rPr>
            </w:pPr>
          </w:p>
        </w:tc>
      </w:tr>
      <w:tr w14:paraId="3353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59664">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D1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3F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ED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参加对象满意度</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26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4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A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086D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B7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04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BA471">
            <w:pPr>
              <w:jc w:val="center"/>
              <w:rPr>
                <w:rFonts w:hint="eastAsia" w:ascii="微软雅黑" w:hAnsi="微软雅黑" w:eastAsia="微软雅黑" w:cs="微软雅黑"/>
                <w:i/>
                <w:iCs/>
                <w:color w:val="000000"/>
                <w:sz w:val="16"/>
                <w:szCs w:val="16"/>
                <w:u w:val="none"/>
              </w:rPr>
            </w:pPr>
          </w:p>
        </w:tc>
      </w:tr>
      <w:tr w14:paraId="63F21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460" w:hRule="atLeast"/>
        </w:trPr>
        <w:tc>
          <w:tcPr>
            <w:tcW w:w="42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15EA1">
            <w:pPr>
              <w:jc w:val="center"/>
              <w:rPr>
                <w:rFonts w:hint="eastAsia" w:ascii="宋体" w:hAnsi="宋体" w:eastAsia="宋体" w:cs="宋体"/>
                <w:i w:val="0"/>
                <w:iCs w:val="0"/>
                <w:color w:val="000000"/>
                <w:sz w:val="18"/>
                <w:szCs w:val="18"/>
                <w:u w:val="none"/>
              </w:rPr>
            </w:pPr>
          </w:p>
        </w:tc>
        <w:tc>
          <w:tcPr>
            <w:tcW w:w="44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61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8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7D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33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EB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27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F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72E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57</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5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69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38F6">
            <w:pPr>
              <w:jc w:val="center"/>
              <w:rPr>
                <w:rFonts w:hint="eastAsia" w:ascii="微软雅黑" w:hAnsi="微软雅黑" w:eastAsia="微软雅黑" w:cs="微软雅黑"/>
                <w:i/>
                <w:iCs/>
                <w:color w:val="000000"/>
                <w:sz w:val="16"/>
                <w:szCs w:val="16"/>
                <w:u w:val="none"/>
              </w:rPr>
            </w:pPr>
          </w:p>
        </w:tc>
      </w:tr>
      <w:tr w14:paraId="7EC5F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040"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45B7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D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0854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23DE">
            <w:pPr>
              <w:rPr>
                <w:rFonts w:hint="eastAsia" w:ascii="宋体" w:hAnsi="宋体" w:eastAsia="宋体" w:cs="宋体"/>
                <w:i w:val="0"/>
                <w:iCs w:val="0"/>
                <w:color w:val="000000"/>
                <w:sz w:val="18"/>
                <w:szCs w:val="18"/>
                <w:u w:val="none"/>
              </w:rPr>
            </w:pPr>
          </w:p>
        </w:tc>
      </w:tr>
      <w:tr w14:paraId="36CD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D3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16"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1D345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科普部全年工作保质保量完成。</w:t>
            </w:r>
          </w:p>
        </w:tc>
      </w:tr>
      <w:tr w14:paraId="126E1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C0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16"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25DAF7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BB0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73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16"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1CEF44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继续保持。</w:t>
            </w:r>
          </w:p>
        </w:tc>
      </w:tr>
      <w:tr w14:paraId="55079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54" w:type="pct"/>
          <w:trHeight w:val="270" w:hRule="atLeast"/>
        </w:trPr>
        <w:tc>
          <w:tcPr>
            <w:tcW w:w="2717"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28E8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项目负责人：高波</w:t>
            </w:r>
          </w:p>
        </w:tc>
        <w:tc>
          <w:tcPr>
            <w:tcW w:w="222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8789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7B8201F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0ECF80C">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3ED337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9B287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714AF03">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858F3B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5FB018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85F753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EEAF06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996C00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3D09C5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64BB07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F1E31A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73A256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452411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766"/>
        <w:gridCol w:w="766"/>
        <w:gridCol w:w="767"/>
        <w:gridCol w:w="769"/>
        <w:gridCol w:w="767"/>
        <w:gridCol w:w="769"/>
        <w:gridCol w:w="846"/>
        <w:gridCol w:w="767"/>
        <w:gridCol w:w="767"/>
        <w:gridCol w:w="772"/>
      </w:tblGrid>
      <w:tr w14:paraId="6E15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45137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14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8AF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E6EB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51320021T000000057920-州老科协工作经费</w:t>
            </w:r>
          </w:p>
        </w:tc>
      </w:tr>
      <w:tr w14:paraId="55952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EE0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AB6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54" w:type="pct"/>
            <w:tcBorders>
              <w:top w:val="nil"/>
              <w:left w:val="nil"/>
              <w:bottom w:val="nil"/>
              <w:right w:val="nil"/>
            </w:tcBorders>
            <w:shd w:val="clear" w:color="auto" w:fill="auto"/>
            <w:vAlign w:val="center"/>
          </w:tcPr>
          <w:p w14:paraId="2CD5166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F5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72A1C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90A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482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FE2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0FAD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B6F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76F29">
            <w:pP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80346">
            <w:pPr>
              <w:rPr>
                <w:rFonts w:hint="eastAsia" w:ascii="宋体" w:hAnsi="宋体" w:eastAsia="宋体" w:cs="宋体"/>
                <w:i w:val="0"/>
                <w:iCs w:val="0"/>
                <w:color w:val="000000"/>
                <w:sz w:val="18"/>
                <w:szCs w:val="18"/>
                <w:u w:val="none"/>
              </w:rPr>
            </w:pP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F3EB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组织我州各行各业老专家，通过开展调研咨询、培训指导等活动，提升科技创新能力，促进科普教育发展，为阿坝州高质量发展贡献力量。</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C169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D478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75FAE">
            <w:pP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E5D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D273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外出学习交流1次，专题调研1次，召开理事会1次，会员及专家座谈会3次，开展咨询、培训、义诊活动2次，科普宣传工作完成质量好，培训指导完成率100%，培训对象满意度达90%以上，项目按时完成。</w:t>
            </w:r>
          </w:p>
        </w:tc>
      </w:tr>
      <w:tr w14:paraId="4912D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87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98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1B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A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9F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79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5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6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A2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FBA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E7A9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3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F0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B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C9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2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F4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C4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30E23">
            <w:pPr>
              <w:rPr>
                <w:rFonts w:hint="eastAsia" w:ascii="黑体" w:hAnsi="黑体" w:eastAsia="黑体" w:cs="黑体"/>
                <w:i/>
                <w:iCs/>
                <w:color w:val="000000"/>
                <w:sz w:val="18"/>
                <w:szCs w:val="18"/>
                <w:u w:val="none"/>
              </w:rPr>
            </w:pPr>
          </w:p>
        </w:tc>
      </w:tr>
      <w:tr w14:paraId="25023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B552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7A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0B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0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C9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6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9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6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E5153">
            <w:pPr>
              <w:rPr>
                <w:rFonts w:hint="eastAsia" w:ascii="黑体" w:hAnsi="黑体" w:eastAsia="黑体" w:cs="黑体"/>
                <w:i/>
                <w:iCs/>
                <w:color w:val="000000"/>
                <w:sz w:val="18"/>
                <w:szCs w:val="18"/>
                <w:u w:val="none"/>
              </w:rPr>
            </w:pPr>
          </w:p>
        </w:tc>
      </w:tr>
      <w:tr w14:paraId="532E7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1FAC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5B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03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DE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E46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A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94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E6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DF814">
            <w:pPr>
              <w:rPr>
                <w:rFonts w:hint="eastAsia" w:ascii="黑体" w:hAnsi="黑体" w:eastAsia="黑体" w:cs="黑体"/>
                <w:i/>
                <w:iCs/>
                <w:color w:val="000000"/>
                <w:sz w:val="18"/>
                <w:szCs w:val="18"/>
                <w:u w:val="none"/>
              </w:rPr>
            </w:pPr>
          </w:p>
        </w:tc>
      </w:tr>
      <w:tr w14:paraId="62937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D093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BE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D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AC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61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F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3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D2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E29E3">
            <w:pPr>
              <w:rPr>
                <w:rFonts w:hint="eastAsia" w:ascii="黑体" w:hAnsi="黑体" w:eastAsia="黑体" w:cs="黑体"/>
                <w:i/>
                <w:iCs/>
                <w:color w:val="000000"/>
                <w:sz w:val="18"/>
                <w:szCs w:val="18"/>
                <w:u w:val="none"/>
              </w:rPr>
            </w:pPr>
          </w:p>
        </w:tc>
      </w:tr>
      <w:tr w14:paraId="75CD5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A27F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7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9BDB2">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76CC">
            <w:pPr>
              <w:jc w:val="center"/>
              <w:rPr>
                <w:rFonts w:hint="eastAsia" w:ascii="微软雅黑" w:hAnsi="微软雅黑" w:eastAsia="微软雅黑" w:cs="微软雅黑"/>
                <w:i/>
                <w:iCs/>
                <w:color w:val="000000"/>
                <w:sz w:val="16"/>
                <w:szCs w:val="16"/>
                <w:u w:val="none"/>
              </w:rPr>
            </w:pP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F0226">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50FE0">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0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7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9B7A5">
            <w:pPr>
              <w:rPr>
                <w:rFonts w:hint="eastAsia" w:ascii="黑体" w:hAnsi="黑体" w:eastAsia="黑体" w:cs="黑体"/>
                <w:i/>
                <w:iCs/>
                <w:color w:val="000000"/>
                <w:sz w:val="18"/>
                <w:szCs w:val="18"/>
                <w:u w:val="none"/>
              </w:rPr>
            </w:pPr>
          </w:p>
        </w:tc>
      </w:tr>
      <w:tr w14:paraId="693E2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C0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5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55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82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B7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37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F8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3D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BE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27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0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988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7F490">
            <w:pPr>
              <w:jc w:val="center"/>
              <w:rPr>
                <w:rFonts w:hint="eastAsia" w:ascii="宋体" w:hAnsi="宋体" w:eastAsia="宋体" w:cs="宋体"/>
                <w:i w:val="0"/>
                <w:iCs w:val="0"/>
                <w:color w:val="000000"/>
                <w:sz w:val="18"/>
                <w:szCs w:val="18"/>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31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44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02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外出学习交流次数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70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E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F1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C36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86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CB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0C06">
            <w:pPr>
              <w:jc w:val="center"/>
              <w:rPr>
                <w:rFonts w:hint="eastAsia" w:ascii="微软雅黑" w:hAnsi="微软雅黑" w:eastAsia="微软雅黑" w:cs="微软雅黑"/>
                <w:i/>
                <w:iCs/>
                <w:color w:val="000000"/>
                <w:sz w:val="16"/>
                <w:szCs w:val="16"/>
                <w:u w:val="none"/>
              </w:rPr>
            </w:pPr>
          </w:p>
        </w:tc>
      </w:tr>
      <w:tr w14:paraId="070BC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0F965">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5DAE9">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980F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B9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专题调研次数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5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96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B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F11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0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2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F9082">
            <w:pPr>
              <w:jc w:val="center"/>
              <w:rPr>
                <w:rFonts w:hint="eastAsia" w:ascii="微软雅黑" w:hAnsi="微软雅黑" w:eastAsia="微软雅黑" w:cs="微软雅黑"/>
                <w:i/>
                <w:iCs/>
                <w:color w:val="000000"/>
                <w:sz w:val="16"/>
                <w:szCs w:val="16"/>
                <w:u w:val="none"/>
              </w:rPr>
            </w:pPr>
          </w:p>
        </w:tc>
      </w:tr>
      <w:tr w14:paraId="50B7D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A1127">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67208">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6C2A5">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E8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召开理事会次数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1F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A5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20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1F5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8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9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DC0E">
            <w:pPr>
              <w:jc w:val="center"/>
              <w:rPr>
                <w:rFonts w:hint="eastAsia" w:ascii="微软雅黑" w:hAnsi="微软雅黑" w:eastAsia="微软雅黑" w:cs="微软雅黑"/>
                <w:i/>
                <w:iCs/>
                <w:color w:val="000000"/>
                <w:sz w:val="16"/>
                <w:szCs w:val="16"/>
                <w:u w:val="none"/>
              </w:rPr>
            </w:pPr>
          </w:p>
        </w:tc>
      </w:tr>
      <w:tr w14:paraId="262B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145D8">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4624B">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BD26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E0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会员及专家座谈会次数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0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07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7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BEFD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9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7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1F5A">
            <w:pPr>
              <w:jc w:val="center"/>
              <w:rPr>
                <w:rFonts w:hint="eastAsia" w:ascii="微软雅黑" w:hAnsi="微软雅黑" w:eastAsia="微软雅黑" w:cs="微软雅黑"/>
                <w:i/>
                <w:iCs/>
                <w:color w:val="000000"/>
                <w:sz w:val="16"/>
                <w:szCs w:val="16"/>
                <w:u w:val="none"/>
              </w:rPr>
            </w:pPr>
          </w:p>
        </w:tc>
      </w:tr>
      <w:tr w14:paraId="7990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6DA81">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478C1">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CECE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95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开展咨询、培训、义诊活动次数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7F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0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6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17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6A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B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0ADF">
            <w:pPr>
              <w:jc w:val="center"/>
              <w:rPr>
                <w:rFonts w:hint="eastAsia" w:ascii="微软雅黑" w:hAnsi="微软雅黑" w:eastAsia="微软雅黑" w:cs="微软雅黑"/>
                <w:i/>
                <w:iCs/>
                <w:color w:val="000000"/>
                <w:sz w:val="16"/>
                <w:szCs w:val="16"/>
                <w:u w:val="none"/>
              </w:rPr>
            </w:pPr>
          </w:p>
        </w:tc>
      </w:tr>
      <w:tr w14:paraId="786A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C259B">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20F11">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4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4A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科普宣传工作完成质量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B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21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C8E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8189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高</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7A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E3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F5CE">
            <w:pPr>
              <w:jc w:val="center"/>
              <w:rPr>
                <w:rFonts w:hint="eastAsia" w:ascii="微软雅黑" w:hAnsi="微软雅黑" w:eastAsia="微软雅黑" w:cs="微软雅黑"/>
                <w:i/>
                <w:iCs/>
                <w:color w:val="000000"/>
                <w:sz w:val="16"/>
                <w:szCs w:val="16"/>
                <w:u w:val="none"/>
              </w:rPr>
            </w:pPr>
          </w:p>
        </w:tc>
      </w:tr>
      <w:tr w14:paraId="3349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7C64E">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B0E0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51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A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2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2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3B9F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6B16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按时完成</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E9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B2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B83DD">
            <w:pPr>
              <w:jc w:val="center"/>
              <w:rPr>
                <w:rFonts w:hint="eastAsia" w:ascii="微软雅黑" w:hAnsi="微软雅黑" w:eastAsia="微软雅黑" w:cs="微软雅黑"/>
                <w:i/>
                <w:iCs/>
                <w:color w:val="000000"/>
                <w:sz w:val="16"/>
                <w:szCs w:val="16"/>
                <w:u w:val="none"/>
              </w:rPr>
            </w:pPr>
          </w:p>
        </w:tc>
      </w:tr>
      <w:tr w14:paraId="37B9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4A50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B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F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FE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培训指导完成率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56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8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B9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17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CE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CA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FD9D">
            <w:pPr>
              <w:jc w:val="center"/>
              <w:rPr>
                <w:rFonts w:hint="eastAsia" w:ascii="微软雅黑" w:hAnsi="微软雅黑" w:eastAsia="微软雅黑" w:cs="微软雅黑"/>
                <w:i/>
                <w:iCs/>
                <w:color w:val="000000"/>
                <w:sz w:val="16"/>
                <w:szCs w:val="16"/>
                <w:u w:val="none"/>
              </w:rPr>
            </w:pPr>
          </w:p>
        </w:tc>
      </w:tr>
      <w:tr w14:paraId="099BE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94A5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09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6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D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E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5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5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9435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5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8D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2977E">
            <w:pPr>
              <w:jc w:val="center"/>
              <w:rPr>
                <w:rFonts w:hint="eastAsia" w:ascii="微软雅黑" w:hAnsi="微软雅黑" w:eastAsia="微软雅黑" w:cs="微软雅黑"/>
                <w:i/>
                <w:iCs/>
                <w:color w:val="000000"/>
                <w:sz w:val="16"/>
                <w:szCs w:val="16"/>
                <w:u w:val="none"/>
              </w:rPr>
            </w:pPr>
          </w:p>
        </w:tc>
      </w:tr>
      <w:tr w14:paraId="4A653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AE22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D3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6D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81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C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B9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6D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86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ED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DA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7F2C">
            <w:pPr>
              <w:jc w:val="center"/>
              <w:rPr>
                <w:rFonts w:hint="eastAsia" w:ascii="微软雅黑" w:hAnsi="微软雅黑" w:eastAsia="微软雅黑" w:cs="微软雅黑"/>
                <w:i/>
                <w:iCs/>
                <w:color w:val="000000"/>
                <w:sz w:val="16"/>
                <w:szCs w:val="16"/>
                <w:u w:val="none"/>
              </w:rPr>
            </w:pPr>
          </w:p>
        </w:tc>
      </w:tr>
      <w:tr w14:paraId="15A0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8DA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6D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B4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C5054">
            <w:pPr>
              <w:rPr>
                <w:rFonts w:hint="eastAsia" w:ascii="宋体" w:hAnsi="宋体" w:eastAsia="宋体" w:cs="宋体"/>
                <w:i w:val="0"/>
                <w:iCs w:val="0"/>
                <w:color w:val="000000"/>
                <w:sz w:val="18"/>
                <w:szCs w:val="18"/>
                <w:u w:val="none"/>
              </w:rPr>
            </w:pPr>
          </w:p>
        </w:tc>
      </w:tr>
      <w:tr w14:paraId="19485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6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E227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老科协全年工作保质保量完成。</w:t>
            </w:r>
          </w:p>
        </w:tc>
      </w:tr>
      <w:tr w14:paraId="014DF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A1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9F92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FF50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F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AD9E7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继续保持。</w:t>
            </w:r>
          </w:p>
        </w:tc>
      </w:tr>
      <w:tr w14:paraId="33BB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C8FA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项目负责人：高波</w:t>
            </w:r>
          </w:p>
        </w:tc>
        <w:tc>
          <w:tcPr>
            <w:tcW w:w="27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6178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08FA312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5D7D03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79AFB0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BE8DC7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C77A8B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4F0A44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6185F69">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083E35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79329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9"/>
        <w:gridCol w:w="739"/>
        <w:gridCol w:w="690"/>
        <w:gridCol w:w="755"/>
        <w:gridCol w:w="445"/>
        <w:gridCol w:w="527"/>
        <w:gridCol w:w="445"/>
        <w:gridCol w:w="927"/>
        <w:gridCol w:w="494"/>
        <w:gridCol w:w="494"/>
        <w:gridCol w:w="2204"/>
      </w:tblGrid>
      <w:tr w14:paraId="3AA0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847CD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C0DD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435294">
            <w:pPr>
              <w:keepNext w:val="0"/>
              <w:keepLines w:val="0"/>
              <w:widowControl/>
              <w:suppressLineNumbers w:val="0"/>
              <w:jc w:val="center"/>
              <w:textAlignment w:val="center"/>
              <w:rPr>
                <w:rFonts w:hint="eastAsia" w:ascii="黑体" w:hAnsi="宋体" w:eastAsia="黑体" w:cs="黑体"/>
                <w:b/>
                <w:bCs/>
                <w:i w:val="0"/>
                <w:iCs w:val="0"/>
                <w:color w:val="000000"/>
                <w:kern w:val="0"/>
                <w:sz w:val="30"/>
                <w:szCs w:val="30"/>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项目名称：51320021T000000057978-州院士专家工作站服务中心工作经费</w:t>
            </w:r>
          </w:p>
        </w:tc>
      </w:tr>
      <w:tr w14:paraId="749CB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D4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C787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0" w:type="auto"/>
            <w:tcBorders>
              <w:top w:val="nil"/>
              <w:left w:val="nil"/>
              <w:bottom w:val="nil"/>
              <w:right w:val="nil"/>
            </w:tcBorders>
            <w:shd w:val="clear" w:color="auto" w:fill="auto"/>
            <w:vAlign w:val="center"/>
          </w:tcPr>
          <w:p w14:paraId="5BAC550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E1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0E3B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80A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870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659A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开展第十批院士专家工作站评审工作1次，共8家单位参评，最终3家单位通过评审并获州委办、州政府办批复，期间对申请建站单位及已建站单位开展调研3次，评审后，开展授牌，授予三家单位专家工作站牌子。</w:t>
            </w:r>
          </w:p>
        </w:tc>
      </w:tr>
      <w:tr w14:paraId="68D6E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4D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16C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B8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AA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70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9E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92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58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085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123B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4BF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7F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51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A2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6B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08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31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75D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9697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DCB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C46F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0F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D6C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2C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CD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C3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4F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16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8D8FD">
            <w:pPr>
              <w:rPr>
                <w:rFonts w:hint="eastAsia" w:ascii="黑体" w:hAnsi="黑体" w:eastAsia="黑体" w:cs="黑体"/>
                <w:i/>
                <w:iCs/>
                <w:color w:val="000000"/>
                <w:sz w:val="18"/>
                <w:szCs w:val="18"/>
                <w:u w:val="none"/>
              </w:rPr>
            </w:pPr>
          </w:p>
        </w:tc>
      </w:tr>
      <w:tr w14:paraId="1AED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ED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171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42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CE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21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C2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09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00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B8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1B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AE1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A7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86B0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47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08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3C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组织授牌数量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65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73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3F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FC690">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C5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C0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149BE">
            <w:pPr>
              <w:jc w:val="center"/>
              <w:rPr>
                <w:rFonts w:hint="eastAsia" w:ascii="微软雅黑" w:hAnsi="微软雅黑" w:eastAsia="微软雅黑" w:cs="微软雅黑"/>
                <w:i/>
                <w:iCs/>
                <w:color w:val="000000"/>
                <w:sz w:val="16"/>
                <w:szCs w:val="16"/>
                <w:u w:val="none"/>
              </w:rPr>
            </w:pPr>
          </w:p>
        </w:tc>
      </w:tr>
      <w:tr w14:paraId="52461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C829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E31A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06E3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16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新建院士（专家）工作站数量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D9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D9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0C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AC71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EC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CC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8D24B">
            <w:pPr>
              <w:jc w:val="center"/>
              <w:rPr>
                <w:rFonts w:hint="eastAsia" w:ascii="微软雅黑" w:hAnsi="微软雅黑" w:eastAsia="微软雅黑" w:cs="微软雅黑"/>
                <w:i/>
                <w:iCs/>
                <w:color w:val="000000"/>
                <w:sz w:val="16"/>
                <w:szCs w:val="16"/>
                <w:u w:val="none"/>
              </w:rPr>
            </w:pPr>
          </w:p>
        </w:tc>
      </w:tr>
      <w:tr w14:paraId="4E0E1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911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DAD7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150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8D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开展调研指导次数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821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34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40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8B5D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C1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E2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876A3D">
            <w:pPr>
              <w:jc w:val="center"/>
              <w:rPr>
                <w:rFonts w:hint="eastAsia" w:ascii="微软雅黑" w:hAnsi="微软雅黑" w:eastAsia="微软雅黑" w:cs="微软雅黑"/>
                <w:i/>
                <w:iCs/>
                <w:color w:val="000000"/>
                <w:sz w:val="16"/>
                <w:szCs w:val="16"/>
                <w:u w:val="none"/>
              </w:rPr>
            </w:pPr>
          </w:p>
        </w:tc>
      </w:tr>
      <w:tr w14:paraId="78F8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BCF1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908E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6CF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A6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召开评审会数量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B4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0E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53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DA72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41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05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34F10">
            <w:pPr>
              <w:jc w:val="center"/>
              <w:rPr>
                <w:rFonts w:hint="eastAsia" w:ascii="微软雅黑" w:hAnsi="微软雅黑" w:eastAsia="微软雅黑" w:cs="微软雅黑"/>
                <w:i/>
                <w:iCs/>
                <w:color w:val="000000"/>
                <w:sz w:val="16"/>
                <w:szCs w:val="16"/>
                <w:u w:val="none"/>
              </w:rPr>
            </w:pPr>
          </w:p>
        </w:tc>
      </w:tr>
      <w:tr w14:paraId="1B89E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0B7C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080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3E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28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工作站验收合格率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78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3C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A6A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AAC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67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E5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5E05C">
            <w:pPr>
              <w:jc w:val="center"/>
              <w:rPr>
                <w:rFonts w:hint="eastAsia" w:ascii="微软雅黑" w:hAnsi="微软雅黑" w:eastAsia="微软雅黑" w:cs="微软雅黑"/>
                <w:i/>
                <w:iCs/>
                <w:color w:val="000000"/>
                <w:sz w:val="16"/>
                <w:szCs w:val="16"/>
                <w:u w:val="none"/>
              </w:rPr>
            </w:pPr>
          </w:p>
        </w:tc>
      </w:tr>
      <w:tr w14:paraId="02BD6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6BD2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9DA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31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C9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06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66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772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7EBC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FA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B2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A9F9D">
            <w:pPr>
              <w:jc w:val="center"/>
              <w:rPr>
                <w:rFonts w:hint="eastAsia" w:ascii="微软雅黑" w:hAnsi="微软雅黑" w:eastAsia="微软雅黑" w:cs="微软雅黑"/>
                <w:i/>
                <w:iCs/>
                <w:color w:val="000000"/>
                <w:sz w:val="16"/>
                <w:szCs w:val="16"/>
                <w:u w:val="none"/>
              </w:rPr>
            </w:pPr>
          </w:p>
        </w:tc>
      </w:tr>
      <w:tr w14:paraId="24431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C6E2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1E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15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9E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院士专家工作站建成率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5F3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43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FB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B61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8C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E5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B1D19">
            <w:pPr>
              <w:jc w:val="center"/>
              <w:rPr>
                <w:rFonts w:hint="eastAsia" w:ascii="微软雅黑" w:hAnsi="微软雅黑" w:eastAsia="微软雅黑" w:cs="微软雅黑"/>
                <w:i/>
                <w:iCs/>
                <w:color w:val="000000"/>
                <w:sz w:val="16"/>
                <w:szCs w:val="16"/>
                <w:u w:val="none"/>
              </w:rPr>
            </w:pPr>
          </w:p>
        </w:tc>
      </w:tr>
      <w:tr w14:paraId="081F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6B8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1A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EF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94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B3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89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A9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A139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8C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4B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E074C">
            <w:pPr>
              <w:jc w:val="center"/>
              <w:rPr>
                <w:rFonts w:hint="eastAsia" w:ascii="微软雅黑" w:hAnsi="微软雅黑" w:eastAsia="微软雅黑" w:cs="微软雅黑"/>
                <w:i/>
                <w:iCs/>
                <w:color w:val="000000"/>
                <w:sz w:val="16"/>
                <w:szCs w:val="16"/>
                <w:u w:val="none"/>
              </w:rPr>
            </w:pPr>
          </w:p>
        </w:tc>
      </w:tr>
      <w:tr w14:paraId="0AC39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FC1F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F9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F6B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3C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69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50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91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9842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95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81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CA380">
            <w:pPr>
              <w:jc w:val="center"/>
              <w:rPr>
                <w:rFonts w:hint="eastAsia" w:ascii="微软雅黑" w:hAnsi="微软雅黑" w:eastAsia="微软雅黑" w:cs="微软雅黑"/>
                <w:i/>
                <w:iCs/>
                <w:color w:val="000000"/>
                <w:sz w:val="16"/>
                <w:szCs w:val="16"/>
                <w:u w:val="none"/>
              </w:rPr>
            </w:pPr>
          </w:p>
        </w:tc>
      </w:tr>
      <w:tr w14:paraId="0336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F05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CF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713E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2C706">
            <w:pPr>
              <w:rPr>
                <w:rFonts w:hint="eastAsia" w:ascii="宋体" w:hAnsi="宋体" w:eastAsia="宋体" w:cs="宋体"/>
                <w:i w:val="0"/>
                <w:iCs w:val="0"/>
                <w:color w:val="000000"/>
                <w:sz w:val="18"/>
                <w:szCs w:val="18"/>
                <w:u w:val="none"/>
              </w:rPr>
            </w:pPr>
          </w:p>
        </w:tc>
      </w:tr>
      <w:tr w14:paraId="07AF4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94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E8B08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院士（专家）工作站工作为我州柔性引进人才提供了较好的平台，既能为企事业单位解决难题，又能为我州培养本土人才。</w:t>
            </w:r>
          </w:p>
        </w:tc>
      </w:tr>
      <w:tr w14:paraId="2A634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3C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ACC5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3E8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19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8DA87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9346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C4F1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项目负责人：董品浩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F5552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3F790E89">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CC7026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4E8348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2C142D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99E68F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EE495EC">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766"/>
        <w:gridCol w:w="766"/>
        <w:gridCol w:w="767"/>
        <w:gridCol w:w="769"/>
        <w:gridCol w:w="767"/>
        <w:gridCol w:w="769"/>
        <w:gridCol w:w="846"/>
        <w:gridCol w:w="767"/>
        <w:gridCol w:w="767"/>
        <w:gridCol w:w="772"/>
      </w:tblGrid>
      <w:tr w14:paraId="2DAC3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E3D9E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A8A6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6E4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98F9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51320021T000000057993-天府科技云经费</w:t>
            </w:r>
          </w:p>
        </w:tc>
      </w:tr>
      <w:tr w14:paraId="132C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90C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DB7D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54" w:type="pct"/>
            <w:tcBorders>
              <w:top w:val="nil"/>
              <w:left w:val="nil"/>
              <w:bottom w:val="nil"/>
              <w:right w:val="nil"/>
            </w:tcBorders>
            <w:shd w:val="clear" w:color="auto" w:fill="auto"/>
            <w:vAlign w:val="center"/>
          </w:tcPr>
          <w:p w14:paraId="7A34DAC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D90D3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阿坝州科学技术协会</w:t>
            </w:r>
          </w:p>
        </w:tc>
      </w:tr>
      <w:tr w14:paraId="34FF1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6F5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EAC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6BB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104B5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1193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99845">
            <w:pP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AD3D7">
            <w:pPr>
              <w:rPr>
                <w:rFonts w:hint="eastAsia" w:ascii="宋体" w:hAnsi="宋体" w:eastAsia="宋体" w:cs="宋体"/>
                <w:i w:val="0"/>
                <w:iCs w:val="0"/>
                <w:color w:val="000000"/>
                <w:sz w:val="18"/>
                <w:szCs w:val="18"/>
                <w:u w:val="none"/>
              </w:rPr>
            </w:pP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8144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充分结合省科协提出的全员“保姆式” 服务要求，以宣传推介、主动联系、引导注册、发布信息、匹配撮合、对接洽谈、促成合作等为服务内容，促成广大企事业单位、学会（协会）、高校（团队）、科技工作者及基层群中养成“上天府科技云、向科学要答案”的习惯，切实为平台用户解决科技难题、转化科技成果。</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C310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Style w:val="36"/>
                <w:lang w:val="en-US" w:eastAsia="zh-CN" w:bidi="ar"/>
              </w:rPr>
              <w:t>认真按照省科协要求，积极开展全员“保姆式”任务，以目标为导向开展各项工作。圆满完成了各项工作任务</w:t>
            </w:r>
          </w:p>
        </w:tc>
      </w:tr>
      <w:tr w14:paraId="5177E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D1459">
            <w:pP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D1B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95D7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坚持按照省科协、省云服务中心对天府科技云服务工作的要求，深入推进“保姆式”服务的质量与效能。全州117名“科服保姆”充分发挥主观能动性，积极开展全员“保姆式”服务，为推动我州天府科技云服务高质量发展不懈努力。117名科服保姆累计提供保姆式服务16601单，注册科技工作者22968人，注册用户52667户，注册科创工作室3868个，发布科技服务所能5643项，发布科技所需11058个，达成交易2181单，成交金额3082.6万元，发布科技成果132个，委托或承接科研项目63个，精准科普服务量达1679万余次，人均科普服务量20.66次。按照科创工作室的打造标准和要求，积极收集及向上推荐示范科创工作室，已在天府科技云平台上累计打造企业及个人工作室20个，并先后两次向省云服中心报送我州专家库名录，报送涵盖农业、畜牧业、教师等行业副高级及以上人才16人，推荐的专家已通过天府科技云平台对外发布。</w:t>
            </w:r>
          </w:p>
        </w:tc>
      </w:tr>
      <w:tr w14:paraId="7BA4D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44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0E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7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97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68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18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4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8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36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A3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B8E2A">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98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2F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32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15.06</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9B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15.06</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0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0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BF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350E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因省级工作重点有调整，预算随之作了调整。</w:t>
            </w:r>
          </w:p>
        </w:tc>
      </w:tr>
      <w:tr w14:paraId="49671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C65F3">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F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30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1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15.06</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BB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15.06</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0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D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A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48146">
            <w:pPr>
              <w:rPr>
                <w:rFonts w:hint="eastAsia" w:ascii="黑体" w:hAnsi="黑体" w:eastAsia="黑体" w:cs="黑体"/>
                <w:i/>
                <w:iCs/>
                <w:color w:val="000000"/>
                <w:sz w:val="18"/>
                <w:szCs w:val="18"/>
                <w:u w:val="none"/>
              </w:rPr>
            </w:pPr>
          </w:p>
        </w:tc>
      </w:tr>
      <w:tr w14:paraId="229F4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941FC">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1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02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81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EA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77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77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05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50653">
            <w:pPr>
              <w:rPr>
                <w:rFonts w:hint="eastAsia" w:ascii="黑体" w:hAnsi="黑体" w:eastAsia="黑体" w:cs="黑体"/>
                <w:i/>
                <w:iCs/>
                <w:color w:val="000000"/>
                <w:sz w:val="18"/>
                <w:szCs w:val="18"/>
                <w:u w:val="none"/>
              </w:rPr>
            </w:pPr>
          </w:p>
        </w:tc>
      </w:tr>
      <w:tr w14:paraId="6EBE2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962C3">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48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E3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A1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C8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08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23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D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2F8EC">
            <w:pPr>
              <w:rPr>
                <w:rFonts w:hint="eastAsia" w:ascii="黑体" w:hAnsi="黑体" w:eastAsia="黑体" w:cs="黑体"/>
                <w:i/>
                <w:iCs/>
                <w:color w:val="000000"/>
                <w:sz w:val="18"/>
                <w:szCs w:val="18"/>
                <w:u w:val="none"/>
              </w:rPr>
            </w:pPr>
          </w:p>
        </w:tc>
      </w:tr>
      <w:tr w14:paraId="3CB36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4DA4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F4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4094F">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BC186">
            <w:pPr>
              <w:jc w:val="center"/>
              <w:rPr>
                <w:rFonts w:hint="eastAsia" w:ascii="微软雅黑" w:hAnsi="微软雅黑" w:eastAsia="微软雅黑" w:cs="微软雅黑"/>
                <w:i/>
                <w:iCs/>
                <w:color w:val="000000"/>
                <w:sz w:val="16"/>
                <w:szCs w:val="16"/>
                <w:u w:val="none"/>
              </w:rPr>
            </w:pP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7F3AA">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2E0D9">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36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E0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730D0">
            <w:pPr>
              <w:rPr>
                <w:rFonts w:hint="eastAsia" w:ascii="黑体" w:hAnsi="黑体" w:eastAsia="黑体" w:cs="黑体"/>
                <w:i/>
                <w:iCs/>
                <w:color w:val="000000"/>
                <w:sz w:val="18"/>
                <w:szCs w:val="18"/>
                <w:u w:val="none"/>
              </w:rPr>
            </w:pPr>
          </w:p>
        </w:tc>
      </w:tr>
      <w:tr w14:paraId="3B010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96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13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AF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79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9E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4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6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EB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7A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AE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1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FBD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C330B">
            <w:pPr>
              <w:jc w:val="center"/>
              <w:rPr>
                <w:rFonts w:hint="eastAsia" w:ascii="宋体" w:hAnsi="宋体" w:eastAsia="宋体" w:cs="宋体"/>
                <w:i w:val="0"/>
                <w:iCs w:val="0"/>
                <w:color w:val="000000"/>
                <w:sz w:val="18"/>
                <w:szCs w:val="18"/>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18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11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FC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聘请天府科技云专职人员数量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11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D6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93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4EF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30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86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87102">
            <w:pPr>
              <w:jc w:val="center"/>
              <w:rPr>
                <w:rFonts w:hint="eastAsia" w:ascii="微软雅黑" w:hAnsi="微软雅黑" w:eastAsia="微软雅黑" w:cs="微软雅黑"/>
                <w:i/>
                <w:iCs/>
                <w:color w:val="000000"/>
                <w:sz w:val="16"/>
                <w:szCs w:val="16"/>
                <w:u w:val="none"/>
              </w:rPr>
            </w:pPr>
          </w:p>
        </w:tc>
      </w:tr>
      <w:tr w14:paraId="78B58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76F9">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BED9A">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3000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97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挖掘、对接科创会项目个数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EB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1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B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FF1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4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D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1A0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省级科创会工作做调整，未集中召开</w:t>
            </w:r>
          </w:p>
        </w:tc>
      </w:tr>
      <w:tr w14:paraId="72660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5DC03">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B1CFF">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F34C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A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全年打造典型案例数量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C7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5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50F7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B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B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8E76">
            <w:pPr>
              <w:jc w:val="center"/>
              <w:rPr>
                <w:rFonts w:hint="eastAsia" w:ascii="微软雅黑" w:hAnsi="微软雅黑" w:eastAsia="微软雅黑" w:cs="微软雅黑"/>
                <w:i/>
                <w:iCs/>
                <w:color w:val="000000"/>
                <w:sz w:val="16"/>
                <w:szCs w:val="16"/>
                <w:u w:val="none"/>
              </w:rPr>
            </w:pPr>
          </w:p>
        </w:tc>
      </w:tr>
      <w:tr w14:paraId="67AC0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25BAD">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39EF4">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FA8D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4F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全覆盖工作指导次数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06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42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F7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A5B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9E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BE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9DBC">
            <w:pPr>
              <w:jc w:val="center"/>
              <w:rPr>
                <w:rFonts w:hint="eastAsia" w:ascii="微软雅黑" w:hAnsi="微软雅黑" w:eastAsia="微软雅黑" w:cs="微软雅黑"/>
                <w:i/>
                <w:iCs/>
                <w:color w:val="000000"/>
                <w:sz w:val="16"/>
                <w:szCs w:val="16"/>
                <w:u w:val="none"/>
              </w:rPr>
            </w:pPr>
          </w:p>
        </w:tc>
      </w:tr>
      <w:tr w14:paraId="3628C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BA8E4">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911F4">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68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4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服务响应率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B7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C9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BB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8689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7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B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2D47C">
            <w:pPr>
              <w:jc w:val="center"/>
              <w:rPr>
                <w:rFonts w:hint="eastAsia" w:ascii="微软雅黑" w:hAnsi="微软雅黑" w:eastAsia="微软雅黑" w:cs="微软雅黑"/>
                <w:i/>
                <w:iCs/>
                <w:color w:val="000000"/>
                <w:sz w:val="16"/>
                <w:szCs w:val="16"/>
                <w:u w:val="none"/>
              </w:rPr>
            </w:pPr>
          </w:p>
        </w:tc>
      </w:tr>
      <w:tr w14:paraId="54F71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A228E">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4305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A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07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9A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E0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9175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F75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4D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0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A8C92">
            <w:pPr>
              <w:jc w:val="center"/>
              <w:rPr>
                <w:rFonts w:hint="eastAsia" w:ascii="微软雅黑" w:hAnsi="微软雅黑" w:eastAsia="微软雅黑" w:cs="微软雅黑"/>
                <w:i/>
                <w:iCs/>
                <w:color w:val="000000"/>
                <w:sz w:val="16"/>
                <w:szCs w:val="16"/>
                <w:u w:val="none"/>
              </w:rPr>
            </w:pPr>
          </w:p>
        </w:tc>
      </w:tr>
      <w:tr w14:paraId="1F9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2CDBA">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1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0B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4F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挖掘、推荐本年度天府科技云服务大会项目数量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1F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D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A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80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56</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6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BA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6CB7">
            <w:pPr>
              <w:jc w:val="center"/>
              <w:rPr>
                <w:rFonts w:hint="eastAsia" w:ascii="微软雅黑" w:hAnsi="微软雅黑" w:eastAsia="微软雅黑" w:cs="微软雅黑"/>
                <w:i/>
                <w:iCs/>
                <w:color w:val="000000"/>
                <w:sz w:val="16"/>
                <w:szCs w:val="16"/>
                <w:u w:val="none"/>
              </w:rPr>
            </w:pPr>
          </w:p>
        </w:tc>
      </w:tr>
      <w:tr w14:paraId="71FE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13FB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C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A9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E1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30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6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CB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F92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D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47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BA12">
            <w:pPr>
              <w:jc w:val="center"/>
              <w:rPr>
                <w:rFonts w:hint="eastAsia" w:ascii="微软雅黑" w:hAnsi="微软雅黑" w:eastAsia="微软雅黑" w:cs="微软雅黑"/>
                <w:i/>
                <w:iCs/>
                <w:color w:val="000000"/>
                <w:sz w:val="16"/>
                <w:szCs w:val="16"/>
                <w:u w:val="none"/>
              </w:rPr>
            </w:pPr>
          </w:p>
        </w:tc>
      </w:tr>
      <w:tr w14:paraId="7093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A405">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46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20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20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聘用人员人均成本</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1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BC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0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72E59">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5B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0F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DE85">
            <w:pPr>
              <w:jc w:val="center"/>
              <w:rPr>
                <w:rFonts w:hint="eastAsia" w:ascii="微软雅黑" w:hAnsi="微软雅黑" w:eastAsia="微软雅黑" w:cs="微软雅黑"/>
                <w:i/>
                <w:iCs/>
                <w:color w:val="000000"/>
                <w:sz w:val="16"/>
                <w:szCs w:val="16"/>
                <w:u w:val="none"/>
              </w:rPr>
            </w:pPr>
          </w:p>
        </w:tc>
      </w:tr>
      <w:tr w14:paraId="3640C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E81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B0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E67B">
            <w:pPr>
              <w:rPr>
                <w:rFonts w:hint="eastAsia" w:ascii="宋体" w:hAnsi="宋体" w:eastAsia="宋体" w:cs="宋体"/>
                <w:i w:val="0"/>
                <w:iCs w:val="0"/>
                <w:color w:val="000000"/>
                <w:sz w:val="18"/>
                <w:szCs w:val="18"/>
                <w:u w:val="none"/>
              </w:rPr>
            </w:pPr>
          </w:p>
        </w:tc>
      </w:tr>
      <w:tr w14:paraId="2D0A8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37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22A2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Style w:val="37"/>
                <w:lang w:val="en-US" w:eastAsia="zh-CN" w:bidi="ar"/>
              </w:rPr>
              <w:t>该项目预算自评分95分，全州117名“科服保姆”充分发挥主观能动性，积极开展全员“保姆式”服务，为推动我州天府科技云服务高质量发展不懈努力。累计提供保姆式服务16601单，注册科技工作者22968人，注册用户52667户，注册科创工作室3868个，发布科技服务所能5643项，发布科技所需11058个，达成交易2181单，成交金额3082.6万元，发布科技成果132个，委托或承接科研项目63个，精准科普服务量达1679万余次，人均科普服务量20.66次。按照科创工作室的打造标准和要求，积极收集及向上推荐示范科创工作室，已在天府科技云平台上累计打造企业及个人工作室2190余个，并先后两次向省云服中心报送我州专家库名录，报送涵盖农业、畜牧业、教师等行业副高级及以上人才16人，推荐的专家已通过天府科技云平台对外发布。</w:t>
            </w:r>
          </w:p>
        </w:tc>
      </w:tr>
      <w:tr w14:paraId="6EE11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2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71FF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Style w:val="37"/>
                <w:lang w:val="en-US" w:eastAsia="zh-CN" w:bidi="ar"/>
              </w:rPr>
              <w:t>既定目标与实际工作开展有偏离，或者说是年初目标设定时考虑不周全。</w:t>
            </w:r>
          </w:p>
        </w:tc>
      </w:tr>
      <w:tr w14:paraId="42B0F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2D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8A6B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及时做好各项指标的调整备案</w:t>
            </w:r>
          </w:p>
        </w:tc>
      </w:tr>
      <w:tr w14:paraId="6BF99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2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EDE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项目负责人：马永填</w:t>
            </w:r>
          </w:p>
        </w:tc>
        <w:tc>
          <w:tcPr>
            <w:tcW w:w="27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A74B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6583122C">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76C01B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34B570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9A3207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F77956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3256C8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D16F37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0144DB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790EE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8E54B7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410EB59">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7683F8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BFCE8F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2B719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6D05C1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2D97BD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61BDC1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1FDE98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7FFA08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18999E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8B75244">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359FC9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766"/>
        <w:gridCol w:w="766"/>
        <w:gridCol w:w="767"/>
        <w:gridCol w:w="769"/>
        <w:gridCol w:w="767"/>
        <w:gridCol w:w="769"/>
        <w:gridCol w:w="846"/>
        <w:gridCol w:w="767"/>
        <w:gridCol w:w="767"/>
        <w:gridCol w:w="772"/>
      </w:tblGrid>
      <w:tr w14:paraId="0238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2302EA">
            <w:pPr>
              <w:keepNext w:val="0"/>
              <w:keepLines w:val="0"/>
              <w:widowControl/>
              <w:suppressLineNumbers w:val="0"/>
              <w:jc w:val="both"/>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C7F7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500CAD">
            <w:pPr>
              <w:keepNext w:val="0"/>
              <w:keepLines w:val="0"/>
              <w:widowControl/>
              <w:suppressLineNumbers w:val="0"/>
              <w:jc w:val="center"/>
              <w:textAlignment w:val="center"/>
              <w:rPr>
                <w:rFonts w:hint="eastAsia" w:ascii="黑体" w:hAnsi="宋体" w:eastAsia="黑体" w:cs="黑体"/>
                <w:b/>
                <w:bCs/>
                <w:i w:val="0"/>
                <w:iCs w:val="0"/>
                <w:color w:val="000000"/>
                <w:kern w:val="0"/>
                <w:sz w:val="30"/>
                <w:szCs w:val="30"/>
                <w:u w:val="none"/>
                <w:lang w:val="en-US" w:eastAsia="zh-CN" w:bidi="ar"/>
              </w:rPr>
            </w:pPr>
            <w:r>
              <w:rPr>
                <w:rFonts w:hint="eastAsia" w:ascii="宋体" w:hAnsi="宋体" w:eastAsia="宋体" w:cs="宋体"/>
                <w:i w:val="0"/>
                <w:iCs w:val="0"/>
                <w:color w:val="000000"/>
                <w:kern w:val="0"/>
                <w:sz w:val="22"/>
                <w:szCs w:val="22"/>
                <w:u w:val="none"/>
                <w:lang w:val="en-US" w:eastAsia="zh-CN" w:bidi="ar"/>
              </w:rPr>
              <w:t>项目名称：51320021T000000058003-全民科学素质纲要办公室办公经费</w:t>
            </w:r>
          </w:p>
        </w:tc>
      </w:tr>
      <w:tr w14:paraId="49698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0FF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B5C0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54" w:type="pct"/>
            <w:tcBorders>
              <w:top w:val="nil"/>
              <w:left w:val="nil"/>
              <w:bottom w:val="nil"/>
              <w:right w:val="nil"/>
            </w:tcBorders>
            <w:shd w:val="clear" w:color="auto" w:fill="auto"/>
            <w:vAlign w:val="center"/>
          </w:tcPr>
          <w:p w14:paraId="65375FCF">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DA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48504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BAA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FDB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DDD6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全民科学素质纲要工作主要是为提高我州公民科学素质。</w:t>
            </w:r>
          </w:p>
        </w:tc>
      </w:tr>
      <w:tr w14:paraId="2377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44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2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0F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E7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1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F7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6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35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3F8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C781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B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25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39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BE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9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71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9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EACFF">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362CD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8BF3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6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C9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49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3C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6E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4D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A4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30D5">
            <w:pPr>
              <w:rPr>
                <w:rFonts w:hint="eastAsia" w:ascii="黑体" w:hAnsi="黑体" w:eastAsia="黑体" w:cs="黑体"/>
                <w:i/>
                <w:iCs/>
                <w:color w:val="000000"/>
                <w:sz w:val="18"/>
                <w:szCs w:val="18"/>
                <w:u w:val="none"/>
              </w:rPr>
            </w:pPr>
          </w:p>
        </w:tc>
      </w:tr>
      <w:tr w14:paraId="2237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54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6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4D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91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D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4C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19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C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BD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B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2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DB0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9D418">
            <w:pPr>
              <w:jc w:val="center"/>
              <w:rPr>
                <w:rFonts w:hint="eastAsia" w:ascii="宋体" w:hAnsi="宋体" w:eastAsia="宋体" w:cs="宋体"/>
                <w:i w:val="0"/>
                <w:iCs w:val="0"/>
                <w:color w:val="000000"/>
                <w:sz w:val="18"/>
                <w:szCs w:val="18"/>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7A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2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8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召开工作部署会次数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24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DD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A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2454">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07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7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582B">
            <w:pPr>
              <w:jc w:val="center"/>
              <w:rPr>
                <w:rFonts w:hint="eastAsia" w:ascii="微软雅黑" w:hAnsi="微软雅黑" w:eastAsia="微软雅黑" w:cs="微软雅黑"/>
                <w:i/>
                <w:iCs/>
                <w:color w:val="000000"/>
                <w:sz w:val="16"/>
                <w:szCs w:val="16"/>
                <w:u w:val="none"/>
              </w:rPr>
            </w:pPr>
          </w:p>
        </w:tc>
      </w:tr>
      <w:tr w14:paraId="58AA3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4C577">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C691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5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6B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工作完成质量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6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98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6C9B9">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03BB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好</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96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9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FAD53">
            <w:pPr>
              <w:jc w:val="center"/>
              <w:rPr>
                <w:rFonts w:hint="eastAsia" w:ascii="微软雅黑" w:hAnsi="微软雅黑" w:eastAsia="微软雅黑" w:cs="微软雅黑"/>
                <w:i/>
                <w:iCs/>
                <w:color w:val="000000"/>
                <w:sz w:val="16"/>
                <w:szCs w:val="16"/>
                <w:u w:val="none"/>
              </w:rPr>
            </w:pPr>
          </w:p>
        </w:tc>
      </w:tr>
      <w:tr w14:paraId="1553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CF1B">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18D2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E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2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BD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D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按期完成</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0535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FE2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按期完成</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8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58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F8ED">
            <w:pPr>
              <w:jc w:val="center"/>
              <w:rPr>
                <w:rFonts w:hint="eastAsia" w:ascii="微软雅黑" w:hAnsi="微软雅黑" w:eastAsia="微软雅黑" w:cs="微软雅黑"/>
                <w:i/>
                <w:iCs/>
                <w:color w:val="000000"/>
                <w:sz w:val="16"/>
                <w:szCs w:val="16"/>
                <w:u w:val="none"/>
              </w:rPr>
            </w:pPr>
          </w:p>
        </w:tc>
      </w:tr>
      <w:tr w14:paraId="2A75A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56D5C">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26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E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27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全民科学素质提升率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2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2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7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587A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1B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6C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63ADB">
            <w:pPr>
              <w:jc w:val="center"/>
              <w:rPr>
                <w:rFonts w:hint="eastAsia" w:ascii="微软雅黑" w:hAnsi="微软雅黑" w:eastAsia="微软雅黑" w:cs="微软雅黑"/>
                <w:i/>
                <w:iCs/>
                <w:color w:val="000000"/>
                <w:sz w:val="16"/>
                <w:szCs w:val="16"/>
                <w:u w:val="none"/>
              </w:rPr>
            </w:pPr>
          </w:p>
        </w:tc>
      </w:tr>
      <w:tr w14:paraId="16C59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8F58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A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95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A0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18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F1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4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2F8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56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C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E115">
            <w:pPr>
              <w:jc w:val="center"/>
              <w:rPr>
                <w:rFonts w:hint="eastAsia" w:ascii="微软雅黑" w:hAnsi="微软雅黑" w:eastAsia="微软雅黑" w:cs="微软雅黑"/>
                <w:i/>
                <w:iCs/>
                <w:color w:val="000000"/>
                <w:sz w:val="16"/>
                <w:szCs w:val="16"/>
                <w:u w:val="none"/>
              </w:rPr>
            </w:pPr>
          </w:p>
        </w:tc>
      </w:tr>
      <w:tr w14:paraId="01DA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F89E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2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42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9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3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CF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1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8FE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1.19</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A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AA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EECD">
            <w:pPr>
              <w:jc w:val="center"/>
              <w:rPr>
                <w:rFonts w:hint="eastAsia" w:ascii="微软雅黑" w:hAnsi="微软雅黑" w:eastAsia="微软雅黑" w:cs="微软雅黑"/>
                <w:i/>
                <w:iCs/>
                <w:color w:val="000000"/>
                <w:sz w:val="16"/>
                <w:szCs w:val="16"/>
                <w:u w:val="none"/>
              </w:rPr>
            </w:pPr>
          </w:p>
        </w:tc>
      </w:tr>
      <w:tr w14:paraId="6814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8DE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2F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7E3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4B72">
            <w:pPr>
              <w:rPr>
                <w:rFonts w:hint="eastAsia" w:ascii="宋体" w:hAnsi="宋体" w:eastAsia="宋体" w:cs="宋体"/>
                <w:i w:val="0"/>
                <w:iCs w:val="0"/>
                <w:color w:val="000000"/>
                <w:sz w:val="18"/>
                <w:szCs w:val="18"/>
                <w:u w:val="none"/>
              </w:rPr>
            </w:pPr>
          </w:p>
        </w:tc>
      </w:tr>
      <w:tr w14:paraId="2BA88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0C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507F8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纲要工作重点针对我州青少年、农民、产业工人、老年人及领导干部五大群体实施差异化提升行动，并同步推进科技资源科普化、信息化传播、基础设施优化等五项重点工程 。聚焦科学教育课程改革、乡村振兴科技支撑、智慧助老科普等内容，建立社会化协同机制，将科学素质建设纳入各级发展规划，完善监测评估体系。 </w:t>
            </w:r>
          </w:p>
        </w:tc>
      </w:tr>
      <w:tr w14:paraId="539A4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F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A386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A788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8B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E160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009E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2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3564DA">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项目负责人：董品浩</w:t>
            </w:r>
          </w:p>
        </w:tc>
        <w:tc>
          <w:tcPr>
            <w:tcW w:w="27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ADE918">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3477DEC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DEF0C36">
      <w:pPr>
        <w:widowControl/>
        <w:jc w:val="center"/>
        <w:rPr>
          <w:rFonts w:hint="eastAsia" w:ascii="Times New Roman" w:hAnsi="Times New Roman" w:eastAsia="黑体"/>
          <w:color w:val="auto"/>
          <w:sz w:val="44"/>
          <w:szCs w:val="44"/>
          <w:highlight w:val="none"/>
        </w:rPr>
      </w:pPr>
    </w:p>
    <w:p w14:paraId="61C39465">
      <w:pPr>
        <w:widowControl/>
        <w:jc w:val="center"/>
        <w:rPr>
          <w:rFonts w:hint="eastAsia" w:ascii="Times New Roman" w:hAnsi="Times New Roman" w:eastAsia="黑体"/>
          <w:color w:val="auto"/>
          <w:sz w:val="44"/>
          <w:szCs w:val="44"/>
          <w:highlight w:val="none"/>
        </w:rPr>
      </w:pPr>
    </w:p>
    <w:p w14:paraId="432E20DF">
      <w:pPr>
        <w:widowControl/>
        <w:jc w:val="center"/>
        <w:rPr>
          <w:rFonts w:hint="eastAsia" w:ascii="Times New Roman" w:hAnsi="Times New Roman" w:eastAsia="黑体"/>
          <w:color w:val="auto"/>
          <w:sz w:val="44"/>
          <w:szCs w:val="44"/>
          <w:highlight w:val="none"/>
        </w:rPr>
      </w:pPr>
    </w:p>
    <w:p w14:paraId="77080811">
      <w:pPr>
        <w:widowControl/>
        <w:jc w:val="center"/>
        <w:rPr>
          <w:rFonts w:hint="eastAsia" w:ascii="Times New Roman" w:hAnsi="Times New Roman" w:eastAsia="黑体"/>
          <w:color w:val="auto"/>
          <w:sz w:val="44"/>
          <w:szCs w:val="44"/>
          <w:highlight w:val="none"/>
        </w:rPr>
      </w:pPr>
    </w:p>
    <w:p w14:paraId="12A27EB8">
      <w:pPr>
        <w:widowControl/>
        <w:jc w:val="center"/>
        <w:rPr>
          <w:rFonts w:hint="eastAsia" w:ascii="Times New Roman" w:hAnsi="Times New Roman" w:eastAsia="黑体"/>
          <w:color w:val="auto"/>
          <w:sz w:val="44"/>
          <w:szCs w:val="44"/>
          <w:highlight w:val="none"/>
        </w:rPr>
      </w:pPr>
    </w:p>
    <w:p w14:paraId="3C8A0C0A">
      <w:pPr>
        <w:widowControl/>
        <w:jc w:val="center"/>
        <w:rPr>
          <w:rFonts w:hint="eastAsia" w:ascii="Times New Roman" w:hAnsi="Times New Roman" w:eastAsia="黑体"/>
          <w:color w:val="auto"/>
          <w:sz w:val="44"/>
          <w:szCs w:val="44"/>
          <w:highlight w:val="none"/>
        </w:rPr>
      </w:pPr>
    </w:p>
    <w:p w14:paraId="0B4478C1">
      <w:pPr>
        <w:widowControl/>
        <w:jc w:val="center"/>
        <w:rPr>
          <w:rFonts w:hint="eastAsia" w:ascii="Times New Roman" w:hAnsi="Times New Roman" w:eastAsia="黑体"/>
          <w:color w:val="auto"/>
          <w:sz w:val="44"/>
          <w:szCs w:val="44"/>
          <w:highlight w:val="none"/>
        </w:rPr>
      </w:pPr>
    </w:p>
    <w:p w14:paraId="65D7F96D">
      <w:pPr>
        <w:widowControl/>
        <w:jc w:val="center"/>
        <w:rPr>
          <w:rFonts w:hint="eastAsia" w:ascii="Times New Roman" w:hAnsi="Times New Roman" w:eastAsia="黑体"/>
          <w:color w:val="auto"/>
          <w:sz w:val="44"/>
          <w:szCs w:val="44"/>
          <w:highlight w:val="none"/>
        </w:rPr>
      </w:pPr>
    </w:p>
    <w:p w14:paraId="3AFDB025">
      <w:pPr>
        <w:widowControl/>
        <w:jc w:val="center"/>
        <w:rPr>
          <w:rFonts w:hint="eastAsia" w:ascii="Times New Roman" w:hAnsi="Times New Roman" w:eastAsia="黑体"/>
          <w:color w:val="auto"/>
          <w:sz w:val="44"/>
          <w:szCs w:val="44"/>
          <w:highlight w:val="none"/>
        </w:rPr>
      </w:pPr>
    </w:p>
    <w:p w14:paraId="402FF658">
      <w:pPr>
        <w:widowControl/>
        <w:jc w:val="center"/>
        <w:rPr>
          <w:rFonts w:hint="eastAsia" w:ascii="Times New Roman" w:hAnsi="Times New Roman" w:eastAsia="黑体"/>
          <w:color w:val="auto"/>
          <w:sz w:val="44"/>
          <w:szCs w:val="44"/>
          <w:highlight w:val="none"/>
        </w:rPr>
      </w:pPr>
    </w:p>
    <w:p w14:paraId="3F87E47A">
      <w:pPr>
        <w:widowControl/>
        <w:jc w:val="center"/>
        <w:rPr>
          <w:rFonts w:hint="eastAsia" w:ascii="Times New Roman" w:hAnsi="Times New Roman" w:eastAsia="黑体"/>
          <w:color w:val="auto"/>
          <w:sz w:val="44"/>
          <w:szCs w:val="44"/>
          <w:highlight w:val="none"/>
        </w:rPr>
      </w:pPr>
    </w:p>
    <w:p w14:paraId="70E50115">
      <w:pPr>
        <w:widowControl/>
        <w:jc w:val="center"/>
        <w:rPr>
          <w:rFonts w:hint="eastAsia" w:ascii="Times New Roman" w:hAnsi="Times New Roman" w:eastAsia="黑体"/>
          <w:color w:val="auto"/>
          <w:sz w:val="44"/>
          <w:szCs w:val="44"/>
          <w:highlight w:val="none"/>
        </w:rPr>
      </w:pPr>
    </w:p>
    <w:p w14:paraId="1EBF449B">
      <w:pPr>
        <w:widowControl/>
        <w:jc w:val="center"/>
        <w:rPr>
          <w:rFonts w:hint="eastAsia" w:ascii="Times New Roman" w:hAnsi="Times New Roman" w:eastAsia="黑体"/>
          <w:color w:val="auto"/>
          <w:sz w:val="44"/>
          <w:szCs w:val="44"/>
          <w:highlight w:val="none"/>
        </w:rPr>
      </w:pPr>
    </w:p>
    <w:p w14:paraId="7CE3A72E">
      <w:pPr>
        <w:widowControl/>
        <w:jc w:val="center"/>
        <w:rPr>
          <w:rFonts w:hint="eastAsia" w:ascii="Times New Roman" w:hAnsi="Times New Roman" w:eastAsia="黑体"/>
          <w:color w:val="auto"/>
          <w:sz w:val="44"/>
          <w:szCs w:val="44"/>
          <w:highlight w:val="none"/>
        </w:rPr>
      </w:pPr>
    </w:p>
    <w:p w14:paraId="153099A6">
      <w:pPr>
        <w:widowControl/>
        <w:jc w:val="center"/>
        <w:rPr>
          <w:rFonts w:hint="eastAsia" w:ascii="Times New Roman" w:hAnsi="Times New Roman" w:eastAsia="黑体"/>
          <w:color w:val="auto"/>
          <w:sz w:val="44"/>
          <w:szCs w:val="44"/>
          <w:highlight w:val="none"/>
        </w:rPr>
      </w:pPr>
    </w:p>
    <w:p w14:paraId="3A8A256F">
      <w:pPr>
        <w:widowControl/>
        <w:jc w:val="center"/>
        <w:rPr>
          <w:rFonts w:hint="eastAsia" w:ascii="Times New Roman" w:hAnsi="Times New Roman" w:eastAsia="黑体"/>
          <w:color w:val="auto"/>
          <w:sz w:val="44"/>
          <w:szCs w:val="44"/>
          <w:highlight w:val="none"/>
        </w:rPr>
      </w:pPr>
    </w:p>
    <w:p w14:paraId="07A61406">
      <w:pPr>
        <w:widowControl/>
        <w:jc w:val="center"/>
        <w:rPr>
          <w:rFonts w:hint="eastAsia" w:ascii="Times New Roman" w:hAnsi="Times New Roman" w:eastAsia="黑体"/>
          <w:color w:val="auto"/>
          <w:sz w:val="44"/>
          <w:szCs w:val="44"/>
          <w:highlight w:val="none"/>
        </w:rPr>
      </w:pPr>
    </w:p>
    <w:p w14:paraId="5B5E3758">
      <w:pPr>
        <w:widowControl/>
        <w:jc w:val="center"/>
        <w:rPr>
          <w:rFonts w:hint="eastAsia" w:ascii="Times New Roman" w:hAnsi="Times New Roman" w:eastAsia="黑体"/>
          <w:color w:val="auto"/>
          <w:sz w:val="44"/>
          <w:szCs w:val="44"/>
          <w:highlight w:val="none"/>
        </w:rPr>
      </w:pPr>
    </w:p>
    <w:p w14:paraId="6C6045FE">
      <w:pPr>
        <w:widowControl/>
        <w:jc w:val="center"/>
        <w:rPr>
          <w:rFonts w:hint="eastAsia" w:ascii="Times New Roman" w:hAnsi="Times New Roman" w:eastAsia="黑体"/>
          <w:color w:val="auto"/>
          <w:sz w:val="44"/>
          <w:szCs w:val="44"/>
          <w:highlight w:val="none"/>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6"/>
        <w:gridCol w:w="697"/>
        <w:gridCol w:w="818"/>
        <w:gridCol w:w="876"/>
        <w:gridCol w:w="470"/>
        <w:gridCol w:w="638"/>
        <w:gridCol w:w="470"/>
        <w:gridCol w:w="1004"/>
        <w:gridCol w:w="552"/>
        <w:gridCol w:w="636"/>
        <w:gridCol w:w="1592"/>
      </w:tblGrid>
      <w:tr w14:paraId="6BE03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F58AC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E0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F76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242F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51320023T000007984644-阿坝州科技馆运行经费</w:t>
            </w:r>
          </w:p>
        </w:tc>
      </w:tr>
      <w:tr w14:paraId="26DEE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0A5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6B25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0" w:type="auto"/>
            <w:tcBorders>
              <w:top w:val="nil"/>
              <w:left w:val="nil"/>
              <w:bottom w:val="nil"/>
              <w:right w:val="nil"/>
            </w:tcBorders>
            <w:shd w:val="clear" w:color="auto" w:fill="auto"/>
            <w:vAlign w:val="center"/>
          </w:tcPr>
          <w:p w14:paraId="79F6F03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DA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阿坝州科学技术协会</w:t>
            </w:r>
          </w:p>
        </w:tc>
      </w:tr>
      <w:tr w14:paraId="0FFB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276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11F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B9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98AA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F40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562E3">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20853">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9647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提升科技馆对外输出能力，丰富科普活动的形式与内容，提升我州社会公众科学素养，培养青少年及幼儿爱科学、学科学、用科学的兴趣。</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E5D0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在展厅升级改造的同时保持全年对外开放216天，馆校合作65场次，开展手工制作课、创客科学课、机器人编程课等110余节，开展主题活动2场次，配合其他单位及部门需求组织团体接待4次，超验空间体验人数超3900余次，累计进馆人次达54897人，圆满完成了各项年初既定目标。</w:t>
            </w:r>
          </w:p>
        </w:tc>
      </w:tr>
      <w:tr w14:paraId="2A64B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6F60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B55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CCD3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科技馆在中科馆、省科馆的关心支持与州委政府有力指导下，紧紧围绕全州中心工作，围绕科协工作主责主业，以提升全民科学素质为核心，以服务创新驱动发展为重点，不断拓展科普服务功能，创新科普展示方式，深化馆校合作，各项工作取得了显著成效，营造了良好的崇尚科学社会氛围，为助力民族团结和服务我州高质量发展做出了积极贡献。</w:t>
            </w:r>
          </w:p>
        </w:tc>
      </w:tr>
      <w:tr w14:paraId="4E684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9D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2B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89A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DE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C9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95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2FB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0E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5F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A239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FBF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EE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8F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46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66.82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72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06D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FD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5A3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50424">
            <w:pPr>
              <w:keepNext w:val="0"/>
              <w:keepLines w:val="0"/>
              <w:widowControl/>
              <w:suppressLineNumbers w:val="0"/>
              <w:jc w:val="left"/>
              <w:textAlignment w:val="center"/>
              <w:rPr>
                <w:rFonts w:hint="eastAsia" w:ascii="宋体" w:hAnsi="宋体" w:eastAsia="宋体" w:cs="宋体"/>
                <w:i/>
                <w:iCs/>
                <w:color w:val="000000"/>
                <w:sz w:val="18"/>
                <w:szCs w:val="18"/>
                <w:u w:val="none"/>
              </w:rPr>
            </w:pPr>
            <w:r>
              <w:rPr>
                <w:rFonts w:hint="eastAsia" w:ascii="宋体" w:hAnsi="宋体" w:eastAsia="宋体" w:cs="宋体"/>
                <w:i/>
                <w:iCs/>
                <w:color w:val="000000"/>
                <w:kern w:val="0"/>
                <w:sz w:val="18"/>
                <w:szCs w:val="18"/>
                <w:u w:val="none"/>
                <w:lang w:val="en-US" w:eastAsia="zh-CN" w:bidi="ar"/>
              </w:rPr>
              <w:t>由于科技馆展教人员劳务外包项目属于跨年项目，导致在资金存在跨年支付</w:t>
            </w:r>
          </w:p>
        </w:tc>
      </w:tr>
      <w:tr w14:paraId="49AE1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4E3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F9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13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A8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66.82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BE0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2C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03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E8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DC20B">
            <w:pPr>
              <w:rPr>
                <w:rFonts w:hint="eastAsia" w:ascii="宋体" w:hAnsi="宋体" w:eastAsia="宋体" w:cs="宋体"/>
                <w:i/>
                <w:iCs/>
                <w:color w:val="000000"/>
                <w:sz w:val="18"/>
                <w:szCs w:val="18"/>
                <w:u w:val="none"/>
              </w:rPr>
            </w:pPr>
          </w:p>
        </w:tc>
      </w:tr>
      <w:tr w14:paraId="02CC4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2D12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6B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AD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C5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FD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EE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6F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47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5C190">
            <w:pPr>
              <w:rPr>
                <w:rFonts w:hint="eastAsia" w:ascii="宋体" w:hAnsi="宋体" w:eastAsia="宋体" w:cs="宋体"/>
                <w:i/>
                <w:iCs/>
                <w:color w:val="000000"/>
                <w:sz w:val="18"/>
                <w:szCs w:val="18"/>
                <w:u w:val="none"/>
              </w:rPr>
            </w:pPr>
          </w:p>
        </w:tc>
      </w:tr>
      <w:tr w14:paraId="2C88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3F3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47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28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60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44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85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C6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22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07F88">
            <w:pPr>
              <w:rPr>
                <w:rFonts w:hint="eastAsia" w:ascii="宋体" w:hAnsi="宋体" w:eastAsia="宋体" w:cs="宋体"/>
                <w:i/>
                <w:iCs/>
                <w:color w:val="000000"/>
                <w:sz w:val="18"/>
                <w:szCs w:val="18"/>
                <w:u w:val="none"/>
              </w:rPr>
            </w:pPr>
          </w:p>
        </w:tc>
      </w:tr>
      <w:tr w14:paraId="25A90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0FA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33F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58EB4">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1AE83">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8A653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31BA8">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B3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24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AC42A">
            <w:pPr>
              <w:rPr>
                <w:rFonts w:hint="eastAsia" w:ascii="宋体" w:hAnsi="宋体" w:eastAsia="宋体" w:cs="宋体"/>
                <w:i/>
                <w:iCs/>
                <w:color w:val="000000"/>
                <w:sz w:val="18"/>
                <w:szCs w:val="18"/>
                <w:u w:val="none"/>
              </w:rPr>
            </w:pPr>
          </w:p>
        </w:tc>
      </w:tr>
      <w:tr w14:paraId="154B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74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1B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01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06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D5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61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DAD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CE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9C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CA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68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9D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F49F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AF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37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A9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开展科技馆进校园活动次数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8E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F0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42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7298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D5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C6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A4E35">
            <w:pPr>
              <w:jc w:val="center"/>
              <w:rPr>
                <w:rFonts w:hint="eastAsia" w:ascii="微软雅黑" w:hAnsi="微软雅黑" w:eastAsia="微软雅黑" w:cs="微软雅黑"/>
                <w:i/>
                <w:iCs/>
                <w:color w:val="000000"/>
                <w:sz w:val="16"/>
                <w:szCs w:val="16"/>
                <w:u w:val="none"/>
              </w:rPr>
            </w:pPr>
          </w:p>
        </w:tc>
      </w:tr>
      <w:tr w14:paraId="73B72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0CA9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8DE9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C7D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2C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开展创客课及手工课次数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91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D1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C2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C1D2B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7A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27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BF71D">
            <w:pPr>
              <w:jc w:val="center"/>
              <w:rPr>
                <w:rFonts w:hint="eastAsia" w:ascii="微软雅黑" w:hAnsi="微软雅黑" w:eastAsia="微软雅黑" w:cs="微软雅黑"/>
                <w:i/>
                <w:iCs/>
                <w:color w:val="000000"/>
                <w:sz w:val="16"/>
                <w:szCs w:val="16"/>
                <w:u w:val="none"/>
              </w:rPr>
            </w:pPr>
          </w:p>
        </w:tc>
      </w:tr>
      <w:tr w14:paraId="6141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E9ED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603D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C6D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26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组织展教员到内地学习次数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48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D04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C3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2760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B7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01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F08CE">
            <w:pPr>
              <w:jc w:val="center"/>
              <w:rPr>
                <w:rFonts w:hint="eastAsia" w:ascii="微软雅黑" w:hAnsi="微软雅黑" w:eastAsia="微软雅黑" w:cs="微软雅黑"/>
                <w:i/>
                <w:iCs/>
                <w:color w:val="000000"/>
                <w:sz w:val="16"/>
                <w:szCs w:val="16"/>
                <w:u w:val="none"/>
              </w:rPr>
            </w:pPr>
          </w:p>
        </w:tc>
      </w:tr>
      <w:tr w14:paraId="67D5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8BEF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5F5C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E53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5A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全年日常开馆天数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B80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D8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62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9E6D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C3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8F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A5FD4">
            <w:pPr>
              <w:jc w:val="center"/>
              <w:rPr>
                <w:rFonts w:hint="eastAsia" w:ascii="微软雅黑" w:hAnsi="微软雅黑" w:eastAsia="微软雅黑" w:cs="微软雅黑"/>
                <w:i/>
                <w:iCs/>
                <w:color w:val="000000"/>
                <w:sz w:val="16"/>
                <w:szCs w:val="16"/>
                <w:u w:val="none"/>
              </w:rPr>
            </w:pPr>
          </w:p>
        </w:tc>
      </w:tr>
      <w:tr w14:paraId="6F619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9C3D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1821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7E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F7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保持展陈品运用率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76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6E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F2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8239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B1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18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4F917">
            <w:pPr>
              <w:jc w:val="center"/>
              <w:rPr>
                <w:rFonts w:hint="eastAsia" w:ascii="微软雅黑" w:hAnsi="微软雅黑" w:eastAsia="微软雅黑" w:cs="微软雅黑"/>
                <w:i/>
                <w:iCs/>
                <w:color w:val="000000"/>
                <w:sz w:val="16"/>
                <w:szCs w:val="16"/>
                <w:u w:val="none"/>
              </w:rPr>
            </w:pPr>
          </w:p>
        </w:tc>
      </w:tr>
      <w:tr w14:paraId="1610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F7F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07F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C3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91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F4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F0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270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3758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7A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E3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A1FE8">
            <w:pPr>
              <w:jc w:val="center"/>
              <w:rPr>
                <w:rFonts w:hint="eastAsia" w:ascii="微软雅黑" w:hAnsi="微软雅黑" w:eastAsia="微软雅黑" w:cs="微软雅黑"/>
                <w:i/>
                <w:iCs/>
                <w:color w:val="000000"/>
                <w:sz w:val="16"/>
                <w:szCs w:val="16"/>
                <w:u w:val="none"/>
              </w:rPr>
            </w:pPr>
          </w:p>
        </w:tc>
      </w:tr>
      <w:tr w14:paraId="20395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691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7A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25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6E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科技馆受众人数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BA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7B0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2C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EBB3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8D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21C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0A80F">
            <w:pPr>
              <w:jc w:val="center"/>
              <w:rPr>
                <w:rFonts w:hint="eastAsia" w:ascii="微软雅黑" w:hAnsi="微软雅黑" w:eastAsia="微软雅黑" w:cs="微软雅黑"/>
                <w:i/>
                <w:iCs/>
                <w:color w:val="000000"/>
                <w:sz w:val="16"/>
                <w:szCs w:val="16"/>
                <w:u w:val="none"/>
              </w:rPr>
            </w:pPr>
          </w:p>
        </w:tc>
      </w:tr>
      <w:tr w14:paraId="7018F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3C32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C8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B6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D0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DD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FD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3C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1495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90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FA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C7B32">
            <w:pPr>
              <w:jc w:val="center"/>
              <w:rPr>
                <w:rFonts w:hint="eastAsia" w:ascii="微软雅黑" w:hAnsi="微软雅黑" w:eastAsia="微软雅黑" w:cs="微软雅黑"/>
                <w:i/>
                <w:iCs/>
                <w:color w:val="000000"/>
                <w:sz w:val="16"/>
                <w:szCs w:val="16"/>
                <w:u w:val="none"/>
              </w:rPr>
            </w:pPr>
          </w:p>
        </w:tc>
      </w:tr>
      <w:tr w14:paraId="33F11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8777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B8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3D1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2F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65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83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34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DF5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57.72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60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10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FE3BB">
            <w:pPr>
              <w:jc w:val="center"/>
              <w:rPr>
                <w:rFonts w:hint="eastAsia" w:ascii="微软雅黑" w:hAnsi="微软雅黑" w:eastAsia="微软雅黑" w:cs="微软雅黑"/>
                <w:i/>
                <w:iCs/>
                <w:color w:val="000000"/>
                <w:sz w:val="16"/>
                <w:szCs w:val="16"/>
                <w:u w:val="none"/>
              </w:rPr>
            </w:pPr>
          </w:p>
        </w:tc>
      </w:tr>
      <w:tr w14:paraId="0E33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373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E7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4A7B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9A746">
            <w:pPr>
              <w:rPr>
                <w:rFonts w:hint="eastAsia" w:ascii="宋体" w:hAnsi="宋体" w:eastAsia="宋体" w:cs="宋体"/>
                <w:i w:val="0"/>
                <w:iCs w:val="0"/>
                <w:color w:val="000000"/>
                <w:sz w:val="18"/>
                <w:szCs w:val="18"/>
                <w:u w:val="none"/>
              </w:rPr>
            </w:pPr>
          </w:p>
        </w:tc>
      </w:tr>
      <w:tr w14:paraId="142F8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3D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5138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Style w:val="37"/>
                <w:lang w:val="en-US" w:eastAsia="zh-CN" w:bidi="ar"/>
              </w:rPr>
              <w:t>自评得分98.6分，扣分项主要在预算执行率上，为降低资金使用风险，科技馆展教及安保人员劳务外包项目服务费用分三次支付，前两次支付已完成。第三次费用须在项目完成后进行支付。</w:t>
            </w:r>
          </w:p>
        </w:tc>
      </w:tr>
      <w:tr w14:paraId="45932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93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9675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为充分考虑跨年项目资金支付对执行率的影响</w:t>
            </w:r>
          </w:p>
        </w:tc>
      </w:tr>
      <w:tr w14:paraId="21FB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A9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5AA9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对信誉、资质较好的第三方服务方适当提高资金支付比例</w:t>
            </w:r>
          </w:p>
        </w:tc>
      </w:tr>
      <w:tr w14:paraId="2022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F886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项目负责人：马永填</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244B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财务负责人：刘昆</w:t>
            </w:r>
          </w:p>
        </w:tc>
      </w:tr>
    </w:tbl>
    <w:p w14:paraId="6617338D">
      <w:pPr>
        <w:widowControl/>
        <w:jc w:val="center"/>
        <w:rPr>
          <w:rFonts w:hint="eastAsia" w:ascii="Times New Roman" w:hAnsi="Times New Roman" w:eastAsia="黑体"/>
          <w:color w:val="auto"/>
          <w:sz w:val="44"/>
          <w:szCs w:val="44"/>
          <w:highlight w:val="none"/>
        </w:rPr>
      </w:pPr>
    </w:p>
    <w:p w14:paraId="3E5E0D4A">
      <w:pPr>
        <w:widowControl/>
        <w:jc w:val="center"/>
        <w:rPr>
          <w:rFonts w:hint="eastAsia" w:ascii="Times New Roman" w:hAnsi="Times New Roman" w:eastAsia="黑体"/>
          <w:color w:val="auto"/>
          <w:sz w:val="44"/>
          <w:szCs w:val="44"/>
          <w:highlight w:val="none"/>
        </w:rPr>
      </w:pPr>
    </w:p>
    <w:p w14:paraId="2ED5B30C">
      <w:pPr>
        <w:widowControl/>
        <w:jc w:val="center"/>
        <w:rPr>
          <w:rFonts w:hint="eastAsia" w:ascii="Times New Roman" w:hAnsi="Times New Roman" w:eastAsia="黑体"/>
          <w:color w:val="auto"/>
          <w:sz w:val="44"/>
          <w:szCs w:val="44"/>
          <w:highlight w:val="none"/>
        </w:rPr>
      </w:pPr>
    </w:p>
    <w:p w14:paraId="4514A80D">
      <w:pPr>
        <w:widowControl/>
        <w:jc w:val="center"/>
        <w:rPr>
          <w:rFonts w:hint="eastAsia" w:ascii="Times New Roman" w:hAnsi="Times New Roman" w:eastAsia="黑体"/>
          <w:color w:val="auto"/>
          <w:sz w:val="44"/>
          <w:szCs w:val="44"/>
          <w:highlight w:val="none"/>
        </w:rPr>
      </w:pPr>
    </w:p>
    <w:p w14:paraId="37B2ADC3">
      <w:pPr>
        <w:widowControl/>
        <w:jc w:val="center"/>
        <w:rPr>
          <w:rFonts w:hint="eastAsia" w:ascii="Times New Roman" w:hAnsi="Times New Roman" w:eastAsia="黑体"/>
          <w:color w:val="auto"/>
          <w:sz w:val="44"/>
          <w:szCs w:val="44"/>
          <w:highlight w:val="none"/>
        </w:rPr>
      </w:pPr>
    </w:p>
    <w:p w14:paraId="09226C9C">
      <w:pPr>
        <w:widowControl/>
        <w:jc w:val="center"/>
        <w:rPr>
          <w:rFonts w:hint="eastAsia" w:ascii="Times New Roman" w:hAnsi="Times New Roman" w:eastAsia="黑体"/>
          <w:color w:val="auto"/>
          <w:sz w:val="44"/>
          <w:szCs w:val="44"/>
          <w:highlight w:val="none"/>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766"/>
        <w:gridCol w:w="766"/>
        <w:gridCol w:w="767"/>
        <w:gridCol w:w="769"/>
        <w:gridCol w:w="767"/>
        <w:gridCol w:w="769"/>
        <w:gridCol w:w="846"/>
        <w:gridCol w:w="767"/>
        <w:gridCol w:w="767"/>
        <w:gridCol w:w="772"/>
      </w:tblGrid>
      <w:tr w14:paraId="2696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12A1A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E37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F90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D384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51320023T000009877501-2023年科技馆免费开放补助资金</w:t>
            </w:r>
          </w:p>
        </w:tc>
      </w:tr>
      <w:tr w14:paraId="1271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507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8746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54" w:type="pct"/>
            <w:tcBorders>
              <w:top w:val="nil"/>
              <w:left w:val="nil"/>
              <w:bottom w:val="nil"/>
              <w:right w:val="nil"/>
            </w:tcBorders>
            <w:shd w:val="clear" w:color="auto" w:fill="auto"/>
            <w:vAlign w:val="center"/>
          </w:tcPr>
          <w:p w14:paraId="7318765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204B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阿坝州科学技术协会</w:t>
            </w:r>
          </w:p>
        </w:tc>
      </w:tr>
      <w:tr w14:paraId="734DE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988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64C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6CE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E7FD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D68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CCBED">
            <w:pP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39262">
            <w:pPr>
              <w:rPr>
                <w:rFonts w:hint="eastAsia" w:ascii="宋体" w:hAnsi="宋体" w:eastAsia="宋体" w:cs="宋体"/>
                <w:i w:val="0"/>
                <w:iCs w:val="0"/>
                <w:color w:val="000000"/>
                <w:sz w:val="18"/>
                <w:szCs w:val="18"/>
                <w:u w:val="none"/>
              </w:rPr>
            </w:pPr>
          </w:p>
        </w:tc>
        <w:tc>
          <w:tcPr>
            <w:tcW w:w="22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141D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提高服务水平，创新服务方式，进一步扩大科普教育的受众率和覆盖率，进一步提高青少年科学文化素质</w:t>
            </w:r>
          </w:p>
        </w:tc>
        <w:tc>
          <w:tcPr>
            <w:tcW w:w="181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782D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科技馆秉承集中资金办大事、要事，确保资金实用是推进良好工作的前提。</w:t>
            </w:r>
          </w:p>
        </w:tc>
      </w:tr>
      <w:tr w14:paraId="11177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0E8D5">
            <w:pP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77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4337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通过委托第三方代理机构开展招标采购，程序合规合法，资金使用也通过集体研究。</w:t>
            </w:r>
          </w:p>
        </w:tc>
      </w:tr>
      <w:tr w14:paraId="63E71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BB7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3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17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46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C7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99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E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9C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E5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B060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1037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4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8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8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E5C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A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1C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1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658C9">
            <w:pPr>
              <w:rPr>
                <w:rFonts w:hint="eastAsia" w:ascii="黑体" w:hAnsi="黑体" w:eastAsia="黑体" w:cs="黑体"/>
                <w:i/>
                <w:iCs/>
                <w:color w:val="000000"/>
                <w:sz w:val="18"/>
                <w:szCs w:val="18"/>
                <w:u w:val="none"/>
              </w:rPr>
            </w:pPr>
          </w:p>
        </w:tc>
      </w:tr>
      <w:tr w14:paraId="71FF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07E2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A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F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8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0B6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5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96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6D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7D62A">
            <w:pPr>
              <w:rPr>
                <w:rFonts w:hint="eastAsia" w:ascii="黑体" w:hAnsi="黑体" w:eastAsia="黑体" w:cs="黑体"/>
                <w:i/>
                <w:iCs/>
                <w:color w:val="000000"/>
                <w:sz w:val="18"/>
                <w:szCs w:val="18"/>
                <w:u w:val="none"/>
              </w:rPr>
            </w:pPr>
          </w:p>
        </w:tc>
      </w:tr>
      <w:tr w14:paraId="1B705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264F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A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B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99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F8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5C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3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44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6E31">
            <w:pPr>
              <w:rPr>
                <w:rFonts w:hint="eastAsia" w:ascii="黑体" w:hAnsi="黑体" w:eastAsia="黑体" w:cs="黑体"/>
                <w:i/>
                <w:iCs/>
                <w:color w:val="000000"/>
                <w:sz w:val="18"/>
                <w:szCs w:val="18"/>
                <w:u w:val="none"/>
              </w:rPr>
            </w:pPr>
          </w:p>
        </w:tc>
      </w:tr>
      <w:tr w14:paraId="30F07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390B5">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2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8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BB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1E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9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3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66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E0704">
            <w:pPr>
              <w:rPr>
                <w:rFonts w:hint="eastAsia" w:ascii="黑体" w:hAnsi="黑体" w:eastAsia="黑体" w:cs="黑体"/>
                <w:i/>
                <w:iCs/>
                <w:color w:val="000000"/>
                <w:sz w:val="18"/>
                <w:szCs w:val="18"/>
                <w:u w:val="none"/>
              </w:rPr>
            </w:pPr>
          </w:p>
        </w:tc>
      </w:tr>
      <w:tr w14:paraId="19291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7FFC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F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2D81A">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817A">
            <w:pPr>
              <w:jc w:val="center"/>
              <w:rPr>
                <w:rFonts w:hint="eastAsia" w:ascii="微软雅黑" w:hAnsi="微软雅黑" w:eastAsia="微软雅黑" w:cs="微软雅黑"/>
                <w:i/>
                <w:iCs/>
                <w:color w:val="000000"/>
                <w:sz w:val="16"/>
                <w:szCs w:val="16"/>
                <w:u w:val="none"/>
              </w:rPr>
            </w:pPr>
          </w:p>
        </w:tc>
        <w:tc>
          <w:tcPr>
            <w:tcW w:w="13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8BEDD">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F84DE">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8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3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76FD3">
            <w:pPr>
              <w:rPr>
                <w:rFonts w:hint="eastAsia" w:ascii="黑体" w:hAnsi="黑体" w:eastAsia="黑体" w:cs="黑体"/>
                <w:i/>
                <w:iCs/>
                <w:color w:val="000000"/>
                <w:sz w:val="18"/>
                <w:szCs w:val="18"/>
                <w:u w:val="none"/>
              </w:rPr>
            </w:pPr>
          </w:p>
        </w:tc>
      </w:tr>
      <w:tr w14:paraId="39047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BA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C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D1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5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87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21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0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C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4C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E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B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546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CBAB7">
            <w:pPr>
              <w:jc w:val="center"/>
              <w:rPr>
                <w:rFonts w:hint="eastAsia" w:ascii="宋体" w:hAnsi="宋体" w:eastAsia="宋体" w:cs="宋体"/>
                <w:i w:val="0"/>
                <w:iCs w:val="0"/>
                <w:color w:val="000000"/>
                <w:sz w:val="18"/>
                <w:szCs w:val="18"/>
                <w:u w:val="none"/>
              </w:rPr>
            </w:pP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D5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D7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22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采购展品数量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FF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DB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7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46D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FC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4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4D29">
            <w:pPr>
              <w:jc w:val="center"/>
              <w:rPr>
                <w:rFonts w:hint="eastAsia" w:ascii="微软雅黑" w:hAnsi="微软雅黑" w:eastAsia="微软雅黑" w:cs="微软雅黑"/>
                <w:i/>
                <w:iCs/>
                <w:color w:val="000000"/>
                <w:sz w:val="16"/>
                <w:szCs w:val="16"/>
                <w:u w:val="none"/>
              </w:rPr>
            </w:pPr>
          </w:p>
        </w:tc>
      </w:tr>
      <w:tr w14:paraId="4A6A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39B3C">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545E1">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EE92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06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采购展品类别数量</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53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21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0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类</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BC6F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38</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F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E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A5102">
            <w:pPr>
              <w:jc w:val="center"/>
              <w:rPr>
                <w:rFonts w:hint="eastAsia" w:ascii="微软雅黑" w:hAnsi="微软雅黑" w:eastAsia="微软雅黑" w:cs="微软雅黑"/>
                <w:i/>
                <w:iCs/>
                <w:color w:val="000000"/>
                <w:sz w:val="16"/>
                <w:szCs w:val="16"/>
                <w:u w:val="none"/>
              </w:rPr>
            </w:pPr>
          </w:p>
        </w:tc>
      </w:tr>
      <w:tr w14:paraId="47AEC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63693">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F79C9">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50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72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展品验收合格率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5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36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8D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BFB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1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4E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8AB3">
            <w:pPr>
              <w:jc w:val="center"/>
              <w:rPr>
                <w:rFonts w:hint="eastAsia" w:ascii="微软雅黑" w:hAnsi="微软雅黑" w:eastAsia="微软雅黑" w:cs="微软雅黑"/>
                <w:i/>
                <w:iCs/>
                <w:color w:val="000000"/>
                <w:sz w:val="16"/>
                <w:szCs w:val="16"/>
                <w:u w:val="none"/>
              </w:rPr>
            </w:pPr>
          </w:p>
        </w:tc>
      </w:tr>
      <w:tr w14:paraId="63EDA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5DE51">
            <w:pPr>
              <w:jc w:val="center"/>
              <w:rPr>
                <w:rFonts w:hint="eastAsia" w:ascii="宋体" w:hAnsi="宋体" w:eastAsia="宋体" w:cs="宋体"/>
                <w:i w:val="0"/>
                <w:iCs w:val="0"/>
                <w:color w:val="000000"/>
                <w:sz w:val="18"/>
                <w:szCs w:val="18"/>
                <w:u w:val="none"/>
              </w:rPr>
            </w:pPr>
          </w:p>
        </w:tc>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BB89A">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D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D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0E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8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41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9D1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A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D2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92A81">
            <w:pPr>
              <w:jc w:val="center"/>
              <w:rPr>
                <w:rFonts w:hint="eastAsia" w:ascii="微软雅黑" w:hAnsi="微软雅黑" w:eastAsia="微软雅黑" w:cs="微软雅黑"/>
                <w:i/>
                <w:iCs/>
                <w:color w:val="000000"/>
                <w:sz w:val="16"/>
                <w:szCs w:val="16"/>
                <w:u w:val="none"/>
              </w:rPr>
            </w:pPr>
          </w:p>
        </w:tc>
      </w:tr>
      <w:tr w14:paraId="342C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D12B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B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78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9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保障场馆正常运行</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9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5B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CF07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8BB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4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11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9A85">
            <w:pPr>
              <w:jc w:val="center"/>
              <w:rPr>
                <w:rFonts w:hint="eastAsia" w:ascii="微软雅黑" w:hAnsi="微软雅黑" w:eastAsia="微软雅黑" w:cs="微软雅黑"/>
                <w:i/>
                <w:iCs/>
                <w:color w:val="000000"/>
                <w:sz w:val="16"/>
                <w:szCs w:val="16"/>
                <w:u w:val="none"/>
              </w:rPr>
            </w:pPr>
          </w:p>
        </w:tc>
      </w:tr>
      <w:tr w14:paraId="2583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992B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0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C5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50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5D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E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A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635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F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BF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6FAF">
            <w:pPr>
              <w:jc w:val="center"/>
              <w:rPr>
                <w:rFonts w:hint="eastAsia" w:ascii="微软雅黑" w:hAnsi="微软雅黑" w:eastAsia="微软雅黑" w:cs="微软雅黑"/>
                <w:i/>
                <w:iCs/>
                <w:color w:val="000000"/>
                <w:sz w:val="16"/>
                <w:szCs w:val="16"/>
                <w:u w:val="none"/>
              </w:rPr>
            </w:pPr>
          </w:p>
        </w:tc>
      </w:tr>
      <w:tr w14:paraId="22AE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181B7">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B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8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5A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1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8B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EC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1B3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56.03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B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8E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6F74">
            <w:pPr>
              <w:jc w:val="center"/>
              <w:rPr>
                <w:rFonts w:hint="eastAsia" w:ascii="微软雅黑" w:hAnsi="微软雅黑" w:eastAsia="微软雅黑" w:cs="微软雅黑"/>
                <w:i/>
                <w:iCs/>
                <w:color w:val="000000"/>
                <w:sz w:val="16"/>
                <w:szCs w:val="16"/>
                <w:u w:val="none"/>
              </w:rPr>
            </w:pPr>
          </w:p>
        </w:tc>
      </w:tr>
      <w:tr w14:paraId="7441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3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F05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3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84DA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A3024">
            <w:pPr>
              <w:rPr>
                <w:rFonts w:hint="eastAsia" w:ascii="宋体" w:hAnsi="宋体" w:eastAsia="宋体" w:cs="宋体"/>
                <w:i w:val="0"/>
                <w:iCs w:val="0"/>
                <w:color w:val="000000"/>
                <w:sz w:val="18"/>
                <w:szCs w:val="18"/>
                <w:u w:val="none"/>
              </w:rPr>
            </w:pPr>
          </w:p>
        </w:tc>
      </w:tr>
      <w:tr w14:paraId="5493A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4A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5281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自评得分100分，采购的展品较好的对馆内设施设备进行了补充，收到了观众的一致喜爱。</w:t>
            </w:r>
          </w:p>
        </w:tc>
      </w:tr>
      <w:tr w14:paraId="4341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87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AAF6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展品采购属于非标，厂商层次不齐，价格相差较大，行业呈小众化趋势，定价企业相对集中。</w:t>
            </w:r>
          </w:p>
        </w:tc>
      </w:tr>
      <w:tr w14:paraId="7800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68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DD3E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多开展实地调研了解，确保资金使用最大化。</w:t>
            </w:r>
          </w:p>
        </w:tc>
      </w:tr>
      <w:tr w14:paraId="0C0BD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2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6356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项目负责人：马永填</w:t>
            </w:r>
          </w:p>
        </w:tc>
        <w:tc>
          <w:tcPr>
            <w:tcW w:w="272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2579D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财务负责人：刘昆</w:t>
            </w:r>
          </w:p>
        </w:tc>
      </w:tr>
    </w:tbl>
    <w:p w14:paraId="79DC8D06">
      <w:pPr>
        <w:widowControl/>
        <w:jc w:val="center"/>
        <w:rPr>
          <w:rFonts w:hint="eastAsia" w:ascii="Times New Roman" w:hAnsi="Times New Roman" w:eastAsia="黑体"/>
          <w:color w:val="auto"/>
          <w:sz w:val="44"/>
          <w:szCs w:val="44"/>
          <w:highlight w:val="none"/>
        </w:rPr>
      </w:pPr>
    </w:p>
    <w:p w14:paraId="09A6CB81">
      <w:pPr>
        <w:widowControl/>
        <w:jc w:val="center"/>
        <w:rPr>
          <w:rFonts w:hint="eastAsia" w:ascii="Times New Roman" w:hAnsi="Times New Roman" w:eastAsia="黑体"/>
          <w:color w:val="auto"/>
          <w:sz w:val="44"/>
          <w:szCs w:val="44"/>
          <w:highlight w:val="none"/>
        </w:rPr>
      </w:pPr>
    </w:p>
    <w:p w14:paraId="79E72B2C">
      <w:pPr>
        <w:widowControl/>
        <w:jc w:val="center"/>
        <w:rPr>
          <w:rFonts w:hint="eastAsia" w:ascii="Times New Roman" w:hAnsi="Times New Roman" w:eastAsia="黑体"/>
          <w:color w:val="auto"/>
          <w:sz w:val="44"/>
          <w:szCs w:val="44"/>
          <w:highlight w:val="none"/>
        </w:rPr>
      </w:pPr>
    </w:p>
    <w:p w14:paraId="47848422">
      <w:pPr>
        <w:widowControl/>
        <w:jc w:val="center"/>
        <w:rPr>
          <w:rFonts w:hint="eastAsia" w:ascii="Times New Roman" w:hAnsi="Times New Roman" w:eastAsia="黑体"/>
          <w:color w:val="auto"/>
          <w:sz w:val="44"/>
          <w:szCs w:val="44"/>
          <w:highlight w:val="none"/>
        </w:rPr>
      </w:pPr>
    </w:p>
    <w:p w14:paraId="5BA98197">
      <w:pPr>
        <w:widowControl/>
        <w:jc w:val="center"/>
        <w:rPr>
          <w:rFonts w:hint="eastAsia" w:ascii="Times New Roman" w:hAnsi="Times New Roman" w:eastAsia="黑体"/>
          <w:color w:val="auto"/>
          <w:sz w:val="44"/>
          <w:szCs w:val="44"/>
          <w:highlight w:val="none"/>
        </w:rPr>
      </w:pPr>
    </w:p>
    <w:p w14:paraId="6D4F0123">
      <w:pPr>
        <w:widowControl/>
        <w:jc w:val="center"/>
        <w:rPr>
          <w:rFonts w:hint="eastAsia" w:ascii="Times New Roman" w:hAnsi="Times New Roman" w:eastAsia="黑体"/>
          <w:color w:val="auto"/>
          <w:sz w:val="44"/>
          <w:szCs w:val="44"/>
          <w:highlight w:val="none"/>
        </w:rPr>
      </w:pPr>
    </w:p>
    <w:p w14:paraId="4F951D36">
      <w:pPr>
        <w:widowControl/>
        <w:jc w:val="center"/>
        <w:rPr>
          <w:rFonts w:hint="eastAsia" w:ascii="Times New Roman" w:hAnsi="Times New Roman" w:eastAsia="黑体"/>
          <w:color w:val="auto"/>
          <w:sz w:val="44"/>
          <w:szCs w:val="44"/>
          <w:highlight w:val="none"/>
        </w:rPr>
      </w:pPr>
    </w:p>
    <w:p w14:paraId="1891C518">
      <w:pPr>
        <w:widowControl/>
        <w:jc w:val="center"/>
        <w:rPr>
          <w:rFonts w:hint="eastAsia" w:ascii="Times New Roman" w:hAnsi="Times New Roman" w:eastAsia="黑体"/>
          <w:color w:val="auto"/>
          <w:sz w:val="44"/>
          <w:szCs w:val="44"/>
          <w:highlight w:val="none"/>
        </w:rPr>
      </w:pPr>
    </w:p>
    <w:p w14:paraId="55518AD9">
      <w:pPr>
        <w:widowControl/>
        <w:jc w:val="center"/>
        <w:rPr>
          <w:rFonts w:hint="eastAsia" w:ascii="Times New Roman" w:hAnsi="Times New Roman" w:eastAsia="黑体"/>
          <w:color w:val="auto"/>
          <w:sz w:val="44"/>
          <w:szCs w:val="44"/>
          <w:highlight w:val="none"/>
        </w:rPr>
      </w:pPr>
    </w:p>
    <w:p w14:paraId="39FF269D">
      <w:pPr>
        <w:widowControl/>
        <w:jc w:val="center"/>
        <w:rPr>
          <w:rFonts w:hint="eastAsia" w:ascii="Times New Roman" w:hAnsi="Times New Roman" w:eastAsia="黑体"/>
          <w:color w:val="auto"/>
          <w:sz w:val="44"/>
          <w:szCs w:val="44"/>
          <w:highlight w:val="none"/>
        </w:rPr>
      </w:pPr>
    </w:p>
    <w:p w14:paraId="4C031945">
      <w:pPr>
        <w:widowControl/>
        <w:jc w:val="center"/>
        <w:rPr>
          <w:rFonts w:hint="eastAsia" w:ascii="Times New Roman" w:hAnsi="Times New Roman" w:eastAsia="黑体"/>
          <w:color w:val="auto"/>
          <w:sz w:val="44"/>
          <w:szCs w:val="44"/>
          <w:highlight w:val="none"/>
        </w:rPr>
      </w:pPr>
    </w:p>
    <w:p w14:paraId="1CBF3126">
      <w:pPr>
        <w:widowControl/>
        <w:jc w:val="center"/>
        <w:rPr>
          <w:rFonts w:hint="eastAsia" w:ascii="Times New Roman" w:hAnsi="Times New Roman" w:eastAsia="黑体"/>
          <w:color w:val="auto"/>
          <w:sz w:val="44"/>
          <w:szCs w:val="44"/>
          <w:highlight w:val="none"/>
        </w:rPr>
      </w:pPr>
    </w:p>
    <w:p w14:paraId="60857B06">
      <w:pPr>
        <w:widowControl/>
        <w:jc w:val="center"/>
        <w:rPr>
          <w:rFonts w:hint="eastAsia" w:ascii="Times New Roman" w:hAnsi="Times New Roman" w:eastAsia="黑体"/>
          <w:color w:val="auto"/>
          <w:sz w:val="44"/>
          <w:szCs w:val="44"/>
          <w:highlight w:val="none"/>
        </w:rPr>
      </w:pPr>
    </w:p>
    <w:p w14:paraId="308CD8DD">
      <w:pPr>
        <w:widowControl/>
        <w:jc w:val="center"/>
        <w:rPr>
          <w:rFonts w:hint="eastAsia" w:ascii="Times New Roman" w:hAnsi="Times New Roman" w:eastAsia="黑体"/>
          <w:color w:val="auto"/>
          <w:sz w:val="44"/>
          <w:szCs w:val="44"/>
          <w:highlight w:val="none"/>
        </w:rPr>
      </w:pPr>
    </w:p>
    <w:p w14:paraId="2FF40EC5">
      <w:pPr>
        <w:widowControl/>
        <w:jc w:val="center"/>
        <w:rPr>
          <w:rFonts w:hint="eastAsia" w:ascii="Times New Roman" w:hAnsi="Times New Roman" w:eastAsia="黑体"/>
          <w:color w:val="auto"/>
          <w:sz w:val="44"/>
          <w:szCs w:val="44"/>
          <w:highlight w:val="none"/>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4"/>
        <w:gridCol w:w="913"/>
        <w:gridCol w:w="931"/>
        <w:gridCol w:w="1005"/>
        <w:gridCol w:w="558"/>
        <w:gridCol w:w="732"/>
        <w:gridCol w:w="558"/>
        <w:gridCol w:w="1074"/>
        <w:gridCol w:w="547"/>
        <w:gridCol w:w="547"/>
        <w:gridCol w:w="710"/>
      </w:tblGrid>
      <w:tr w14:paraId="5CA59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C246C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A399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1CD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B6AD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51320024T000012001947-阿坝州科技馆免费开放补助资金</w:t>
            </w:r>
          </w:p>
        </w:tc>
      </w:tr>
      <w:tr w14:paraId="30C98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F40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E687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0" w:type="auto"/>
            <w:tcBorders>
              <w:top w:val="nil"/>
              <w:left w:val="nil"/>
              <w:bottom w:val="nil"/>
              <w:right w:val="nil"/>
            </w:tcBorders>
            <w:shd w:val="clear" w:color="auto" w:fill="auto"/>
            <w:vAlign w:val="center"/>
          </w:tcPr>
          <w:p w14:paraId="57CF9D0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BA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00B2D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BC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571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8C5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999B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914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DE218">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3DACA">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660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提升科技馆的科技输出能力，让全州公总能通过线上和线下获取科技资源，不断提升全州公民科学素质．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2EBE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科技馆秉承集中资金办大事、要事，确保资金实用是推进良好工作的前提。</w:t>
            </w:r>
          </w:p>
        </w:tc>
      </w:tr>
      <w:tr w14:paraId="45800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F5C3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AD1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A5F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通过委托第三方代理机构开展招标采购，程序合规合法，资金使用也通过集体研究。</w:t>
            </w:r>
          </w:p>
        </w:tc>
      </w:tr>
      <w:tr w14:paraId="590B9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57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23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BC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18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D5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4E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76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E7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03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D4E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8913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A9F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FA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06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50.24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3D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91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F6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75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C3CEC">
            <w:pPr>
              <w:rPr>
                <w:rFonts w:hint="eastAsia" w:ascii="黑体" w:hAnsi="黑体" w:eastAsia="黑体" w:cs="黑体"/>
                <w:i/>
                <w:iCs/>
                <w:color w:val="000000"/>
                <w:sz w:val="18"/>
                <w:szCs w:val="18"/>
                <w:u w:val="none"/>
              </w:rPr>
            </w:pPr>
          </w:p>
        </w:tc>
      </w:tr>
      <w:tr w14:paraId="502F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73B0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72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29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25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50.24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3E9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C5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8C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8C4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42CB5">
            <w:pPr>
              <w:rPr>
                <w:rFonts w:hint="eastAsia" w:ascii="黑体" w:hAnsi="黑体" w:eastAsia="黑体" w:cs="黑体"/>
                <w:i/>
                <w:iCs/>
                <w:color w:val="000000"/>
                <w:sz w:val="18"/>
                <w:szCs w:val="18"/>
                <w:u w:val="none"/>
              </w:rPr>
            </w:pPr>
          </w:p>
        </w:tc>
      </w:tr>
      <w:tr w14:paraId="44AB6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A4B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47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8A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A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9B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2E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7A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D0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F2EEF">
            <w:pPr>
              <w:rPr>
                <w:rFonts w:hint="eastAsia" w:ascii="黑体" w:hAnsi="黑体" w:eastAsia="黑体" w:cs="黑体"/>
                <w:i/>
                <w:iCs/>
                <w:color w:val="000000"/>
                <w:sz w:val="18"/>
                <w:szCs w:val="18"/>
                <w:u w:val="none"/>
              </w:rPr>
            </w:pPr>
          </w:p>
        </w:tc>
      </w:tr>
      <w:tr w14:paraId="206A5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1E8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14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F9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BA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CD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4E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77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0E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067AC">
            <w:pPr>
              <w:rPr>
                <w:rFonts w:hint="eastAsia" w:ascii="黑体" w:hAnsi="黑体" w:eastAsia="黑体" w:cs="黑体"/>
                <w:i/>
                <w:iCs/>
                <w:color w:val="000000"/>
                <w:sz w:val="18"/>
                <w:szCs w:val="18"/>
                <w:u w:val="none"/>
              </w:rPr>
            </w:pPr>
          </w:p>
        </w:tc>
      </w:tr>
      <w:tr w14:paraId="2F2E0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503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2E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798E3">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7BE0C">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D460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EBE15">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31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9C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771D5">
            <w:pPr>
              <w:rPr>
                <w:rFonts w:hint="eastAsia" w:ascii="黑体" w:hAnsi="黑体" w:eastAsia="黑体" w:cs="黑体"/>
                <w:i/>
                <w:iCs/>
                <w:color w:val="000000"/>
                <w:sz w:val="18"/>
                <w:szCs w:val="18"/>
                <w:u w:val="none"/>
              </w:rPr>
            </w:pPr>
          </w:p>
        </w:tc>
      </w:tr>
      <w:tr w14:paraId="40CB0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B0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F8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F2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20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7E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67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89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5B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09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CA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D8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1909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727F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24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EC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442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购买展品类别数量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CE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64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5BF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AAC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69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CB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61B9B">
            <w:pPr>
              <w:jc w:val="center"/>
              <w:rPr>
                <w:rFonts w:hint="eastAsia" w:ascii="微软雅黑" w:hAnsi="微软雅黑" w:eastAsia="微软雅黑" w:cs="微软雅黑"/>
                <w:i/>
                <w:iCs/>
                <w:color w:val="000000"/>
                <w:sz w:val="16"/>
                <w:szCs w:val="16"/>
                <w:u w:val="none"/>
              </w:rPr>
            </w:pPr>
          </w:p>
        </w:tc>
      </w:tr>
      <w:tr w14:paraId="48824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F1E7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51C1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F393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33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购买展品数量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9C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92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C1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49D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33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4A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FE343">
            <w:pPr>
              <w:jc w:val="center"/>
              <w:rPr>
                <w:rFonts w:hint="eastAsia" w:ascii="微软雅黑" w:hAnsi="微软雅黑" w:eastAsia="微软雅黑" w:cs="微软雅黑"/>
                <w:i/>
                <w:iCs/>
                <w:color w:val="000000"/>
                <w:sz w:val="16"/>
                <w:szCs w:val="16"/>
                <w:u w:val="none"/>
              </w:rPr>
            </w:pPr>
          </w:p>
        </w:tc>
      </w:tr>
      <w:tr w14:paraId="4E9BB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947C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C5D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2E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94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31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D9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19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4FF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48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A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C8AC4">
            <w:pPr>
              <w:jc w:val="center"/>
              <w:rPr>
                <w:rFonts w:hint="eastAsia" w:ascii="微软雅黑" w:hAnsi="微软雅黑" w:eastAsia="微软雅黑" w:cs="微软雅黑"/>
                <w:i/>
                <w:iCs/>
                <w:color w:val="000000"/>
                <w:sz w:val="16"/>
                <w:szCs w:val="16"/>
                <w:u w:val="none"/>
              </w:rPr>
            </w:pPr>
          </w:p>
        </w:tc>
      </w:tr>
      <w:tr w14:paraId="6661F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3DEA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5C9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69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D1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CD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8C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A0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8B0A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4C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1B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6C6EE">
            <w:pPr>
              <w:jc w:val="center"/>
              <w:rPr>
                <w:rFonts w:hint="eastAsia" w:ascii="微软雅黑" w:hAnsi="微软雅黑" w:eastAsia="微软雅黑" w:cs="微软雅黑"/>
                <w:i/>
                <w:iCs/>
                <w:color w:val="000000"/>
                <w:sz w:val="16"/>
                <w:szCs w:val="16"/>
                <w:u w:val="none"/>
              </w:rPr>
            </w:pPr>
          </w:p>
        </w:tc>
      </w:tr>
      <w:tr w14:paraId="2C72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6939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02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2A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BB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保障科技馆正常运行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5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D8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DC4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3CCB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29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21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076E2">
            <w:pPr>
              <w:jc w:val="center"/>
              <w:rPr>
                <w:rFonts w:hint="eastAsia" w:ascii="微软雅黑" w:hAnsi="微软雅黑" w:eastAsia="微软雅黑" w:cs="微软雅黑"/>
                <w:i/>
                <w:iCs/>
                <w:color w:val="000000"/>
                <w:sz w:val="16"/>
                <w:szCs w:val="16"/>
                <w:u w:val="none"/>
              </w:rPr>
            </w:pPr>
          </w:p>
        </w:tc>
      </w:tr>
      <w:tr w14:paraId="59B8F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D48D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B98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FE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E0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E6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30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BF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53C6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ED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AC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CA048">
            <w:pPr>
              <w:jc w:val="center"/>
              <w:rPr>
                <w:rFonts w:hint="eastAsia" w:ascii="微软雅黑" w:hAnsi="微软雅黑" w:eastAsia="微软雅黑" w:cs="微软雅黑"/>
                <w:i/>
                <w:iCs/>
                <w:color w:val="000000"/>
                <w:sz w:val="16"/>
                <w:szCs w:val="16"/>
                <w:u w:val="none"/>
              </w:rPr>
            </w:pPr>
          </w:p>
        </w:tc>
      </w:tr>
      <w:tr w14:paraId="4C1E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426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AD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D7D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79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6F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91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CF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88F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30.97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3E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3B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33BF8">
            <w:pPr>
              <w:jc w:val="center"/>
              <w:rPr>
                <w:rFonts w:hint="eastAsia" w:ascii="微软雅黑" w:hAnsi="微软雅黑" w:eastAsia="微软雅黑" w:cs="微软雅黑"/>
                <w:i/>
                <w:iCs/>
                <w:color w:val="000000"/>
                <w:sz w:val="16"/>
                <w:szCs w:val="16"/>
                <w:u w:val="none"/>
              </w:rPr>
            </w:pPr>
          </w:p>
        </w:tc>
      </w:tr>
      <w:tr w14:paraId="727C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A1E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94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B47F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8A9AF">
            <w:pPr>
              <w:rPr>
                <w:rFonts w:hint="eastAsia" w:ascii="宋体" w:hAnsi="宋体" w:eastAsia="宋体" w:cs="宋体"/>
                <w:i w:val="0"/>
                <w:iCs w:val="0"/>
                <w:color w:val="000000"/>
                <w:sz w:val="18"/>
                <w:szCs w:val="18"/>
                <w:u w:val="none"/>
              </w:rPr>
            </w:pPr>
          </w:p>
        </w:tc>
      </w:tr>
      <w:tr w14:paraId="76E71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51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445B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自评得分100分，采购的展品较好的对馆内设施设备进行了补充，收到了观众的一致喜爱。</w:t>
            </w:r>
          </w:p>
        </w:tc>
      </w:tr>
      <w:tr w14:paraId="21810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38B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1B9BB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展品采购属于非标，厂商层次不齐，价格相差较大，行业呈小众化趋势，定价企业相对集中。</w:t>
            </w:r>
          </w:p>
        </w:tc>
      </w:tr>
      <w:tr w14:paraId="5457E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E9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A1BE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多开展实地调研了解，确保资金使用最大化。</w:t>
            </w:r>
          </w:p>
        </w:tc>
      </w:tr>
      <w:tr w14:paraId="5359C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C4D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项目负责人：马永填</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43F2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4E6A604F">
      <w:pPr>
        <w:widowControl/>
        <w:jc w:val="center"/>
        <w:rPr>
          <w:rFonts w:hint="eastAsia" w:ascii="Times New Roman" w:hAnsi="Times New Roman" w:eastAsia="黑体"/>
          <w:color w:val="auto"/>
          <w:sz w:val="44"/>
          <w:szCs w:val="44"/>
          <w:highlight w:val="none"/>
        </w:rPr>
      </w:pPr>
    </w:p>
    <w:p w14:paraId="6F48FEF7">
      <w:pPr>
        <w:widowControl/>
        <w:jc w:val="center"/>
        <w:rPr>
          <w:rFonts w:hint="eastAsia" w:ascii="Times New Roman" w:hAnsi="Times New Roman" w:eastAsia="黑体"/>
          <w:color w:val="auto"/>
          <w:sz w:val="44"/>
          <w:szCs w:val="44"/>
          <w:highlight w:val="none"/>
        </w:rPr>
      </w:pPr>
    </w:p>
    <w:p w14:paraId="3383FF7A">
      <w:pPr>
        <w:widowControl/>
        <w:jc w:val="center"/>
        <w:rPr>
          <w:rFonts w:hint="eastAsia" w:ascii="Times New Roman" w:hAnsi="Times New Roman" w:eastAsia="黑体"/>
          <w:color w:val="auto"/>
          <w:sz w:val="44"/>
          <w:szCs w:val="44"/>
          <w:highlight w:val="none"/>
        </w:rPr>
      </w:pPr>
    </w:p>
    <w:p w14:paraId="286F6817">
      <w:pPr>
        <w:widowControl/>
        <w:jc w:val="center"/>
        <w:rPr>
          <w:rFonts w:hint="eastAsia" w:ascii="Times New Roman" w:hAnsi="Times New Roman" w:eastAsia="黑体"/>
          <w:color w:val="auto"/>
          <w:sz w:val="44"/>
          <w:szCs w:val="44"/>
          <w:highlight w:val="none"/>
        </w:rPr>
      </w:pPr>
    </w:p>
    <w:p w14:paraId="12C12078">
      <w:pPr>
        <w:widowControl/>
        <w:jc w:val="center"/>
        <w:rPr>
          <w:rFonts w:hint="eastAsia" w:ascii="Times New Roman" w:hAnsi="Times New Roman" w:eastAsia="黑体"/>
          <w:color w:val="auto"/>
          <w:sz w:val="44"/>
          <w:szCs w:val="44"/>
          <w:highlight w:val="none"/>
        </w:rPr>
      </w:pPr>
    </w:p>
    <w:p w14:paraId="04C3182A">
      <w:pPr>
        <w:widowControl/>
        <w:jc w:val="center"/>
        <w:rPr>
          <w:rFonts w:hint="eastAsia" w:ascii="Times New Roman" w:hAnsi="Times New Roman" w:eastAsia="黑体"/>
          <w:color w:val="auto"/>
          <w:sz w:val="44"/>
          <w:szCs w:val="44"/>
          <w:highlight w:val="none"/>
        </w:rPr>
      </w:pPr>
    </w:p>
    <w:p w14:paraId="3B43CD67">
      <w:pPr>
        <w:widowControl/>
        <w:jc w:val="center"/>
        <w:rPr>
          <w:rFonts w:hint="eastAsia" w:ascii="Times New Roman" w:hAnsi="Times New Roman" w:eastAsia="黑体"/>
          <w:color w:val="auto"/>
          <w:sz w:val="44"/>
          <w:szCs w:val="44"/>
          <w:highlight w:val="none"/>
        </w:rPr>
      </w:pPr>
    </w:p>
    <w:p w14:paraId="23D03BE9">
      <w:pPr>
        <w:widowControl/>
        <w:jc w:val="center"/>
        <w:rPr>
          <w:rFonts w:hint="eastAsia" w:ascii="Times New Roman" w:hAnsi="Times New Roman" w:eastAsia="黑体"/>
          <w:color w:val="auto"/>
          <w:sz w:val="44"/>
          <w:szCs w:val="44"/>
          <w:highlight w:val="none"/>
        </w:rPr>
      </w:pPr>
    </w:p>
    <w:p w14:paraId="3EB079FC">
      <w:pPr>
        <w:widowControl/>
        <w:jc w:val="center"/>
        <w:rPr>
          <w:rFonts w:hint="eastAsia" w:ascii="Times New Roman" w:hAnsi="Times New Roman" w:eastAsia="黑体"/>
          <w:color w:val="auto"/>
          <w:sz w:val="44"/>
          <w:szCs w:val="44"/>
          <w:highlight w:val="none"/>
        </w:rPr>
      </w:pPr>
    </w:p>
    <w:p w14:paraId="1ED5A9F4">
      <w:pPr>
        <w:widowControl/>
        <w:jc w:val="center"/>
        <w:rPr>
          <w:rFonts w:hint="eastAsia" w:ascii="Times New Roman" w:hAnsi="Times New Roman" w:eastAsia="黑体"/>
          <w:color w:val="auto"/>
          <w:sz w:val="44"/>
          <w:szCs w:val="44"/>
          <w:highlight w:val="none"/>
        </w:rPr>
      </w:pPr>
    </w:p>
    <w:p w14:paraId="5EDFE4CF">
      <w:pPr>
        <w:widowControl/>
        <w:jc w:val="center"/>
        <w:rPr>
          <w:rFonts w:hint="eastAsia" w:ascii="Times New Roman" w:hAnsi="Times New Roman" w:eastAsia="黑体"/>
          <w:color w:val="auto"/>
          <w:sz w:val="44"/>
          <w:szCs w:val="44"/>
          <w:highlight w:val="none"/>
        </w:rPr>
      </w:pPr>
    </w:p>
    <w:p w14:paraId="3A969467">
      <w:pPr>
        <w:widowControl/>
        <w:jc w:val="center"/>
        <w:rPr>
          <w:rFonts w:hint="eastAsia" w:ascii="Times New Roman" w:hAnsi="Times New Roman" w:eastAsia="黑体"/>
          <w:color w:val="auto"/>
          <w:sz w:val="44"/>
          <w:szCs w:val="44"/>
          <w:highlight w:val="none"/>
        </w:rPr>
      </w:pPr>
    </w:p>
    <w:p w14:paraId="7C02E692">
      <w:pPr>
        <w:widowControl/>
        <w:jc w:val="center"/>
        <w:rPr>
          <w:rFonts w:hint="eastAsia" w:ascii="Times New Roman" w:hAnsi="Times New Roman" w:eastAsia="黑体"/>
          <w:color w:val="auto"/>
          <w:sz w:val="44"/>
          <w:szCs w:val="44"/>
          <w:highlight w:val="none"/>
        </w:rPr>
      </w:pPr>
    </w:p>
    <w:p w14:paraId="3CE9833A">
      <w:pPr>
        <w:widowControl/>
        <w:jc w:val="center"/>
        <w:rPr>
          <w:rFonts w:hint="eastAsia" w:ascii="Times New Roman" w:hAnsi="Times New Roman" w:eastAsia="黑体"/>
          <w:color w:val="auto"/>
          <w:sz w:val="44"/>
          <w:szCs w:val="44"/>
          <w:highlight w:val="none"/>
        </w:rPr>
      </w:pPr>
    </w:p>
    <w:p w14:paraId="1219C75A">
      <w:pPr>
        <w:widowControl/>
        <w:jc w:val="center"/>
        <w:rPr>
          <w:rFonts w:hint="eastAsia" w:ascii="Times New Roman" w:hAnsi="Times New Roman" w:eastAsia="黑体"/>
          <w:color w:val="auto"/>
          <w:sz w:val="44"/>
          <w:szCs w:val="44"/>
          <w:highlight w:val="none"/>
        </w:rPr>
      </w:pPr>
    </w:p>
    <w:p w14:paraId="7B9CF18C">
      <w:pPr>
        <w:widowControl/>
        <w:jc w:val="center"/>
        <w:rPr>
          <w:rFonts w:hint="eastAsia" w:ascii="Times New Roman" w:hAnsi="Times New Roman" w:eastAsia="黑体"/>
          <w:color w:val="auto"/>
          <w:sz w:val="44"/>
          <w:szCs w:val="44"/>
          <w:highlight w:val="none"/>
        </w:rPr>
      </w:pPr>
    </w:p>
    <w:p w14:paraId="666B269D">
      <w:pPr>
        <w:widowControl/>
        <w:jc w:val="center"/>
        <w:rPr>
          <w:rFonts w:hint="eastAsia" w:ascii="Times New Roman" w:hAnsi="Times New Roman" w:eastAsia="黑体"/>
          <w:color w:val="auto"/>
          <w:sz w:val="44"/>
          <w:szCs w:val="44"/>
          <w:highlight w:val="none"/>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4"/>
        <w:gridCol w:w="646"/>
        <w:gridCol w:w="1016"/>
        <w:gridCol w:w="1065"/>
        <w:gridCol w:w="572"/>
        <w:gridCol w:w="622"/>
        <w:gridCol w:w="572"/>
        <w:gridCol w:w="882"/>
        <w:gridCol w:w="490"/>
        <w:gridCol w:w="490"/>
        <w:gridCol w:w="1440"/>
      </w:tblGrid>
      <w:tr w14:paraId="64E6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7CCF3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6A28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374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497E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51320025T000012646069-青少年科技创新活动</w:t>
            </w:r>
          </w:p>
        </w:tc>
      </w:tr>
      <w:tr w14:paraId="17C5B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091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4FDC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0" w:type="auto"/>
            <w:tcBorders>
              <w:top w:val="nil"/>
              <w:left w:val="nil"/>
              <w:bottom w:val="nil"/>
              <w:right w:val="nil"/>
            </w:tcBorders>
            <w:shd w:val="clear" w:color="auto" w:fill="auto"/>
            <w:vAlign w:val="center"/>
          </w:tcPr>
          <w:p w14:paraId="424134B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E1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6347B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343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2FC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499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59B17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DB91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7199">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B4F24">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5A55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全州青少年和科技辅导员搭建科技创新活动成果展示和机器人编程学习交流的平台，通过开展青少年科技活动和科技创新大赛，培养我州广大青少年和科技辅导员的科学道德、创新精神和实践能力，提高他们的科学素养，营造浓厚的学科学、爱科学、用科学的社会氛围。为高校和科技院所选拔优秀科技后备人才，促进我州青少年科技活动的蓬勃开展，推动建设创新型国家、培养创新型人才的进程，提升全民科学素质等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D113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3F3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E6DE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289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557377">
            <w:pPr>
              <w:rPr>
                <w:rFonts w:hint="eastAsia" w:ascii="宋体" w:hAnsi="宋体" w:eastAsia="宋体" w:cs="宋体"/>
                <w:i w:val="0"/>
                <w:iCs w:val="0"/>
                <w:color w:val="000000"/>
                <w:sz w:val="18"/>
                <w:szCs w:val="18"/>
                <w:u w:val="none"/>
              </w:rPr>
            </w:pPr>
          </w:p>
        </w:tc>
      </w:tr>
      <w:tr w14:paraId="33EC6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2E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C2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0D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4C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1B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24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CA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AD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5A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A52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781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FA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4D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35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43.62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04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D5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B4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C37D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EC21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AF9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84B9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B7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EF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EF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43.62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FD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181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82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A4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70904">
            <w:pPr>
              <w:rPr>
                <w:rFonts w:hint="eastAsia" w:ascii="黑体" w:hAnsi="黑体" w:eastAsia="黑体" w:cs="黑体"/>
                <w:i/>
                <w:iCs/>
                <w:color w:val="000000"/>
                <w:sz w:val="18"/>
                <w:szCs w:val="18"/>
                <w:u w:val="none"/>
              </w:rPr>
            </w:pPr>
          </w:p>
        </w:tc>
      </w:tr>
      <w:tr w14:paraId="5E0E8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1F3F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19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AC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B1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5D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A2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ED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35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1BC0B">
            <w:pPr>
              <w:rPr>
                <w:rFonts w:hint="eastAsia" w:ascii="黑体" w:hAnsi="黑体" w:eastAsia="黑体" w:cs="黑体"/>
                <w:i/>
                <w:iCs/>
                <w:color w:val="000000"/>
                <w:sz w:val="18"/>
                <w:szCs w:val="18"/>
                <w:u w:val="none"/>
              </w:rPr>
            </w:pPr>
          </w:p>
        </w:tc>
      </w:tr>
      <w:tr w14:paraId="6A048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BBC3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0A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D0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65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A7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A7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4D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1B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6DAA2">
            <w:pPr>
              <w:rPr>
                <w:rFonts w:hint="eastAsia" w:ascii="黑体" w:hAnsi="黑体" w:eastAsia="黑体" w:cs="黑体"/>
                <w:i/>
                <w:iCs/>
                <w:color w:val="000000"/>
                <w:sz w:val="18"/>
                <w:szCs w:val="18"/>
                <w:u w:val="none"/>
              </w:rPr>
            </w:pPr>
          </w:p>
        </w:tc>
      </w:tr>
      <w:tr w14:paraId="7750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9CBF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92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E244F">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CE0D2">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E91B3">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164A7E">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F4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37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B71B3">
            <w:pPr>
              <w:rPr>
                <w:rFonts w:hint="eastAsia" w:ascii="黑体" w:hAnsi="黑体" w:eastAsia="黑体" w:cs="黑体"/>
                <w:i/>
                <w:iCs/>
                <w:color w:val="000000"/>
                <w:sz w:val="18"/>
                <w:szCs w:val="18"/>
                <w:u w:val="none"/>
              </w:rPr>
            </w:pPr>
          </w:p>
        </w:tc>
      </w:tr>
      <w:tr w14:paraId="61B22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9E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05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BB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C2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A4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3F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A9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DD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9D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E5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6D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6B97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C628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D8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0D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B7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活动参与人数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91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DC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574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F6C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D8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CC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386EB">
            <w:pPr>
              <w:jc w:val="center"/>
              <w:rPr>
                <w:rFonts w:hint="eastAsia" w:ascii="微软雅黑" w:hAnsi="微软雅黑" w:eastAsia="微软雅黑" w:cs="微软雅黑"/>
                <w:i/>
                <w:iCs/>
                <w:color w:val="000000"/>
                <w:sz w:val="16"/>
                <w:szCs w:val="16"/>
                <w:u w:val="none"/>
              </w:rPr>
            </w:pPr>
          </w:p>
        </w:tc>
      </w:tr>
      <w:tr w14:paraId="6A2BB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1AA6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30BD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159D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7E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参与县（市）数量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EE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38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8D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A18D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32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F8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DEC54">
            <w:pPr>
              <w:jc w:val="center"/>
              <w:rPr>
                <w:rFonts w:hint="eastAsia" w:ascii="微软雅黑" w:hAnsi="微软雅黑" w:eastAsia="微软雅黑" w:cs="微软雅黑"/>
                <w:i/>
                <w:iCs/>
                <w:color w:val="000000"/>
                <w:sz w:val="16"/>
                <w:szCs w:val="16"/>
                <w:u w:val="none"/>
              </w:rPr>
            </w:pPr>
          </w:p>
        </w:tc>
      </w:tr>
      <w:tr w14:paraId="5CF07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7C1F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15C9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7C97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94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举办创新大赛次数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40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D4F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7B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F4C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88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F4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76EDB">
            <w:pPr>
              <w:jc w:val="center"/>
              <w:rPr>
                <w:rFonts w:hint="eastAsia" w:ascii="微软雅黑" w:hAnsi="微软雅黑" w:eastAsia="微软雅黑" w:cs="微软雅黑"/>
                <w:i/>
                <w:iCs/>
                <w:color w:val="000000"/>
                <w:sz w:val="16"/>
                <w:szCs w:val="16"/>
                <w:u w:val="none"/>
              </w:rPr>
            </w:pPr>
          </w:p>
        </w:tc>
      </w:tr>
      <w:tr w14:paraId="6995C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0471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C7D1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7B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8C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2D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B2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39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F845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A7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45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CE720">
            <w:pPr>
              <w:jc w:val="center"/>
              <w:rPr>
                <w:rFonts w:hint="eastAsia" w:ascii="微软雅黑" w:hAnsi="微软雅黑" w:eastAsia="微软雅黑" w:cs="微软雅黑"/>
                <w:i/>
                <w:iCs/>
                <w:color w:val="000000"/>
                <w:sz w:val="16"/>
                <w:szCs w:val="16"/>
                <w:u w:val="none"/>
              </w:rPr>
            </w:pPr>
          </w:p>
        </w:tc>
      </w:tr>
      <w:tr w14:paraId="3753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BA8B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48CA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5D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F5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项目按期完成率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5D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E6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54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E47B8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77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2C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AE056">
            <w:pPr>
              <w:jc w:val="center"/>
              <w:rPr>
                <w:rFonts w:hint="eastAsia" w:ascii="微软雅黑" w:hAnsi="微软雅黑" w:eastAsia="微软雅黑" w:cs="微软雅黑"/>
                <w:i/>
                <w:iCs/>
                <w:color w:val="000000"/>
                <w:sz w:val="16"/>
                <w:szCs w:val="16"/>
                <w:u w:val="none"/>
              </w:rPr>
            </w:pPr>
          </w:p>
        </w:tc>
      </w:tr>
      <w:tr w14:paraId="1FA05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99A2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1A79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AFA5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32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A0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A5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F2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84B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34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12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DE01F">
            <w:pPr>
              <w:jc w:val="center"/>
              <w:rPr>
                <w:rFonts w:hint="eastAsia" w:ascii="微软雅黑" w:hAnsi="微软雅黑" w:eastAsia="微软雅黑" w:cs="微软雅黑"/>
                <w:i/>
                <w:iCs/>
                <w:color w:val="000000"/>
                <w:sz w:val="16"/>
                <w:szCs w:val="16"/>
                <w:u w:val="none"/>
              </w:rPr>
            </w:pPr>
          </w:p>
        </w:tc>
      </w:tr>
      <w:tr w14:paraId="5FBA4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0E90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D6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D0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65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参赛获奖率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9A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F9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3A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597E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5B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AE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416A5">
            <w:pPr>
              <w:jc w:val="center"/>
              <w:rPr>
                <w:rFonts w:hint="eastAsia" w:ascii="微软雅黑" w:hAnsi="微软雅黑" w:eastAsia="微软雅黑" w:cs="微软雅黑"/>
                <w:i/>
                <w:iCs/>
                <w:color w:val="000000"/>
                <w:sz w:val="16"/>
                <w:szCs w:val="16"/>
                <w:u w:val="none"/>
              </w:rPr>
            </w:pPr>
          </w:p>
        </w:tc>
      </w:tr>
      <w:tr w14:paraId="7DD27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B3A7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E8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423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19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B2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DF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57C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153A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38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64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00CB2">
            <w:pPr>
              <w:jc w:val="center"/>
              <w:rPr>
                <w:rFonts w:hint="eastAsia" w:ascii="微软雅黑" w:hAnsi="微软雅黑" w:eastAsia="微软雅黑" w:cs="微软雅黑"/>
                <w:i/>
                <w:iCs/>
                <w:color w:val="000000"/>
                <w:sz w:val="16"/>
                <w:szCs w:val="16"/>
                <w:u w:val="none"/>
              </w:rPr>
            </w:pPr>
          </w:p>
        </w:tc>
      </w:tr>
      <w:tr w14:paraId="2B7C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D6F8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48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E5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C0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26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12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C9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79D7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41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DE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3C8C2">
            <w:pPr>
              <w:jc w:val="center"/>
              <w:rPr>
                <w:rFonts w:hint="eastAsia" w:ascii="微软雅黑" w:hAnsi="微软雅黑" w:eastAsia="微软雅黑" w:cs="微软雅黑"/>
                <w:i/>
                <w:iCs/>
                <w:color w:val="000000"/>
                <w:sz w:val="16"/>
                <w:szCs w:val="16"/>
                <w:u w:val="none"/>
              </w:rPr>
            </w:pPr>
          </w:p>
        </w:tc>
      </w:tr>
      <w:tr w14:paraId="3CA1F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F1E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587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51B40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DDE17">
            <w:pPr>
              <w:rPr>
                <w:rFonts w:hint="eastAsia" w:ascii="宋体" w:hAnsi="宋体" w:eastAsia="宋体" w:cs="宋体"/>
                <w:i w:val="0"/>
                <w:iCs w:val="0"/>
                <w:color w:val="000000"/>
                <w:sz w:val="18"/>
                <w:szCs w:val="18"/>
                <w:u w:val="none"/>
              </w:rPr>
            </w:pPr>
          </w:p>
        </w:tc>
      </w:tr>
      <w:tr w14:paraId="5DD20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E9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B1A24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评价得分100</w:t>
            </w:r>
          </w:p>
        </w:tc>
      </w:tr>
      <w:tr w14:paraId="251A5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C1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D7F9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282F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16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EF94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4F24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5469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项目负责人：曲塔措</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7D47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6D0EE5EA">
      <w:pPr>
        <w:widowControl/>
        <w:jc w:val="center"/>
        <w:rPr>
          <w:rFonts w:hint="eastAsia" w:ascii="Times New Roman" w:hAnsi="Times New Roman" w:eastAsia="黑体"/>
          <w:color w:val="auto"/>
          <w:sz w:val="44"/>
          <w:szCs w:val="44"/>
          <w:highlight w:val="none"/>
        </w:rPr>
      </w:pPr>
    </w:p>
    <w:p w14:paraId="5DB06682">
      <w:pPr>
        <w:widowControl/>
        <w:jc w:val="center"/>
        <w:rPr>
          <w:rFonts w:hint="eastAsia" w:ascii="Times New Roman" w:hAnsi="Times New Roman" w:eastAsia="黑体"/>
          <w:color w:val="auto"/>
          <w:sz w:val="44"/>
          <w:szCs w:val="44"/>
          <w:highlight w:val="none"/>
        </w:rPr>
      </w:pPr>
    </w:p>
    <w:p w14:paraId="7DDAF49D">
      <w:pPr>
        <w:widowControl/>
        <w:jc w:val="center"/>
        <w:rPr>
          <w:rFonts w:hint="eastAsia" w:ascii="Times New Roman" w:hAnsi="Times New Roman" w:eastAsia="黑体"/>
          <w:color w:val="auto"/>
          <w:sz w:val="44"/>
          <w:szCs w:val="44"/>
          <w:highlight w:val="none"/>
        </w:rPr>
      </w:pPr>
    </w:p>
    <w:p w14:paraId="5B654A38">
      <w:pPr>
        <w:widowControl/>
        <w:jc w:val="center"/>
        <w:rPr>
          <w:rFonts w:hint="eastAsia" w:ascii="Times New Roman" w:hAnsi="Times New Roman" w:eastAsia="黑体"/>
          <w:color w:val="auto"/>
          <w:sz w:val="44"/>
          <w:szCs w:val="44"/>
          <w:highlight w:val="none"/>
        </w:rPr>
      </w:pPr>
    </w:p>
    <w:p w14:paraId="22A0891E">
      <w:pPr>
        <w:widowControl/>
        <w:jc w:val="center"/>
        <w:rPr>
          <w:rFonts w:hint="eastAsia" w:ascii="Times New Roman" w:hAnsi="Times New Roman" w:eastAsia="黑体"/>
          <w:color w:val="auto"/>
          <w:sz w:val="44"/>
          <w:szCs w:val="44"/>
          <w:highlight w:val="none"/>
        </w:rPr>
      </w:pPr>
    </w:p>
    <w:p w14:paraId="08EE1EF8">
      <w:pPr>
        <w:widowControl/>
        <w:jc w:val="center"/>
        <w:rPr>
          <w:rFonts w:hint="eastAsia" w:ascii="Times New Roman" w:hAnsi="Times New Roman" w:eastAsia="黑体"/>
          <w:color w:val="auto"/>
          <w:sz w:val="44"/>
          <w:szCs w:val="44"/>
          <w:highlight w:val="none"/>
        </w:rPr>
      </w:pPr>
    </w:p>
    <w:p w14:paraId="4B07EBE4">
      <w:pPr>
        <w:widowControl/>
        <w:jc w:val="center"/>
        <w:rPr>
          <w:rFonts w:hint="eastAsia" w:ascii="Times New Roman" w:hAnsi="Times New Roman" w:eastAsia="黑体"/>
          <w:color w:val="auto"/>
          <w:sz w:val="44"/>
          <w:szCs w:val="44"/>
          <w:highlight w:val="none"/>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7"/>
        <w:gridCol w:w="758"/>
        <w:gridCol w:w="757"/>
        <w:gridCol w:w="757"/>
        <w:gridCol w:w="762"/>
        <w:gridCol w:w="758"/>
        <w:gridCol w:w="762"/>
        <w:gridCol w:w="849"/>
        <w:gridCol w:w="758"/>
        <w:gridCol w:w="758"/>
        <w:gridCol w:w="846"/>
      </w:tblGrid>
      <w:tr w14:paraId="37982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79E18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CABC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F9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11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695A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51320025T000012647032-科技社团能力提升行动</w:t>
            </w:r>
          </w:p>
        </w:tc>
      </w:tr>
      <w:tr w14:paraId="6DDCD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525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4733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州科协部门</w:t>
            </w:r>
          </w:p>
        </w:tc>
        <w:tc>
          <w:tcPr>
            <w:tcW w:w="496" w:type="pct"/>
            <w:tcBorders>
              <w:top w:val="nil"/>
              <w:left w:val="nil"/>
              <w:bottom w:val="nil"/>
              <w:right w:val="nil"/>
            </w:tcBorders>
            <w:shd w:val="clear" w:color="auto" w:fill="auto"/>
            <w:vAlign w:val="center"/>
          </w:tcPr>
          <w:p w14:paraId="4BEAF41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87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州科协</w:t>
            </w:r>
          </w:p>
        </w:tc>
      </w:tr>
      <w:tr w14:paraId="04276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97C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64B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FCA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5C421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852D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5D2E7">
            <w:pP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7B5D0">
            <w:pPr>
              <w:rPr>
                <w:rFonts w:hint="eastAsia" w:ascii="宋体" w:hAnsi="宋体" w:eastAsia="宋体" w:cs="宋体"/>
                <w:i w:val="0"/>
                <w:iCs w:val="0"/>
                <w:color w:val="000000"/>
                <w:sz w:val="18"/>
                <w:szCs w:val="18"/>
                <w:u w:val="none"/>
              </w:rPr>
            </w:pPr>
          </w:p>
        </w:tc>
        <w:tc>
          <w:tcPr>
            <w:tcW w:w="22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38C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通过会员动员，调查走访，召集本行业学会会员，召开学术活动，聚焦前沿及学科重点领域，吸引一流学术科技人员参与，争创一流学术交流成果，彰显一流学术影响力。</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35A917">
            <w:pPr>
              <w:keepNext w:val="0"/>
              <w:keepLines w:val="0"/>
              <w:widowControl/>
              <w:suppressLineNumbers w:val="0"/>
              <w:jc w:val="left"/>
              <w:textAlignment w:val="center"/>
              <w:rPr>
                <w:rFonts w:ascii="方正仿宋_GBK" w:hAnsi="方正仿宋_GBK" w:eastAsia="方正仿宋_GBK" w:cs="方正仿宋_GBK"/>
                <w:i w:val="0"/>
                <w:iCs w:val="0"/>
                <w:color w:val="000000"/>
                <w:sz w:val="18"/>
                <w:szCs w:val="18"/>
                <w:u w:val="none"/>
              </w:rPr>
            </w:pPr>
            <w:r>
              <w:rPr>
                <w:rFonts w:hint="default" w:ascii="方正仿宋_GBK" w:hAnsi="方正仿宋_GBK" w:eastAsia="方正仿宋_GBK" w:cs="方正仿宋_GBK"/>
                <w:i w:val="0"/>
                <w:iCs w:val="0"/>
                <w:color w:val="000000"/>
                <w:kern w:val="0"/>
                <w:sz w:val="18"/>
                <w:szCs w:val="18"/>
                <w:u w:val="none"/>
                <w:lang w:val="en-US" w:eastAsia="zh-CN" w:bidi="ar"/>
              </w:rPr>
              <w:t>本项目紧扣科技社团能力提升要求，完成黄龙喀斯特地貌研学产品研发，打造适配中小学的研学课程体系与3条主题线路，开展试点研学并达95.45%满意度，形成可复制模式，圆满达成项目既定目标。</w:t>
            </w:r>
          </w:p>
        </w:tc>
      </w:tr>
      <w:tr w14:paraId="05E92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F7213">
            <w:pP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5E8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11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AEDB2E">
            <w:pPr>
              <w:keepNext w:val="0"/>
              <w:keepLines w:val="0"/>
              <w:widowControl/>
              <w:suppressLineNumbers w:val="0"/>
              <w:jc w:val="left"/>
              <w:textAlignment w:val="center"/>
              <w:rPr>
                <w:rFonts w:hint="default" w:ascii="方正仿宋_GBK" w:hAnsi="方正仿宋_GBK" w:eastAsia="方正仿宋_GBK" w:cs="方正仿宋_GBK"/>
                <w:i w:val="0"/>
                <w:iCs w:val="0"/>
                <w:color w:val="000000"/>
                <w:sz w:val="18"/>
                <w:szCs w:val="18"/>
                <w:u w:val="none"/>
              </w:rPr>
            </w:pPr>
            <w:r>
              <w:rPr>
                <w:rFonts w:hint="default" w:ascii="方正仿宋_GBK" w:hAnsi="方正仿宋_GBK" w:eastAsia="方正仿宋_GBK" w:cs="方正仿宋_GBK"/>
                <w:i w:val="0"/>
                <w:iCs w:val="0"/>
                <w:color w:val="000000"/>
                <w:kern w:val="0"/>
                <w:sz w:val="18"/>
                <w:szCs w:val="18"/>
                <w:u w:val="none"/>
                <w:lang w:val="en-US" w:eastAsia="zh-CN" w:bidi="ar"/>
              </w:rPr>
              <w:t>项目按三阶段推进实施，10月14-21日完成黄龙景区现场调研与资料收集，10月22-31日编撰形成研学课程初稿，11月1-15日完善终稿并落地试点。期间完成专家踏勘、课程研发、线路设计，联合黄龙管理局开展试点研学，同步完成成果固化、宣传及验收资料提交。</w:t>
            </w:r>
          </w:p>
        </w:tc>
      </w:tr>
      <w:tr w14:paraId="2A055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F5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0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27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4C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91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65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3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F6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62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F96CA">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2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8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E9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F0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6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4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339FB">
            <w:pPr>
              <w:jc w:val="center"/>
              <w:rPr>
                <w:rFonts w:hint="eastAsia" w:ascii="宋体" w:hAnsi="宋体" w:eastAsia="宋体" w:cs="宋体"/>
                <w:i w:val="0"/>
                <w:iCs w:val="0"/>
                <w:color w:val="000000"/>
                <w:sz w:val="18"/>
                <w:szCs w:val="18"/>
                <w:u w:val="none"/>
              </w:rPr>
            </w:pPr>
          </w:p>
        </w:tc>
        <w:tc>
          <w:tcPr>
            <w:tcW w:w="4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F20D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8E7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42211">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C0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E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41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AC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7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52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0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07046">
            <w:pPr>
              <w:rPr>
                <w:rFonts w:hint="eastAsia" w:ascii="黑体" w:hAnsi="黑体" w:eastAsia="黑体" w:cs="黑体"/>
                <w:i/>
                <w:iCs/>
                <w:color w:val="000000"/>
                <w:sz w:val="18"/>
                <w:szCs w:val="18"/>
                <w:u w:val="none"/>
              </w:rPr>
            </w:pPr>
          </w:p>
        </w:tc>
      </w:tr>
      <w:tr w14:paraId="41B58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63686">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10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CC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E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7D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E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D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B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5E6C0">
            <w:pPr>
              <w:rPr>
                <w:rFonts w:hint="eastAsia" w:ascii="黑体" w:hAnsi="黑体" w:eastAsia="黑体" w:cs="黑体"/>
                <w:i/>
                <w:iCs/>
                <w:color w:val="000000"/>
                <w:sz w:val="18"/>
                <w:szCs w:val="18"/>
                <w:u w:val="none"/>
              </w:rPr>
            </w:pPr>
          </w:p>
        </w:tc>
      </w:tr>
      <w:tr w14:paraId="002BA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A0BC0">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F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4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CE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9D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9C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ED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BB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84CB7">
            <w:pPr>
              <w:rPr>
                <w:rFonts w:hint="eastAsia" w:ascii="黑体" w:hAnsi="黑体" w:eastAsia="黑体" w:cs="黑体"/>
                <w:i/>
                <w:iCs/>
                <w:color w:val="000000"/>
                <w:sz w:val="18"/>
                <w:szCs w:val="18"/>
                <w:u w:val="none"/>
              </w:rPr>
            </w:pPr>
          </w:p>
        </w:tc>
      </w:tr>
      <w:tr w14:paraId="55C3A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E91D3">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8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F2265">
            <w:pPr>
              <w:jc w:val="center"/>
              <w:rPr>
                <w:rFonts w:hint="eastAsia" w:ascii="微软雅黑" w:hAnsi="微软雅黑" w:eastAsia="微软雅黑" w:cs="微软雅黑"/>
                <w:i/>
                <w:iCs/>
                <w:color w:val="000000"/>
                <w:sz w:val="16"/>
                <w:szCs w:val="16"/>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1FBFF">
            <w:pPr>
              <w:jc w:val="center"/>
              <w:rPr>
                <w:rFonts w:hint="eastAsia" w:ascii="微软雅黑" w:hAnsi="微软雅黑" w:eastAsia="微软雅黑" w:cs="微软雅黑"/>
                <w:i/>
                <w:iCs/>
                <w:color w:val="000000"/>
                <w:sz w:val="16"/>
                <w:szCs w:val="16"/>
                <w:u w:val="none"/>
              </w:rPr>
            </w:pPr>
          </w:p>
        </w:tc>
        <w:tc>
          <w:tcPr>
            <w:tcW w:w="13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48F59E">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FBE77">
            <w:pPr>
              <w:jc w:val="center"/>
              <w:rPr>
                <w:rFonts w:hint="eastAsia" w:ascii="微软雅黑" w:hAnsi="微软雅黑" w:eastAsia="微软雅黑" w:cs="微软雅黑"/>
                <w:i/>
                <w:iCs/>
                <w:color w:val="000000"/>
                <w:sz w:val="16"/>
                <w:szCs w:val="16"/>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3F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9B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D01E1">
            <w:pPr>
              <w:rPr>
                <w:rFonts w:hint="eastAsia" w:ascii="黑体" w:hAnsi="黑体" w:eastAsia="黑体" w:cs="黑体"/>
                <w:i/>
                <w:iCs/>
                <w:color w:val="000000"/>
                <w:sz w:val="18"/>
                <w:szCs w:val="18"/>
                <w:u w:val="none"/>
              </w:rPr>
            </w:pPr>
          </w:p>
        </w:tc>
      </w:tr>
      <w:tr w14:paraId="36928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55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4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1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7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C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A2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63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3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0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01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46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0D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8CE72">
            <w:pPr>
              <w:jc w:val="center"/>
              <w:rPr>
                <w:rFonts w:hint="eastAsia" w:ascii="宋体" w:hAnsi="宋体" w:eastAsia="宋体" w:cs="宋体"/>
                <w:i w:val="0"/>
                <w:iCs w:val="0"/>
                <w:color w:val="000000"/>
                <w:sz w:val="18"/>
                <w:szCs w:val="18"/>
                <w:u w:val="none"/>
              </w:rPr>
            </w:pPr>
          </w:p>
        </w:tc>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60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89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2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研发旅游研学产品数量</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6B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D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E1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A60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50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0680">
            <w:pPr>
              <w:jc w:val="center"/>
              <w:rPr>
                <w:rFonts w:hint="eastAsia" w:ascii="微软雅黑" w:hAnsi="微软雅黑" w:eastAsia="微软雅黑" w:cs="微软雅黑"/>
                <w:i/>
                <w:iCs/>
                <w:color w:val="000000"/>
                <w:sz w:val="16"/>
                <w:szCs w:val="16"/>
                <w:u w:val="none"/>
              </w:rPr>
            </w:pPr>
          </w:p>
        </w:tc>
      </w:tr>
      <w:tr w14:paraId="4D9D2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E4131">
            <w:pPr>
              <w:jc w:val="cente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D381">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F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1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省内旅游院校教授专家参与人数</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92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0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D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67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0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00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CC9BD">
            <w:pPr>
              <w:jc w:val="center"/>
              <w:rPr>
                <w:rFonts w:hint="eastAsia" w:ascii="微软雅黑" w:hAnsi="微软雅黑" w:eastAsia="微软雅黑" w:cs="微软雅黑"/>
                <w:i/>
                <w:iCs/>
                <w:color w:val="000000"/>
                <w:sz w:val="16"/>
                <w:szCs w:val="16"/>
                <w:u w:val="none"/>
              </w:rPr>
            </w:pPr>
          </w:p>
        </w:tc>
      </w:tr>
      <w:tr w14:paraId="7D15D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1C262">
            <w:pPr>
              <w:jc w:val="cente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91317">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94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9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E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A9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FCF73">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05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按时完成</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F6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7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BD38">
            <w:pPr>
              <w:jc w:val="center"/>
              <w:rPr>
                <w:rFonts w:hint="eastAsia" w:ascii="微软雅黑" w:hAnsi="微软雅黑" w:eastAsia="微软雅黑" w:cs="微软雅黑"/>
                <w:i/>
                <w:iCs/>
                <w:color w:val="000000"/>
                <w:sz w:val="16"/>
                <w:szCs w:val="16"/>
                <w:u w:val="none"/>
              </w:rPr>
            </w:pPr>
          </w:p>
        </w:tc>
      </w:tr>
      <w:tr w14:paraId="4D539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8A2AC">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9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38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8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创新开发生态研学体验产品</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5D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67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3D033">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6942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长期实现</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20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1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096B4">
            <w:pPr>
              <w:jc w:val="center"/>
              <w:rPr>
                <w:rFonts w:hint="eastAsia" w:ascii="微软雅黑" w:hAnsi="微软雅黑" w:eastAsia="微软雅黑" w:cs="微软雅黑"/>
                <w:i/>
                <w:iCs/>
                <w:color w:val="000000"/>
                <w:sz w:val="16"/>
                <w:szCs w:val="16"/>
                <w:u w:val="none"/>
              </w:rPr>
            </w:pPr>
          </w:p>
        </w:tc>
      </w:tr>
      <w:tr w14:paraId="005A7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4A786">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AD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4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3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A7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9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C3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02A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95.45%</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6C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3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2D09">
            <w:pPr>
              <w:jc w:val="center"/>
              <w:rPr>
                <w:rFonts w:hint="eastAsia" w:ascii="微软雅黑" w:hAnsi="微软雅黑" w:eastAsia="微软雅黑" w:cs="微软雅黑"/>
                <w:i/>
                <w:iCs/>
                <w:color w:val="000000"/>
                <w:sz w:val="16"/>
                <w:szCs w:val="16"/>
                <w:u w:val="none"/>
              </w:rPr>
            </w:pPr>
          </w:p>
        </w:tc>
      </w:tr>
      <w:tr w14:paraId="2BE55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6B282">
            <w:pPr>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3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0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5F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CA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3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6F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1959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10万元</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B9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A2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B40F">
            <w:pPr>
              <w:jc w:val="center"/>
              <w:rPr>
                <w:rFonts w:hint="eastAsia" w:ascii="微软雅黑" w:hAnsi="微软雅黑" w:eastAsia="微软雅黑" w:cs="微软雅黑"/>
                <w:i/>
                <w:iCs/>
                <w:color w:val="000000"/>
                <w:sz w:val="16"/>
                <w:szCs w:val="16"/>
                <w:u w:val="none"/>
              </w:rPr>
            </w:pPr>
          </w:p>
        </w:tc>
      </w:tr>
      <w:tr w14:paraId="1252C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1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E5F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BC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B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A6E2F">
            <w:pPr>
              <w:rPr>
                <w:rFonts w:hint="eastAsia" w:ascii="宋体" w:hAnsi="宋体" w:eastAsia="宋体" w:cs="宋体"/>
                <w:i w:val="0"/>
                <w:iCs w:val="0"/>
                <w:color w:val="000000"/>
                <w:sz w:val="18"/>
                <w:szCs w:val="18"/>
                <w:u w:val="none"/>
              </w:rPr>
            </w:pPr>
          </w:p>
        </w:tc>
      </w:tr>
      <w:tr w14:paraId="25E1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9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2EE440">
            <w:pPr>
              <w:keepNext w:val="0"/>
              <w:keepLines w:val="0"/>
              <w:widowControl/>
              <w:suppressLineNumbers w:val="0"/>
              <w:jc w:val="left"/>
              <w:textAlignment w:val="center"/>
              <w:rPr>
                <w:rFonts w:hint="default" w:ascii="方正仿宋_GBK" w:hAnsi="方正仿宋_GBK" w:eastAsia="方正仿宋_GBK" w:cs="方正仿宋_GBK"/>
                <w:i w:val="0"/>
                <w:iCs w:val="0"/>
                <w:color w:val="000000"/>
                <w:sz w:val="16"/>
                <w:szCs w:val="16"/>
                <w:u w:val="none"/>
              </w:rPr>
            </w:pPr>
            <w:r>
              <w:rPr>
                <w:rFonts w:hint="default" w:ascii="方正仿宋_GBK" w:hAnsi="方正仿宋_GBK" w:eastAsia="方正仿宋_GBK" w:cs="方正仿宋_GBK"/>
                <w:i w:val="0"/>
                <w:iCs w:val="0"/>
                <w:color w:val="000000"/>
                <w:kern w:val="0"/>
                <w:sz w:val="16"/>
                <w:szCs w:val="16"/>
                <w:u w:val="none"/>
                <w:lang w:val="en-US" w:eastAsia="zh-CN" w:bidi="ar"/>
              </w:rPr>
              <w:t>本项目自评总分100分，全额完成10万元预算执行。成功研发1个黄龙喀斯特地貌研学产品，邀请省内专家参与研发，按时完成项目全流程。打造了含3大模块、3条主题线路的研学课程体系，开展试点研学活动获95.45%满意度，形成可复制的研学模式并完成网络宣传，有效提升科技社团服务能力，为阿坝州“研学之州”建设提供了优质示范。</w:t>
            </w:r>
          </w:p>
        </w:tc>
      </w:tr>
      <w:tr w14:paraId="74410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1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F2DE92">
            <w:pPr>
              <w:keepNext w:val="0"/>
              <w:keepLines w:val="0"/>
              <w:widowControl/>
              <w:suppressLineNumbers w:val="0"/>
              <w:jc w:val="left"/>
              <w:textAlignment w:val="center"/>
              <w:rPr>
                <w:rFonts w:hint="default" w:ascii="方正仿宋_GBK" w:hAnsi="方正仿宋_GBK" w:eastAsia="方正仿宋_GBK" w:cs="方正仿宋_GBK"/>
                <w:i w:val="0"/>
                <w:iCs w:val="0"/>
                <w:color w:val="000000"/>
                <w:sz w:val="16"/>
                <w:szCs w:val="16"/>
                <w:u w:val="none"/>
              </w:rPr>
            </w:pPr>
            <w:r>
              <w:rPr>
                <w:rFonts w:hint="default" w:ascii="方正仿宋_GBK" w:hAnsi="方正仿宋_GBK" w:eastAsia="方正仿宋_GBK" w:cs="方正仿宋_GBK"/>
                <w:i w:val="0"/>
                <w:iCs w:val="0"/>
                <w:color w:val="000000"/>
                <w:kern w:val="0"/>
                <w:sz w:val="16"/>
                <w:szCs w:val="16"/>
                <w:u w:val="none"/>
                <w:lang w:val="en-US" w:eastAsia="zh-CN" w:bidi="ar"/>
              </w:rPr>
              <w:t>项目试点研学参与人数少，覆盖面较窄，未充分验证课程在大群体中的适配性；研学课程的数字化传播形式单一，仅通过官方网站宣传，触达人群有限；课程后续落地推广的长效合作机制尚未完全细化，与景区的深度联动运营方案仍需完善。</w:t>
            </w:r>
          </w:p>
        </w:tc>
      </w:tr>
      <w:tr w14:paraId="13513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21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D5556C">
            <w:pPr>
              <w:keepNext w:val="0"/>
              <w:keepLines w:val="0"/>
              <w:widowControl/>
              <w:suppressLineNumbers w:val="0"/>
              <w:jc w:val="left"/>
              <w:textAlignment w:val="center"/>
              <w:rPr>
                <w:rFonts w:hint="default" w:ascii="方正仿宋_GBK" w:hAnsi="方正仿宋_GBK" w:eastAsia="方正仿宋_GBK" w:cs="方正仿宋_GBK"/>
                <w:i w:val="0"/>
                <w:iCs w:val="0"/>
                <w:color w:val="000000"/>
                <w:sz w:val="16"/>
                <w:szCs w:val="16"/>
                <w:u w:val="none"/>
              </w:rPr>
            </w:pPr>
            <w:r>
              <w:rPr>
                <w:rFonts w:hint="default" w:ascii="方正仿宋_GBK" w:hAnsi="方正仿宋_GBK" w:eastAsia="方正仿宋_GBK" w:cs="方正仿宋_GBK"/>
                <w:i w:val="0"/>
                <w:iCs w:val="0"/>
                <w:color w:val="000000"/>
                <w:kern w:val="0"/>
                <w:sz w:val="16"/>
                <w:szCs w:val="16"/>
                <w:u w:val="none"/>
                <w:lang w:val="en-US" w:eastAsia="zh-CN" w:bidi="ar"/>
              </w:rPr>
              <w:t>扩大研学试点范围，联合中小学开展多批次、不同规模的研学活动，收集多元反馈优化课程；丰富宣传形式，制作研学课程短视频、图文手册等数字化内容，借助新媒体平台扩大传播；与黄龙管理局细化长效合作方案，制定研学课程常态化运营流程，明确双方职责，同时将研学模式向阿坝州其他景区推广，实现成果落地转化。</w:t>
            </w:r>
          </w:p>
        </w:tc>
      </w:tr>
      <w:tr w14:paraId="1D10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22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FC95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项目负责人：姚晔</w:t>
            </w:r>
          </w:p>
        </w:tc>
        <w:tc>
          <w:tcPr>
            <w:tcW w:w="277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2012A4">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财务负责人：王孝莉</w:t>
            </w:r>
          </w:p>
        </w:tc>
      </w:tr>
    </w:tbl>
    <w:p w14:paraId="359209BF">
      <w:pPr>
        <w:widowControl/>
        <w:jc w:val="center"/>
        <w:rPr>
          <w:rFonts w:hint="eastAsia" w:ascii="Times New Roman" w:hAnsi="Times New Roman" w:eastAsia="黑体"/>
          <w:color w:val="auto"/>
          <w:sz w:val="44"/>
          <w:szCs w:val="44"/>
          <w:highlight w:val="none"/>
        </w:rPr>
      </w:pPr>
    </w:p>
    <w:p w14:paraId="6F252A75">
      <w:pPr>
        <w:widowControl/>
        <w:jc w:val="center"/>
        <w:rPr>
          <w:rFonts w:hint="eastAsia" w:ascii="Times New Roman" w:hAnsi="Times New Roman" w:eastAsia="黑体"/>
          <w:color w:val="auto"/>
          <w:sz w:val="44"/>
          <w:szCs w:val="44"/>
          <w:highlight w:val="none"/>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6"/>
        <w:gridCol w:w="766"/>
        <w:gridCol w:w="983"/>
        <w:gridCol w:w="995"/>
        <w:gridCol w:w="618"/>
        <w:gridCol w:w="869"/>
        <w:gridCol w:w="618"/>
        <w:gridCol w:w="1034"/>
        <w:gridCol w:w="538"/>
        <w:gridCol w:w="439"/>
        <w:gridCol w:w="823"/>
      </w:tblGrid>
      <w:tr w14:paraId="67A79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1DE6B4">
            <w:pPr>
              <w:bidi w:val="0"/>
            </w:pPr>
            <w:r>
              <w:rPr>
                <w:rFonts w:hint="eastAsia"/>
                <w:lang w:val="en-US" w:eastAsia="zh-CN"/>
              </w:rPr>
              <w:t>部门预算项目支出绩效自评表（2025年度）</w:t>
            </w:r>
          </w:p>
        </w:tc>
      </w:tr>
      <w:tr w14:paraId="6E75E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A30EF">
            <w:pPr>
              <w:bidi w:val="0"/>
            </w:pPr>
            <w:r>
              <w:rPr>
                <w:lang w:val="en-US" w:eastAsia="zh-CN"/>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226CC1">
            <w:pPr>
              <w:bidi w:val="0"/>
            </w:pPr>
            <w:r>
              <w:rPr>
                <w:lang w:val="en-US" w:eastAsia="zh-CN"/>
              </w:rPr>
              <w:t>51320025T000013475259-2025年阿坝州科技馆免费开放补助资金</w:t>
            </w:r>
          </w:p>
        </w:tc>
      </w:tr>
      <w:tr w14:paraId="4D04A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6289C">
            <w:pPr>
              <w:bidi w:val="0"/>
            </w:pPr>
            <w:r>
              <w:rPr>
                <w:lang w:val="en-US" w:eastAsia="zh-CN"/>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3D5EAC">
            <w:pPr>
              <w:bidi w:val="0"/>
            </w:pPr>
            <w:r>
              <w:rPr>
                <w:lang w:val="en-US" w:eastAsia="zh-CN"/>
              </w:rPr>
              <w:t>州科协部门</w:t>
            </w:r>
          </w:p>
        </w:tc>
        <w:tc>
          <w:tcPr>
            <w:tcW w:w="0" w:type="auto"/>
            <w:tcBorders>
              <w:top w:val="nil"/>
              <w:left w:val="nil"/>
              <w:bottom w:val="nil"/>
              <w:right w:val="nil"/>
            </w:tcBorders>
            <w:shd w:val="clear" w:color="auto" w:fill="auto"/>
            <w:vAlign w:val="center"/>
          </w:tcPr>
          <w:p w14:paraId="4DBF33AF">
            <w:pPr>
              <w:bidi w:val="0"/>
            </w:pPr>
            <w:r>
              <w:rPr>
                <w:rFonts w:hint="eastAsia"/>
                <w:lang w:val="en-US" w:eastAsia="zh-CN"/>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300AD">
            <w:pPr>
              <w:bidi w:val="0"/>
              <w:rPr>
                <w:rFonts w:hint="default"/>
                <w:lang w:val="en-US"/>
              </w:rPr>
            </w:pPr>
            <w:r>
              <w:rPr>
                <w:rFonts w:hint="eastAsia"/>
                <w:lang w:val="en-US" w:eastAsia="zh-CN"/>
              </w:rPr>
              <w:t>阿坝州科学技术协会</w:t>
            </w:r>
          </w:p>
        </w:tc>
      </w:tr>
      <w:tr w14:paraId="25251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C13DA">
            <w:pPr>
              <w:bidi w:val="0"/>
            </w:pPr>
            <w:r>
              <w:rPr>
                <w:lang w:val="en-US" w:eastAsia="zh-CN"/>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B45D3">
            <w:pPr>
              <w:bidi w:val="0"/>
            </w:pPr>
            <w:r>
              <w:rPr>
                <w:lang w:val="en-US" w:eastAsia="zh-CN"/>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A38117">
            <w:pPr>
              <w:bidi w:val="0"/>
            </w:pPr>
            <w:r>
              <w:rPr>
                <w:lang w:val="en-US" w:eastAsia="zh-CN"/>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8E2019">
            <w:pPr>
              <w:bidi w:val="0"/>
              <w:rPr>
                <w:rFonts w:hint="eastAsia"/>
              </w:rPr>
            </w:pPr>
            <w:r>
              <w:rPr>
                <w:rFonts w:hint="eastAsia"/>
                <w:lang w:val="en-US" w:eastAsia="zh-CN"/>
              </w:rPr>
              <w:t>年度目标完成情况</w:t>
            </w:r>
          </w:p>
        </w:tc>
      </w:tr>
      <w:tr w14:paraId="2CE48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B9B17">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63FE6">
            <w:pPr>
              <w:bidi w:val="0"/>
              <w:rPr>
                <w:rFonts w:hint="eastAsia"/>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C8B4EF">
            <w:pPr>
              <w:bidi w:val="0"/>
            </w:pPr>
            <w:r>
              <w:rPr>
                <w:lang w:val="en-US" w:eastAsia="zh-CN"/>
              </w:rPr>
              <w:t>充分发挥科普阵地作用，围绕科技馆职能职责，为我州社会公众和广大青少年提供参与科技活动、体验科技创新的良好场所。同时围绕青少年科技需求，激发科学兴趣，启迪科学思维，提高科学素质和创新能力，为全民科学素质提升助力</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605A10">
            <w:pPr>
              <w:bidi w:val="0"/>
              <w:rPr>
                <w:rFonts w:hint="eastAsia"/>
              </w:rPr>
            </w:pPr>
            <w:r>
              <w:rPr>
                <w:lang w:val="en-US" w:eastAsia="zh-CN"/>
              </w:rPr>
              <w:t>对照年初既定目标，除个别指标未完成之外，其余目标均已完成，</w:t>
            </w:r>
          </w:p>
        </w:tc>
      </w:tr>
      <w:tr w14:paraId="5C9AC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46AB2">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A44B4">
            <w:pPr>
              <w:bidi w:val="0"/>
            </w:pPr>
            <w:r>
              <w:rPr>
                <w:lang w:val="en-US" w:eastAsia="zh-CN"/>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C4983E">
            <w:pPr>
              <w:bidi w:val="0"/>
            </w:pPr>
            <w:r>
              <w:rPr>
                <w:lang w:val="en-US" w:eastAsia="zh-CN"/>
              </w:rPr>
              <w:t>紧紧围绕全州中心工作，围绕科协工作主责主业，以提升全民科学素质为核心，以服务创新驱动发展为重点，不断拓展科普服务功能，创新科普展示方式，深化馆校合作，各项工作取得了显著成效，营造了良好的崇尚科学社会氛围，为助力民族团结和服务我州高质量发展做出了积极贡献。</w:t>
            </w:r>
          </w:p>
        </w:tc>
      </w:tr>
      <w:tr w14:paraId="12D1D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2C153">
            <w:pPr>
              <w:bidi w:val="0"/>
            </w:pPr>
            <w:r>
              <w:rPr>
                <w:lang w:val="en-US" w:eastAsia="zh-CN"/>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2A3E3">
            <w:pPr>
              <w:bidi w:val="0"/>
            </w:pPr>
            <w:r>
              <w:rPr>
                <w:lang w:val="en-US" w:eastAsia="zh-CN"/>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19319">
            <w:pPr>
              <w:bidi w:val="0"/>
            </w:pPr>
            <w:r>
              <w:rPr>
                <w:lang w:val="en-US" w:eastAsia="zh-CN"/>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2A7D9">
            <w:pPr>
              <w:bidi w:val="0"/>
            </w:pPr>
            <w:r>
              <w:rPr>
                <w:lang w:val="en-US" w:eastAsia="zh-CN"/>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6BCFD">
            <w:pPr>
              <w:bidi w:val="0"/>
            </w:pPr>
            <w:r>
              <w:rPr>
                <w:lang w:val="en-US" w:eastAsia="zh-CN"/>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DDED1">
            <w:pPr>
              <w:bidi w:val="0"/>
            </w:pPr>
            <w:r>
              <w:rPr>
                <w:lang w:val="en-US" w:eastAsia="zh-CN"/>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83970">
            <w:pPr>
              <w:bidi w:val="0"/>
            </w:pPr>
            <w:r>
              <w:rPr>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EAD88F">
            <w:pPr>
              <w:bidi w:val="0"/>
            </w:pPr>
            <w:r>
              <w:rPr>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E7CA28">
            <w:pPr>
              <w:bidi w:val="0"/>
            </w:pPr>
            <w:r>
              <w:rPr>
                <w:lang w:val="en-US" w:eastAsia="zh-CN"/>
              </w:rPr>
              <w:t>原因</w:t>
            </w:r>
          </w:p>
        </w:tc>
      </w:tr>
      <w:tr w14:paraId="3A581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25C4D">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61CD2">
            <w:pPr>
              <w:bidi w:val="0"/>
            </w:pPr>
            <w:r>
              <w:rPr>
                <w:lang w:val="en-US" w:eastAsia="zh-CN"/>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1A2D0">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84877">
            <w:pPr>
              <w:bidi w:val="0"/>
            </w:pPr>
            <w:r>
              <w:rPr>
                <w:lang w:val="en-US" w:eastAsia="zh-CN"/>
              </w:rPr>
              <w:t>37.25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05F79">
            <w:pPr>
              <w:bidi w:val="0"/>
            </w:pPr>
            <w:r>
              <w:rPr>
                <w:lang w:val="en-US" w:eastAsia="zh-CN"/>
              </w:rPr>
              <w:t>37.25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6E1E4">
            <w:pPr>
              <w:bidi w:val="0"/>
            </w:pPr>
            <w:r>
              <w:rPr>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A6E51">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BC47E">
            <w:pPr>
              <w:bidi w:val="0"/>
            </w:pPr>
            <w:r>
              <w:rPr>
                <w:lang w:val="en-US" w:eastAsia="zh-CN"/>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48B8A">
            <w:pPr>
              <w:bidi w:val="0"/>
              <w:rPr>
                <w:rFonts w:hint="eastAsia"/>
              </w:rPr>
            </w:pPr>
          </w:p>
        </w:tc>
      </w:tr>
      <w:tr w14:paraId="1780A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05E69">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BF024">
            <w:pPr>
              <w:bidi w:val="0"/>
            </w:pPr>
            <w:r>
              <w:rPr>
                <w:lang w:val="en-US" w:eastAsia="zh-CN"/>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E1278">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DD8B3">
            <w:pPr>
              <w:bidi w:val="0"/>
            </w:pPr>
            <w:r>
              <w:rPr>
                <w:lang w:val="en-US" w:eastAsia="zh-CN"/>
              </w:rPr>
              <w:t>37.25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54F64">
            <w:pPr>
              <w:bidi w:val="0"/>
            </w:pPr>
            <w:r>
              <w:rPr>
                <w:lang w:val="en-US" w:eastAsia="zh-CN"/>
              </w:rPr>
              <w:t>37.25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F4EE0">
            <w:pPr>
              <w:bidi w:val="0"/>
            </w:pPr>
            <w:r>
              <w:rPr>
                <w:lang w:val="en-US" w:eastAsia="zh-CN"/>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EE35E">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46AE7">
            <w:pPr>
              <w:bidi w:val="0"/>
            </w:pPr>
            <w:r>
              <w:rPr>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B6703">
            <w:pPr>
              <w:bidi w:val="0"/>
              <w:rPr>
                <w:rFonts w:hint="eastAsia"/>
              </w:rPr>
            </w:pPr>
          </w:p>
        </w:tc>
      </w:tr>
      <w:tr w14:paraId="5EF33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93C29">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D5485">
            <w:pPr>
              <w:bidi w:val="0"/>
            </w:pPr>
            <w:r>
              <w:rPr>
                <w:lang w:val="en-US" w:eastAsia="zh-CN"/>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82C3">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C5CCF">
            <w:pPr>
              <w:bidi w:val="0"/>
            </w:pPr>
            <w:r>
              <w:rPr>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78ACA">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F4E92">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6E347">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2A1DD">
            <w:pPr>
              <w:bidi w:val="0"/>
            </w:pPr>
            <w:r>
              <w:rPr>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EBD46">
            <w:pPr>
              <w:bidi w:val="0"/>
              <w:rPr>
                <w:rFonts w:hint="eastAsia"/>
              </w:rPr>
            </w:pPr>
          </w:p>
        </w:tc>
      </w:tr>
      <w:tr w14:paraId="6A7D3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C2B34">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13356">
            <w:pPr>
              <w:bidi w:val="0"/>
            </w:pPr>
            <w:r>
              <w:rPr>
                <w:lang w:val="en-US" w:eastAsia="zh-CN"/>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B4126">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BC08E">
            <w:pPr>
              <w:bidi w:val="0"/>
            </w:pPr>
            <w:r>
              <w:rPr>
                <w:lang w:val="en-US" w:eastAsia="zh-CN"/>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6259E9">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BD115">
            <w:pPr>
              <w:bidi w:val="0"/>
            </w:pPr>
            <w:r>
              <w:rPr>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91DC5">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F0130">
            <w:pPr>
              <w:bidi w:val="0"/>
            </w:pPr>
            <w:r>
              <w:rPr>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B97A6">
            <w:pPr>
              <w:bidi w:val="0"/>
              <w:rPr>
                <w:rFonts w:hint="eastAsia"/>
              </w:rPr>
            </w:pPr>
          </w:p>
        </w:tc>
      </w:tr>
      <w:tr w14:paraId="25965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48E87">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F6316">
            <w:pPr>
              <w:bidi w:val="0"/>
            </w:pPr>
            <w:r>
              <w:rPr>
                <w:lang w:val="en-US" w:eastAsia="zh-CN"/>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A3C44D">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5B869">
            <w:pPr>
              <w:bidi w:val="0"/>
              <w:rPr>
                <w:rFonts w:hint="eastAsi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1EA1A">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04C1A">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43150">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543FF">
            <w:pPr>
              <w:bidi w:val="0"/>
            </w:pPr>
            <w:r>
              <w:rPr>
                <w:lang w:val="en-US" w:eastAsia="zh-CN"/>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D62DF">
            <w:pPr>
              <w:bidi w:val="0"/>
              <w:rPr>
                <w:rFonts w:hint="eastAsia"/>
              </w:rPr>
            </w:pPr>
          </w:p>
        </w:tc>
      </w:tr>
      <w:tr w14:paraId="6D9F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91953">
            <w:pPr>
              <w:bidi w:val="0"/>
            </w:pPr>
            <w:r>
              <w:rPr>
                <w:lang w:val="en-US" w:eastAsia="zh-CN"/>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918EF0">
            <w:pPr>
              <w:bidi w:val="0"/>
            </w:pPr>
            <w:r>
              <w:rPr>
                <w:lang w:val="en-US" w:eastAsia="zh-CN"/>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301D2">
            <w:pPr>
              <w:bidi w:val="0"/>
            </w:pPr>
            <w:r>
              <w:rPr>
                <w:lang w:val="en-US" w:eastAsia="zh-CN"/>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284C8">
            <w:pPr>
              <w:bidi w:val="0"/>
            </w:pPr>
            <w:r>
              <w:rPr>
                <w:lang w:val="en-US" w:eastAsia="zh-CN"/>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8949D">
            <w:pPr>
              <w:bidi w:val="0"/>
            </w:pPr>
            <w:r>
              <w:rPr>
                <w:lang w:val="en-US" w:eastAsia="zh-CN"/>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0CB85">
            <w:pPr>
              <w:bidi w:val="0"/>
            </w:pPr>
            <w:r>
              <w:rPr>
                <w:lang w:val="en-US" w:eastAsia="zh-CN"/>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84582">
            <w:pPr>
              <w:bidi w:val="0"/>
            </w:pPr>
            <w:r>
              <w:rPr>
                <w:lang w:val="en-US" w:eastAsia="zh-CN"/>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D485D">
            <w:pPr>
              <w:bidi w:val="0"/>
            </w:pPr>
            <w:r>
              <w:rPr>
                <w:lang w:val="en-US" w:eastAsia="zh-CN"/>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B3424">
            <w:pPr>
              <w:bidi w:val="0"/>
            </w:pPr>
            <w:r>
              <w:rPr>
                <w:lang w:val="en-US" w:eastAsia="zh-CN"/>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C0257">
            <w:pPr>
              <w:bidi w:val="0"/>
            </w:pPr>
            <w:r>
              <w:rPr>
                <w:lang w:val="en-US" w:eastAsia="zh-CN"/>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6A980">
            <w:pPr>
              <w:bidi w:val="0"/>
            </w:pPr>
            <w:r>
              <w:rPr>
                <w:lang w:val="en-US" w:eastAsia="zh-CN"/>
              </w:rPr>
              <w:t>未完成原因分析</w:t>
            </w:r>
          </w:p>
        </w:tc>
      </w:tr>
      <w:tr w14:paraId="17976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30A8A">
            <w:pPr>
              <w:bidi w:val="0"/>
              <w:rPr>
                <w:rFonts w:hint="eastAsi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D1FCF">
            <w:pPr>
              <w:bidi w:val="0"/>
            </w:pPr>
            <w:r>
              <w:rPr>
                <w:lang w:val="en-US" w:eastAsia="zh-CN"/>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3297D">
            <w:pPr>
              <w:bidi w:val="0"/>
            </w:pPr>
            <w:r>
              <w:rPr>
                <w:lang w:val="en-US" w:eastAsia="zh-CN"/>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F7BBC">
            <w:pPr>
              <w:bidi w:val="0"/>
            </w:pPr>
            <w:r>
              <w:rPr>
                <w:lang w:val="en-US" w:eastAsia="zh-CN"/>
              </w:rPr>
              <w:t>入馆人数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DCCF0">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08FCA">
            <w:pPr>
              <w:bidi w:val="0"/>
            </w:pPr>
            <w:r>
              <w:rPr>
                <w:lang w:val="en-US" w:eastAsia="zh-CN"/>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1005FE">
            <w:pPr>
              <w:bidi w:val="0"/>
            </w:pPr>
            <w:r>
              <w:rPr>
                <w:lang w:val="en-US" w:eastAsia="zh-CN"/>
              </w:rPr>
              <w:t>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5E9C2">
            <w:pPr>
              <w:bidi w:val="0"/>
              <w:rPr>
                <w:rFonts w:hint="eastAsia"/>
              </w:rPr>
            </w:pPr>
            <w:r>
              <w:rPr>
                <w:rFonts w:hint="eastAsia"/>
                <w:lang w:val="en-US" w:eastAsia="zh-CN"/>
              </w:rPr>
              <w:t>54897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434B7">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AFA6A">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90C7B">
            <w:pPr>
              <w:bidi w:val="0"/>
              <w:rPr>
                <w:rFonts w:hint="eastAsia"/>
              </w:rPr>
            </w:pPr>
          </w:p>
        </w:tc>
      </w:tr>
      <w:tr w14:paraId="5240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26E58">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B1DF7">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ED01E">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59D33">
            <w:pPr>
              <w:bidi w:val="0"/>
            </w:pPr>
            <w:r>
              <w:rPr>
                <w:lang w:val="en-US" w:eastAsia="zh-CN"/>
              </w:rPr>
              <w:t>开展馆校合作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3D54A">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E146F">
            <w:pPr>
              <w:bidi w:val="0"/>
            </w:pPr>
            <w:r>
              <w:rPr>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D7778">
            <w:pPr>
              <w:bidi w:val="0"/>
            </w:pPr>
            <w:r>
              <w:rPr>
                <w:lang w:val="en-US" w:eastAsia="zh-CN"/>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BD17C">
            <w:pPr>
              <w:bidi w:val="0"/>
              <w:rPr>
                <w:rFonts w:hint="eastAsia"/>
              </w:rPr>
            </w:pPr>
            <w:r>
              <w:rPr>
                <w:rFonts w:hint="eastAsia"/>
                <w:lang w:val="en-US" w:eastAsia="zh-CN"/>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A79FC">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9098C">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746403">
            <w:pPr>
              <w:bidi w:val="0"/>
              <w:rPr>
                <w:rFonts w:hint="eastAsia"/>
              </w:rPr>
            </w:pPr>
          </w:p>
        </w:tc>
      </w:tr>
      <w:tr w14:paraId="0C1B8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20641">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2DAB1">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35AE0">
            <w:pPr>
              <w:bidi w:val="0"/>
            </w:pPr>
            <w:r>
              <w:rPr>
                <w:lang w:val="en-US" w:eastAsia="zh-CN"/>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D4063">
            <w:pPr>
              <w:bidi w:val="0"/>
            </w:pPr>
            <w:r>
              <w:rPr>
                <w:lang w:val="en-US" w:eastAsia="zh-CN"/>
              </w:rPr>
              <w:t>展品良好率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F750A">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E3F20">
            <w:pPr>
              <w:bidi w:val="0"/>
            </w:pPr>
            <w:r>
              <w:rPr>
                <w:lang w:val="en-US" w:eastAsia="zh-CN"/>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41C13">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CE3E9">
            <w:pPr>
              <w:bidi w:val="0"/>
              <w:rPr>
                <w:rFonts w:hint="eastAsia"/>
              </w:rPr>
            </w:pPr>
            <w:r>
              <w:rPr>
                <w:rFonts w:hint="eastAsia"/>
                <w:lang w:val="en-US"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4405E">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DA92B">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97363">
            <w:pPr>
              <w:bidi w:val="0"/>
              <w:rPr>
                <w:rFonts w:hint="eastAsia"/>
              </w:rPr>
            </w:pPr>
          </w:p>
        </w:tc>
      </w:tr>
      <w:tr w14:paraId="55EAB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276D6">
            <w:pPr>
              <w:bidi w:val="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CB4C3">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82EA0">
            <w:pPr>
              <w:bidi w:val="0"/>
            </w:pPr>
            <w:r>
              <w:rPr>
                <w:lang w:val="en-US" w:eastAsia="zh-CN"/>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1F327">
            <w:pPr>
              <w:bidi w:val="0"/>
            </w:pPr>
            <w:r>
              <w:rPr>
                <w:lang w:val="en-US" w:eastAsia="zh-CN"/>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EA90D">
            <w:pPr>
              <w:bidi w:val="0"/>
            </w:pPr>
            <w:r>
              <w:rPr>
                <w:lang w:val="en-US" w:eastAsia="zh-CN"/>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3A8E1">
            <w:pPr>
              <w:bidi w:val="0"/>
            </w:pPr>
            <w:r>
              <w:rPr>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BD067">
            <w:pPr>
              <w:bidi w:val="0"/>
            </w:pPr>
            <w:r>
              <w:rPr>
                <w:lang w:val="en-US" w:eastAsia="zh-CN"/>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4BF2F">
            <w:pPr>
              <w:bidi w:val="0"/>
              <w:rPr>
                <w:rFonts w:hint="eastAsia"/>
              </w:rPr>
            </w:pPr>
            <w:r>
              <w:rPr>
                <w:rFonts w:hint="eastAsia"/>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36644">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6BDCB">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806B4">
            <w:pPr>
              <w:bidi w:val="0"/>
              <w:rPr>
                <w:rFonts w:hint="eastAsia"/>
              </w:rPr>
            </w:pPr>
          </w:p>
        </w:tc>
      </w:tr>
      <w:tr w14:paraId="68F95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D8719">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6359AC">
            <w:pPr>
              <w:bidi w:val="0"/>
            </w:pPr>
            <w:r>
              <w:rPr>
                <w:lang w:val="en-US" w:eastAsia="zh-CN"/>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FC244">
            <w:pPr>
              <w:bidi w:val="0"/>
            </w:pPr>
            <w:r>
              <w:rPr>
                <w:lang w:val="en-US" w:eastAsia="zh-CN"/>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C64DBC">
            <w:pPr>
              <w:bidi w:val="0"/>
            </w:pPr>
            <w:r>
              <w:rPr>
                <w:lang w:val="en-US" w:eastAsia="zh-CN"/>
              </w:rPr>
              <w:t>新增科普受众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E505A">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3EC72">
            <w:pPr>
              <w:bidi w:val="0"/>
            </w:pPr>
            <w:r>
              <w:rPr>
                <w:lang w:val="en-US" w:eastAsia="zh-CN"/>
              </w:rPr>
              <w:t>75000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4431F">
            <w:pPr>
              <w:bidi w:val="0"/>
            </w:pPr>
            <w:r>
              <w:rPr>
                <w:lang w:val="en-US" w:eastAsia="zh-CN"/>
              </w:rPr>
              <w:t>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180BD">
            <w:pPr>
              <w:bidi w:val="0"/>
              <w:rPr>
                <w:rFonts w:hint="eastAsia"/>
              </w:rPr>
            </w:pPr>
            <w:r>
              <w:rPr>
                <w:rFonts w:hint="eastAsia"/>
                <w:lang w:val="en-US" w:eastAsia="zh-CN"/>
              </w:rPr>
              <w:t>60000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7E58D">
            <w:pPr>
              <w:bidi w:val="0"/>
            </w:pPr>
            <w:r>
              <w:rPr>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BAF15">
            <w:pPr>
              <w:bidi w:val="0"/>
            </w:pPr>
            <w:r>
              <w:rPr>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71BF4">
            <w:pPr>
              <w:bidi w:val="0"/>
              <w:rPr>
                <w:rFonts w:hint="eastAsia"/>
              </w:rPr>
            </w:pPr>
            <w:r>
              <w:rPr>
                <w:rFonts w:hint="eastAsia"/>
                <w:lang w:val="en-US" w:eastAsia="zh-CN"/>
              </w:rPr>
              <w:t>由于期间展厅有改造，偏离预期目标</w:t>
            </w:r>
          </w:p>
        </w:tc>
      </w:tr>
      <w:tr w14:paraId="75F6C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369F3">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477C0">
            <w:pPr>
              <w:bidi w:val="0"/>
            </w:pPr>
            <w:r>
              <w:rPr>
                <w:lang w:val="en-US" w:eastAsia="zh-CN"/>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47A5B">
            <w:pPr>
              <w:bidi w:val="0"/>
            </w:pPr>
            <w:r>
              <w:rPr>
                <w:lang w:val="en-US" w:eastAsia="zh-CN"/>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3D4BF">
            <w:pPr>
              <w:bidi w:val="0"/>
            </w:pPr>
            <w:r>
              <w:rPr>
                <w:lang w:val="en-US" w:eastAsia="zh-CN"/>
              </w:rPr>
              <w:t>进馆群众满意度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BF994">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F4174">
            <w:pPr>
              <w:bidi w:val="0"/>
            </w:pPr>
            <w:r>
              <w:rPr>
                <w:lang w:val="en-US" w:eastAsia="zh-CN"/>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09FD9">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617FD">
            <w:pPr>
              <w:bidi w:val="0"/>
              <w:rPr>
                <w:rFonts w:hint="eastAsia"/>
              </w:rPr>
            </w:pPr>
            <w:r>
              <w:rPr>
                <w:rFonts w:hint="eastAsia"/>
                <w:lang w:val="en-US" w:eastAsia="zh-CN"/>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75AAE">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7C43B">
            <w:pPr>
              <w:bidi w:val="0"/>
            </w:pPr>
            <w:r>
              <w:rPr>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881FB">
            <w:pPr>
              <w:bidi w:val="0"/>
              <w:rPr>
                <w:rFonts w:hint="eastAsia"/>
              </w:rPr>
            </w:pPr>
          </w:p>
        </w:tc>
      </w:tr>
      <w:tr w14:paraId="4BA79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3E05B">
            <w:pPr>
              <w:bidi w:val="0"/>
              <w:rPr>
                <w:rFonts w:hint="eastAsi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225E4">
            <w:pPr>
              <w:bidi w:val="0"/>
            </w:pPr>
            <w:r>
              <w:rPr>
                <w:lang w:val="en-US" w:eastAsia="zh-CN"/>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7A236">
            <w:pPr>
              <w:bidi w:val="0"/>
            </w:pPr>
            <w:r>
              <w:rPr>
                <w:lang w:val="en-US" w:eastAsia="zh-CN"/>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DA387">
            <w:pPr>
              <w:bidi w:val="0"/>
            </w:pPr>
            <w:r>
              <w:rPr>
                <w:lang w:val="en-US" w:eastAsia="zh-CN"/>
              </w:rPr>
              <w:t>项目总成本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05F7D">
            <w:pPr>
              <w:bidi w:val="0"/>
            </w:pPr>
            <w:r>
              <w:rPr>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01EC9">
            <w:pPr>
              <w:bidi w:val="0"/>
            </w:pPr>
            <w:r>
              <w:rPr>
                <w:lang w:val="en-US" w:eastAsia="zh-CN"/>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28D1A">
            <w:pPr>
              <w:bidi w:val="0"/>
            </w:pPr>
            <w:r>
              <w:rPr>
                <w:lang w:val="en-US" w:eastAsia="zh-CN"/>
              </w:rPr>
              <w:t>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4A143">
            <w:pPr>
              <w:bidi w:val="0"/>
              <w:rPr>
                <w:rFonts w:hint="eastAsia"/>
              </w:rPr>
            </w:pPr>
            <w:r>
              <w:rPr>
                <w:rFonts w:hint="eastAsia"/>
                <w:lang w:val="en-US" w:eastAsia="zh-CN"/>
              </w:rPr>
              <w:t>37.25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25BA3">
            <w:pPr>
              <w:bidi w:val="0"/>
            </w:pPr>
            <w:r>
              <w:rPr>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9E9E5">
            <w:pPr>
              <w:bidi w:val="0"/>
            </w:pPr>
            <w:r>
              <w:rPr>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C75AE">
            <w:pPr>
              <w:bidi w:val="0"/>
              <w:rPr>
                <w:rFonts w:hint="eastAsia"/>
              </w:rPr>
            </w:pPr>
          </w:p>
        </w:tc>
      </w:tr>
      <w:tr w14:paraId="7D5D7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6592DF">
            <w:pPr>
              <w:bidi w:val="0"/>
            </w:pPr>
            <w:r>
              <w:rPr>
                <w:lang w:val="en-US"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0762C">
            <w:pPr>
              <w:bidi w:val="0"/>
            </w:pPr>
            <w:r>
              <w:rPr>
                <w:lang w:val="en-US" w:eastAsia="zh-CN"/>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57F69">
            <w:pPr>
              <w:bidi w:val="0"/>
            </w:pPr>
            <w:r>
              <w:rPr>
                <w:lang w:val="en-US" w:eastAsia="zh-CN"/>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F0EC7">
            <w:pPr>
              <w:bidi w:val="0"/>
              <w:rPr>
                <w:rFonts w:hint="eastAsia"/>
              </w:rPr>
            </w:pPr>
          </w:p>
        </w:tc>
      </w:tr>
      <w:tr w14:paraId="65117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5524E">
            <w:pPr>
              <w:bidi w:val="0"/>
            </w:pPr>
            <w:r>
              <w:rPr>
                <w:lang w:val="en-US" w:eastAsia="zh-CN"/>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E4AFC5">
            <w:pPr>
              <w:bidi w:val="0"/>
              <w:rPr>
                <w:rFonts w:hint="eastAsia"/>
              </w:rPr>
            </w:pPr>
            <w:r>
              <w:rPr>
                <w:lang w:val="en-US" w:eastAsia="zh-CN"/>
              </w:rPr>
              <w:t>自评得分94分，因新增受众无法达到预期目标扣除4分。科技馆始终秉承“节约”与“效率”原则，集中年度资金办大事要事，采购三台现代科技展品（含仿生人性机器人1台和四足机器狗两台），用于开展教学展示活动，包括开展科技馆进校园活动和每周末组织公众开展展品体验。</w:t>
            </w:r>
          </w:p>
        </w:tc>
      </w:tr>
      <w:tr w14:paraId="3CCD6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3DFFB">
            <w:pPr>
              <w:bidi w:val="0"/>
            </w:pPr>
            <w:r>
              <w:rPr>
                <w:lang w:val="en-US" w:eastAsia="zh-CN"/>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93AD47">
            <w:pPr>
              <w:bidi w:val="0"/>
              <w:rPr>
                <w:rFonts w:hint="eastAsia"/>
              </w:rPr>
            </w:pPr>
            <w:r>
              <w:rPr>
                <w:rFonts w:hint="eastAsia"/>
                <w:lang w:val="en-US" w:eastAsia="zh-CN"/>
              </w:rPr>
              <w:t>工作创新性不够，开展活动不够丰富，无法适应群众日益增长科普知识需求。</w:t>
            </w:r>
          </w:p>
        </w:tc>
      </w:tr>
      <w:tr w14:paraId="523F1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9E73B">
            <w:pPr>
              <w:bidi w:val="0"/>
            </w:pPr>
            <w:r>
              <w:rPr>
                <w:lang w:val="en-US" w:eastAsia="zh-CN"/>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E97094">
            <w:pPr>
              <w:bidi w:val="0"/>
              <w:rPr>
                <w:rFonts w:hint="eastAsia"/>
              </w:rPr>
            </w:pPr>
            <w:r>
              <w:rPr>
                <w:rFonts w:hint="eastAsia"/>
                <w:lang w:val="en-US" w:eastAsia="zh-CN"/>
              </w:rPr>
              <w:t>加大对群众喜闻乐见的展品、活动进行收集整理，按照群众需求开展各项活动。</w:t>
            </w:r>
          </w:p>
        </w:tc>
      </w:tr>
      <w:tr w14:paraId="1EDE7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7E8D0">
            <w:pPr>
              <w:bidi w:val="0"/>
              <w:rPr>
                <w:rFonts w:hint="eastAsia"/>
              </w:rPr>
            </w:pPr>
            <w:r>
              <w:rPr>
                <w:rFonts w:hint="eastAsia"/>
                <w:lang w:val="en-US" w:eastAsia="zh-CN"/>
              </w:rPr>
              <w:t>项目负责人：马永填</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706C35">
            <w:pPr>
              <w:bidi w:val="0"/>
              <w:rPr>
                <w:rFonts w:hint="eastAsia"/>
              </w:rPr>
            </w:pPr>
            <w:r>
              <w:rPr>
                <w:rFonts w:hint="eastAsia"/>
                <w:lang w:val="en-US" w:eastAsia="zh-CN"/>
              </w:rPr>
              <w:t>财务负责人：刘昆</w:t>
            </w:r>
          </w:p>
        </w:tc>
      </w:tr>
    </w:tbl>
    <w:p w14:paraId="102DFE7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9E4F2F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91"/>
      <w:bookmarkEnd w:id="92"/>
      <w:bookmarkStart w:id="93"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3"/>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0"/>
      <w:r>
        <w:rPr>
          <w:rFonts w:hint="eastAsia" w:ascii="Times New Roman" w:hAnsi="Times New Roman" w:eastAsia="仿宋_GB2312" w:cs="仿宋_GB2312"/>
          <w:color w:val="auto"/>
          <w:sz w:val="32"/>
          <w:szCs w:val="32"/>
          <w:highlight w:val="none"/>
        </w:rPr>
        <w:t>二、收入决算表</w:t>
      </w:r>
      <w:bookmarkEnd w:id="94"/>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1"/>
      <w:r>
        <w:rPr>
          <w:rFonts w:hint="eastAsia" w:ascii="Times New Roman" w:hAnsi="Times New Roman" w:eastAsia="仿宋_GB2312" w:cs="仿宋_GB2312"/>
          <w:color w:val="auto"/>
          <w:sz w:val="32"/>
          <w:szCs w:val="32"/>
          <w:highlight w:val="none"/>
        </w:rPr>
        <w:t>三、支出决算表</w:t>
      </w:r>
      <w:bookmarkEnd w:id="95"/>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2"/>
      <w:r>
        <w:rPr>
          <w:rFonts w:hint="eastAsia" w:ascii="Times New Roman" w:hAnsi="Times New Roman" w:eastAsia="仿宋_GB2312" w:cs="仿宋_GB2312"/>
          <w:color w:val="auto"/>
          <w:sz w:val="32"/>
          <w:szCs w:val="32"/>
          <w:highlight w:val="none"/>
        </w:rPr>
        <w:t>四、财政拨款收入支出决算总表</w:t>
      </w:r>
      <w:bookmarkEnd w:id="96"/>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3"/>
      <w:r>
        <w:rPr>
          <w:rFonts w:hint="eastAsia" w:ascii="Times New Roman" w:hAnsi="Times New Roman" w:eastAsia="仿宋_GB2312" w:cs="仿宋_GB2312"/>
          <w:color w:val="auto"/>
          <w:sz w:val="32"/>
          <w:szCs w:val="32"/>
          <w:highlight w:val="none"/>
        </w:rPr>
        <w:t>五、财政拨款支出决算明细表</w:t>
      </w:r>
      <w:bookmarkEnd w:id="97"/>
      <w:bookmarkStart w:id="98"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8"/>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5"/>
      <w:r>
        <w:rPr>
          <w:rFonts w:hint="eastAsia" w:ascii="Times New Roman" w:hAnsi="Times New Roman" w:eastAsia="仿宋_GB2312" w:cs="仿宋_GB2312"/>
          <w:color w:val="auto"/>
          <w:sz w:val="32"/>
          <w:szCs w:val="32"/>
          <w:highlight w:val="none"/>
        </w:rPr>
        <w:t>七、一般公共预算财政拨款支出决算明细表</w:t>
      </w:r>
      <w:bookmarkEnd w:id="99"/>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6"/>
      <w:r>
        <w:rPr>
          <w:rFonts w:hint="eastAsia" w:ascii="Times New Roman" w:hAnsi="Times New Roman" w:eastAsia="仿宋_GB2312" w:cs="仿宋_GB2312"/>
          <w:color w:val="auto"/>
          <w:sz w:val="32"/>
          <w:szCs w:val="32"/>
          <w:highlight w:val="none"/>
        </w:rPr>
        <w:t>八、一般公共预算财政拨款基本支出决算表</w:t>
      </w:r>
      <w:bookmarkEnd w:id="100"/>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7"/>
      <w:r>
        <w:rPr>
          <w:rFonts w:hint="eastAsia" w:ascii="Times New Roman" w:hAnsi="Times New Roman" w:eastAsia="仿宋_GB2312" w:cs="仿宋_GB2312"/>
          <w:color w:val="auto"/>
          <w:sz w:val="32"/>
          <w:szCs w:val="32"/>
          <w:highlight w:val="none"/>
        </w:rPr>
        <w:t>九、一般公共预算财政拨款项目支出决算表</w:t>
      </w:r>
      <w:bookmarkEnd w:id="101"/>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28"/>
      <w:r>
        <w:rPr>
          <w:rFonts w:hint="eastAsia" w:ascii="Times New Roman" w:hAnsi="Times New Roman" w:eastAsia="仿宋_GB2312" w:cs="仿宋_GB2312"/>
          <w:color w:val="auto"/>
          <w:sz w:val="32"/>
          <w:szCs w:val="32"/>
          <w:highlight w:val="none"/>
        </w:rPr>
        <w:t>十、</w:t>
      </w:r>
      <w:bookmarkEnd w:id="102"/>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9"/>
      <w:r>
        <w:rPr>
          <w:rFonts w:hint="eastAsia" w:ascii="Times New Roman" w:hAnsi="Times New Roman" w:eastAsia="仿宋_GB2312" w:cs="仿宋_GB2312"/>
          <w:color w:val="auto"/>
          <w:sz w:val="32"/>
          <w:szCs w:val="32"/>
          <w:highlight w:val="none"/>
        </w:rPr>
        <w:t>十一、</w:t>
      </w:r>
      <w:bookmarkEnd w:id="10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5396630"/>
      <w:r>
        <w:rPr>
          <w:rFonts w:hint="eastAsia" w:ascii="Times New Roman" w:hAnsi="Times New Roman" w:eastAsia="仿宋_GB2312" w:cs="仿宋_GB2312"/>
          <w:color w:val="auto"/>
          <w:sz w:val="32"/>
          <w:szCs w:val="32"/>
          <w:highlight w:val="none"/>
        </w:rPr>
        <w:t>十二、</w:t>
      </w:r>
      <w:bookmarkEnd w:id="104"/>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5" w:name="_Toc15396631"/>
      <w:r>
        <w:rPr>
          <w:rFonts w:hint="eastAsia" w:ascii="Times New Roman" w:hAnsi="Times New Roman" w:eastAsia="仿宋_GB2312" w:cs="仿宋_GB2312"/>
          <w:color w:val="auto"/>
          <w:sz w:val="32"/>
          <w:szCs w:val="32"/>
          <w:highlight w:val="none"/>
        </w:rPr>
        <w:t>十三、</w:t>
      </w:r>
      <w:bookmarkEnd w:id="105"/>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9"/>
      <w:jc w:val="center"/>
    </w:pPr>
  </w:p>
  <w:p w14:paraId="533140FE">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9"/>
      <w:jc w:val="center"/>
    </w:pPr>
  </w:p>
  <w:p w14:paraId="66082FB3">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9F822">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F166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6DF1665">
                    <w:pPr>
                      <w:pStyle w:val="9"/>
                    </w:pPr>
                    <w:r>
                      <w:fldChar w:fldCharType="begin"/>
                    </w:r>
                    <w:r>
                      <w:instrText xml:space="preserve"> PAGE  \* MERGEFORMAT </w:instrText>
                    </w:r>
                    <w:r>
                      <w:fldChar w:fldCharType="separate"/>
                    </w:r>
                    <w:r>
                      <w:t>1</w:t>
                    </w:r>
                    <w:r>
                      <w:fldChar w:fldCharType="end"/>
                    </w:r>
                  </w:p>
                </w:txbxContent>
              </v:textbox>
            </v:shape>
          </w:pict>
        </mc:Fallback>
      </mc:AlternateContent>
    </w:r>
  </w:p>
  <w:p w14:paraId="2A67B57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C4D4E"/>
    <w:multiLevelType w:val="singleLevel"/>
    <w:tmpl w:val="982C4D4E"/>
    <w:lvl w:ilvl="0" w:tentative="0">
      <w:start w:val="1"/>
      <w:numFmt w:val="decimal"/>
      <w:lvlText w:val="%1."/>
      <w:lvlJc w:val="left"/>
      <w:pPr>
        <w:tabs>
          <w:tab w:val="left" w:pos="312"/>
        </w:tabs>
      </w:pPr>
    </w:lvl>
  </w:abstractNum>
  <w:abstractNum w:abstractNumId="1">
    <w:nsid w:val="A662658B"/>
    <w:multiLevelType w:val="singleLevel"/>
    <w:tmpl w:val="A662658B"/>
    <w:lvl w:ilvl="0" w:tentative="0">
      <w:start w:val="1"/>
      <w:numFmt w:val="chineseCounting"/>
      <w:suff w:val="nothing"/>
      <w:lvlText w:val="%1、"/>
      <w:lvlJc w:val="left"/>
      <w:rPr>
        <w:rFonts w:hint="eastAsia"/>
      </w:rPr>
    </w:lvl>
  </w:abstractNum>
  <w:abstractNum w:abstractNumId="2">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0C2C0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051503"/>
    <w:rsid w:val="43912AA7"/>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59F5D81"/>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2C26B20"/>
    <w:rsid w:val="643D0CA8"/>
    <w:rsid w:val="647F5392"/>
    <w:rsid w:val="664B1D71"/>
    <w:rsid w:val="67AA3209"/>
    <w:rsid w:val="681C4F0D"/>
    <w:rsid w:val="69046D0F"/>
    <w:rsid w:val="698D0931"/>
    <w:rsid w:val="6A410CE0"/>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8B01E1"/>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font41"/>
    <w:basedOn w:val="17"/>
    <w:qFormat/>
    <w:uiPriority w:val="0"/>
    <w:rPr>
      <w:rFonts w:hint="eastAsia" w:ascii="宋体" w:hAnsi="宋体" w:eastAsia="宋体" w:cs="宋体"/>
      <w:color w:val="000000"/>
      <w:sz w:val="18"/>
      <w:szCs w:val="18"/>
      <w:u w:val="none"/>
    </w:rPr>
  </w:style>
  <w:style w:type="character" w:customStyle="1" w:styleId="37">
    <w:name w:val="font61"/>
    <w:basedOn w:val="17"/>
    <w:qFormat/>
    <w:uiPriority w:val="0"/>
    <w:rPr>
      <w:rFonts w:hint="eastAsia" w:ascii="微软雅黑" w:hAnsi="微软雅黑" w:eastAsia="微软雅黑" w:cs="微软雅黑"/>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56</Pages>
  <Words>7807</Words>
  <Characters>8753</Characters>
  <Lines>61</Lines>
  <Paragraphs>17</Paragraphs>
  <TotalTime>12</TotalTime>
  <ScaleCrop>false</ScaleCrop>
  <LinksUpToDate>false</LinksUpToDate>
  <CharactersWithSpaces>8832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淘～小～店</cp:lastModifiedBy>
  <cp:lastPrinted>2026-08-03T09:27:00Z</cp:lastPrinted>
  <dcterms:modified xsi:type="dcterms:W3CDTF">2026-09-15T00:39:10Z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3AA7411713B340049689CB5CCD7A2608_13</vt:lpwstr>
  </property>
  <property fmtid="{D5CDD505-2E9C-101B-9397-08002B2CF9AE}" pid="4" name="KSOTemplateDocerSaveRecord">
    <vt:lpwstr>eyJoZGlkIjoiNThkMmQxNzYxNmFmODgxZDJjZGVjY2ExYjBjMGIyODMiLCJ1c2VySWQiOiI0Mjk1Mzg1ODUifQ==</vt:lpwstr>
  </property>
</Properties>
</file>