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jc w:val="both"/>
        <w:rPr>
          <w:rFonts w:ascii="Times New Roman" w:hAnsi="Times New Roman" w:eastAsia="黑体" w:cstheme="minorBidi"/>
          <w:color w:val="auto"/>
          <w:sz w:val="28"/>
          <w:szCs w:val="28"/>
          <w:highlight w:val="none"/>
        </w:rPr>
      </w:pPr>
      <w:bookmarkStart w:id="40" w:name="_GoBack"/>
      <w:bookmarkEnd w:id="40"/>
      <w:r>
        <w:rPr>
          <w:rFonts w:hint="eastAsia" w:ascii="Times New Roman" w:eastAsia="方正小标宋简体" w:cs="Times New Roman"/>
          <w:color w:val="auto"/>
          <w:kern w:val="2"/>
          <w:sz w:val="44"/>
          <w:szCs w:val="44"/>
          <w:highlight w:val="none"/>
          <w:lang w:val="en-US" w:eastAsia="zh-CN" w:bidi="ar-SA"/>
        </w:rPr>
        <w:t>2025年度</w:t>
      </w:r>
      <w:r>
        <w:rPr>
          <w:rFonts w:hint="eastAsia" w:ascii="Times New Roman" w:hAnsi="Times New Roman" w:eastAsia="方正小标宋简体" w:cs="Times New Roman"/>
          <w:color w:val="auto"/>
          <w:kern w:val="2"/>
          <w:sz w:val="44"/>
          <w:szCs w:val="44"/>
          <w:highlight w:val="none"/>
          <w:lang w:val="en-US" w:eastAsia="zh-CN" w:bidi="ar-SA"/>
        </w:rPr>
        <w:t>四川省</w:t>
      </w:r>
      <w:r>
        <w:rPr>
          <w:rFonts w:hint="eastAsia" w:ascii="Times New Roman" w:eastAsia="方正小标宋简体" w:cs="Times New Roman"/>
          <w:color w:val="auto"/>
          <w:kern w:val="2"/>
          <w:sz w:val="44"/>
          <w:szCs w:val="44"/>
          <w:highlight w:val="none"/>
          <w:lang w:val="en-US" w:eastAsia="zh-CN" w:bidi="ar-SA"/>
        </w:rPr>
        <w:t>阿坝州</w:t>
      </w:r>
      <w:bookmarkStart w:id="0" w:name="_Toc15306268"/>
      <w:r>
        <w:rPr>
          <w:rFonts w:hint="eastAsia" w:ascii="Times New Roman" w:eastAsia="方正小标宋简体" w:cs="Times New Roman"/>
          <w:color w:val="auto"/>
          <w:kern w:val="2"/>
          <w:sz w:val="44"/>
          <w:szCs w:val="44"/>
          <w:highlight w:val="none"/>
          <w:lang w:val="en-US" w:eastAsia="zh-CN" w:bidi="ar-SA"/>
        </w:rPr>
        <w:t>档案馆</w:t>
      </w:r>
      <w:r>
        <w:rPr>
          <w:rFonts w:hint="eastAsia" w:ascii="Times New Roman" w:hAnsi="Times New Roman" w:eastAsia="方正小标宋简体" w:cs="Times New Roman"/>
          <w:color w:val="auto"/>
          <w:kern w:val="2"/>
          <w:sz w:val="44"/>
          <w:szCs w:val="44"/>
          <w:highlight w:val="none"/>
          <w:lang w:val="en-US" w:eastAsia="zh-CN" w:bidi="ar-SA"/>
        </w:rPr>
        <w:t>部门决算</w:t>
      </w:r>
      <w:bookmarkEnd w:id="0"/>
    </w:p>
    <w:p>
      <w:pPr>
        <w:pStyle w:val="12"/>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16</w:t>
      </w:r>
      <w:r>
        <w:rPr>
          <w:rFonts w:hint="eastAsia" w:ascii="Times New Roman" w:hAnsi="Times New Roman" w:eastAsia="仿宋_GB2312" w:cs="仿宋_GB2312"/>
          <w:color w:val="auto"/>
          <w:sz w:val="32"/>
          <w:szCs w:val="32"/>
          <w:highlight w:val="none"/>
        </w:rPr>
        <w:t>日</w:t>
      </w:r>
    </w:p>
    <w:p>
      <w:pPr>
        <w:rPr>
          <w:rFonts w:ascii="Times New Roman" w:hAnsi="Times New Roman"/>
          <w:color w:val="auto"/>
          <w:highlight w:val="none"/>
        </w:rPr>
      </w:pPr>
    </w:p>
    <w:p>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2"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rPr>
        <w:t>注：请部门根据实际注明页码</w:t>
      </w:r>
      <w:r>
        <w:rPr>
          <w:rFonts w:hint="eastAsia" w:ascii="Times New Roman" w:hAnsi="Times New Roman" w:eastAsia="仿宋_GB2312" w:cs="仿宋_GB2312"/>
          <w:b/>
          <w:bCs/>
          <w:color w:val="auto"/>
          <w:sz w:val="32"/>
          <w:szCs w:val="32"/>
          <w:highlight w:val="none"/>
          <w:lang w:eastAsia="zh-CN"/>
        </w:rPr>
        <w:t>）</w:t>
      </w:r>
    </w:p>
    <w:p>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1" w:name="_Toc15377196"/>
      <w:bookmarkStart w:id="2" w:name="_Toc15396599"/>
      <w:r>
        <w:rPr>
          <w:rFonts w:hint="eastAsia" w:ascii="Times New Roman" w:hAnsi="Times New Roman" w:eastAsia="仿宋_GB2312" w:cs="仿宋_GB2312"/>
          <w:b/>
          <w:color w:val="auto"/>
          <w:sz w:val="32"/>
          <w:szCs w:val="32"/>
          <w:highlight w:val="none"/>
        </w:rPr>
        <w:br w:type="page"/>
      </w:r>
    </w:p>
    <w:p>
      <w:pPr>
        <w:pStyle w:val="2"/>
        <w:jc w:val="center"/>
        <w:rPr>
          <w:rFonts w:hint="eastAsia" w:ascii="Times New Roman" w:hAnsi="Times New Roman" w:eastAsia="方正小标宋简体" w:cs="方正小标宋简体"/>
          <w:b w:val="0"/>
          <w:color w:val="auto"/>
          <w:highlight w:val="none"/>
          <w:lang w:val="en-US" w:eastAsia="zh-CN"/>
        </w:rPr>
      </w:pP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 xml:space="preserve">第一部分 </w:t>
      </w:r>
      <w:r>
        <w:rPr>
          <w:rFonts w:hint="eastAsia" w:ascii="Times New Roman" w:hAnsi="Times New Roman" w:eastAsia="方正小标宋简体" w:cs="方正小标宋简体"/>
          <w:b w:val="0"/>
          <w:color w:val="auto"/>
          <w:highlight w:val="none"/>
        </w:rPr>
        <w:t>部门概况</w:t>
      </w:r>
      <w:bookmarkEnd w:id="1"/>
      <w:bookmarkEnd w:id="2"/>
    </w:p>
    <w:p>
      <w:pPr>
        <w:pStyle w:val="12"/>
        <w:keepNext w:val="0"/>
        <w:keepLines w:val="0"/>
        <w:pageBreakBefore w:val="0"/>
        <w:kinsoku/>
        <w:wordWrap/>
        <w:overflowPunct/>
        <w:topLinePunct w:val="0"/>
        <w:autoSpaceDE/>
        <w:autoSpaceDN/>
        <w:bidi w:val="0"/>
        <w:adjustRightInd w:val="0"/>
        <w:snapToGrid w:val="0"/>
        <w:spacing w:before="0" w:line="560" w:lineRule="exact"/>
        <w:ind w:firstLine="640" w:firstLineChars="200"/>
        <w:jc w:val="left"/>
        <w:textAlignment w:val="auto"/>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lang w:val="en-US" w:eastAsia="zh-CN"/>
        </w:rPr>
        <w:t>一、部门职责</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阿坝州档案馆履行州直机关、团体、事业单位、州属国有企业及其下属单位档案保管、使用职能，对县（市）档案馆业务进行指导。是阿坝州档案安全保管的基地、利用档案开展爱国主义教育的基地、档案信息服务的中心和已公开现行文件集中向社会提供利用的中心。</w:t>
      </w:r>
      <w:bookmarkStart w:id="3" w:name="_Toc15377200"/>
      <w:bookmarkStart w:id="4" w:name="_Toc15396601"/>
    </w:p>
    <w:p>
      <w:pPr>
        <w:pStyle w:val="12"/>
        <w:keepNext w:val="0"/>
        <w:keepLines w:val="0"/>
        <w:pageBreakBefore w:val="0"/>
        <w:kinsoku/>
        <w:wordWrap/>
        <w:overflowPunct/>
        <w:topLinePunct w:val="0"/>
        <w:autoSpaceDE/>
        <w:autoSpaceDN/>
        <w:bidi w:val="0"/>
        <w:adjustRightInd w:val="0"/>
        <w:snapToGrid w:val="0"/>
        <w:spacing w:before="0" w:line="560" w:lineRule="exact"/>
        <w:ind w:firstLine="640" w:firstLineChars="200"/>
        <w:jc w:val="left"/>
        <w:textAlignment w:val="auto"/>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lang w:val="en-US" w:eastAsia="zh-CN"/>
        </w:rPr>
        <w:t>二、机构设置</w:t>
      </w:r>
      <w:bookmarkEnd w:id="3"/>
      <w:bookmarkEnd w:id="4"/>
    </w:p>
    <w:p>
      <w:pPr>
        <w:ind w:firstLine="640" w:firstLineChars="200"/>
        <w:rPr>
          <w:rFonts w:hint="eastAsia" w:ascii="Times New Roman" w:hAnsi="Times New Roman" w:eastAsia="仿宋_GB2312" w:cs="仿宋_GB2312"/>
          <w:color w:val="auto"/>
          <w:sz w:val="32"/>
          <w:szCs w:val="32"/>
          <w:highlight w:val="none"/>
        </w:rPr>
      </w:pPr>
      <w:r>
        <w:rPr>
          <w:rFonts w:ascii="仿宋_GB2312" w:hAnsi="宋体" w:eastAsia="仿宋_GB2312" w:cs="仿宋_GB2312"/>
          <w:i w:val="0"/>
          <w:iCs w:val="0"/>
          <w:caps w:val="0"/>
          <w:color w:val="333333"/>
          <w:spacing w:val="0"/>
          <w:sz w:val="32"/>
          <w:szCs w:val="32"/>
          <w:shd w:val="clear" w:fill="FFFFFF"/>
        </w:rPr>
        <w:t>阿坝州档案馆是一级预算单位，无下属的二级预算单位。按照阿坝州委机构编制关于《调整阿坝州档案馆机构编制事项的批复》（阿编发〔</w:t>
      </w:r>
      <w:r>
        <w:rPr>
          <w:rFonts w:hint="eastAsia" w:ascii="仿宋_GB2312" w:hAnsi="宋体" w:eastAsia="仿宋_GB2312" w:cs="仿宋_GB2312"/>
          <w:i w:val="0"/>
          <w:iCs w:val="0"/>
          <w:caps w:val="0"/>
          <w:color w:val="333333"/>
          <w:spacing w:val="0"/>
          <w:sz w:val="32"/>
          <w:szCs w:val="32"/>
          <w:shd w:val="clear" w:fill="FFFFFF"/>
        </w:rPr>
        <w:t>2019〕85号）文件精神，将原州档案局（馆）承担的起草全州档案工作地方性法规和规章草案，完善档案管理政策和规章制度，监督检查档案法律法规的贯彻执行，依法查处档案违法行为等行政职责划入州委办公室内。调整后的州档案馆为州委直属参公事业单位，由州委办代管。馆设办公室、人事教育法规科、档案接收指导科、档案信息技术科、档案编研宣传科、档案保管保护科、档案利用鉴定科7个内设机构。</w:t>
      </w:r>
    </w:p>
    <w:p>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pPr>
        <w:pStyle w:val="2"/>
        <w:jc w:val="center"/>
        <w:rPr>
          <w:rFonts w:hint="eastAsia" w:ascii="Times New Roman" w:hAnsi="Times New Roman" w:eastAsia="方正小标宋简体" w:cs="方正小标宋简体"/>
          <w:b w:val="0"/>
          <w:color w:val="auto"/>
          <w:highlight w:val="none"/>
        </w:rPr>
      </w:pPr>
      <w:bookmarkStart w:id="5" w:name="_Toc15377204"/>
      <w:bookmarkStart w:id="6"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5"/>
      <w:bookmarkEnd w:id="6"/>
    </w:p>
    <w:p>
      <w:pPr>
        <w:pStyle w:val="12"/>
        <w:keepNext w:val="0"/>
        <w:keepLines w:val="0"/>
        <w:pageBreakBefore w:val="0"/>
        <w:kinsoku/>
        <w:wordWrap/>
        <w:overflowPunct/>
        <w:topLinePunct w:val="0"/>
        <w:autoSpaceDE/>
        <w:autoSpaceDN/>
        <w:bidi w:val="0"/>
        <w:adjustRightInd w:val="0"/>
        <w:snapToGrid w:val="0"/>
        <w:spacing w:before="0" w:line="560" w:lineRule="exact"/>
        <w:ind w:firstLine="640" w:firstLineChars="200"/>
        <w:jc w:val="left"/>
        <w:textAlignment w:val="auto"/>
        <w:rPr>
          <w:rFonts w:hint="eastAsia" w:ascii="Times New Roman" w:hAnsi="Times New Roman" w:eastAsia="黑体" w:cs="黑体"/>
          <w:color w:val="auto"/>
          <w:sz w:val="32"/>
          <w:szCs w:val="32"/>
          <w:highlight w:val="none"/>
          <w:lang w:val="en-US" w:eastAsia="zh-CN"/>
        </w:rPr>
      </w:pPr>
      <w:bookmarkStart w:id="7" w:name="_Toc15396603"/>
      <w:bookmarkStart w:id="8" w:name="_Toc15377205"/>
      <w:r>
        <w:rPr>
          <w:rFonts w:hint="eastAsia" w:ascii="Times New Roman" w:hAnsi="Times New Roman" w:eastAsia="黑体" w:cs="黑体"/>
          <w:color w:val="auto"/>
          <w:sz w:val="32"/>
          <w:szCs w:val="32"/>
          <w:highlight w:val="none"/>
          <w:lang w:val="en-US" w:eastAsia="zh-CN"/>
        </w:rPr>
        <w:t>一、收入支出决算总体情况说明</w:t>
      </w:r>
      <w:bookmarkEnd w:id="7"/>
      <w:bookmarkEnd w:id="8"/>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hAnsi="宋体" w:eastAsia="仿宋_GB2312" w:cs="仿宋_GB2312"/>
          <w:i w:val="0"/>
          <w:iCs w:val="0"/>
          <w:caps w:val="0"/>
          <w:color w:val="333333"/>
          <w:spacing w:val="0"/>
          <w:kern w:val="2"/>
          <w:sz w:val="32"/>
          <w:szCs w:val="32"/>
          <w:shd w:val="clear" w:fill="FFFFFF"/>
          <w:lang w:val="en-US" w:eastAsia="zh-CN" w:bidi="ar-SA"/>
        </w:rPr>
      </w:pPr>
      <w:r>
        <w:rPr>
          <w:rFonts w:hint="eastAsia" w:ascii="仿宋_GB2312" w:hAnsi="宋体" w:eastAsia="仿宋_GB2312" w:cs="仿宋_GB2312"/>
          <w:i w:val="0"/>
          <w:iCs w:val="0"/>
          <w:caps w:val="0"/>
          <w:color w:val="333333"/>
          <w:spacing w:val="0"/>
          <w:kern w:val="2"/>
          <w:sz w:val="32"/>
          <w:szCs w:val="32"/>
          <w:shd w:val="clear" w:fill="FFFFFF"/>
          <w:lang w:val="en-US" w:eastAsia="zh-CN" w:bidi="ar-SA"/>
        </w:rPr>
        <w:t>2025年度收入、支出总计均为1905.89万元。与上年度相比，收入、支出总计各减少850.91万元，下降30.86%。主要变动原因是2024年度安排有档案馆提升工程，数字档案馆建设，库房设施设备升级等一次性重大项目资金，该类专项项目在2024年度实施完毕，2025年度无同等规模一次性项目支出；2025年度支出主要为人员经费、日常公用经费、档案常态化保管保护及档案数字化等项目资金，项目专项经费大幅下降，导致2025年度决算较上年减少。</w:t>
      </w:r>
    </w:p>
    <w:p>
      <w:pPr>
        <w:spacing w:line="600" w:lineRule="exact"/>
        <w:ind w:firstLine="960" w:firstLineChars="300"/>
        <w:rPr>
          <w:rFonts w:hint="eastAsia" w:ascii="Times New Roman" w:hAnsi="Times New Roman" w:eastAsia="仿宋_GB2312" w:cs="仿宋_GB2312"/>
          <w:color w:val="auto"/>
          <w:sz w:val="32"/>
          <w:szCs w:val="32"/>
          <w:highlight w:val="none"/>
        </w:rPr>
      </w:pPr>
      <w:r>
        <w:rPr>
          <w:rFonts w:hint="eastAsia" w:ascii="仿宋_GB2312" w:hAnsi="宋体" w:eastAsia="仿宋_GB2312" w:cs="仿宋_GB2312"/>
          <w:i w:val="0"/>
          <w:iCs w:val="0"/>
          <w:caps w:val="0"/>
          <w:color w:val="333333"/>
          <w:spacing w:val="0"/>
          <w:kern w:val="2"/>
          <w:sz w:val="32"/>
          <w:szCs w:val="32"/>
          <w:shd w:val="clear" w:fill="FFFFFF"/>
          <w:lang w:val="en-US" w:eastAsia="zh-CN" w:bidi="ar-SA"/>
        </w:rPr>
        <w:t>（图1：收入、支出决算总计变动情况图）</w:t>
      </w:r>
    </w:p>
    <w:p>
      <w:pPr>
        <w:keepNext w:val="0"/>
        <w:keepLines w:val="0"/>
        <w:pageBreakBefore w:val="0"/>
        <w:widowControl w:val="0"/>
        <w:kinsoku/>
        <w:wordWrap/>
        <w:overflowPunct/>
        <w:topLinePunct w:val="0"/>
        <w:autoSpaceDE/>
        <w:autoSpaceDN/>
        <w:bidi w:val="0"/>
        <w:adjustRightInd/>
        <w:snapToGrid/>
        <w:ind w:left="630" w:leftChars="200" w:hanging="210" w:hangingChars="100"/>
        <w:textAlignment w:val="auto"/>
        <w:rPr>
          <w:rFonts w:hint="eastAsia" w:ascii="Times New Roman" w:hAnsi="Times New Roman" w:eastAsia="黑体"/>
          <w:color w:val="auto"/>
          <w:sz w:val="32"/>
          <w:szCs w:val="32"/>
          <w:highlight w:val="none"/>
          <w:lang w:eastAsia="zh-CN"/>
        </w:rPr>
      </w:pPr>
      <w:r>
        <w:drawing>
          <wp:inline distT="0" distB="0" distL="114300" distR="114300">
            <wp:extent cx="4826000" cy="2743200"/>
            <wp:effectExtent l="4445" t="4445" r="8255" b="14605"/>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bookmarkStart w:id="9" w:name="_Toc15396604"/>
      <w:bookmarkStart w:id="10" w:name="_Toc15377206"/>
      <w:r>
        <w:rPr>
          <w:rFonts w:hint="eastAsia" w:ascii="Times New Roman" w:hAnsi="Times New Roman" w:eastAsia="黑体" w:cs="黑体"/>
          <w:color w:val="auto"/>
          <w:kern w:val="2"/>
          <w:sz w:val="32"/>
          <w:szCs w:val="32"/>
          <w:highlight w:val="none"/>
          <w:lang w:val="en-US" w:eastAsia="zh-CN" w:bidi="ar-SA"/>
        </w:rPr>
        <w:t>二、收入决算情况说明</w:t>
      </w:r>
      <w:bookmarkEnd w:id="9"/>
      <w:bookmarkEnd w:id="10"/>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hAnsi="宋体" w:eastAsia="仿宋_GB2312" w:cs="仿宋_GB2312"/>
          <w:i w:val="0"/>
          <w:iCs w:val="0"/>
          <w:caps w:val="0"/>
          <w:color w:val="333333"/>
          <w:spacing w:val="0"/>
          <w:kern w:val="2"/>
          <w:sz w:val="32"/>
          <w:szCs w:val="32"/>
          <w:shd w:val="clear" w:fill="FFFFFF"/>
          <w:lang w:val="en-US" w:eastAsia="zh-CN" w:bidi="ar-SA"/>
        </w:rPr>
      </w:pPr>
      <w:r>
        <w:rPr>
          <w:rFonts w:hint="eastAsia" w:ascii="仿宋_GB2312" w:hAnsi="宋体" w:eastAsia="仿宋_GB2312" w:cs="仿宋_GB2312"/>
          <w:i w:val="0"/>
          <w:iCs w:val="0"/>
          <w:caps w:val="0"/>
          <w:color w:val="333333"/>
          <w:spacing w:val="0"/>
          <w:kern w:val="2"/>
          <w:sz w:val="32"/>
          <w:szCs w:val="32"/>
          <w:shd w:val="clear" w:fill="FFFFFF"/>
          <w:lang w:val="en-US" w:eastAsia="zh-CN" w:bidi="ar-SA"/>
        </w:rPr>
        <w:t>2025年度本年收入合计1905.89万元，其中：一般公共预算财政拨款收入1905.89万元，占100%。</w:t>
      </w:r>
    </w:p>
    <w:p>
      <w:pPr>
        <w:spacing w:line="600" w:lineRule="exact"/>
        <w:ind w:firstLine="1929" w:firstLineChars="603"/>
        <w:rPr>
          <w:rFonts w:hint="eastAsia" w:ascii="Times New Roman" w:hAnsi="Times New Roman" w:eastAsia="仿宋_GB2312" w:cs="仿宋_GB2312"/>
          <w:color w:val="auto"/>
          <w:sz w:val="32"/>
          <w:szCs w:val="32"/>
          <w:highlight w:val="none"/>
          <w:lang w:eastAsia="zh-CN"/>
        </w:rPr>
      </w:pPr>
      <w:r>
        <w:rPr>
          <w:rFonts w:hint="eastAsia" w:ascii="仿宋_GB2312" w:hAnsi="宋体" w:eastAsia="仿宋_GB2312" w:cs="仿宋_GB2312"/>
          <w:i w:val="0"/>
          <w:iCs w:val="0"/>
          <w:caps w:val="0"/>
          <w:color w:val="333333"/>
          <w:spacing w:val="0"/>
          <w:kern w:val="2"/>
          <w:sz w:val="32"/>
          <w:szCs w:val="32"/>
          <w:shd w:val="clear" w:fill="FFFFFF"/>
          <w:lang w:val="en-US" w:eastAsia="zh-CN" w:bidi="ar-SA"/>
        </w:rPr>
        <w:t>（图2：收入决算结构图）</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20" w:firstLineChars="200"/>
        <w:textAlignment w:val="auto"/>
        <w:outlineLvl w:val="1"/>
        <w:rPr>
          <w:rFonts w:hint="eastAsia" w:ascii="Times New Roman" w:hAnsi="Times New Roman" w:eastAsia="仿宋_GB2312" w:cs="仿宋_GB2312"/>
          <w:color w:val="auto"/>
          <w:sz w:val="32"/>
          <w:szCs w:val="32"/>
          <w:highlight w:val="none"/>
          <w:lang w:eastAsia="zh-CN"/>
        </w:rPr>
      </w:pPr>
      <w:r>
        <w:drawing>
          <wp:inline distT="0" distB="0" distL="114300" distR="114300">
            <wp:extent cx="4702175" cy="2229485"/>
            <wp:effectExtent l="5080" t="4445" r="17145" b="13970"/>
            <wp:docPr id="9"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s="黑体"/>
          <w:color w:val="auto"/>
          <w:kern w:val="2"/>
          <w:sz w:val="32"/>
          <w:szCs w:val="32"/>
          <w:highlight w:val="none"/>
          <w:lang w:val="en-US" w:eastAsia="zh-CN" w:bidi="ar-SA"/>
        </w:rPr>
      </w:pPr>
      <w:bookmarkStart w:id="11" w:name="_Toc15396605"/>
      <w:bookmarkStart w:id="12" w:name="_Toc15377207"/>
      <w:r>
        <w:rPr>
          <w:rFonts w:hint="eastAsia" w:ascii="Times New Roman" w:hAnsi="Times New Roman" w:eastAsia="黑体" w:cs="黑体"/>
          <w:color w:val="auto"/>
          <w:kern w:val="2"/>
          <w:sz w:val="32"/>
          <w:szCs w:val="32"/>
          <w:highlight w:val="none"/>
          <w:lang w:val="en-US" w:eastAsia="zh-CN" w:bidi="ar-SA"/>
        </w:rPr>
        <w:t>三、支出决算情况说明</w:t>
      </w:r>
      <w:bookmarkEnd w:id="11"/>
      <w:bookmarkEnd w:id="12"/>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ascii="仿宋_GB2312" w:hAnsi="宋体" w:eastAsia="仿宋_GB2312" w:cs="仿宋_GB2312"/>
          <w:i w:val="0"/>
          <w:iCs w:val="0"/>
          <w:caps w:val="0"/>
          <w:color w:val="333333"/>
          <w:spacing w:val="0"/>
          <w:kern w:val="2"/>
          <w:sz w:val="32"/>
          <w:szCs w:val="32"/>
          <w:shd w:val="clear" w:fill="FFFFFF"/>
          <w:lang w:val="en-US" w:eastAsia="zh-CN" w:bidi="ar-SA"/>
        </w:rPr>
        <w:t>2025年度本年支出合计1905.89万元，其中：基本支出907.83万元，占47.63%；项目支出998.06万元，占52.37%。</w:t>
      </w:r>
    </w:p>
    <w:p>
      <w:pPr>
        <w:spacing w:line="600" w:lineRule="exact"/>
        <w:ind w:firstLine="1929" w:firstLineChars="603"/>
        <w:rPr>
          <w:rFonts w:hint="eastAsia" w:ascii="仿宋_GB2312" w:hAnsi="宋体" w:eastAsia="仿宋_GB2312" w:cs="仿宋_GB2312"/>
          <w:i w:val="0"/>
          <w:iCs w:val="0"/>
          <w:caps w:val="0"/>
          <w:color w:val="333333"/>
          <w:spacing w:val="0"/>
          <w:kern w:val="2"/>
          <w:sz w:val="32"/>
          <w:szCs w:val="32"/>
          <w:shd w:val="clear" w:fill="FFFFFF"/>
          <w:lang w:val="en-US" w:eastAsia="zh-CN" w:bidi="ar-SA"/>
        </w:rPr>
      </w:pPr>
      <w:r>
        <w:rPr>
          <w:rFonts w:hint="eastAsia" w:ascii="仿宋_GB2312" w:hAnsi="宋体" w:eastAsia="仿宋_GB2312" w:cs="仿宋_GB2312"/>
          <w:i w:val="0"/>
          <w:iCs w:val="0"/>
          <w:caps w:val="0"/>
          <w:color w:val="333333"/>
          <w:spacing w:val="0"/>
          <w:kern w:val="2"/>
          <w:sz w:val="32"/>
          <w:szCs w:val="32"/>
          <w:shd w:val="clear" w:fill="FFFFFF"/>
          <w:lang w:val="en-US" w:eastAsia="zh-CN" w:bidi="ar-SA"/>
        </w:rPr>
        <w:t>（图3：支出决算结构图）</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20" w:firstLineChars="200"/>
        <w:textAlignment w:val="auto"/>
        <w:outlineLvl w:val="1"/>
        <w:rPr>
          <w:rFonts w:hint="eastAsia" w:ascii="Times New Roman" w:hAnsi="Times New Roman" w:eastAsia="仿宋_GB2312" w:cs="仿宋_GB2312"/>
          <w:color w:val="auto"/>
          <w:sz w:val="32"/>
          <w:szCs w:val="32"/>
          <w:highlight w:val="none"/>
          <w:lang w:eastAsia="zh-CN"/>
        </w:rPr>
      </w:pPr>
      <w:r>
        <w:drawing>
          <wp:inline distT="0" distB="0" distL="114300" distR="114300">
            <wp:extent cx="4826000" cy="2743200"/>
            <wp:effectExtent l="4445" t="4445" r="8255" b="14605"/>
            <wp:docPr id="20"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s="黑体"/>
          <w:color w:val="auto"/>
          <w:kern w:val="2"/>
          <w:sz w:val="32"/>
          <w:szCs w:val="32"/>
          <w:highlight w:val="none"/>
          <w:lang w:val="en-US" w:eastAsia="zh-CN" w:bidi="ar-SA"/>
        </w:rPr>
      </w:pPr>
      <w:bookmarkStart w:id="13" w:name="_Toc15377208"/>
      <w:bookmarkStart w:id="14" w:name="_Toc15396606"/>
      <w:r>
        <w:rPr>
          <w:rFonts w:hint="eastAsia" w:ascii="Times New Roman" w:hAnsi="Times New Roman" w:eastAsia="黑体" w:cs="黑体"/>
          <w:color w:val="auto"/>
          <w:kern w:val="2"/>
          <w:sz w:val="32"/>
          <w:szCs w:val="32"/>
          <w:highlight w:val="none"/>
          <w:lang w:val="en-US" w:eastAsia="zh-CN" w:bidi="ar-SA"/>
        </w:rPr>
        <w:t>四、财政拨款收入支出决算总体情况说明</w:t>
      </w:r>
      <w:bookmarkEnd w:id="13"/>
      <w:bookmarkEnd w:id="14"/>
    </w:p>
    <w:p>
      <w:pPr>
        <w:spacing w:line="600" w:lineRule="exact"/>
        <w:ind w:firstLine="640"/>
        <w:rPr>
          <w:rFonts w:hint="eastAsia" w:ascii="仿宋_GB2312" w:hAnsi="宋体" w:eastAsia="仿宋_GB2312" w:cs="仿宋_GB2312"/>
          <w:i w:val="0"/>
          <w:iCs w:val="0"/>
          <w:caps w:val="0"/>
          <w:color w:val="333333"/>
          <w:spacing w:val="0"/>
          <w:kern w:val="2"/>
          <w:sz w:val="32"/>
          <w:szCs w:val="32"/>
          <w:shd w:val="clear" w:fill="FFFFFF"/>
          <w:lang w:val="en-US" w:eastAsia="zh-CN" w:bidi="ar-SA"/>
        </w:rPr>
      </w:pPr>
      <w:r>
        <w:rPr>
          <w:rFonts w:hint="eastAsia" w:ascii="仿宋_GB2312" w:hAnsi="宋体" w:eastAsia="仿宋_GB2312" w:cs="仿宋_GB2312"/>
          <w:i w:val="0"/>
          <w:iCs w:val="0"/>
          <w:caps w:val="0"/>
          <w:color w:val="333333"/>
          <w:spacing w:val="0"/>
          <w:kern w:val="2"/>
          <w:sz w:val="32"/>
          <w:szCs w:val="32"/>
          <w:shd w:val="clear" w:fill="FFFFFF"/>
          <w:lang w:val="en-US" w:eastAsia="zh-CN" w:bidi="ar-SA"/>
        </w:rPr>
        <w:t>2025年度财政拨款收入、支出总计均为1905.89万元。与上年度相比，财政拨款收入、支出总计各减少850.91万元，下降30.86%。主要变动原因是2024年度安排有档案馆提升工程，数字档案馆建设，库房设施设备升级等一次性重大项目资金，该类专项项目在2024年度实施完毕，2025年度无同等规模一次性项目支出；2025年度支出主要为人员经费、日常公用经费、档案常态化保管保护及档案数字化等项目资金，项目专项经费大幅下降，导致2025年度决算较上年减少。</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宋体" w:eastAsia="仿宋_GB2312" w:cs="仿宋_GB2312"/>
          <w:i w:val="0"/>
          <w:iCs w:val="0"/>
          <w:caps w:val="0"/>
          <w:color w:val="333333"/>
          <w:spacing w:val="0"/>
          <w:kern w:val="2"/>
          <w:sz w:val="32"/>
          <w:szCs w:val="32"/>
          <w:shd w:val="clear" w:fill="FFFFFF"/>
          <w:lang w:val="en-US" w:eastAsia="zh-CN" w:bidi="ar-SA"/>
        </w:rPr>
        <w:t>（图4：财政拨款收、支决算总计变动情况）</w:t>
      </w:r>
    </w:p>
    <w:p>
      <w:pPr>
        <w:pStyle w:val="13"/>
        <w:rPr>
          <w:rFonts w:hint="eastAsia" w:ascii="Times New Roman" w:hAnsi="Times New Roman" w:eastAsia="仿宋_GB2312" w:cs="仿宋_GB2312"/>
          <w:color w:val="auto"/>
          <w:kern w:val="2"/>
          <w:sz w:val="32"/>
          <w:szCs w:val="32"/>
          <w:highlight w:val="none"/>
          <w:lang w:val="en-US" w:eastAsia="zh-CN" w:bidi="ar-SA"/>
        </w:rPr>
      </w:pPr>
      <w:r>
        <w:drawing>
          <wp:inline distT="0" distB="0" distL="114300" distR="114300">
            <wp:extent cx="4826000" cy="2743200"/>
            <wp:effectExtent l="4445" t="4445" r="8255" b="14605"/>
            <wp:docPr id="2"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s="黑体"/>
          <w:color w:val="auto"/>
          <w:kern w:val="2"/>
          <w:sz w:val="32"/>
          <w:szCs w:val="32"/>
          <w:highlight w:val="none"/>
          <w:lang w:val="en-US" w:eastAsia="zh-CN" w:bidi="ar-SA"/>
        </w:rPr>
      </w:pPr>
      <w:bookmarkStart w:id="15" w:name="_Toc15396607"/>
      <w:bookmarkStart w:id="16" w:name="_Toc15377209"/>
      <w:r>
        <w:rPr>
          <w:rFonts w:hint="eastAsia" w:ascii="Times New Roman" w:hAnsi="Times New Roman" w:eastAsia="黑体" w:cs="黑体"/>
          <w:color w:val="auto"/>
          <w:kern w:val="2"/>
          <w:sz w:val="32"/>
          <w:szCs w:val="32"/>
          <w:highlight w:val="none"/>
          <w:lang w:val="en-US" w:eastAsia="zh-CN" w:bidi="ar-SA"/>
        </w:rPr>
        <w:t>五、一般公共预算财政拨款支出决算情况说明</w:t>
      </w:r>
      <w:bookmarkEnd w:id="15"/>
      <w:bookmarkEnd w:id="16"/>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17"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17"/>
    </w:p>
    <w:p>
      <w:pPr>
        <w:spacing w:line="600" w:lineRule="exact"/>
        <w:ind w:firstLine="640"/>
        <w:rPr>
          <w:rFonts w:hint="eastAsia" w:ascii="仿宋_GB2312" w:hAnsi="宋体" w:eastAsia="仿宋_GB2312" w:cs="仿宋_GB2312"/>
          <w:i w:val="0"/>
          <w:iCs w:val="0"/>
          <w:caps w:val="0"/>
          <w:color w:val="333333"/>
          <w:spacing w:val="0"/>
          <w:kern w:val="2"/>
          <w:sz w:val="32"/>
          <w:szCs w:val="32"/>
          <w:shd w:val="clear" w:fill="FFFFFF"/>
          <w:lang w:val="en-US" w:eastAsia="zh-CN" w:bidi="ar-SA"/>
        </w:rPr>
      </w:pPr>
      <w:r>
        <w:rPr>
          <w:rFonts w:hint="eastAsia" w:ascii="仿宋_GB2312" w:hAnsi="宋体" w:eastAsia="仿宋_GB2312" w:cs="仿宋_GB2312"/>
          <w:i w:val="0"/>
          <w:iCs w:val="0"/>
          <w:caps w:val="0"/>
          <w:color w:val="333333"/>
          <w:spacing w:val="0"/>
          <w:kern w:val="2"/>
          <w:sz w:val="32"/>
          <w:szCs w:val="32"/>
          <w:shd w:val="clear" w:fill="FFFFFF"/>
          <w:lang w:val="en-US" w:eastAsia="zh-CN" w:bidi="ar-SA"/>
        </w:rPr>
        <w:t>2025年度一般公共预算财政拨款支出1905.89万元，占本年支出合计的100%。与上年度相比，一般公共预算财政拨款支出减少850.91万元，下降30.86%。主要变动原因是2024年度安排有档案馆提升工程，数字档案馆建设，库房设施设备升级等一次性重大项目资金，该类专项项目在2024年度实施完毕，2025年度无同等规模一次性项目支出；2025年度支出主要为人员经费、日常公用经费、档案常态化保管保护及档案数字化等项目资金，项目专项经费大幅下降，导致2025年度决算较上年减少。</w:t>
      </w:r>
    </w:p>
    <w:p>
      <w:pPr>
        <w:spacing w:line="600" w:lineRule="exact"/>
        <w:ind w:firstLine="640"/>
        <w:rPr>
          <w:rFonts w:hint="eastAsia" w:ascii="仿宋_GB2312" w:hAnsi="宋体" w:eastAsia="仿宋_GB2312" w:cs="仿宋_GB2312"/>
          <w:i w:val="0"/>
          <w:iCs w:val="0"/>
          <w:caps w:val="0"/>
          <w:color w:val="333333"/>
          <w:spacing w:val="0"/>
          <w:kern w:val="2"/>
          <w:sz w:val="32"/>
          <w:szCs w:val="32"/>
          <w:shd w:val="clear" w:fill="FFFFFF"/>
          <w:lang w:val="en-US" w:eastAsia="zh-CN" w:bidi="ar-SA"/>
        </w:rPr>
      </w:pPr>
      <w:r>
        <w:rPr>
          <w:rFonts w:hint="eastAsia" w:ascii="仿宋_GB2312" w:hAnsi="宋体" w:eastAsia="仿宋_GB2312" w:cs="仿宋_GB2312"/>
          <w:i w:val="0"/>
          <w:iCs w:val="0"/>
          <w:caps w:val="0"/>
          <w:color w:val="333333"/>
          <w:spacing w:val="0"/>
          <w:kern w:val="2"/>
          <w:sz w:val="32"/>
          <w:szCs w:val="32"/>
          <w:shd w:val="clear" w:fill="FFFFFF"/>
          <w:lang w:val="en-US" w:eastAsia="zh-CN" w:bidi="ar-SA"/>
        </w:rPr>
        <w:t>（图5：一般公共预算财政拨款支出决算变动情况）</w:t>
      </w:r>
    </w:p>
    <w:p>
      <w:pPr>
        <w:keepNext w:val="0"/>
        <w:keepLines w:val="0"/>
        <w:pageBreakBefore w:val="0"/>
        <w:widowControl w:val="0"/>
        <w:kinsoku/>
        <w:wordWrap/>
        <w:overflowPunct/>
        <w:topLinePunct w:val="0"/>
        <w:autoSpaceDE/>
        <w:autoSpaceDN/>
        <w:bidi w:val="0"/>
        <w:adjustRightInd/>
        <w:snapToGrid/>
        <w:spacing w:line="240" w:lineRule="auto"/>
        <w:ind w:firstLine="641"/>
        <w:textAlignment w:val="auto"/>
        <w:rPr>
          <w:rFonts w:hint="eastAsia" w:ascii="Times New Roman" w:hAnsi="Times New Roman" w:eastAsia="仿宋_GB2312" w:cs="仿宋_GB2312"/>
          <w:color w:val="auto"/>
          <w:kern w:val="2"/>
          <w:sz w:val="32"/>
          <w:szCs w:val="32"/>
          <w:highlight w:val="none"/>
          <w:lang w:val="en-US" w:eastAsia="zh-CN" w:bidi="ar-SA"/>
        </w:rPr>
      </w:pPr>
      <w:r>
        <w:drawing>
          <wp:inline distT="0" distB="0" distL="114300" distR="114300">
            <wp:extent cx="4826000" cy="2743200"/>
            <wp:effectExtent l="4445" t="4445" r="8255" b="14605"/>
            <wp:docPr id="22" name="图表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pStyle w:val="13"/>
        <w:rPr>
          <w:rFonts w:hint="eastAsia"/>
          <w:lang w:val="en-US" w:eastAsia="zh-CN"/>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18"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18"/>
    </w:p>
    <w:p>
      <w:pPr>
        <w:spacing w:line="600" w:lineRule="exact"/>
        <w:ind w:firstLine="640"/>
        <w:rPr>
          <w:rFonts w:hint="eastAsia" w:ascii="仿宋_GB2312" w:hAnsi="宋体" w:eastAsia="仿宋_GB2312" w:cs="仿宋_GB2312"/>
          <w:i w:val="0"/>
          <w:iCs w:val="0"/>
          <w:caps w:val="0"/>
          <w:color w:val="333333"/>
          <w:spacing w:val="0"/>
          <w:kern w:val="2"/>
          <w:sz w:val="32"/>
          <w:szCs w:val="32"/>
          <w:shd w:val="clear" w:fill="FFFFFF"/>
          <w:lang w:val="en-US" w:eastAsia="zh-CN" w:bidi="ar-SA"/>
        </w:rPr>
      </w:pPr>
      <w:r>
        <w:rPr>
          <w:rFonts w:hint="eastAsia" w:ascii="仿宋_GB2312" w:hAnsi="宋体" w:eastAsia="仿宋_GB2312" w:cs="仿宋_GB2312"/>
          <w:i w:val="0"/>
          <w:iCs w:val="0"/>
          <w:caps w:val="0"/>
          <w:color w:val="333333"/>
          <w:spacing w:val="0"/>
          <w:kern w:val="2"/>
          <w:sz w:val="32"/>
          <w:szCs w:val="32"/>
          <w:shd w:val="clear" w:fill="FFFFFF"/>
          <w:lang w:val="en-US" w:eastAsia="zh-CN" w:bidi="ar-SA"/>
        </w:rPr>
        <w:t>2025年度一般公共预算财政拨款支出1905.89万元，主要用于以下方面：一般公共服务支出1688.78万元，占88.6%；社会保障和就业支出115.28万元，占6.05%；卫生健康支出42.93万元，占2.25%；住房保障支出58.88万元，占3.08%。</w:t>
      </w:r>
    </w:p>
    <w:p>
      <w:pPr>
        <w:spacing w:line="600" w:lineRule="exact"/>
        <w:ind w:firstLine="640"/>
        <w:rPr>
          <w:rFonts w:hint="eastAsia" w:ascii="仿宋_GB2312" w:hAnsi="宋体" w:eastAsia="仿宋_GB2312" w:cs="仿宋_GB2312"/>
          <w:i w:val="0"/>
          <w:iCs w:val="0"/>
          <w:caps w:val="0"/>
          <w:color w:val="333333"/>
          <w:spacing w:val="0"/>
          <w:kern w:val="2"/>
          <w:sz w:val="32"/>
          <w:szCs w:val="32"/>
          <w:shd w:val="clear" w:fill="FFFFFF"/>
          <w:lang w:val="en-US" w:eastAsia="zh-CN" w:bidi="ar-SA"/>
        </w:rPr>
      </w:pPr>
      <w:r>
        <w:rPr>
          <w:rFonts w:hint="eastAsia" w:ascii="仿宋_GB2312" w:hAnsi="宋体" w:eastAsia="仿宋_GB2312" w:cs="仿宋_GB2312"/>
          <w:i w:val="0"/>
          <w:iCs w:val="0"/>
          <w:caps w:val="0"/>
          <w:color w:val="333333"/>
          <w:spacing w:val="0"/>
          <w:kern w:val="2"/>
          <w:sz w:val="32"/>
          <w:szCs w:val="32"/>
          <w:shd w:val="clear" w:fill="FFFFFF"/>
          <w:lang w:val="en-US" w:eastAsia="zh-CN" w:bidi="ar-SA"/>
        </w:rPr>
        <w:t>（图6：一般公共预算财政拨款支出决算结构）</w:t>
      </w:r>
    </w:p>
    <w:p>
      <w:pPr>
        <w:keepNext w:val="0"/>
        <w:keepLines w:val="0"/>
        <w:pageBreakBefore w:val="0"/>
        <w:widowControl w:val="0"/>
        <w:kinsoku/>
        <w:wordWrap/>
        <w:overflowPunct/>
        <w:topLinePunct w:val="0"/>
        <w:autoSpaceDE/>
        <w:autoSpaceDN/>
        <w:bidi w:val="0"/>
        <w:adjustRightInd/>
        <w:snapToGrid/>
        <w:spacing w:line="240" w:lineRule="auto"/>
        <w:ind w:firstLine="641"/>
        <w:textAlignment w:val="auto"/>
        <w:rPr>
          <w:rFonts w:hint="eastAsia" w:ascii="Times New Roman" w:hAnsi="Times New Roman" w:eastAsia="仿宋_GB2312" w:cs="仿宋_GB2312"/>
          <w:color w:val="auto"/>
          <w:kern w:val="2"/>
          <w:sz w:val="32"/>
          <w:szCs w:val="32"/>
          <w:highlight w:val="none"/>
          <w:lang w:val="en-US" w:eastAsia="zh-CN" w:bidi="ar-SA"/>
        </w:rPr>
      </w:pPr>
      <w:r>
        <w:drawing>
          <wp:inline distT="0" distB="0" distL="114300" distR="114300">
            <wp:extent cx="4826000" cy="2743200"/>
            <wp:effectExtent l="4445" t="4445" r="8255" b="14605"/>
            <wp:docPr id="25" name="图表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pStyle w:val="13"/>
        <w:rPr>
          <w:rFonts w:hint="eastAsia"/>
          <w:lang w:val="en-US" w:eastAsia="zh-CN"/>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19"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19"/>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20" w:name="_Toc15378460"/>
      <w:bookmarkStart w:id="21" w:name="_Toc15377444"/>
      <w:bookmarkStart w:id="22" w:name="_Toc15377213"/>
      <w:r>
        <w:rPr>
          <w:rFonts w:hint="eastAsia" w:ascii="仿宋_GB2312" w:hAnsi="宋体" w:eastAsia="仿宋_GB2312" w:cs="仿宋_GB2312"/>
          <w:i w:val="0"/>
          <w:iCs w:val="0"/>
          <w:caps w:val="0"/>
          <w:color w:val="333333"/>
          <w:spacing w:val="0"/>
          <w:kern w:val="2"/>
          <w:sz w:val="32"/>
          <w:szCs w:val="32"/>
          <w:shd w:val="clear" w:fill="FFFFFF"/>
          <w:lang w:val="en-US" w:eastAsia="zh-CN" w:bidi="ar-SA"/>
        </w:rPr>
        <w:t>2025年度一般公共预算支出决算数为1905.89，完成预算100%。其中：</w:t>
      </w:r>
      <w:bookmarkEnd w:id="20"/>
      <w:bookmarkEnd w:id="21"/>
      <w:bookmarkEnd w:id="22"/>
    </w:p>
    <w:p>
      <w:pPr>
        <w:spacing w:line="600" w:lineRule="exact"/>
        <w:ind w:firstLine="640"/>
        <w:rPr>
          <w:rFonts w:ascii="仿宋_GB2312" w:hAnsi="宋体" w:eastAsia="仿宋_GB2312" w:cs="仿宋_GB2312"/>
          <w:i w:val="0"/>
          <w:iCs w:val="0"/>
          <w:caps w:val="0"/>
          <w:color w:val="333333"/>
          <w:spacing w:val="0"/>
          <w:sz w:val="32"/>
          <w:szCs w:val="32"/>
          <w:shd w:val="clear" w:fill="FFFFFF"/>
        </w:rPr>
      </w:pP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一般公共服务（</w:t>
      </w:r>
      <w:r>
        <w:rPr>
          <w:rFonts w:hint="eastAsia" w:eastAsia="仿宋_GB2312" w:cs="仿宋_GB2312"/>
          <w:color w:val="auto"/>
          <w:kern w:val="2"/>
          <w:sz w:val="32"/>
          <w:szCs w:val="32"/>
          <w:highlight w:val="none"/>
          <w:lang w:val="en-US" w:eastAsia="zh-CN" w:bidi="ar-SA"/>
        </w:rPr>
        <w:t>201</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档案事务（20126）</w:t>
      </w:r>
      <w:r>
        <w:rPr>
          <w:rFonts w:hint="eastAsia" w:ascii="Times New Roman" w:hAnsi="Times New Roman" w:eastAsia="仿宋_GB2312" w:cs="仿宋_GB2312"/>
          <w:color w:val="auto"/>
          <w:kern w:val="2"/>
          <w:sz w:val="32"/>
          <w:szCs w:val="32"/>
          <w:highlight w:val="none"/>
          <w:lang w:val="en-US" w:eastAsia="zh-CN" w:bidi="ar-SA"/>
        </w:rPr>
        <w:t>行政运行</w:t>
      </w:r>
      <w:r>
        <w:rPr>
          <w:rFonts w:hint="eastAsia" w:eastAsia="仿宋_GB2312" w:cs="仿宋_GB2312"/>
          <w:color w:val="auto"/>
          <w:kern w:val="2"/>
          <w:sz w:val="32"/>
          <w:szCs w:val="32"/>
          <w:highlight w:val="none"/>
          <w:lang w:val="en-US" w:eastAsia="zh-CN" w:bidi="ar-SA"/>
        </w:rPr>
        <w:t>（2012601）</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690.72</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ascii="仿宋_GB2312" w:hAnsi="宋体" w:eastAsia="仿宋_GB2312" w:cs="仿宋_GB2312"/>
          <w:i w:val="0"/>
          <w:iCs w:val="0"/>
          <w:caps w:val="0"/>
          <w:color w:val="333333"/>
          <w:spacing w:val="0"/>
          <w:sz w:val="32"/>
          <w:szCs w:val="32"/>
          <w:shd w:val="clear" w:fill="FFFFFF"/>
        </w:rPr>
        <w:t>决算数等于预算</w:t>
      </w:r>
      <w:r>
        <w:rPr>
          <w:rFonts w:hint="eastAsia" w:ascii="仿宋_GB2312" w:hAnsi="宋体" w:eastAsia="仿宋_GB2312" w:cs="仿宋_GB2312"/>
          <w:i w:val="0"/>
          <w:iCs w:val="0"/>
          <w:caps w:val="0"/>
          <w:color w:val="333333"/>
          <w:spacing w:val="0"/>
          <w:sz w:val="32"/>
          <w:szCs w:val="32"/>
          <w:shd w:val="clear" w:fill="FFFFFF"/>
          <w:lang w:val="en-US" w:eastAsia="zh-CN"/>
        </w:rPr>
        <w:t>数。</w:t>
      </w:r>
    </w:p>
    <w:p>
      <w:pPr>
        <w:numPr>
          <w:ilvl w:val="0"/>
          <w:numId w:val="0"/>
        </w:numPr>
        <w:spacing w:line="600" w:lineRule="exact"/>
        <w:ind w:firstLine="640" w:firstLineChars="200"/>
        <w:rPr>
          <w:rFonts w:ascii="仿宋_GB2312" w:hAnsi="宋体" w:eastAsia="仿宋_GB2312" w:cs="仿宋_GB2312"/>
          <w:i w:val="0"/>
          <w:iCs w:val="0"/>
          <w:caps w:val="0"/>
          <w:color w:val="333333"/>
          <w:spacing w:val="0"/>
          <w:sz w:val="32"/>
          <w:szCs w:val="32"/>
          <w:shd w:val="clear" w:fill="FFFFFF"/>
        </w:rPr>
      </w:pP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一般公共服务（</w:t>
      </w:r>
      <w:r>
        <w:rPr>
          <w:rFonts w:hint="eastAsia" w:eastAsia="仿宋_GB2312" w:cs="仿宋_GB2312"/>
          <w:color w:val="auto"/>
          <w:kern w:val="2"/>
          <w:sz w:val="32"/>
          <w:szCs w:val="32"/>
          <w:highlight w:val="none"/>
          <w:lang w:val="en-US" w:eastAsia="zh-CN" w:bidi="ar-SA"/>
        </w:rPr>
        <w:t>201</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档案事务（20126）</w:t>
      </w:r>
      <w:r>
        <w:rPr>
          <w:rFonts w:hint="eastAsia" w:ascii="Times New Roman" w:hAnsi="Times New Roman" w:eastAsia="仿宋_GB2312" w:cs="仿宋_GB2312"/>
          <w:color w:val="auto"/>
          <w:kern w:val="2"/>
          <w:sz w:val="32"/>
          <w:szCs w:val="32"/>
          <w:highlight w:val="none"/>
          <w:lang w:val="en-US" w:eastAsia="zh-CN" w:bidi="ar-SA"/>
        </w:rPr>
        <w:t>一般行政管理事务</w:t>
      </w:r>
      <w:r>
        <w:rPr>
          <w:rFonts w:hint="eastAsia" w:eastAsia="仿宋_GB2312" w:cs="仿宋_GB2312"/>
          <w:color w:val="auto"/>
          <w:kern w:val="2"/>
          <w:sz w:val="32"/>
          <w:szCs w:val="32"/>
          <w:highlight w:val="none"/>
          <w:lang w:val="en-US" w:eastAsia="zh-CN" w:bidi="ar-SA"/>
        </w:rPr>
        <w:t>（2012602）</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293.15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ascii="仿宋_GB2312" w:hAnsi="宋体" w:eastAsia="仿宋_GB2312" w:cs="仿宋_GB2312"/>
          <w:i w:val="0"/>
          <w:iCs w:val="0"/>
          <w:caps w:val="0"/>
          <w:color w:val="333333"/>
          <w:spacing w:val="0"/>
          <w:sz w:val="32"/>
          <w:szCs w:val="32"/>
          <w:shd w:val="clear" w:fill="FFFFFF"/>
        </w:rPr>
        <w:t>决算数等于预算</w:t>
      </w:r>
      <w:r>
        <w:rPr>
          <w:rFonts w:hint="eastAsia" w:ascii="仿宋_GB2312" w:hAnsi="宋体" w:eastAsia="仿宋_GB2312" w:cs="仿宋_GB2312"/>
          <w:i w:val="0"/>
          <w:iCs w:val="0"/>
          <w:caps w:val="0"/>
          <w:color w:val="333333"/>
          <w:spacing w:val="0"/>
          <w:sz w:val="32"/>
          <w:szCs w:val="32"/>
          <w:shd w:val="clear" w:fill="FFFFFF"/>
          <w:lang w:val="en-US" w:eastAsia="zh-CN"/>
        </w:rPr>
        <w:t>数。</w:t>
      </w:r>
    </w:p>
    <w:p>
      <w:pPr>
        <w:numPr>
          <w:ilvl w:val="0"/>
          <w:numId w:val="0"/>
        </w:numPr>
        <w:spacing w:line="600" w:lineRule="exact"/>
        <w:ind w:firstLine="640" w:firstLineChars="200"/>
        <w:rPr>
          <w:rFonts w:hint="eastAsia" w:ascii="仿宋_GB2312" w:hAnsi="宋体" w:eastAsia="仿宋_GB2312" w:cs="仿宋_GB2312"/>
          <w:i w:val="0"/>
          <w:iCs w:val="0"/>
          <w:caps w:val="0"/>
          <w:color w:val="333333"/>
          <w:spacing w:val="0"/>
          <w:sz w:val="32"/>
          <w:szCs w:val="32"/>
          <w:shd w:val="clear" w:fill="FFFFFF"/>
          <w:lang w:val="en-US" w:eastAsia="zh-CN"/>
        </w:rPr>
      </w:pP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一般公共服务（</w:t>
      </w:r>
      <w:r>
        <w:rPr>
          <w:rFonts w:hint="eastAsia" w:eastAsia="仿宋_GB2312" w:cs="仿宋_GB2312"/>
          <w:color w:val="auto"/>
          <w:kern w:val="2"/>
          <w:sz w:val="32"/>
          <w:szCs w:val="32"/>
          <w:highlight w:val="none"/>
          <w:lang w:val="en-US" w:eastAsia="zh-CN" w:bidi="ar-SA"/>
        </w:rPr>
        <w:t>201</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档案事务（20126）档案馆（2012604）</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427.66</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ascii="仿宋_GB2312" w:hAnsi="宋体" w:eastAsia="仿宋_GB2312" w:cs="仿宋_GB2312"/>
          <w:i w:val="0"/>
          <w:iCs w:val="0"/>
          <w:caps w:val="0"/>
          <w:color w:val="333333"/>
          <w:spacing w:val="0"/>
          <w:sz w:val="32"/>
          <w:szCs w:val="32"/>
          <w:shd w:val="clear" w:fill="FFFFFF"/>
        </w:rPr>
        <w:t>决算数等于预算</w:t>
      </w:r>
      <w:r>
        <w:rPr>
          <w:rFonts w:hint="eastAsia" w:ascii="仿宋_GB2312" w:hAnsi="宋体" w:eastAsia="仿宋_GB2312" w:cs="仿宋_GB2312"/>
          <w:i w:val="0"/>
          <w:iCs w:val="0"/>
          <w:caps w:val="0"/>
          <w:color w:val="333333"/>
          <w:spacing w:val="0"/>
          <w:sz w:val="32"/>
          <w:szCs w:val="32"/>
          <w:shd w:val="clear" w:fill="FFFFFF"/>
          <w:lang w:val="en-US" w:eastAsia="zh-CN"/>
        </w:rPr>
        <w:t>数。</w:t>
      </w:r>
    </w:p>
    <w:p>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一般公共服务（</w:t>
      </w:r>
      <w:r>
        <w:rPr>
          <w:rFonts w:hint="eastAsia" w:eastAsia="仿宋_GB2312" w:cs="仿宋_GB2312"/>
          <w:color w:val="auto"/>
          <w:kern w:val="2"/>
          <w:sz w:val="32"/>
          <w:szCs w:val="32"/>
          <w:highlight w:val="none"/>
          <w:lang w:val="en-US" w:eastAsia="zh-CN" w:bidi="ar-SA"/>
        </w:rPr>
        <w:t>201</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档案事务（20126）</w:t>
      </w:r>
      <w:r>
        <w:rPr>
          <w:rFonts w:hint="eastAsia" w:ascii="Times New Roman" w:hAnsi="Times New Roman" w:eastAsia="仿宋_GB2312" w:cs="仿宋_GB2312"/>
          <w:color w:val="auto"/>
          <w:kern w:val="2"/>
          <w:sz w:val="32"/>
          <w:szCs w:val="32"/>
          <w:highlight w:val="none"/>
          <w:lang w:val="en-US" w:eastAsia="zh-CN" w:bidi="ar-SA"/>
        </w:rPr>
        <w:t>其他档案事务支出</w:t>
      </w:r>
      <w:r>
        <w:rPr>
          <w:rFonts w:hint="eastAsia" w:eastAsia="仿宋_GB2312" w:cs="仿宋_GB2312"/>
          <w:color w:val="auto"/>
          <w:kern w:val="2"/>
          <w:sz w:val="32"/>
          <w:szCs w:val="32"/>
          <w:highlight w:val="none"/>
          <w:lang w:val="en-US" w:eastAsia="zh-CN" w:bidi="ar-SA"/>
        </w:rPr>
        <w:t>（2012699）</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277.24</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ascii="仿宋_GB2312" w:hAnsi="宋体" w:eastAsia="仿宋_GB2312" w:cs="仿宋_GB2312"/>
          <w:i w:val="0"/>
          <w:iCs w:val="0"/>
          <w:caps w:val="0"/>
          <w:color w:val="333333"/>
          <w:spacing w:val="0"/>
          <w:sz w:val="32"/>
          <w:szCs w:val="32"/>
          <w:shd w:val="clear" w:fill="FFFFFF"/>
        </w:rPr>
        <w:t>决算数等于预算</w:t>
      </w:r>
      <w:r>
        <w:rPr>
          <w:rFonts w:hint="eastAsia" w:ascii="仿宋_GB2312" w:hAnsi="宋体" w:eastAsia="仿宋_GB2312" w:cs="仿宋_GB2312"/>
          <w:i w:val="0"/>
          <w:iCs w:val="0"/>
          <w:caps w:val="0"/>
          <w:color w:val="333333"/>
          <w:spacing w:val="0"/>
          <w:sz w:val="32"/>
          <w:szCs w:val="32"/>
          <w:shd w:val="clear" w:fill="FFFFFF"/>
          <w:lang w:val="en-US" w:eastAsia="zh-CN"/>
        </w:rPr>
        <w:t>数。</w:t>
      </w:r>
    </w:p>
    <w:p>
      <w:pPr>
        <w:numPr>
          <w:ilvl w:val="0"/>
          <w:numId w:val="0"/>
        </w:numPr>
        <w:spacing w:line="600" w:lineRule="exact"/>
        <w:ind w:firstLine="640" w:firstLineChars="200"/>
        <w:rPr>
          <w:rFonts w:hint="eastAsia" w:ascii="仿宋_GB2312" w:hAnsi="宋体" w:eastAsia="仿宋_GB2312" w:cs="仿宋_GB2312"/>
          <w:i w:val="0"/>
          <w:iCs w:val="0"/>
          <w:caps w:val="0"/>
          <w:color w:val="333333"/>
          <w:spacing w:val="0"/>
          <w:sz w:val="32"/>
          <w:szCs w:val="32"/>
          <w:shd w:val="clear" w:fill="FFFFFF"/>
          <w:lang w:val="en-US" w:eastAsia="zh-CN"/>
        </w:rPr>
      </w:pP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社会保障和就业（</w:t>
      </w:r>
      <w:r>
        <w:rPr>
          <w:rFonts w:hint="eastAsia"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）行政事业单位养老支出（</w:t>
      </w:r>
      <w:r>
        <w:rPr>
          <w:rFonts w:hint="eastAsia" w:eastAsia="仿宋_GB2312" w:cs="仿宋_GB2312"/>
          <w:color w:val="auto"/>
          <w:kern w:val="2"/>
          <w:sz w:val="32"/>
          <w:szCs w:val="32"/>
          <w:highlight w:val="none"/>
          <w:lang w:val="en-US" w:eastAsia="zh-CN" w:bidi="ar-SA"/>
        </w:rPr>
        <w:t>20805</w:t>
      </w:r>
      <w:r>
        <w:rPr>
          <w:rFonts w:hint="eastAsia" w:ascii="Times New Roman" w:hAnsi="Times New Roman" w:eastAsia="仿宋_GB2312" w:cs="仿宋_GB2312"/>
          <w:color w:val="auto"/>
          <w:kern w:val="2"/>
          <w:sz w:val="32"/>
          <w:szCs w:val="32"/>
          <w:highlight w:val="none"/>
          <w:lang w:val="en-US" w:eastAsia="zh-CN" w:bidi="ar-SA"/>
        </w:rPr>
        <w:t>）机关事业单位基本养老保险缴费支出（</w:t>
      </w:r>
      <w:r>
        <w:rPr>
          <w:rFonts w:hint="eastAsia" w:eastAsia="仿宋_GB2312" w:cs="仿宋_GB2312"/>
          <w:color w:val="auto"/>
          <w:kern w:val="2"/>
          <w:sz w:val="32"/>
          <w:szCs w:val="32"/>
          <w:highlight w:val="none"/>
          <w:lang w:val="en-US" w:eastAsia="zh-CN" w:bidi="ar-SA"/>
        </w:rPr>
        <w:t>2080505</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72.67</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ascii="仿宋_GB2312" w:hAnsi="宋体" w:eastAsia="仿宋_GB2312" w:cs="仿宋_GB2312"/>
          <w:i w:val="0"/>
          <w:iCs w:val="0"/>
          <w:caps w:val="0"/>
          <w:color w:val="333333"/>
          <w:spacing w:val="0"/>
          <w:sz w:val="32"/>
          <w:szCs w:val="32"/>
          <w:shd w:val="clear" w:fill="FFFFFF"/>
        </w:rPr>
        <w:t>决算数等于预算</w:t>
      </w:r>
      <w:r>
        <w:rPr>
          <w:rFonts w:hint="eastAsia" w:ascii="仿宋_GB2312" w:hAnsi="宋体" w:eastAsia="仿宋_GB2312" w:cs="仿宋_GB2312"/>
          <w:i w:val="0"/>
          <w:iCs w:val="0"/>
          <w:caps w:val="0"/>
          <w:color w:val="333333"/>
          <w:spacing w:val="0"/>
          <w:sz w:val="32"/>
          <w:szCs w:val="32"/>
          <w:shd w:val="clear" w:fill="FFFFFF"/>
          <w:lang w:val="en-US" w:eastAsia="zh-CN"/>
        </w:rPr>
        <w:t>数。</w:t>
      </w:r>
    </w:p>
    <w:p>
      <w:pPr>
        <w:numPr>
          <w:ilvl w:val="0"/>
          <w:numId w:val="0"/>
        </w:numPr>
        <w:spacing w:line="600" w:lineRule="exact"/>
        <w:ind w:firstLine="640" w:firstLineChars="200"/>
        <w:rPr>
          <w:rFonts w:hint="eastAsia" w:ascii="仿宋_GB2312" w:hAnsi="宋体" w:eastAsia="仿宋_GB2312" w:cs="仿宋_GB2312"/>
          <w:i w:val="0"/>
          <w:iCs w:val="0"/>
          <w:caps w:val="0"/>
          <w:color w:val="333333"/>
          <w:spacing w:val="0"/>
          <w:sz w:val="32"/>
          <w:szCs w:val="32"/>
          <w:shd w:val="clear" w:fill="FFFFFF"/>
          <w:lang w:val="en-US" w:eastAsia="zh-CN"/>
        </w:rPr>
      </w:pP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社会保障和就业（</w:t>
      </w:r>
      <w:r>
        <w:rPr>
          <w:rFonts w:hint="eastAsia"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）行政事业单位养老支出（</w:t>
      </w:r>
      <w:r>
        <w:rPr>
          <w:rFonts w:hint="eastAsia" w:eastAsia="仿宋_GB2312" w:cs="仿宋_GB2312"/>
          <w:color w:val="auto"/>
          <w:kern w:val="2"/>
          <w:sz w:val="32"/>
          <w:szCs w:val="32"/>
          <w:highlight w:val="none"/>
          <w:lang w:val="en-US" w:eastAsia="zh-CN" w:bidi="ar-SA"/>
        </w:rPr>
        <w:t>20805</w:t>
      </w:r>
      <w:r>
        <w:rPr>
          <w:rFonts w:hint="eastAsia" w:ascii="Times New Roman" w:hAnsi="Times New Roman" w:eastAsia="仿宋_GB2312" w:cs="仿宋_GB2312"/>
          <w:color w:val="auto"/>
          <w:kern w:val="2"/>
          <w:sz w:val="32"/>
          <w:szCs w:val="32"/>
          <w:highlight w:val="none"/>
          <w:lang w:val="en-US" w:eastAsia="zh-CN" w:bidi="ar-SA"/>
        </w:rPr>
        <w:t>）机关事业单位职业年金缴费支出（</w:t>
      </w:r>
      <w:r>
        <w:rPr>
          <w:rFonts w:hint="eastAsia" w:eastAsia="仿宋_GB2312" w:cs="仿宋_GB2312"/>
          <w:color w:val="auto"/>
          <w:kern w:val="2"/>
          <w:sz w:val="32"/>
          <w:szCs w:val="32"/>
          <w:highlight w:val="none"/>
          <w:lang w:val="en-US" w:eastAsia="zh-CN" w:bidi="ar-SA"/>
        </w:rPr>
        <w:t>2080506</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36.45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ascii="仿宋_GB2312" w:hAnsi="宋体" w:eastAsia="仿宋_GB2312" w:cs="仿宋_GB2312"/>
          <w:i w:val="0"/>
          <w:iCs w:val="0"/>
          <w:caps w:val="0"/>
          <w:color w:val="333333"/>
          <w:spacing w:val="0"/>
          <w:sz w:val="32"/>
          <w:szCs w:val="32"/>
          <w:shd w:val="clear" w:fill="FFFFFF"/>
        </w:rPr>
        <w:t>决算数等于预算</w:t>
      </w:r>
      <w:r>
        <w:rPr>
          <w:rFonts w:hint="eastAsia" w:ascii="仿宋_GB2312" w:hAnsi="宋体" w:eastAsia="仿宋_GB2312" w:cs="仿宋_GB2312"/>
          <w:i w:val="0"/>
          <w:iCs w:val="0"/>
          <w:caps w:val="0"/>
          <w:color w:val="333333"/>
          <w:spacing w:val="0"/>
          <w:sz w:val="32"/>
          <w:szCs w:val="32"/>
          <w:shd w:val="clear" w:fill="FFFFFF"/>
          <w:lang w:val="en-US" w:eastAsia="zh-CN"/>
        </w:rPr>
        <w:t>数。</w:t>
      </w:r>
    </w:p>
    <w:p>
      <w:pPr>
        <w:numPr>
          <w:ilvl w:val="0"/>
          <w:numId w:val="0"/>
        </w:numPr>
        <w:spacing w:line="600" w:lineRule="exact"/>
        <w:ind w:firstLine="640" w:firstLineChars="200"/>
        <w:rPr>
          <w:rFonts w:hint="eastAsia" w:ascii="仿宋_GB2312" w:hAnsi="宋体" w:eastAsia="仿宋_GB2312" w:cs="仿宋_GB2312"/>
          <w:i w:val="0"/>
          <w:iCs w:val="0"/>
          <w:caps w:val="0"/>
          <w:color w:val="333333"/>
          <w:spacing w:val="0"/>
          <w:sz w:val="32"/>
          <w:szCs w:val="32"/>
          <w:shd w:val="clear" w:fill="FFFFFF"/>
          <w:lang w:val="en-US" w:eastAsia="zh-CN"/>
        </w:rPr>
      </w:pP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社会保障和就业（</w:t>
      </w:r>
      <w:r>
        <w:rPr>
          <w:rFonts w:hint="eastAsia"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）行政事业单位养老支出（</w:t>
      </w:r>
      <w:r>
        <w:rPr>
          <w:rFonts w:hint="eastAsia" w:eastAsia="仿宋_GB2312" w:cs="仿宋_GB2312"/>
          <w:color w:val="auto"/>
          <w:kern w:val="2"/>
          <w:sz w:val="32"/>
          <w:szCs w:val="32"/>
          <w:highlight w:val="none"/>
          <w:lang w:val="en-US" w:eastAsia="zh-CN" w:bidi="ar-SA"/>
        </w:rPr>
        <w:t>20805</w:t>
      </w:r>
      <w:r>
        <w:rPr>
          <w:rFonts w:hint="eastAsia" w:ascii="Times New Roman" w:hAnsi="Times New Roman" w:eastAsia="仿宋_GB2312" w:cs="仿宋_GB2312"/>
          <w:color w:val="auto"/>
          <w:kern w:val="2"/>
          <w:sz w:val="32"/>
          <w:szCs w:val="32"/>
          <w:highlight w:val="none"/>
          <w:lang w:val="en-US" w:eastAsia="zh-CN" w:bidi="ar-SA"/>
        </w:rPr>
        <w:t>）其他行政事业单位养老支出（</w:t>
      </w:r>
      <w:r>
        <w:rPr>
          <w:rFonts w:hint="eastAsia" w:eastAsia="仿宋_GB2312" w:cs="仿宋_GB2312"/>
          <w:color w:val="auto"/>
          <w:kern w:val="2"/>
          <w:sz w:val="32"/>
          <w:szCs w:val="32"/>
          <w:highlight w:val="none"/>
          <w:lang w:val="en-US" w:eastAsia="zh-CN" w:bidi="ar-SA"/>
        </w:rPr>
        <w:t>2080599</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6.15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ascii="仿宋_GB2312" w:hAnsi="宋体" w:eastAsia="仿宋_GB2312" w:cs="仿宋_GB2312"/>
          <w:i w:val="0"/>
          <w:iCs w:val="0"/>
          <w:caps w:val="0"/>
          <w:color w:val="333333"/>
          <w:spacing w:val="0"/>
          <w:sz w:val="32"/>
          <w:szCs w:val="32"/>
          <w:shd w:val="clear" w:fill="FFFFFF"/>
        </w:rPr>
        <w:t>决算数等于预算</w:t>
      </w:r>
      <w:r>
        <w:rPr>
          <w:rFonts w:hint="eastAsia" w:ascii="仿宋_GB2312" w:hAnsi="宋体" w:eastAsia="仿宋_GB2312" w:cs="仿宋_GB2312"/>
          <w:i w:val="0"/>
          <w:iCs w:val="0"/>
          <w:caps w:val="0"/>
          <w:color w:val="333333"/>
          <w:spacing w:val="0"/>
          <w:sz w:val="32"/>
          <w:szCs w:val="32"/>
          <w:shd w:val="clear" w:fill="FFFFFF"/>
          <w:lang w:val="en-US" w:eastAsia="zh-CN"/>
        </w:rPr>
        <w:t>数。</w:t>
      </w:r>
    </w:p>
    <w:p>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卫生健康（</w:t>
      </w:r>
      <w:r>
        <w:rPr>
          <w:rFonts w:hint="eastAsia" w:eastAsia="仿宋_GB2312" w:cs="仿宋_GB2312"/>
          <w:color w:val="auto"/>
          <w:kern w:val="2"/>
          <w:sz w:val="32"/>
          <w:szCs w:val="32"/>
          <w:highlight w:val="none"/>
          <w:lang w:val="en-US" w:eastAsia="zh-CN" w:bidi="ar-SA"/>
        </w:rPr>
        <w:t>210</w:t>
      </w:r>
      <w:r>
        <w:rPr>
          <w:rFonts w:hint="eastAsia" w:ascii="Times New Roman" w:hAnsi="Times New Roman" w:eastAsia="仿宋_GB2312" w:cs="仿宋_GB2312"/>
          <w:color w:val="auto"/>
          <w:kern w:val="2"/>
          <w:sz w:val="32"/>
          <w:szCs w:val="32"/>
          <w:highlight w:val="none"/>
          <w:lang w:val="en-US" w:eastAsia="zh-CN" w:bidi="ar-SA"/>
        </w:rPr>
        <w:t>）行政事业单位医疗（</w:t>
      </w:r>
      <w:r>
        <w:rPr>
          <w:rFonts w:hint="eastAsia" w:eastAsia="仿宋_GB2312" w:cs="仿宋_GB2312"/>
          <w:color w:val="auto"/>
          <w:kern w:val="2"/>
          <w:sz w:val="32"/>
          <w:szCs w:val="32"/>
          <w:highlight w:val="none"/>
          <w:lang w:val="en-US" w:eastAsia="zh-CN" w:bidi="ar-SA"/>
        </w:rPr>
        <w:t>21011</w:t>
      </w:r>
      <w:r>
        <w:rPr>
          <w:rFonts w:hint="eastAsia" w:ascii="Times New Roman" w:hAnsi="Times New Roman" w:eastAsia="仿宋_GB2312" w:cs="仿宋_GB2312"/>
          <w:color w:val="auto"/>
          <w:kern w:val="2"/>
          <w:sz w:val="32"/>
          <w:szCs w:val="32"/>
          <w:highlight w:val="none"/>
          <w:lang w:val="en-US" w:eastAsia="zh-CN" w:bidi="ar-SA"/>
        </w:rPr>
        <w:t>）行政单位医疗（</w:t>
      </w:r>
      <w:r>
        <w:rPr>
          <w:rFonts w:hint="eastAsia" w:eastAsia="仿宋_GB2312" w:cs="仿宋_GB2312"/>
          <w:color w:val="auto"/>
          <w:kern w:val="2"/>
          <w:sz w:val="32"/>
          <w:szCs w:val="32"/>
          <w:highlight w:val="none"/>
          <w:lang w:val="en-US" w:eastAsia="zh-CN" w:bidi="ar-SA"/>
        </w:rPr>
        <w:t>2101101</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34.17</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ascii="仿宋_GB2312" w:hAnsi="宋体" w:eastAsia="仿宋_GB2312" w:cs="仿宋_GB2312"/>
          <w:i w:val="0"/>
          <w:iCs w:val="0"/>
          <w:caps w:val="0"/>
          <w:color w:val="333333"/>
          <w:spacing w:val="0"/>
          <w:sz w:val="32"/>
          <w:szCs w:val="32"/>
          <w:shd w:val="clear" w:fill="FFFFFF"/>
        </w:rPr>
        <w:t>决算数等于预算</w:t>
      </w:r>
      <w:r>
        <w:rPr>
          <w:rFonts w:hint="eastAsia" w:ascii="仿宋_GB2312" w:hAnsi="宋体" w:eastAsia="仿宋_GB2312" w:cs="仿宋_GB2312"/>
          <w:i w:val="0"/>
          <w:iCs w:val="0"/>
          <w:caps w:val="0"/>
          <w:color w:val="333333"/>
          <w:spacing w:val="0"/>
          <w:sz w:val="32"/>
          <w:szCs w:val="32"/>
          <w:shd w:val="clear" w:fill="FFFFFF"/>
          <w:lang w:val="en-US" w:eastAsia="zh-CN"/>
        </w:rPr>
        <w:t>数。</w:t>
      </w:r>
    </w:p>
    <w:p>
      <w:pPr>
        <w:numPr>
          <w:ilvl w:val="0"/>
          <w:numId w:val="0"/>
        </w:numPr>
        <w:spacing w:line="600" w:lineRule="exact"/>
        <w:ind w:firstLine="640" w:firstLineChars="200"/>
        <w:rPr>
          <w:rFonts w:hint="eastAsia" w:ascii="仿宋_GB2312" w:hAnsi="宋体" w:eastAsia="仿宋_GB2312" w:cs="仿宋_GB2312"/>
          <w:i w:val="0"/>
          <w:iCs w:val="0"/>
          <w:caps w:val="0"/>
          <w:color w:val="333333"/>
          <w:spacing w:val="0"/>
          <w:sz w:val="32"/>
          <w:szCs w:val="32"/>
          <w:shd w:val="clear" w:fill="FFFFFF"/>
          <w:lang w:val="en-US" w:eastAsia="zh-CN"/>
        </w:rPr>
      </w:pP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卫生健康（</w:t>
      </w:r>
      <w:r>
        <w:rPr>
          <w:rFonts w:hint="eastAsia" w:eastAsia="仿宋_GB2312" w:cs="仿宋_GB2312"/>
          <w:color w:val="auto"/>
          <w:kern w:val="2"/>
          <w:sz w:val="32"/>
          <w:szCs w:val="32"/>
          <w:highlight w:val="none"/>
          <w:lang w:val="en-US" w:eastAsia="zh-CN" w:bidi="ar-SA"/>
        </w:rPr>
        <w:t>210</w:t>
      </w:r>
      <w:r>
        <w:rPr>
          <w:rFonts w:hint="eastAsia" w:ascii="Times New Roman" w:hAnsi="Times New Roman" w:eastAsia="仿宋_GB2312" w:cs="仿宋_GB2312"/>
          <w:color w:val="auto"/>
          <w:kern w:val="2"/>
          <w:sz w:val="32"/>
          <w:szCs w:val="32"/>
          <w:highlight w:val="none"/>
          <w:lang w:val="en-US" w:eastAsia="zh-CN" w:bidi="ar-SA"/>
        </w:rPr>
        <w:t>）行政事业单位医疗（</w:t>
      </w:r>
      <w:r>
        <w:rPr>
          <w:rFonts w:hint="eastAsia" w:eastAsia="仿宋_GB2312" w:cs="仿宋_GB2312"/>
          <w:color w:val="auto"/>
          <w:kern w:val="2"/>
          <w:sz w:val="32"/>
          <w:szCs w:val="32"/>
          <w:highlight w:val="none"/>
          <w:lang w:val="en-US" w:eastAsia="zh-CN" w:bidi="ar-SA"/>
        </w:rPr>
        <w:t>21011</w:t>
      </w:r>
      <w:r>
        <w:rPr>
          <w:rFonts w:hint="eastAsia" w:ascii="Times New Roman" w:hAnsi="Times New Roman" w:eastAsia="仿宋_GB2312" w:cs="仿宋_GB2312"/>
          <w:color w:val="auto"/>
          <w:kern w:val="2"/>
          <w:sz w:val="32"/>
          <w:szCs w:val="32"/>
          <w:highlight w:val="none"/>
          <w:lang w:val="en-US" w:eastAsia="zh-CN" w:bidi="ar-SA"/>
        </w:rPr>
        <w:t>）公务员医疗补助（</w:t>
      </w:r>
      <w:r>
        <w:rPr>
          <w:rFonts w:hint="eastAsia" w:eastAsia="仿宋_GB2312" w:cs="仿宋_GB2312"/>
          <w:color w:val="auto"/>
          <w:kern w:val="2"/>
          <w:sz w:val="32"/>
          <w:szCs w:val="32"/>
          <w:highlight w:val="none"/>
          <w:lang w:val="en-US" w:eastAsia="zh-CN" w:bidi="ar-SA"/>
        </w:rPr>
        <w:t>2101103</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8.76</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ascii="仿宋_GB2312" w:hAnsi="宋体" w:eastAsia="仿宋_GB2312" w:cs="仿宋_GB2312"/>
          <w:i w:val="0"/>
          <w:iCs w:val="0"/>
          <w:caps w:val="0"/>
          <w:color w:val="333333"/>
          <w:spacing w:val="0"/>
          <w:sz w:val="32"/>
          <w:szCs w:val="32"/>
          <w:shd w:val="clear" w:fill="FFFFFF"/>
        </w:rPr>
        <w:t>决算数等于预算</w:t>
      </w:r>
      <w:r>
        <w:rPr>
          <w:rFonts w:hint="eastAsia" w:ascii="仿宋_GB2312" w:hAnsi="宋体" w:eastAsia="仿宋_GB2312" w:cs="仿宋_GB2312"/>
          <w:i w:val="0"/>
          <w:iCs w:val="0"/>
          <w:caps w:val="0"/>
          <w:color w:val="333333"/>
          <w:spacing w:val="0"/>
          <w:sz w:val="32"/>
          <w:szCs w:val="32"/>
          <w:shd w:val="clear" w:fill="FFFFFF"/>
          <w:lang w:val="en-US" w:eastAsia="zh-CN"/>
        </w:rPr>
        <w:t>数。</w:t>
      </w:r>
    </w:p>
    <w:p>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221</w:t>
      </w:r>
      <w:r>
        <w:rPr>
          <w:rFonts w:hint="eastAsia" w:ascii="Times New Roman" w:hAnsi="Times New Roman" w:eastAsia="仿宋_GB2312" w:cs="仿宋_GB2312"/>
          <w:color w:val="auto"/>
          <w:kern w:val="2"/>
          <w:sz w:val="32"/>
          <w:szCs w:val="32"/>
          <w:highlight w:val="none"/>
          <w:lang w:val="en-US" w:eastAsia="zh-CN" w:bidi="ar-SA"/>
        </w:rPr>
        <w:t>）住房改革支出（</w:t>
      </w:r>
      <w:r>
        <w:rPr>
          <w:rFonts w:hint="eastAsia" w:eastAsia="仿宋_GB2312" w:cs="仿宋_GB2312"/>
          <w:color w:val="auto"/>
          <w:kern w:val="2"/>
          <w:sz w:val="32"/>
          <w:szCs w:val="32"/>
          <w:highlight w:val="none"/>
          <w:lang w:val="en-US" w:eastAsia="zh-CN" w:bidi="ar-SA"/>
        </w:rPr>
        <w:t>22102</w:t>
      </w:r>
      <w:r>
        <w:rPr>
          <w:rFonts w:hint="eastAsia" w:ascii="Times New Roman" w:hAnsi="Times New Roman" w:eastAsia="仿宋_GB2312" w:cs="仿宋_GB2312"/>
          <w:color w:val="auto"/>
          <w:kern w:val="2"/>
          <w:sz w:val="32"/>
          <w:szCs w:val="32"/>
          <w:highlight w:val="none"/>
          <w:lang w:val="en-US" w:eastAsia="zh-CN" w:bidi="ar-SA"/>
        </w:rPr>
        <w:t>）住房公积金（</w:t>
      </w:r>
      <w:r>
        <w:rPr>
          <w:rFonts w:hint="eastAsia" w:eastAsia="仿宋_GB2312" w:cs="仿宋_GB2312"/>
          <w:color w:val="auto"/>
          <w:kern w:val="2"/>
          <w:sz w:val="32"/>
          <w:szCs w:val="32"/>
          <w:highlight w:val="none"/>
          <w:lang w:val="en-US" w:eastAsia="zh-CN" w:bidi="ar-SA"/>
        </w:rPr>
        <w:t>2210201</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58.88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ascii="仿宋_GB2312" w:hAnsi="宋体" w:eastAsia="仿宋_GB2312" w:cs="仿宋_GB2312"/>
          <w:i w:val="0"/>
          <w:iCs w:val="0"/>
          <w:caps w:val="0"/>
          <w:color w:val="333333"/>
          <w:spacing w:val="0"/>
          <w:sz w:val="32"/>
          <w:szCs w:val="32"/>
          <w:shd w:val="clear" w:fill="FFFFFF"/>
        </w:rPr>
        <w:t>决算数等于预算</w:t>
      </w:r>
      <w:r>
        <w:rPr>
          <w:rFonts w:hint="eastAsia" w:ascii="仿宋_GB2312" w:hAnsi="宋体" w:eastAsia="仿宋_GB2312" w:cs="仿宋_GB2312"/>
          <w:i w:val="0"/>
          <w:iCs w:val="0"/>
          <w:caps w:val="0"/>
          <w:color w:val="333333"/>
          <w:spacing w:val="0"/>
          <w:sz w:val="32"/>
          <w:szCs w:val="32"/>
          <w:shd w:val="clear" w:fill="FFFFFF"/>
          <w:lang w:val="en-US" w:eastAsia="zh-CN"/>
        </w:rPr>
        <w:t>数。</w:t>
      </w:r>
    </w:p>
    <w:p>
      <w:pPr>
        <w:tabs>
          <w:tab w:val="right" w:pos="8306"/>
        </w:tabs>
        <w:spacing w:line="600" w:lineRule="exact"/>
        <w:ind w:firstLine="640"/>
        <w:outlineLvl w:val="1"/>
        <w:rPr>
          <w:rStyle w:val="29"/>
          <w:rFonts w:ascii="Times New Roman" w:hAnsi="Times New Roman"/>
          <w:color w:val="auto"/>
          <w:highlight w:val="none"/>
        </w:rPr>
      </w:pPr>
      <w:bookmarkStart w:id="23" w:name="_Toc15377214"/>
      <w:bookmarkStart w:id="24"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23"/>
      <w:bookmarkEnd w:id="24"/>
      <w:r>
        <w:rPr>
          <w:rStyle w:val="29"/>
          <w:rFonts w:ascii="Times New Roman" w:hAnsi="Times New Roman" w:eastAsia="黑体"/>
          <w:b w:val="0"/>
          <w:color w:val="auto"/>
          <w:highlight w:val="none"/>
        </w:rPr>
        <w:tab/>
      </w:r>
    </w:p>
    <w:p>
      <w:pPr>
        <w:spacing w:line="600" w:lineRule="exact"/>
        <w:ind w:firstLine="640"/>
        <w:rPr>
          <w:rFonts w:hint="eastAsia" w:ascii="仿宋_GB2312" w:hAnsi="宋体" w:eastAsia="仿宋_GB2312" w:cs="仿宋_GB2312"/>
          <w:i w:val="0"/>
          <w:iCs w:val="0"/>
          <w:caps w:val="0"/>
          <w:color w:val="333333"/>
          <w:spacing w:val="0"/>
          <w:kern w:val="2"/>
          <w:sz w:val="32"/>
          <w:szCs w:val="32"/>
          <w:shd w:val="clear" w:fill="FFFFFF"/>
          <w:lang w:val="en-US" w:eastAsia="zh-CN" w:bidi="ar-SA"/>
        </w:rPr>
      </w:pPr>
      <w:r>
        <w:rPr>
          <w:rFonts w:hint="eastAsia" w:ascii="仿宋_GB2312" w:hAnsi="宋体" w:eastAsia="仿宋_GB2312" w:cs="仿宋_GB2312"/>
          <w:i w:val="0"/>
          <w:iCs w:val="0"/>
          <w:caps w:val="0"/>
          <w:color w:val="333333"/>
          <w:spacing w:val="0"/>
          <w:kern w:val="2"/>
          <w:sz w:val="32"/>
          <w:szCs w:val="32"/>
          <w:shd w:val="clear" w:fill="FFFFFF"/>
          <w:lang w:val="en-US" w:eastAsia="zh-CN" w:bidi="ar-SA"/>
        </w:rPr>
        <w:t>2025年度一般公共预算财政拨款基本支出1905.89万元，其中：</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宋体" w:eastAsia="仿宋_GB2312" w:cs="仿宋_GB2312"/>
          <w:i w:val="0"/>
          <w:iCs w:val="0"/>
          <w:caps w:val="0"/>
          <w:color w:val="333333"/>
          <w:spacing w:val="0"/>
          <w:kern w:val="2"/>
          <w:sz w:val="32"/>
          <w:szCs w:val="32"/>
          <w:shd w:val="clear" w:fill="FFFFFF"/>
          <w:lang w:val="en-US" w:eastAsia="zh-CN" w:bidi="ar-SA"/>
        </w:rPr>
        <w:t>人员经费844.77万元，主要包括：基本工资、津贴补贴、奖金、伙食补助费、绩效工资、机关事业单位基本养老保险缴费、职业年金缴费、其他社会保障缴费、其他工资福利支出、生活补助、医疗费补助、奖励金、住房公积金、其他对个人和家庭的补助支出等。</w:t>
      </w:r>
      <w:r>
        <w:rPr>
          <w:rFonts w:hint="eastAsia" w:ascii="仿宋_GB2312" w:hAnsi="宋体" w:eastAsia="仿宋_GB2312" w:cs="仿宋_GB2312"/>
          <w:i w:val="0"/>
          <w:iCs w:val="0"/>
          <w:caps w:val="0"/>
          <w:color w:val="333333"/>
          <w:spacing w:val="0"/>
          <w:kern w:val="2"/>
          <w:sz w:val="32"/>
          <w:szCs w:val="32"/>
          <w:shd w:val="clear" w:fill="FFFFFF"/>
          <w:lang w:val="en-US" w:eastAsia="zh-CN" w:bidi="ar-SA"/>
        </w:rPr>
        <w:br w:type="textWrapping"/>
      </w:r>
      <w:r>
        <w:rPr>
          <w:rFonts w:hint="eastAsia" w:ascii="仿宋_GB2312" w:hAnsi="宋体" w:eastAsia="仿宋_GB2312" w:cs="仿宋_GB2312"/>
          <w:i w:val="0"/>
          <w:iCs w:val="0"/>
          <w:caps w:val="0"/>
          <w:color w:val="333333"/>
          <w:spacing w:val="0"/>
          <w:kern w:val="2"/>
          <w:sz w:val="32"/>
          <w:szCs w:val="32"/>
          <w:shd w:val="clear" w:fill="FFFFFF"/>
          <w:lang w:val="en-US" w:eastAsia="zh-CN" w:bidi="ar-SA"/>
        </w:rPr>
        <w:t>　　公用经费1061.12万元，主要包括：办公费、印刷费、咨询费、手续费、水费、电费、邮电费、取暖费、物业管理费、差旅费、维修（护）费、租赁费、会议费、培训费、公务接待费、劳务费、委托业务费、福利费、公务用车运行维护费、其他交通费、其他商品和服务支出、办公设备购置、专用设备购置、信息网络及软件购置更新。</w:t>
      </w:r>
    </w:p>
    <w:p>
      <w:pPr>
        <w:tabs>
          <w:tab w:val="right" w:pos="8306"/>
        </w:tabs>
        <w:spacing w:line="600" w:lineRule="exact"/>
        <w:ind w:firstLine="640"/>
        <w:outlineLvl w:val="1"/>
        <w:rPr>
          <w:rFonts w:hint="eastAsia" w:ascii="Times New Roman" w:hAnsi="Times New Roman" w:eastAsia="黑体"/>
          <w:color w:val="auto"/>
          <w:sz w:val="32"/>
          <w:szCs w:val="32"/>
          <w:highlight w:val="none"/>
        </w:rPr>
      </w:pPr>
      <w:bookmarkStart w:id="25" w:name="_Toc15377215"/>
      <w:bookmarkStart w:id="26" w:name="_Toc15396609"/>
      <w:r>
        <w:rPr>
          <w:rFonts w:hint="eastAsia" w:ascii="Times New Roman" w:hAnsi="Times New Roman" w:eastAsia="黑体"/>
          <w:color w:val="auto"/>
          <w:sz w:val="32"/>
          <w:szCs w:val="32"/>
          <w:highlight w:val="none"/>
        </w:rPr>
        <w:t>七、财政拨款“三公”经费支出决算情况说明</w:t>
      </w:r>
      <w:bookmarkEnd w:id="25"/>
      <w:bookmarkEnd w:id="26"/>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27"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27"/>
    </w:p>
    <w:p>
      <w:pPr>
        <w:spacing w:line="600" w:lineRule="exact"/>
        <w:ind w:firstLine="640"/>
        <w:rPr>
          <w:rFonts w:hint="default" w:ascii="仿宋_GB2312" w:hAnsi="宋体" w:eastAsia="仿宋_GB2312" w:cs="仿宋_GB2312"/>
          <w:i w:val="0"/>
          <w:iCs w:val="0"/>
          <w:caps w:val="0"/>
          <w:color w:val="333333"/>
          <w:spacing w:val="0"/>
          <w:kern w:val="2"/>
          <w:sz w:val="32"/>
          <w:szCs w:val="32"/>
          <w:shd w:val="clear" w:fill="FFFFFF"/>
          <w:lang w:val="en-US" w:eastAsia="zh-CN" w:bidi="ar-SA"/>
        </w:rPr>
      </w:pPr>
      <w:r>
        <w:rPr>
          <w:rFonts w:hint="eastAsia" w:ascii="仿宋_GB2312" w:hAnsi="宋体" w:eastAsia="仿宋_GB2312" w:cs="仿宋_GB2312"/>
          <w:i w:val="0"/>
          <w:iCs w:val="0"/>
          <w:caps w:val="0"/>
          <w:color w:val="333333"/>
          <w:spacing w:val="0"/>
          <w:kern w:val="2"/>
          <w:sz w:val="32"/>
          <w:szCs w:val="32"/>
          <w:shd w:val="clear" w:fill="FFFFFF"/>
          <w:lang w:val="en-US" w:eastAsia="zh-CN" w:bidi="ar-SA"/>
        </w:rPr>
        <w:t>2025年度财政拨款“三公”经费支出决算为11.21万元，完成预算100%，较上年度减少73.57万元，下降86%。主要原因是一是2024年度我馆申请公车大修项目合计资金8万元，二是我馆2024年新购置公务用车一辆，合计金额65.09万元，造成我馆2025年度“三公”经费降低。</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28"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28"/>
    </w:p>
    <w:p>
      <w:pPr>
        <w:spacing w:line="600" w:lineRule="exact"/>
        <w:ind w:firstLine="640"/>
        <w:rPr>
          <w:rFonts w:hint="eastAsia" w:ascii="仿宋_GB2312" w:hAnsi="宋体" w:eastAsia="仿宋_GB2312" w:cs="仿宋_GB2312"/>
          <w:i w:val="0"/>
          <w:iCs w:val="0"/>
          <w:caps w:val="0"/>
          <w:color w:val="333333"/>
          <w:spacing w:val="0"/>
          <w:kern w:val="2"/>
          <w:sz w:val="32"/>
          <w:szCs w:val="32"/>
          <w:shd w:val="clear" w:fill="FFFFFF"/>
          <w:lang w:val="en-US" w:eastAsia="zh-CN" w:bidi="ar-SA"/>
        </w:rPr>
      </w:pPr>
      <w:r>
        <w:rPr>
          <w:rFonts w:hint="eastAsia" w:ascii="仿宋_GB2312" w:hAnsi="宋体" w:eastAsia="仿宋_GB2312" w:cs="仿宋_GB2312"/>
          <w:i w:val="0"/>
          <w:iCs w:val="0"/>
          <w:caps w:val="0"/>
          <w:color w:val="333333"/>
          <w:spacing w:val="0"/>
          <w:kern w:val="2"/>
          <w:sz w:val="32"/>
          <w:szCs w:val="32"/>
          <w:shd w:val="clear" w:fill="FFFFFF"/>
          <w:lang w:val="en-US" w:eastAsia="zh-CN" w:bidi="ar-SA"/>
        </w:rPr>
        <w:t>2025年度财政拨款“三公”经费支出决算中，公务用车购置及运行维护费支出决算11.14万元，占99.37%；公务接待费支出决算0.07万元，占0.63%。具体情况如下：</w:t>
      </w:r>
    </w:p>
    <w:p>
      <w:pPr>
        <w:spacing w:line="600" w:lineRule="exact"/>
        <w:ind w:firstLine="640"/>
        <w:rPr>
          <w:rFonts w:hint="eastAsia" w:ascii="仿宋_GB2312" w:hAnsi="宋体" w:eastAsia="仿宋_GB2312" w:cs="仿宋_GB2312"/>
          <w:i w:val="0"/>
          <w:iCs w:val="0"/>
          <w:caps w:val="0"/>
          <w:color w:val="333333"/>
          <w:spacing w:val="0"/>
          <w:kern w:val="2"/>
          <w:sz w:val="32"/>
          <w:szCs w:val="32"/>
          <w:shd w:val="clear" w:fill="FFFFFF"/>
          <w:lang w:val="en-US" w:eastAsia="zh-CN" w:bidi="ar-SA"/>
        </w:rPr>
      </w:pPr>
      <w:r>
        <w:rPr>
          <w:rFonts w:hint="eastAsia" w:ascii="仿宋_GB2312" w:hAnsi="宋体" w:eastAsia="仿宋_GB2312" w:cs="仿宋_GB2312"/>
          <w:i w:val="0"/>
          <w:iCs w:val="0"/>
          <w:caps w:val="0"/>
          <w:color w:val="333333"/>
          <w:spacing w:val="0"/>
          <w:kern w:val="2"/>
          <w:sz w:val="32"/>
          <w:szCs w:val="32"/>
          <w:shd w:val="clear" w:fill="FFFFFF"/>
          <w:lang w:val="en-US" w:eastAsia="zh-CN" w:bidi="ar-SA"/>
        </w:rPr>
        <w:t>（图7：财政拨款“三公”经费支出结构）</w:t>
      </w:r>
    </w:p>
    <w:p>
      <w:pPr>
        <w:pStyle w:val="13"/>
        <w:rPr>
          <w:rFonts w:hint="eastAsia"/>
          <w:lang w:val="en-US" w:eastAsia="zh-CN"/>
        </w:rPr>
      </w:pPr>
    </w:p>
    <w:p>
      <w:pPr>
        <w:pStyle w:val="13"/>
        <w:rPr>
          <w:rFonts w:hint="eastAsia"/>
          <w:lang w:val="en-US" w:eastAsia="zh-CN"/>
        </w:rPr>
      </w:pPr>
      <w:r>
        <w:rPr>
          <w:rFonts w:hint="eastAsia"/>
          <w:lang w:val="en-US" w:eastAsia="zh-CN"/>
        </w:rPr>
        <w:t xml:space="preserve">   </w:t>
      </w:r>
      <w:r>
        <w:drawing>
          <wp:inline distT="0" distB="0" distL="114300" distR="114300">
            <wp:extent cx="4826000" cy="2743200"/>
            <wp:effectExtent l="4445" t="4445" r="8255" b="14605"/>
            <wp:docPr id="26" name="图表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spacing w:line="600" w:lineRule="exact"/>
        <w:ind w:firstLine="640"/>
        <w:rPr>
          <w:rFonts w:hint="default" w:ascii="仿宋_GB2312" w:hAnsi="宋体" w:eastAsia="仿宋_GB2312" w:cs="仿宋_GB2312"/>
          <w:i w:val="0"/>
          <w:iCs w:val="0"/>
          <w:caps w:val="0"/>
          <w:color w:val="333333"/>
          <w:spacing w:val="0"/>
          <w:kern w:val="2"/>
          <w:sz w:val="32"/>
          <w:szCs w:val="32"/>
          <w:shd w:val="clear" w:fill="FFFFFF"/>
          <w:lang w:val="en-US" w:eastAsia="zh-CN" w:bidi="ar-SA"/>
        </w:rPr>
      </w:pPr>
      <w:r>
        <w:rPr>
          <w:rFonts w:hint="eastAsia" w:ascii="仿宋_GB2312" w:hAnsi="宋体" w:eastAsia="仿宋_GB2312" w:cs="仿宋_GB2312"/>
          <w:i w:val="0"/>
          <w:iCs w:val="0"/>
          <w:caps w:val="0"/>
          <w:color w:val="333333"/>
          <w:spacing w:val="0"/>
          <w:kern w:val="2"/>
          <w:sz w:val="32"/>
          <w:szCs w:val="32"/>
          <w:shd w:val="clear" w:fill="FFFFFF"/>
          <w:lang w:val="en-US" w:eastAsia="zh-CN" w:bidi="ar-SA"/>
        </w:rPr>
        <w:t>1.公务用车购置及运行维护费支出11.14万元，完成预算100%。公务用车购置及运行维护费支出决算比上年度增加/减少73.3万元，增长/下降86.7%。主要原因是一是2024年度我馆申请公车大修项目合计资金8万元，二是我馆2024年新购置公务用车一辆，合计金额65.09万元，造成我馆2025年度公务用车购置及运行维护费经费降低。</w:t>
      </w:r>
    </w:p>
    <w:p>
      <w:pPr>
        <w:spacing w:line="600" w:lineRule="exact"/>
        <w:ind w:firstLine="640"/>
        <w:rPr>
          <w:rFonts w:hint="eastAsia" w:ascii="仿宋_GB2312" w:hAnsi="宋体" w:eastAsia="仿宋_GB2312" w:cs="仿宋_GB2312"/>
          <w:i w:val="0"/>
          <w:iCs w:val="0"/>
          <w:caps w:val="0"/>
          <w:color w:val="333333"/>
          <w:spacing w:val="0"/>
          <w:kern w:val="2"/>
          <w:sz w:val="32"/>
          <w:szCs w:val="32"/>
          <w:shd w:val="clear" w:fill="FFFFFF"/>
          <w:lang w:val="en-US" w:eastAsia="zh-CN" w:bidi="ar-SA"/>
        </w:rPr>
      </w:pPr>
      <w:r>
        <w:rPr>
          <w:rFonts w:hint="eastAsia" w:ascii="仿宋_GB2312" w:hAnsi="宋体" w:eastAsia="仿宋_GB2312" w:cs="仿宋_GB2312"/>
          <w:i w:val="0"/>
          <w:iCs w:val="0"/>
          <w:caps w:val="0"/>
          <w:color w:val="333333"/>
          <w:spacing w:val="0"/>
          <w:kern w:val="2"/>
          <w:sz w:val="32"/>
          <w:szCs w:val="32"/>
          <w:shd w:val="clear" w:fill="FFFFFF"/>
          <w:lang w:val="en-US" w:eastAsia="zh-CN" w:bidi="ar-SA"/>
        </w:rPr>
        <w:t>2.公务接待费支出0.07万元，完成预算100%。公务接待费支出决算比上年度减少0.27万元，下降79%。主要原因是2025年度我馆公务接待次数减少。</w:t>
      </w:r>
      <w:bookmarkStart w:id="29" w:name="_Toc15396610"/>
      <w:bookmarkStart w:id="30" w:name="_Toc15377218"/>
    </w:p>
    <w:p>
      <w:pPr>
        <w:spacing w:line="600" w:lineRule="exact"/>
        <w:ind w:firstLine="640"/>
        <w:rPr>
          <w:rFonts w:hint="eastAsia" w:ascii="仿宋_GB2312" w:hAnsi="宋体" w:eastAsia="仿宋_GB2312" w:cs="仿宋_GB2312"/>
          <w:i w:val="0"/>
          <w:iCs w:val="0"/>
          <w:caps w:val="0"/>
          <w:color w:val="333333"/>
          <w:spacing w:val="0"/>
          <w:kern w:val="2"/>
          <w:sz w:val="32"/>
          <w:szCs w:val="32"/>
          <w:shd w:val="clear" w:fill="FFFFFF"/>
          <w:lang w:val="en-US" w:eastAsia="zh-CN" w:bidi="ar-SA"/>
        </w:rPr>
      </w:pPr>
      <w:r>
        <w:rPr>
          <w:rFonts w:hint="eastAsia" w:ascii="仿宋_GB2312" w:hAnsi="宋体" w:eastAsia="仿宋_GB2312" w:cs="仿宋_GB2312"/>
          <w:i w:val="0"/>
          <w:iCs w:val="0"/>
          <w:caps w:val="0"/>
          <w:color w:val="333333"/>
          <w:spacing w:val="0"/>
          <w:kern w:val="2"/>
          <w:sz w:val="32"/>
          <w:szCs w:val="32"/>
          <w:shd w:val="clear" w:fill="FFFFFF"/>
          <w:lang w:val="en-US" w:eastAsia="zh-CN" w:bidi="ar-SA"/>
        </w:rPr>
        <w:t>3.外事接待支出0万元。</w:t>
      </w:r>
    </w:p>
    <w:p>
      <w:pPr>
        <w:spacing w:line="600" w:lineRule="exact"/>
        <w:ind w:firstLine="640"/>
        <w:outlineLvl w:val="1"/>
        <w:rPr>
          <w:rStyle w:val="29"/>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29"/>
      <w:bookmarkEnd w:id="30"/>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ascii="仿宋_GB2312" w:hAnsi="宋体" w:eastAsia="仿宋_GB2312" w:cs="仿宋_GB2312"/>
          <w:i w:val="0"/>
          <w:iCs w:val="0"/>
          <w:caps w:val="0"/>
          <w:color w:val="333333"/>
          <w:spacing w:val="0"/>
          <w:sz w:val="32"/>
          <w:szCs w:val="32"/>
          <w:shd w:val="clear" w:fill="FFFFFF"/>
        </w:rPr>
        <w:t>202</w:t>
      </w:r>
      <w:r>
        <w:rPr>
          <w:rFonts w:hint="eastAsia" w:ascii="仿宋_GB2312" w:hAnsi="宋体" w:eastAsia="仿宋_GB2312" w:cs="仿宋_GB2312"/>
          <w:i w:val="0"/>
          <w:iCs w:val="0"/>
          <w:caps w:val="0"/>
          <w:color w:val="333333"/>
          <w:spacing w:val="0"/>
          <w:sz w:val="32"/>
          <w:szCs w:val="32"/>
          <w:shd w:val="clear" w:fill="FFFFFF"/>
          <w:lang w:val="en-US" w:eastAsia="zh-CN"/>
        </w:rPr>
        <w:t>5</w:t>
      </w:r>
      <w:r>
        <w:rPr>
          <w:rFonts w:hint="eastAsia" w:ascii="仿宋_GB2312" w:hAnsi="宋体" w:eastAsia="仿宋_GB2312" w:cs="仿宋_GB2312"/>
          <w:i w:val="0"/>
          <w:iCs w:val="0"/>
          <w:caps w:val="0"/>
          <w:color w:val="333333"/>
          <w:spacing w:val="0"/>
          <w:sz w:val="32"/>
          <w:szCs w:val="32"/>
          <w:shd w:val="clear" w:fill="FFFFFF"/>
        </w:rPr>
        <w:t>年度政府性基金预算财政拨款支出0万元。</w:t>
      </w:r>
    </w:p>
    <w:p>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31" w:name="_Toc15396611"/>
      <w:bookmarkStart w:id="32" w:name="_Toc15377219"/>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31"/>
      <w:bookmarkEnd w:id="32"/>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ascii="仿宋_GB2312" w:hAnsi="宋体" w:eastAsia="仿宋_GB2312" w:cs="仿宋_GB2312"/>
          <w:i w:val="0"/>
          <w:iCs w:val="0"/>
          <w:caps w:val="0"/>
          <w:color w:val="333333"/>
          <w:spacing w:val="0"/>
          <w:sz w:val="32"/>
          <w:szCs w:val="32"/>
          <w:shd w:val="clear" w:fill="FFFFFF"/>
        </w:rPr>
        <w:t>202</w:t>
      </w:r>
      <w:r>
        <w:rPr>
          <w:rFonts w:hint="eastAsia" w:ascii="仿宋_GB2312" w:hAnsi="宋体" w:eastAsia="仿宋_GB2312" w:cs="仿宋_GB2312"/>
          <w:i w:val="0"/>
          <w:iCs w:val="0"/>
          <w:caps w:val="0"/>
          <w:color w:val="333333"/>
          <w:spacing w:val="0"/>
          <w:sz w:val="32"/>
          <w:szCs w:val="32"/>
          <w:shd w:val="clear" w:fill="FFFFFF"/>
        </w:rPr>
        <w:t>4年度国有资本经营预算财政拨款支出0万元。</w:t>
      </w:r>
    </w:p>
    <w:p>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33" w:name="_Toc15377221"/>
      <w:bookmarkStart w:id="34" w:name="_Toc15396612"/>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33"/>
      <w:bookmarkEnd w:id="34"/>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5" w:name="_Toc15377222"/>
      <w:r>
        <w:rPr>
          <w:rFonts w:hint="eastAsia" w:ascii="Times New Roman" w:hAnsi="Times New Roman" w:eastAsia="楷体_GB2312" w:cs="楷体_GB2312"/>
          <w:b/>
          <w:color w:val="auto"/>
          <w:sz w:val="32"/>
          <w:szCs w:val="32"/>
          <w:highlight w:val="none"/>
        </w:rPr>
        <w:t>（一）机关运行经费支出情况</w:t>
      </w:r>
      <w:bookmarkEnd w:id="35"/>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阿坝州档案馆</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eastAsia="仿宋_GB2312" w:cs="仿宋_GB2312"/>
          <w:color w:val="auto"/>
          <w:kern w:val="2"/>
          <w:sz w:val="32"/>
          <w:szCs w:val="32"/>
          <w:highlight w:val="none"/>
          <w:lang w:val="en-US" w:eastAsia="zh-CN" w:bidi="ar-SA"/>
        </w:rPr>
        <w:t>63.06</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年度减少</w:t>
      </w:r>
      <w:r>
        <w:rPr>
          <w:rFonts w:hint="eastAsia" w:eastAsia="仿宋_GB2312" w:cs="仿宋_GB2312"/>
          <w:color w:val="auto"/>
          <w:kern w:val="2"/>
          <w:sz w:val="32"/>
          <w:szCs w:val="32"/>
          <w:highlight w:val="none"/>
          <w:lang w:val="en-US" w:eastAsia="zh-CN" w:bidi="ar-SA"/>
        </w:rPr>
        <w:t>228.03</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78.34</w:t>
      </w:r>
      <w:r>
        <w:rPr>
          <w:rFonts w:hint="eastAsia" w:ascii="Times New Roman" w:hAnsi="Times New Roman" w:eastAsia="仿宋_GB2312" w:cs="仿宋_GB2312"/>
          <w:color w:val="auto"/>
          <w:kern w:val="2"/>
          <w:sz w:val="32"/>
          <w:szCs w:val="32"/>
          <w:highlight w:val="none"/>
          <w:lang w:val="en-US" w:eastAsia="zh-CN" w:bidi="ar-SA"/>
        </w:rPr>
        <w:t>%主要原因</w:t>
      </w:r>
      <w:r>
        <w:rPr>
          <w:rFonts w:hint="eastAsia" w:eastAsia="仿宋_GB2312" w:cs="仿宋_GB2312"/>
          <w:color w:val="auto"/>
          <w:kern w:val="2"/>
          <w:sz w:val="32"/>
          <w:szCs w:val="32"/>
          <w:highlight w:val="none"/>
          <w:lang w:val="en-US" w:eastAsia="zh-CN" w:bidi="ar-SA"/>
        </w:rPr>
        <w:t>一是</w:t>
      </w:r>
      <w:r>
        <w:rPr>
          <w:rFonts w:hint="eastAsia" w:ascii="Times New Roman" w:hAnsi="Times New Roman" w:eastAsia="仿宋_GB2312" w:cs="仿宋_GB2312"/>
          <w:color w:val="auto"/>
          <w:kern w:val="2"/>
          <w:sz w:val="32"/>
          <w:szCs w:val="32"/>
          <w:highlight w:val="none"/>
          <w:lang w:val="en-US" w:eastAsia="zh-CN" w:bidi="ar-SA"/>
        </w:rPr>
        <w:t>是</w:t>
      </w:r>
      <w:r>
        <w:rPr>
          <w:rFonts w:ascii="仿宋_GB2312" w:hAnsi="宋体" w:eastAsia="仿宋_GB2312" w:cs="仿宋_GB2312"/>
          <w:i w:val="0"/>
          <w:iCs w:val="0"/>
          <w:caps w:val="0"/>
          <w:color w:val="333333"/>
          <w:spacing w:val="0"/>
          <w:sz w:val="32"/>
          <w:szCs w:val="32"/>
          <w:shd w:val="clear" w:fill="FFFFFF"/>
        </w:rPr>
        <w:t>人员经费基数变化，</w:t>
      </w:r>
      <w:r>
        <w:rPr>
          <w:rFonts w:hint="eastAsia" w:ascii="仿宋_GB2312" w:hAnsi="宋体" w:eastAsia="仿宋_GB2312" w:cs="仿宋_GB2312"/>
          <w:i w:val="0"/>
          <w:iCs w:val="0"/>
          <w:caps w:val="0"/>
          <w:color w:val="333333"/>
          <w:spacing w:val="0"/>
          <w:sz w:val="32"/>
          <w:szCs w:val="32"/>
          <w:shd w:val="clear" w:fill="FFFFFF"/>
          <w:lang w:val="en-US" w:eastAsia="zh-CN"/>
        </w:rPr>
        <w:t>二是2025年度</w:t>
      </w:r>
      <w:r>
        <w:rPr>
          <w:rFonts w:ascii="仿宋_GB2312" w:hAnsi="宋体" w:eastAsia="仿宋_GB2312" w:cs="仿宋_GB2312"/>
          <w:i w:val="0"/>
          <w:iCs w:val="0"/>
          <w:caps w:val="0"/>
          <w:color w:val="333333"/>
          <w:spacing w:val="0"/>
          <w:sz w:val="32"/>
          <w:szCs w:val="32"/>
          <w:shd w:val="clear" w:fill="FFFFFF"/>
        </w:rPr>
        <w:t>项目</w:t>
      </w:r>
      <w:r>
        <w:rPr>
          <w:rFonts w:hint="eastAsia" w:ascii="仿宋_GB2312" w:hAnsi="宋体" w:eastAsia="仿宋_GB2312" w:cs="仿宋_GB2312"/>
          <w:i w:val="0"/>
          <w:iCs w:val="0"/>
          <w:caps w:val="0"/>
          <w:color w:val="333333"/>
          <w:spacing w:val="0"/>
          <w:sz w:val="32"/>
          <w:szCs w:val="32"/>
          <w:shd w:val="clear" w:fill="FFFFFF"/>
          <w:lang w:val="en-US" w:eastAsia="zh-CN"/>
        </w:rPr>
        <w:t>减少</w:t>
      </w:r>
      <w:r>
        <w:rPr>
          <w:rFonts w:hint="eastAsia" w:ascii="仿宋_GB2312" w:hAnsi="宋体" w:eastAsia="仿宋_GB2312" w:cs="仿宋_GB2312"/>
          <w:i w:val="0"/>
          <w:iCs w:val="0"/>
          <w:caps w:val="0"/>
          <w:color w:val="333333"/>
          <w:spacing w:val="0"/>
          <w:sz w:val="32"/>
          <w:szCs w:val="32"/>
          <w:shd w:val="clear" w:fill="FFFFFF"/>
        </w:rPr>
        <w:t>，符合单位实际。</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6" w:name="_Toc15377223"/>
      <w:r>
        <w:rPr>
          <w:rFonts w:hint="eastAsia" w:ascii="Times New Roman" w:hAnsi="Times New Roman" w:eastAsia="楷体_GB2312" w:cs="楷体_GB2312"/>
          <w:b/>
          <w:color w:val="auto"/>
          <w:sz w:val="32"/>
          <w:szCs w:val="32"/>
          <w:highlight w:val="none"/>
        </w:rPr>
        <w:t>（二）政府采购支出情况</w:t>
      </w:r>
      <w:bookmarkEnd w:id="36"/>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阿坝州档案馆</w:t>
      </w:r>
      <w:r>
        <w:rPr>
          <w:rFonts w:hint="eastAsia" w:ascii="Times New Roman" w:hAnsi="Times New Roman" w:eastAsia="仿宋_GB2312" w:cs="仿宋_GB2312"/>
          <w:color w:val="auto"/>
          <w:kern w:val="2"/>
          <w:sz w:val="32"/>
          <w:szCs w:val="32"/>
          <w:highlight w:val="none"/>
          <w:lang w:val="en-US" w:eastAsia="zh-CN" w:bidi="ar-SA"/>
        </w:rPr>
        <w:t>政府采购支出总额万元，其中：政府采购货物支出</w:t>
      </w:r>
      <w:r>
        <w:rPr>
          <w:rFonts w:hint="eastAsia" w:eastAsia="仿宋_GB2312" w:cs="仿宋_GB2312"/>
          <w:color w:val="auto"/>
          <w:kern w:val="2"/>
          <w:sz w:val="32"/>
          <w:szCs w:val="32"/>
          <w:highlight w:val="none"/>
          <w:lang w:val="en-US" w:eastAsia="zh-CN" w:bidi="ar-SA"/>
        </w:rPr>
        <w:t>267.2</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eastAsia="仿宋_GB2312" w:cs="仿宋_GB2312"/>
          <w:color w:val="auto"/>
          <w:kern w:val="2"/>
          <w:sz w:val="32"/>
          <w:szCs w:val="32"/>
          <w:highlight w:val="none"/>
          <w:lang w:val="en-US" w:eastAsia="zh-CN" w:bidi="ar-SA"/>
        </w:rPr>
        <w:t>152</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档案信息化建设项目、档案数字化建设项目、档案宣传项目及物业运转项目</w:t>
      </w:r>
      <w:r>
        <w:rPr>
          <w:rFonts w:hint="eastAsia" w:ascii="Times New Roman" w:hAnsi="Times New Roman" w:eastAsia="仿宋_GB2312" w:cs="仿宋_GB2312"/>
          <w:color w:val="auto"/>
          <w:kern w:val="2"/>
          <w:sz w:val="32"/>
          <w:szCs w:val="32"/>
          <w:highlight w:val="none"/>
          <w:lang w:val="en-US" w:eastAsia="zh-CN" w:bidi="ar-SA"/>
        </w:rPr>
        <w:t>。</w:t>
      </w:r>
      <w:bookmarkStart w:id="37" w:name="_Toc15377224"/>
    </w:p>
    <w:p>
      <w:pPr>
        <w:spacing w:line="600" w:lineRule="exact"/>
        <w:ind w:firstLine="640"/>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（三）国有资产占有使用情况</w:t>
      </w:r>
      <w:bookmarkEnd w:id="37"/>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eastAsia="仿宋_GB2312" w:cs="仿宋_GB2312"/>
          <w:color w:val="auto"/>
          <w:kern w:val="2"/>
          <w:sz w:val="32"/>
          <w:szCs w:val="32"/>
          <w:highlight w:val="none"/>
          <w:lang w:val="en-US" w:eastAsia="zh-CN" w:bidi="ar-SA"/>
        </w:rPr>
        <w:t>阿坝州档案馆</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辆，其中：其他用车</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辆，其他用车</w:t>
      </w:r>
      <w:r>
        <w:rPr>
          <w:rFonts w:ascii="仿宋_GB2312" w:hAnsi="宋体" w:eastAsia="仿宋_GB2312" w:cs="仿宋_GB2312"/>
          <w:i w:val="0"/>
          <w:iCs w:val="0"/>
          <w:caps w:val="0"/>
          <w:color w:val="333333"/>
          <w:spacing w:val="0"/>
          <w:sz w:val="32"/>
          <w:szCs w:val="32"/>
          <w:shd w:val="clear" w:fill="FFFFFF"/>
        </w:rPr>
        <w:t>主要是用于</w:t>
      </w:r>
      <w:r>
        <w:rPr>
          <w:rFonts w:hint="eastAsia" w:ascii="仿宋_GB2312" w:hAnsi="宋体" w:eastAsia="仿宋_GB2312" w:cs="仿宋_GB2312"/>
          <w:i w:val="0"/>
          <w:iCs w:val="0"/>
          <w:caps w:val="0"/>
          <w:color w:val="333333"/>
          <w:spacing w:val="0"/>
          <w:sz w:val="32"/>
          <w:szCs w:val="32"/>
          <w:shd w:val="clear" w:fill="FFFFFF"/>
        </w:rPr>
        <w:t>日常业务工作。单价100万元以上设备（不含车辆）0台（套）</w:t>
      </w:r>
      <w:r>
        <w:rPr>
          <w:rFonts w:hint="eastAsia" w:eastAsia="仿宋_GB2312" w:cs="仿宋_GB2312"/>
          <w:color w:val="auto"/>
          <w:kern w:val="2"/>
          <w:sz w:val="32"/>
          <w:szCs w:val="32"/>
          <w:highlight w:val="none"/>
          <w:lang w:val="en-US" w:eastAsia="zh-CN" w:bidi="ar-SA"/>
        </w:rPr>
        <w:t>。</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阿坝州档案馆</w:t>
      </w:r>
      <w:r>
        <w:rPr>
          <w:rFonts w:hint="eastAsia" w:ascii="Times New Roman" w:hAnsi="Times New Roman" w:eastAsia="仿宋_GB2312" w:cs="仿宋_GB2312"/>
          <w:color w:val="auto"/>
          <w:kern w:val="2"/>
          <w:sz w:val="32"/>
          <w:szCs w:val="32"/>
          <w:highlight w:val="none"/>
          <w:lang w:val="en-US" w:eastAsia="zh-CN" w:bidi="ar-SA"/>
        </w:rPr>
        <w:t>在2025年度，组织对阿坝州档案馆信息化建设及业务用房改造项目</w:t>
      </w:r>
      <w:r>
        <w:rPr>
          <w:rFonts w:hint="eastAsia" w:eastAsia="仿宋_GB2312" w:cs="仿宋_GB2312"/>
          <w:color w:val="auto"/>
          <w:kern w:val="2"/>
          <w:sz w:val="32"/>
          <w:szCs w:val="32"/>
          <w:highlight w:val="none"/>
          <w:lang w:val="en-US" w:eastAsia="zh-CN" w:bidi="ar-SA"/>
        </w:rPr>
        <w:t>、阿坝州档案馆物业管理项目、档案数字化项目、档案宣传项目、档案保管保护项目、散落民间各门类档案征集费、档案异地备份、档案专项业务工作经费、重点档案抢救与保护</w:t>
      </w:r>
      <w:r>
        <w:rPr>
          <w:rFonts w:hint="eastAsia" w:ascii="Times New Roman" w:hAnsi="Times New Roman" w:eastAsia="仿宋_GB2312" w:cs="仿宋_GB2312"/>
          <w:color w:val="auto"/>
          <w:kern w:val="2"/>
          <w:sz w:val="32"/>
          <w:szCs w:val="32"/>
          <w:highlight w:val="none"/>
          <w:lang w:val="en-US" w:eastAsia="zh-CN" w:bidi="ar-SA"/>
        </w:rPr>
        <w:t>等个项目涉及金额</w:t>
      </w:r>
      <w:r>
        <w:rPr>
          <w:rFonts w:hint="eastAsia" w:eastAsia="仿宋_GB2312" w:cs="仿宋_GB2312"/>
          <w:color w:val="auto"/>
          <w:kern w:val="2"/>
          <w:sz w:val="32"/>
          <w:szCs w:val="32"/>
          <w:highlight w:val="none"/>
          <w:lang w:val="en-US" w:eastAsia="zh-CN" w:bidi="ar-SA"/>
        </w:rPr>
        <w:t>1062</w:t>
      </w:r>
      <w:r>
        <w:rPr>
          <w:rFonts w:hint="eastAsia" w:ascii="Times New Roman" w:hAnsi="Times New Roman" w:eastAsia="仿宋_GB2312" w:cs="仿宋_GB2312"/>
          <w:color w:val="auto"/>
          <w:kern w:val="2"/>
          <w:sz w:val="32"/>
          <w:szCs w:val="32"/>
          <w:highlight w:val="none"/>
          <w:lang w:val="en-US" w:eastAsia="zh-CN" w:bidi="ar-SA"/>
        </w:rPr>
        <w:t>万元开展了事前绩效评估，对</w:t>
      </w:r>
      <w:r>
        <w:rPr>
          <w:rFonts w:hint="eastAsia" w:eastAsia="仿宋_GB2312" w:cs="仿宋_GB2312"/>
          <w:color w:val="auto"/>
          <w:kern w:val="2"/>
          <w:sz w:val="32"/>
          <w:szCs w:val="32"/>
          <w:highlight w:val="none"/>
          <w:lang w:val="en-US" w:eastAsia="zh-CN" w:bidi="ar-SA"/>
        </w:rPr>
        <w:t>13</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个项目开展绩效监控。</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组织对2025年度一般公共预算、政府性基金预算、国有资本经营预算、社会保险基金预算以及资本资产、债券资金等全面开展绩效自评，形成</w:t>
      </w:r>
      <w:r>
        <w:rPr>
          <w:rFonts w:hint="eastAsia" w:eastAsia="仿宋_GB2312" w:cs="仿宋_GB2312"/>
          <w:color w:val="auto"/>
          <w:kern w:val="2"/>
          <w:sz w:val="32"/>
          <w:szCs w:val="32"/>
          <w:highlight w:val="none"/>
          <w:lang w:val="en-US" w:eastAsia="zh-CN" w:bidi="ar-SA"/>
        </w:rPr>
        <w:t>阿坝州档案馆</w:t>
      </w:r>
      <w:r>
        <w:rPr>
          <w:rFonts w:hint="eastAsia" w:ascii="Times New Roman" w:hAnsi="Times New Roman" w:eastAsia="仿宋_GB2312" w:cs="仿宋_GB2312"/>
          <w:color w:val="auto"/>
          <w:kern w:val="2"/>
          <w:sz w:val="32"/>
          <w:szCs w:val="32"/>
          <w:highlight w:val="none"/>
          <w:lang w:val="en-US" w:eastAsia="zh-CN" w:bidi="ar-SA"/>
        </w:rPr>
        <w:t>部门预算（含部门预算项目）绩效自评报告。</w:t>
      </w:r>
    </w:p>
    <w:p>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38" w:name="_Toc15396613"/>
      <w:bookmarkStart w:id="39" w:name="_Toc15377225"/>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38"/>
      <w:bookmarkEnd w:id="39"/>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2.事业收入：指事业单位开展专业业务活动及辅助活动取得的收入。如……（二级预算单位事业收入情况）等。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3.经营收入：指事业单位在专业业务活动及其辅助活动之外开展非独立核算经营活动取得的收入。如……（二级预算单位经营收入情况）等。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4.其他收入：指单位取得的除上述收入以外的各项收入。主要是……（收入类型）等。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9.一般公共服务（类）……（款）……（项）：指……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10.外交（类）……（款）……（项）：指……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11.公共安全（类）……（款）……（项）：指……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12.教育（类）……（款）……（项）：指……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13.科学技术（类）……（款）……（项）：指……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14.文化旅游体育与传媒（类）……（款）……（项）：指……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15.社会保障和就业（类）……（款）……（项）：指……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16.卫生健康（类）……（款）……（项）：指……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17.节能环保（类）……（款）……（项）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18.城乡社区（类）……（款）……（项）：指……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19.农林水（类）……（款）……（项）：指……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20.交通运输（类）……（款）……（项）：指……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21.资源勘探工业信息等（类）……（款）……（项）：指……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22.商业服务业（类）……（款）……（项）：指……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23.金融（类）……（款）……（项）：指……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24.自然资源海洋气象等（类）……（款）……（项）：指……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25.住房保障（类）……（款）……（项）：指……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26.粮油物资储备（类）……（款）……（项）：指……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b/>
          <w:bCs/>
          <w:color w:val="auto"/>
          <w:kern w:val="2"/>
          <w:sz w:val="32"/>
          <w:szCs w:val="32"/>
          <w:highlight w:val="none"/>
          <w:lang w:val="en-US" w:eastAsia="zh-CN" w:bidi="ar-SA"/>
        </w:rPr>
        <w:t>注：</w:t>
      </w:r>
      <w:r>
        <w:rPr>
          <w:rFonts w:hint="eastAsia" w:ascii="Times New Roman" w:hAnsi="Times New Roman" w:eastAsia="仿宋_GB2312" w:cs="仿宋_GB2312"/>
          <w:b/>
          <w:bCs/>
          <w:color w:val="auto"/>
          <w:kern w:val="2"/>
          <w:sz w:val="32"/>
          <w:szCs w:val="32"/>
          <w:highlight w:val="none"/>
          <w:lang w:val="en-US" w:eastAsia="zh-CN" w:bidi="ar-SA"/>
        </w:rPr>
        <w:t>解释本部门决算报表中涉及的全部功能分类科目至项级，不涉及的科目请自行删除。请参照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202</w:t>
      </w:r>
      <w:r>
        <w:rPr>
          <w:rFonts w:hint="eastAsia" w:eastAsia="仿宋_GB2312" w:cs="仿宋_GB2312"/>
          <w:b/>
          <w:bCs/>
          <w:color w:val="auto"/>
          <w:kern w:val="2"/>
          <w:sz w:val="32"/>
          <w:szCs w:val="32"/>
          <w:highlight w:val="none"/>
          <w:lang w:val="en-US" w:eastAsia="zh-CN" w:bidi="ar-SA"/>
        </w:rPr>
        <w:t>5</w:t>
      </w:r>
      <w:r>
        <w:rPr>
          <w:rFonts w:hint="eastAsia" w:ascii="Times New Roman" w:hAnsi="Times New Roman" w:eastAsia="仿宋_GB2312" w:cs="仿宋_GB2312"/>
          <w:b/>
          <w:bCs/>
          <w:color w:val="auto"/>
          <w:kern w:val="2"/>
          <w:sz w:val="32"/>
          <w:szCs w:val="32"/>
          <w:highlight w:val="none"/>
          <w:lang w:val="en-US" w:eastAsia="zh-CN" w:bidi="ar-SA"/>
        </w:rPr>
        <w:t>年政府收支分类科目</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增减内容）</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27.基本支出：指为保障机构正常运转、完成日常工作任务而发生的人员支出和公用支出。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28.项目支出：指在基本支出之外为完成特定行政任务和事业发展目标所发生的支出。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29.经营支出：指事业单位在专业业务活动及其辅助活动之外开展非独立核算经营活动发生的支出。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30.</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32.……</w:t>
      </w:r>
    </w:p>
    <w:p>
      <w:pPr>
        <w:pStyle w:val="13"/>
        <w:rPr>
          <w:rFonts w:hint="eastAsia" w:ascii="Times New Roman" w:hAnsi="Times New Roman" w:eastAsia="仿宋_GB2312" w:cs="仿宋_GB2312"/>
          <w:color w:val="auto"/>
          <w:kern w:val="2"/>
          <w:sz w:val="32"/>
          <w:szCs w:val="32"/>
          <w:highlight w:val="none"/>
          <w:lang w:val="en-US" w:eastAsia="zh-CN" w:bidi="ar-SA"/>
        </w:rPr>
      </w:pPr>
    </w:p>
    <w:p>
      <w:pPr>
        <w:pStyle w:val="7"/>
        <w:rPr>
          <w:rFonts w:hint="eastAsia" w:ascii="Times New Roman" w:hAnsi="Times New Roman" w:eastAsia="仿宋_GB2312" w:cs="仿宋_GB2312"/>
          <w:color w:val="auto"/>
          <w:kern w:val="2"/>
          <w:sz w:val="32"/>
          <w:szCs w:val="32"/>
          <w:highlight w:val="none"/>
          <w:lang w:val="en-US" w:eastAsia="zh-CN" w:bidi="ar-SA"/>
        </w:rPr>
      </w:pPr>
    </w:p>
    <w:p>
      <w:pPr>
        <w:rPr>
          <w:rFonts w:hint="eastAsia" w:ascii="Times New Roman" w:hAnsi="Times New Roman" w:eastAsia="仿宋_GB2312" w:cs="仿宋_GB2312"/>
          <w:color w:val="auto"/>
          <w:kern w:val="2"/>
          <w:sz w:val="32"/>
          <w:szCs w:val="32"/>
          <w:highlight w:val="none"/>
          <w:lang w:val="en-US" w:eastAsia="zh-CN" w:bidi="ar-SA"/>
        </w:rPr>
      </w:pPr>
    </w:p>
    <w:tbl>
      <w:tblPr>
        <w:tblStyle w:val="15"/>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11"/>
        <w:gridCol w:w="444"/>
        <w:gridCol w:w="970"/>
        <w:gridCol w:w="257"/>
        <w:gridCol w:w="256"/>
        <w:gridCol w:w="974"/>
        <w:gridCol w:w="238"/>
        <w:gridCol w:w="233"/>
        <w:gridCol w:w="254"/>
        <w:gridCol w:w="239"/>
        <w:gridCol w:w="297"/>
        <w:gridCol w:w="272"/>
        <w:gridCol w:w="458"/>
        <w:gridCol w:w="460"/>
        <w:gridCol w:w="378"/>
        <w:gridCol w:w="254"/>
        <w:gridCol w:w="254"/>
        <w:gridCol w:w="18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黑体" w:eastAsia="黑体" w:cs="黑体"/>
                <w:b/>
                <w:bCs/>
                <w:i w:val="0"/>
                <w:iCs w:val="0"/>
                <w:color w:val="000000"/>
                <w:sz w:val="30"/>
                <w:szCs w:val="30"/>
                <w:u w:val="none"/>
              </w:rPr>
            </w:pPr>
            <w:r>
              <w:rPr>
                <w:rFonts w:hint="eastAsia" w:ascii="黑体" w:eastAsia="黑体" w:cs="黑体"/>
                <w:b/>
                <w:bCs/>
                <w:i w:val="0"/>
                <w:iCs w:val="0"/>
                <w:color w:val="000000"/>
                <w:kern w:val="0"/>
                <w:sz w:val="30"/>
                <w:szCs w:val="30"/>
                <w:u w:val="none"/>
                <w:lang w:val="en-US" w:eastAsia="zh-CN"/>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4499" w:type="pct"/>
            <w:gridSpan w:val="1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ascii="宋体" w:eastAsia="宋体" w:cs="宋体"/>
                <w:i w:val="0"/>
                <w:iCs w:val="0"/>
                <w:color w:val="000000"/>
                <w:sz w:val="18"/>
                <w:szCs w:val="18"/>
                <w:u w:val="none"/>
                <w:lang w:val="en-US"/>
              </w:rPr>
            </w:pPr>
            <w:r>
              <w:rPr>
                <w:rFonts w:ascii="宋体" w:eastAsia="宋体" w:cs="宋体"/>
                <w:i w:val="0"/>
                <w:iCs w:val="0"/>
                <w:color w:val="000000"/>
                <w:kern w:val="0"/>
                <w:sz w:val="18"/>
                <w:szCs w:val="18"/>
                <w:u w:val="none"/>
                <w:lang w:val="en-US" w:eastAsia="zh-CN"/>
              </w:rPr>
              <w:t>51320024T000010483560-阿坝州档案馆信息化建设及业务用房改造项目</w:t>
            </w:r>
            <w:r>
              <w:rPr>
                <w:rFonts w:hint="eastAsia" w:ascii="宋体" w:eastAsia="宋体" w:cs="宋体"/>
                <w:i w:val="0"/>
                <w:iCs w:val="0"/>
                <w:color w:val="000000"/>
                <w:kern w:val="0"/>
                <w:sz w:val="18"/>
                <w:szCs w:val="18"/>
                <w:u w:val="none"/>
                <w:lang w:val="en-US" w:eastAsia="zh-CN"/>
              </w:rPr>
              <w:t>-恒温恒湿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111"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州档案馆部门</w:t>
            </w:r>
          </w:p>
        </w:tc>
        <w:tc>
          <w:tcPr>
            <w:tcW w:w="314" w:type="pct"/>
            <w:gridSpan w:val="2"/>
            <w:tcBorders>
              <w:top w:val="nil"/>
              <w:left w:val="nil"/>
              <w:bottom w:val="nil"/>
              <w:right w:val="nil"/>
            </w:tcBorders>
            <w:shd w:val="clear" w:color="auto" w:fill="auto"/>
            <w:noWrap/>
            <w:vAlign w:val="center"/>
          </w:tcPr>
          <w:p>
            <w:pPr>
              <w:keepNext w:val="0"/>
              <w:keepLines w:val="0"/>
              <w:widowControl/>
              <w:suppressLineNumbers w:val="0"/>
              <w:snapToGrid w:val="0"/>
              <w:jc w:val="left"/>
              <w:textAlignment w:val="center"/>
              <w:rPr>
                <w:rFonts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实施单位 （盖章）</w:t>
            </w:r>
          </w:p>
        </w:tc>
        <w:tc>
          <w:tcPr>
            <w:tcW w:w="2074"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州档案馆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25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111"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2388"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pPr>
          </w:p>
        </w:tc>
        <w:tc>
          <w:tcPr>
            <w:tcW w:w="25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pPr>
          </w:p>
        </w:tc>
        <w:tc>
          <w:tcPr>
            <w:tcW w:w="2111"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保障档案库房温湿度智能调控系统在质保期内稳定运行，完成档案库房智能化管理；督促供应商做好售后维护服务；质保期满后按合同约定完成尾款20万元支付，确保项目资金闭环。</w:t>
            </w:r>
          </w:p>
        </w:tc>
        <w:tc>
          <w:tcPr>
            <w:tcW w:w="2388"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质保期内系统运行平稳，温湿度控制精准达标，有效保障了馆藏档案实体安全；供应商响应及时，全年故障处理高效。质保期满后，经严格核验，按合同约定规范支付尾款20万元，各项指标均达成预期目标。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pP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4499" w:type="pct"/>
            <w:gridSpan w:val="1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进入质保期后，科室指定专人负责日常监测，建立运行台账；对供应商季度巡检、故障响应情况进行跟踪记录；质保期满前，组织全面性能核验，确认系统各项功能正常、维保记录齐全后，按程序启动尾款支付流程，确保资金支付合规有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6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27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1166"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31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61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pP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6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7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51.00</w:t>
            </w:r>
          </w:p>
        </w:tc>
        <w:tc>
          <w:tcPr>
            <w:tcW w:w="1166"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50.65</w:t>
            </w:r>
          </w:p>
        </w:tc>
        <w:tc>
          <w:tcPr>
            <w:tcW w:w="31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99.31%</w:t>
            </w:r>
          </w:p>
        </w:tc>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eastAsia="宋体" w:cs="宋体"/>
                <w:i w:val="0"/>
                <w:iCs w:val="0"/>
                <w:color w:val="000000"/>
                <w:sz w:val="18"/>
                <w:szCs w:val="18"/>
                <w:u w:val="none"/>
              </w:rPr>
            </w:pPr>
          </w:p>
        </w:tc>
        <w:tc>
          <w:tcPr>
            <w:tcW w:w="1616" w:type="pct"/>
            <w:gridSpan w:val="4"/>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黑体" w:eastAsia="黑体" w:cs="黑体"/>
                <w:i/>
                <w:iCs/>
                <w:color w:val="000000"/>
                <w:sz w:val="18"/>
                <w:szCs w:val="18"/>
                <w:u w:val="none"/>
              </w:rPr>
            </w:pPr>
            <w:r>
              <w:rPr>
                <w:rFonts w:hint="eastAsia" w:ascii="黑体" w:eastAsia="黑体" w:cs="黑体"/>
                <w:i/>
                <w:iCs/>
                <w:color w:val="000000"/>
                <w:kern w:val="0"/>
                <w:sz w:val="18"/>
                <w:szCs w:val="18"/>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pP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6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7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51.00</w:t>
            </w:r>
          </w:p>
        </w:tc>
        <w:tc>
          <w:tcPr>
            <w:tcW w:w="1166"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50.65</w:t>
            </w:r>
          </w:p>
        </w:tc>
        <w:tc>
          <w:tcPr>
            <w:tcW w:w="31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99.31%</w:t>
            </w:r>
          </w:p>
        </w:tc>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616" w:type="pct"/>
            <w:gridSpan w:val="4"/>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jc w:val="center"/>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pP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6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7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66"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31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616" w:type="pct"/>
            <w:gridSpan w:val="4"/>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jc w:val="center"/>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pP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6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7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66"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31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616" w:type="pct"/>
            <w:gridSpan w:val="4"/>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pP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6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微软雅黑" w:eastAsia="微软雅黑" w:cs="微软雅黑"/>
                <w:i/>
                <w:iCs/>
                <w:color w:val="000000"/>
                <w:sz w:val="16"/>
                <w:szCs w:val="16"/>
                <w:u w:val="none"/>
              </w:rPr>
            </w:pPr>
          </w:p>
        </w:tc>
        <w:tc>
          <w:tcPr>
            <w:tcW w:w="27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微软雅黑" w:eastAsia="微软雅黑" w:cs="微软雅黑"/>
                <w:i/>
                <w:iCs/>
                <w:color w:val="000000"/>
                <w:sz w:val="16"/>
                <w:szCs w:val="16"/>
                <w:u w:val="none"/>
              </w:rPr>
            </w:pPr>
          </w:p>
        </w:tc>
        <w:tc>
          <w:tcPr>
            <w:tcW w:w="1166"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微软雅黑" w:eastAsia="微软雅黑" w:cs="微软雅黑"/>
                <w:i/>
                <w:iCs/>
                <w:color w:val="000000"/>
                <w:sz w:val="16"/>
                <w:szCs w:val="16"/>
                <w:u w:val="none"/>
              </w:rPr>
            </w:pPr>
          </w:p>
        </w:tc>
        <w:tc>
          <w:tcPr>
            <w:tcW w:w="31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微软雅黑" w:eastAsia="微软雅黑" w:cs="微软雅黑"/>
                <w:i/>
                <w:iCs/>
                <w:color w:val="000000"/>
                <w:sz w:val="16"/>
                <w:szCs w:val="16"/>
                <w:u w:val="none"/>
              </w:rPr>
            </w:pPr>
          </w:p>
        </w:tc>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616" w:type="pct"/>
            <w:gridSpan w:val="4"/>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6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27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6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25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31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61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jc w:val="center"/>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pP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eastAsia="宋体" w:cs="宋体"/>
                <w:i w:val="0"/>
                <w:iCs w:val="0"/>
                <w:color w:val="000000"/>
                <w:sz w:val="18"/>
                <w:szCs w:val="18"/>
                <w:u w:val="none"/>
              </w:rPr>
            </w:pPr>
          </w:p>
        </w:tc>
        <w:tc>
          <w:tcPr>
            <w:tcW w:w="6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eastAsia="宋体" w:cs="宋体"/>
                <w:i w:val="0"/>
                <w:iCs w:val="0"/>
                <w:color w:val="000000"/>
                <w:sz w:val="18"/>
                <w:szCs w:val="18"/>
                <w:u w:val="none"/>
              </w:rPr>
            </w:pPr>
          </w:p>
        </w:tc>
        <w:tc>
          <w:tcPr>
            <w:tcW w:w="27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eastAsia="宋体" w:cs="宋体"/>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eastAsia="宋体" w:cs="宋体"/>
                <w:i w:val="0"/>
                <w:iCs w:val="0"/>
                <w:color w:val="000000"/>
                <w:sz w:val="18"/>
                <w:szCs w:val="18"/>
                <w:u w:val="none"/>
              </w:rPr>
            </w:pP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eastAsia="宋体" w:cs="宋体"/>
                <w:i w:val="0"/>
                <w:iCs w:val="0"/>
                <w:color w:val="000000"/>
                <w:sz w:val="18"/>
                <w:szCs w:val="18"/>
                <w:u w:val="none"/>
              </w:rPr>
            </w:pPr>
          </w:p>
        </w:tc>
        <w:tc>
          <w:tcPr>
            <w:tcW w:w="25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eastAsia="宋体" w:cs="宋体"/>
                <w:i w:val="0"/>
                <w:iCs w:val="0"/>
                <w:color w:val="000000"/>
                <w:sz w:val="18"/>
                <w:szCs w:val="18"/>
                <w:u w:val="none"/>
              </w:rPr>
            </w:pPr>
          </w:p>
        </w:tc>
        <w:tc>
          <w:tcPr>
            <w:tcW w:w="31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微软雅黑" w:eastAsia="微软雅黑" w:cs="微软雅黑"/>
                <w:i/>
                <w:iCs/>
                <w:color w:val="000000"/>
                <w:sz w:val="16"/>
                <w:szCs w:val="16"/>
                <w:u w:val="none"/>
              </w:rPr>
            </w:pPr>
          </w:p>
        </w:tc>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eastAsia="宋体" w:cs="宋体"/>
                <w:i w:val="0"/>
                <w:iCs w:val="0"/>
                <w:color w:val="000000"/>
                <w:sz w:val="18"/>
                <w:szCs w:val="18"/>
                <w:u w:val="none"/>
              </w:rPr>
            </w:pPr>
          </w:p>
        </w:tc>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eastAsia="宋体" w:cs="宋体"/>
                <w:i w:val="0"/>
                <w:iCs w:val="0"/>
                <w:color w:val="000000"/>
                <w:sz w:val="18"/>
                <w:szCs w:val="18"/>
                <w:u w:val="none"/>
              </w:rPr>
            </w:pPr>
          </w:p>
        </w:tc>
        <w:tc>
          <w:tcPr>
            <w:tcW w:w="161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jc w:val="center"/>
        </w:trPr>
        <w:tc>
          <w:tcPr>
            <w:tcW w:w="2925" w:type="pct"/>
            <w:gridSpan w:val="1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rPr>
                <w:rFonts w:hint="eastAsia" w:ascii="宋体" w:eastAsia="宋体" w:cs="宋体"/>
                <w:i w:val="0"/>
                <w:iCs w:val="0"/>
                <w:color w:val="000000"/>
                <w:sz w:val="18"/>
                <w:szCs w:val="18"/>
                <w:u w:val="none"/>
              </w:rPr>
            </w:pPr>
          </w:p>
        </w:tc>
        <w:tc>
          <w:tcPr>
            <w:tcW w:w="161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rPr>
                <w:rFonts w:hint="eastAsia" w:asci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759" w:type="pct"/>
            <w:gridSpan w:val="1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项目设备性能稳定，维保服务到位，温湿度控制效果良好，为档案长期安全保管提供了可靠技术保障。资金使用规范，尾款支付程序完备，项目整体绩效目标全面达成，评价为优。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759" w:type="pct"/>
            <w:gridSpan w:val="1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对设备运行数据的深度分析不够，未能形成周期性运行报告用于预防性维护；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jc w:val="center"/>
        </w:trPr>
        <w:tc>
          <w:tcPr>
            <w:tcW w:w="2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759" w:type="pct"/>
            <w:gridSpan w:val="1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加强操作人员培训，充分挖掘系统智能预警功能；建立设备运行数据分析机制，每季度形成运行评估报告；与供应商协商细化巡检内容和标准，完善维保记录；探索建立设备全生命周期管理档案，为后续维护更新提供决策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jc w:val="center"/>
        </w:trPr>
        <w:tc>
          <w:tcPr>
            <w:tcW w:w="2116"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项目负责人：</w:t>
            </w:r>
          </w:p>
        </w:tc>
        <w:tc>
          <w:tcPr>
            <w:tcW w:w="2883" w:type="pct"/>
            <w:gridSpan w:val="1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分管负责人：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jc w:val="center"/>
        </w:trPr>
        <w:tc>
          <w:tcPr>
            <w:tcW w:w="5000" w:type="pct"/>
            <w:gridSpan w:val="1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黑体" w:eastAsia="黑体" w:cs="黑体"/>
                <w:b/>
                <w:bCs/>
                <w:i w:val="0"/>
                <w:iCs w:val="0"/>
                <w:color w:val="000000"/>
                <w:sz w:val="30"/>
                <w:szCs w:val="30"/>
                <w:u w:val="none"/>
              </w:rPr>
            </w:pPr>
            <w:r>
              <w:rPr>
                <w:rFonts w:hint="eastAsia" w:ascii="黑体" w:eastAsia="黑体" w:cs="黑体"/>
                <w:b/>
                <w:bCs/>
                <w:i w:val="0"/>
                <w:iCs w:val="0"/>
                <w:color w:val="000000"/>
                <w:kern w:val="0"/>
                <w:sz w:val="30"/>
                <w:szCs w:val="30"/>
                <w:u w:val="none"/>
                <w:lang w:val="en-US" w:eastAsia="zh-CN"/>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4499" w:type="pct"/>
            <w:gridSpan w:val="1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51320025T000013105818-阿坝州档案馆信息化建设及业务用房改造项目-信息化建设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882" w:type="pct"/>
            <w:gridSpan w:val="1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州档案馆部门</w:t>
            </w:r>
          </w:p>
        </w:tc>
        <w:tc>
          <w:tcPr>
            <w:tcW w:w="221" w:type="pct"/>
            <w:tcBorders>
              <w:top w:val="nil"/>
              <w:left w:val="nil"/>
              <w:bottom w:val="nil"/>
              <w:right w:val="nil"/>
            </w:tcBorders>
            <w:shd w:val="clear" w:color="auto" w:fill="auto"/>
            <w:noWrap/>
            <w:vAlign w:val="center"/>
          </w:tcPr>
          <w:p>
            <w:pPr>
              <w:keepNext/>
              <w:keepLines w:val="0"/>
              <w:widowControl/>
              <w:suppressLineNumbers w:val="0"/>
              <w:snapToGrid w:val="0"/>
              <w:jc w:val="left"/>
              <w:textAlignment w:val="center"/>
              <w:rPr>
                <w:rFonts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实施单位 （盖章）</w:t>
            </w:r>
          </w:p>
        </w:tc>
        <w:tc>
          <w:tcPr>
            <w:tcW w:w="1395"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州档案馆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25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882" w:type="pct"/>
            <w:gridSpan w:val="1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61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jc w:val="center"/>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pPr>
          </w:p>
        </w:tc>
        <w:tc>
          <w:tcPr>
            <w:tcW w:w="25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pPr>
          </w:p>
        </w:tc>
        <w:tc>
          <w:tcPr>
            <w:tcW w:w="2882" w:type="pct"/>
            <w:gridSpan w:val="1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按照《四川省档案局关于公布数字档案馆建设试点单位的通知》川档函【2021】26号的要求，建成符合国家信息化战略的纯国产化B级机房，确保馆藏数字档案完整、准确、系统、安全，并得到妥善保管保护和有效利用，将满足未来10年业务发展的供电需求以及信息化系统上线的相关要求。需要购置包括服务器、数据库审计、日志审计、备份一体机、核心交换机、服务器操作系统、数据库软件等软硬件，完成三网网络搭建，将数字化加工成果导入服务器，向社会各界提供查阅利用。</w:t>
            </w:r>
          </w:p>
        </w:tc>
        <w:tc>
          <w:tcPr>
            <w:tcW w:w="161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该项目于2024年底建设完成，其中31万元为2025年下达资金。合同约定该笔资金于数字档案馆测评通过后支付，2025年11月我馆通过“四川省数字档案馆”测评，12月支付该笔资金。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jc w:val="center"/>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pP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4499" w:type="pct"/>
            <w:gridSpan w:val="1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该项目为支付2024年信息化项目第四笔款项（尾款）。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80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92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1145" w:type="pct"/>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1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1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0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pP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80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311.00</w:t>
            </w:r>
          </w:p>
        </w:tc>
        <w:tc>
          <w:tcPr>
            <w:tcW w:w="92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226.59</w:t>
            </w:r>
          </w:p>
        </w:tc>
        <w:tc>
          <w:tcPr>
            <w:tcW w:w="1145" w:type="pct"/>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226.59</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1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097"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hint="eastAsia" w:ascii="黑体" w:eastAsia="黑体" w:cs="黑体"/>
                <w:i/>
                <w:iCs/>
                <w:color w:val="000000"/>
                <w:sz w:val="18"/>
                <w:szCs w:val="18"/>
                <w:u w:val="none"/>
              </w:rPr>
            </w:pPr>
            <w:r>
              <w:rPr>
                <w:rFonts w:hint="eastAsia" w:ascii="黑体" w:eastAsia="黑体" w:cs="黑体"/>
                <w:i/>
                <w:iCs/>
                <w:color w:val="000000"/>
                <w:kern w:val="0"/>
                <w:sz w:val="18"/>
                <w:szCs w:val="18"/>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pP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80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311.00</w:t>
            </w:r>
          </w:p>
        </w:tc>
        <w:tc>
          <w:tcPr>
            <w:tcW w:w="92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226.59</w:t>
            </w:r>
          </w:p>
        </w:tc>
        <w:tc>
          <w:tcPr>
            <w:tcW w:w="1145" w:type="pct"/>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226.59</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1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09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pP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80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92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45" w:type="pct"/>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09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pP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80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92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145" w:type="pct"/>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09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jc w:val="center"/>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pP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80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widowControl w:val="0"/>
              <w:snapToGrid w:val="0"/>
              <w:jc w:val="center"/>
              <w:rPr>
                <w:rFonts w:hint="eastAsia" w:ascii="微软雅黑" w:eastAsia="微软雅黑" w:cs="微软雅黑"/>
                <w:i/>
                <w:iCs/>
                <w:color w:val="000000"/>
                <w:sz w:val="16"/>
                <w:szCs w:val="16"/>
                <w:u w:val="none"/>
              </w:rPr>
            </w:pPr>
          </w:p>
        </w:tc>
        <w:tc>
          <w:tcPr>
            <w:tcW w:w="92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widowControl w:val="0"/>
              <w:snapToGrid w:val="0"/>
              <w:jc w:val="center"/>
              <w:rPr>
                <w:rFonts w:hint="eastAsia" w:ascii="微软雅黑" w:eastAsia="微软雅黑" w:cs="微软雅黑"/>
                <w:i/>
                <w:iCs/>
                <w:color w:val="000000"/>
                <w:sz w:val="16"/>
                <w:szCs w:val="16"/>
                <w:u w:val="none"/>
              </w:rPr>
            </w:pPr>
          </w:p>
        </w:tc>
        <w:tc>
          <w:tcPr>
            <w:tcW w:w="1145" w:type="pct"/>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widowControl w:val="0"/>
              <w:snapToGrid w:val="0"/>
              <w:jc w:val="center"/>
              <w:rPr>
                <w:rFonts w:hint="eastAsia" w:ascii="微软雅黑" w:eastAsia="微软雅黑" w:cs="微软雅黑"/>
                <w:i/>
                <w:iCs/>
                <w:color w:val="000000"/>
                <w:sz w:val="16"/>
                <w:szCs w:val="16"/>
                <w:u w:val="none"/>
              </w:rPr>
            </w:pP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widowControl w:val="0"/>
              <w:snapToGrid w:val="0"/>
              <w:jc w:val="center"/>
              <w:rPr>
                <w:rFonts w:hint="eastAsia" w:ascii="微软雅黑" w:eastAsia="微软雅黑" w:cs="微软雅黑"/>
                <w:i/>
                <w:iCs/>
                <w:color w:val="000000"/>
                <w:sz w:val="16"/>
                <w:szCs w:val="16"/>
                <w:u w:val="none"/>
              </w:rPr>
            </w:pPr>
          </w:p>
        </w:tc>
        <w:tc>
          <w:tcPr>
            <w:tcW w:w="1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09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jc w:val="center"/>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80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92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24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28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61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1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1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0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pPr>
          </w:p>
        </w:tc>
        <w:tc>
          <w:tcPr>
            <w:tcW w:w="25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80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92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查阅利用大厅整体改造</w:t>
            </w:r>
          </w:p>
        </w:tc>
        <w:tc>
          <w:tcPr>
            <w:tcW w:w="24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8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w:t>
            </w:r>
          </w:p>
        </w:tc>
        <w:tc>
          <w:tcPr>
            <w:tcW w:w="61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座</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1</w:t>
            </w:r>
          </w:p>
        </w:tc>
        <w:tc>
          <w:tcPr>
            <w:tcW w:w="1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1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10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widowControl w:val="0"/>
              <w:snapToGrid w:val="0"/>
              <w:jc w:val="center"/>
              <w:rPr>
                <w:rFonts w:hint="eastAsia" w:asci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pPr>
          </w:p>
        </w:tc>
        <w:tc>
          <w:tcPr>
            <w:tcW w:w="25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pPr>
          </w:p>
        </w:tc>
        <w:tc>
          <w:tcPr>
            <w:tcW w:w="80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92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档案信息化建设率</w:t>
            </w:r>
          </w:p>
        </w:tc>
        <w:tc>
          <w:tcPr>
            <w:tcW w:w="24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8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80</w:t>
            </w:r>
          </w:p>
        </w:tc>
        <w:tc>
          <w:tcPr>
            <w:tcW w:w="61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90</w:t>
            </w:r>
          </w:p>
        </w:tc>
        <w:tc>
          <w:tcPr>
            <w:tcW w:w="1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0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widowControl w:val="0"/>
              <w:snapToGrid w:val="0"/>
              <w:jc w:val="center"/>
              <w:rPr>
                <w:rFonts w:hint="eastAsia" w:asci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jc w:val="center"/>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pPr>
          </w:p>
        </w:tc>
        <w:tc>
          <w:tcPr>
            <w:tcW w:w="25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pPr>
          </w:p>
        </w:tc>
        <w:tc>
          <w:tcPr>
            <w:tcW w:w="80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92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项目完成时效</w:t>
            </w:r>
          </w:p>
        </w:tc>
        <w:tc>
          <w:tcPr>
            <w:tcW w:w="24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8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w:t>
            </w:r>
          </w:p>
        </w:tc>
        <w:tc>
          <w:tcPr>
            <w:tcW w:w="61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0.9</w:t>
            </w:r>
          </w:p>
        </w:tc>
        <w:tc>
          <w:tcPr>
            <w:tcW w:w="1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0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widowControl w:val="0"/>
              <w:snapToGrid w:val="0"/>
              <w:jc w:val="center"/>
              <w:rPr>
                <w:rFonts w:hint="eastAsia" w:asci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pPr>
          </w:p>
        </w:tc>
        <w:tc>
          <w:tcPr>
            <w:tcW w:w="25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80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92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完成数字档案馆建设</w:t>
            </w:r>
          </w:p>
        </w:tc>
        <w:tc>
          <w:tcPr>
            <w:tcW w:w="24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28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良好</w:t>
            </w:r>
          </w:p>
        </w:tc>
        <w:tc>
          <w:tcPr>
            <w:tcW w:w="61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widowControl w:val="0"/>
              <w:snapToGrid w:val="0"/>
              <w:jc w:val="center"/>
              <w:rPr>
                <w:rFonts w:hint="eastAsia" w:ascii="宋体" w:eastAsia="宋体" w:cs="宋体"/>
                <w:i w:val="0"/>
                <w:iCs w:val="0"/>
                <w:color w:val="000000"/>
                <w:sz w:val="18"/>
                <w:szCs w:val="18"/>
                <w:u w:val="none"/>
              </w:rPr>
            </w:pP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良好</w:t>
            </w:r>
          </w:p>
        </w:tc>
        <w:tc>
          <w:tcPr>
            <w:tcW w:w="1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0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widowControl w:val="0"/>
              <w:snapToGrid w:val="0"/>
              <w:jc w:val="center"/>
              <w:rPr>
                <w:rFonts w:hint="eastAsia" w:asci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jc w:val="center"/>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pPr>
          </w:p>
        </w:tc>
        <w:tc>
          <w:tcPr>
            <w:tcW w:w="25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pPr>
          </w:p>
        </w:tc>
        <w:tc>
          <w:tcPr>
            <w:tcW w:w="80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可持续发展指标</w:t>
            </w:r>
          </w:p>
        </w:tc>
        <w:tc>
          <w:tcPr>
            <w:tcW w:w="92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持续提升档案查阅率</w:t>
            </w:r>
          </w:p>
        </w:tc>
        <w:tc>
          <w:tcPr>
            <w:tcW w:w="24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8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61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99</w:t>
            </w:r>
          </w:p>
        </w:tc>
        <w:tc>
          <w:tcPr>
            <w:tcW w:w="1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0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widowControl w:val="0"/>
              <w:snapToGrid w:val="0"/>
              <w:jc w:val="center"/>
              <w:rPr>
                <w:rFonts w:hint="eastAsia" w:asci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pP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80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服务对象满意度指标</w:t>
            </w:r>
          </w:p>
        </w:tc>
        <w:tc>
          <w:tcPr>
            <w:tcW w:w="92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查档人员满意度</w:t>
            </w:r>
          </w:p>
        </w:tc>
        <w:tc>
          <w:tcPr>
            <w:tcW w:w="24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8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98</w:t>
            </w:r>
          </w:p>
        </w:tc>
        <w:tc>
          <w:tcPr>
            <w:tcW w:w="61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99.5</w:t>
            </w:r>
          </w:p>
        </w:tc>
        <w:tc>
          <w:tcPr>
            <w:tcW w:w="1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0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widowControl w:val="0"/>
              <w:snapToGrid w:val="0"/>
              <w:jc w:val="center"/>
              <w:rPr>
                <w:rFonts w:hint="eastAsia" w:asci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jc w:val="center"/>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pPr>
          </w:p>
        </w:tc>
        <w:tc>
          <w:tcPr>
            <w:tcW w:w="25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W w:w="80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经济成本指标</w:t>
            </w:r>
          </w:p>
        </w:tc>
        <w:tc>
          <w:tcPr>
            <w:tcW w:w="92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线上查阅档案成本</w:t>
            </w:r>
          </w:p>
        </w:tc>
        <w:tc>
          <w:tcPr>
            <w:tcW w:w="24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8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60</w:t>
            </w:r>
          </w:p>
        </w:tc>
        <w:tc>
          <w:tcPr>
            <w:tcW w:w="61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万元</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10</w:t>
            </w:r>
          </w:p>
        </w:tc>
        <w:tc>
          <w:tcPr>
            <w:tcW w:w="1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0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widowControl w:val="0"/>
              <w:snapToGrid w:val="0"/>
              <w:jc w:val="center"/>
              <w:rPr>
                <w:rFonts w:hint="eastAsia" w:asci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pPr>
          </w:p>
        </w:tc>
        <w:tc>
          <w:tcPr>
            <w:tcW w:w="25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pPr>
          </w:p>
        </w:tc>
        <w:tc>
          <w:tcPr>
            <w:tcW w:w="80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生态环境成本指标</w:t>
            </w:r>
          </w:p>
        </w:tc>
        <w:tc>
          <w:tcPr>
            <w:tcW w:w="92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线上查阅档案，降低纸张浪费</w:t>
            </w:r>
          </w:p>
        </w:tc>
        <w:tc>
          <w:tcPr>
            <w:tcW w:w="24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28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良好</w:t>
            </w:r>
          </w:p>
        </w:tc>
        <w:tc>
          <w:tcPr>
            <w:tcW w:w="61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widowControl w:val="0"/>
              <w:snapToGrid w:val="0"/>
              <w:jc w:val="center"/>
              <w:rPr>
                <w:rFonts w:hint="eastAsia" w:ascii="宋体" w:eastAsia="宋体" w:cs="宋体"/>
                <w:i w:val="0"/>
                <w:iCs w:val="0"/>
                <w:color w:val="000000"/>
                <w:sz w:val="18"/>
                <w:szCs w:val="18"/>
                <w:u w:val="none"/>
              </w:rPr>
            </w:pP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良好</w:t>
            </w:r>
          </w:p>
        </w:tc>
        <w:tc>
          <w:tcPr>
            <w:tcW w:w="1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0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widowControl w:val="0"/>
              <w:snapToGrid w:val="0"/>
              <w:jc w:val="center"/>
              <w:rPr>
                <w:rFonts w:hint="eastAsia" w:asci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04" w:type="pct"/>
            <w:gridSpan w:val="1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1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0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widowControl w:val="0"/>
              <w:snapToGrid w:val="0"/>
              <w:rPr>
                <w:rFonts w:hint="eastAsia" w:asci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jc w:val="center"/>
        </w:trPr>
        <w:tc>
          <w:tcPr>
            <w:tcW w:w="2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759" w:type="pct"/>
            <w:gridSpan w:val="1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该项目自评得分100分。项目实施取得成效，完成了四川省民族地区首个“四川省数字档案馆”测评创建工作。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759" w:type="pct"/>
            <w:gridSpan w:val="1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759" w:type="pct"/>
            <w:gridSpan w:val="1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jc w:val="center"/>
        </w:trPr>
        <w:tc>
          <w:tcPr>
            <w:tcW w:w="2486"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ascii="黑体" w:eastAsia="黑体" w:cs="黑体"/>
                <w:i w:val="0"/>
                <w:iCs w:val="0"/>
                <w:color w:val="000000"/>
                <w:sz w:val="18"/>
                <w:szCs w:val="18"/>
                <w:u w:val="none"/>
                <w:lang w:val="en-US"/>
              </w:rPr>
            </w:pPr>
            <w:r>
              <w:rPr>
                <w:rFonts w:hint="eastAsia" w:ascii="黑体" w:eastAsia="黑体" w:cs="黑体"/>
                <w:i w:val="0"/>
                <w:iCs w:val="0"/>
                <w:color w:val="000000"/>
                <w:kern w:val="0"/>
                <w:sz w:val="18"/>
                <w:szCs w:val="18"/>
                <w:u w:val="none"/>
                <w:lang w:val="en-US" w:eastAsia="zh-CN"/>
              </w:rPr>
              <w:t>项目负责人：谭郦</w:t>
            </w:r>
          </w:p>
        </w:tc>
        <w:tc>
          <w:tcPr>
            <w:tcW w:w="2513"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ascii="黑体" w:eastAsia="黑体" w:cs="黑体"/>
                <w:i w:val="0"/>
                <w:iCs w:val="0"/>
                <w:color w:val="000000"/>
                <w:sz w:val="18"/>
                <w:szCs w:val="18"/>
                <w:u w:val="none"/>
                <w:lang w:val="en-US"/>
              </w:rPr>
            </w:pPr>
            <w:r>
              <w:rPr>
                <w:rFonts w:hint="eastAsia" w:ascii="黑体" w:eastAsia="黑体" w:cs="黑体"/>
                <w:i w:val="0"/>
                <w:iCs w:val="0"/>
                <w:color w:val="000000"/>
                <w:kern w:val="0"/>
                <w:sz w:val="18"/>
                <w:szCs w:val="18"/>
                <w:u w:val="none"/>
                <w:lang w:val="en-US" w:eastAsia="zh-CN"/>
              </w:rPr>
              <w:t>分管负责人：苏朗恩波</w:t>
            </w:r>
          </w:p>
        </w:tc>
      </w:tr>
    </w:tbl>
    <w:p>
      <w:pPr>
        <w:pStyle w:val="13"/>
        <w:rPr>
          <w:rFonts w:hint="eastAsia"/>
          <w:lang w:val="en-US" w:eastAsia="zh-CN"/>
        </w:rPr>
      </w:pPr>
    </w:p>
    <w:tbl>
      <w:tblPr>
        <w:tblStyle w:val="15"/>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81"/>
        <w:gridCol w:w="197"/>
        <w:gridCol w:w="212"/>
        <w:gridCol w:w="242"/>
        <w:gridCol w:w="225"/>
        <w:gridCol w:w="461"/>
        <w:gridCol w:w="465"/>
        <w:gridCol w:w="219"/>
        <w:gridCol w:w="219"/>
        <w:gridCol w:w="864"/>
        <w:gridCol w:w="970"/>
        <w:gridCol w:w="227"/>
        <w:gridCol w:w="235"/>
        <w:gridCol w:w="422"/>
        <w:gridCol w:w="178"/>
        <w:gridCol w:w="214"/>
        <w:gridCol w:w="401"/>
        <w:gridCol w:w="386"/>
        <w:gridCol w:w="195"/>
        <w:gridCol w:w="192"/>
        <w:gridCol w:w="161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jc w:val="center"/>
        </w:trPr>
        <w:tc>
          <w:tcPr>
            <w:tcW w:w="5000" w:type="pct"/>
            <w:gridSpan w:val="21"/>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黑体" w:eastAsia="黑体" w:cs="黑体"/>
                <w:b/>
                <w:bCs/>
                <w:i w:val="0"/>
                <w:iCs w:val="0"/>
                <w:color w:val="000000"/>
                <w:sz w:val="30"/>
                <w:szCs w:val="30"/>
                <w:u w:val="none"/>
              </w:rPr>
            </w:pPr>
            <w:r>
              <w:rPr>
                <w:rFonts w:hint="eastAsia" w:ascii="黑体" w:eastAsia="黑体" w:cs="黑体"/>
                <w:b/>
                <w:bCs/>
                <w:i w:val="0"/>
                <w:iCs w:val="0"/>
                <w:color w:val="000000"/>
                <w:kern w:val="0"/>
                <w:sz w:val="30"/>
                <w:szCs w:val="30"/>
                <w:u w:val="none"/>
                <w:lang w:val="en-US" w:eastAsia="zh-CN"/>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6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4535" w:type="pct"/>
            <w:gridSpan w:val="1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51320025T000012661517-档案异地备份（2025年度）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6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502"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州档案馆部门</w:t>
            </w:r>
          </w:p>
        </w:tc>
        <w:tc>
          <w:tcPr>
            <w:tcW w:w="455" w:type="pct"/>
            <w:gridSpan w:val="3"/>
            <w:tcBorders>
              <w:top w:val="nil"/>
              <w:left w:val="nil"/>
              <w:bottom w:val="nil"/>
              <w:right w:val="nil"/>
            </w:tcBorders>
            <w:shd w:val="clear" w:color="auto" w:fill="auto"/>
            <w:noWrap/>
            <w:vAlign w:val="center"/>
          </w:tcPr>
          <w:p>
            <w:pPr>
              <w:keepNext/>
              <w:keepLines w:val="0"/>
              <w:widowControl/>
              <w:suppressLineNumbers w:val="0"/>
              <w:snapToGrid w:val="0"/>
              <w:jc w:val="left"/>
              <w:textAlignment w:val="center"/>
              <w:rPr>
                <w:rFonts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实施单位 （盖章）</w:t>
            </w:r>
          </w:p>
        </w:tc>
        <w:tc>
          <w:tcPr>
            <w:tcW w:w="1577"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州档案馆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2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241" w:type="pct"/>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502"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2033"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jc w:val="center"/>
        </w:trPr>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pPr>
          </w:p>
        </w:tc>
        <w:tc>
          <w:tcPr>
            <w:tcW w:w="241"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pPr>
          </w:p>
        </w:tc>
        <w:tc>
          <w:tcPr>
            <w:tcW w:w="2502"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按照《关于加强和改进新形势下档案工作的意见》（中办发〔2014〕15号）要求，对重要档案实行异地异质备份保管。县以上各级国家综合档案馆要对同级党政机关、企事业单位、社会组织的重要档案（包括新闻类电影、电视片、照片、录音、录像等音像档案）实行异地备份保管，对重要电子档案实行异地异质备份保管，确保党和国家重要档案绝对安全，通过异地异质备份，提高档案安全性和利用便利性，确保重要档案绝对安全，提升档案管理水平。</w:t>
            </w:r>
          </w:p>
        </w:tc>
        <w:tc>
          <w:tcPr>
            <w:tcW w:w="2033"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2025年度阿坝州档案馆档案异地备份项目完成馆藏重要数据异地备份，4月底前完成赴杭州市档案馆、洛阳市档案馆异地备份，共计4.4T数据、50张档案级蓝光光盘。依据《档案数字资源备份实施规范》测算需求，采购档案级蓝光光盘200张及专用存储盒9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jc w:val="center"/>
        </w:trPr>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pPr>
          </w:p>
        </w:tc>
        <w:tc>
          <w:tcPr>
            <w:tcW w:w="24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4535" w:type="pct"/>
            <w:gridSpan w:val="1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该项目完成赴杭州市档案馆、洛阳市档案馆异地备份，共计4.4T数据、50张档案级蓝光光盘。项目实施内容涵盖备份对象确定、备份载体选择、备份基地建设及常态化备份机制建立四大板块。一是明确备份对象，将馆藏永久保存的文书档案、民生档案数字化成果，以及新闻类电影、电视片、照片、录音、录像等音像档案纳入备份范围，确保重要档案全覆盖。二是科学选择备份载体，综合采用档案级蓝光光盘、硬磁盘等长期保存载体，按照《档案数字资源备份实施规范》（DA/T 99-2024）要求，形成至少两套完整备份数据，其中一套实行离线备份、一套实行异地备份。三是合理选择备份基地，严格遵循“相距300公里以上，不属同一江河流域、同一电网、同一地震带”的选址原则，与异地档案馆签署备份协议，明确双方责任与权限，确保备份数据所有权不变、未经许可不得启封。项目实施过程严格按照标准化流程推进，主要分为以下阶段：一是备份数据组织与制作，对备份对象进行规范化整理、格式转换与标准化打包封装，确保数据完整、格式通用、目录清晰。二是备份载体制作与检测，采用档案级光盘或硬磁盘进行数据刻录或拷贝，逐一进行质量检测和数据一致性校验，确保备份数据可读、可用。三是备份介质运输与移交，制定周密的运输方案，采用防潮、防震、防磁专用容器封装，由专人护送前往异地备份基地，严格履行交接手续，签署交接清单。四是备份数据入库与保管，备份介质存入异地档案馆符合国家标准的专用库房，落实环境监控与安全管理措施。五是建立常态化备份机制，制定年度备份计划，对新增重要档案数字资源定期开展增量备份，并建立备份数据定期检测制度，确保备份数据始终可读、可用。通过该项目的实施，我馆成功建立起“本地+异地”双重安全保障体系，实现了重要档案数字资源的异地异质备份保管，显著提升了档案数据抗风险能力。一旦发生自然灾害或突发事件，可迅速从异地备份基地取回数据进行恢复，确保档案信息的完整与安全，为档案资源的长期保存和可持续利用提供了坚实保障，切实筑牢了党和国家重要档案的安全防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2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24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54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1718"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455"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04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pPr>
          </w:p>
        </w:tc>
        <w:tc>
          <w:tcPr>
            <w:tcW w:w="24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w:t>
            </w:r>
          </w:p>
        </w:tc>
        <w:tc>
          <w:tcPr>
            <w:tcW w:w="54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w:t>
            </w:r>
          </w:p>
        </w:tc>
        <w:tc>
          <w:tcPr>
            <w:tcW w:w="1718"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w:t>
            </w:r>
          </w:p>
        </w:tc>
        <w:tc>
          <w:tcPr>
            <w:tcW w:w="455"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047" w:type="pct"/>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hint="eastAsia" w:ascii="黑体" w:eastAsia="黑体" w:cs="黑体"/>
                <w:i/>
                <w:iCs/>
                <w:color w:val="000000"/>
                <w:sz w:val="18"/>
                <w:szCs w:val="18"/>
                <w:u w:val="none"/>
              </w:rPr>
            </w:pPr>
            <w:r>
              <w:rPr>
                <w:rFonts w:hint="eastAsia" w:ascii="黑体" w:eastAsia="黑体" w:cs="黑体"/>
                <w:i/>
                <w:iCs/>
                <w:color w:val="000000"/>
                <w:kern w:val="0"/>
                <w:sz w:val="18"/>
                <w:szCs w:val="18"/>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pPr>
          </w:p>
        </w:tc>
        <w:tc>
          <w:tcPr>
            <w:tcW w:w="24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w:t>
            </w:r>
          </w:p>
        </w:tc>
        <w:tc>
          <w:tcPr>
            <w:tcW w:w="54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w:t>
            </w:r>
          </w:p>
        </w:tc>
        <w:tc>
          <w:tcPr>
            <w:tcW w:w="1718"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w:t>
            </w:r>
          </w:p>
        </w:tc>
        <w:tc>
          <w:tcPr>
            <w:tcW w:w="455"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04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pPr>
          </w:p>
        </w:tc>
        <w:tc>
          <w:tcPr>
            <w:tcW w:w="24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718"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455"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04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pPr>
          </w:p>
        </w:tc>
        <w:tc>
          <w:tcPr>
            <w:tcW w:w="24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718"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455"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04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jc w:val="center"/>
        </w:trPr>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pPr>
          </w:p>
        </w:tc>
        <w:tc>
          <w:tcPr>
            <w:tcW w:w="24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widowControl w:val="0"/>
              <w:snapToGrid w:val="0"/>
              <w:jc w:val="center"/>
              <w:rPr>
                <w:rFonts w:hint="eastAsia" w:ascii="微软雅黑" w:eastAsia="微软雅黑" w:cs="微软雅黑"/>
                <w:i/>
                <w:iCs/>
                <w:color w:val="000000"/>
                <w:sz w:val="16"/>
                <w:szCs w:val="16"/>
                <w:u w:val="none"/>
              </w:rPr>
            </w:pPr>
          </w:p>
        </w:tc>
        <w:tc>
          <w:tcPr>
            <w:tcW w:w="54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widowControl w:val="0"/>
              <w:snapToGrid w:val="0"/>
              <w:jc w:val="center"/>
              <w:rPr>
                <w:rFonts w:hint="eastAsia" w:ascii="微软雅黑" w:eastAsia="微软雅黑" w:cs="微软雅黑"/>
                <w:i/>
                <w:iCs/>
                <w:color w:val="000000"/>
                <w:sz w:val="16"/>
                <w:szCs w:val="16"/>
                <w:u w:val="none"/>
              </w:rPr>
            </w:pPr>
          </w:p>
        </w:tc>
        <w:tc>
          <w:tcPr>
            <w:tcW w:w="1718"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widowControl w:val="0"/>
              <w:snapToGrid w:val="0"/>
              <w:jc w:val="center"/>
              <w:rPr>
                <w:rFonts w:hint="eastAsia" w:ascii="微软雅黑" w:eastAsia="微软雅黑" w:cs="微软雅黑"/>
                <w:i/>
                <w:iCs/>
                <w:color w:val="000000"/>
                <w:sz w:val="16"/>
                <w:szCs w:val="16"/>
                <w:u w:val="none"/>
              </w:rPr>
            </w:pPr>
          </w:p>
        </w:tc>
        <w:tc>
          <w:tcPr>
            <w:tcW w:w="455"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widowControl w:val="0"/>
              <w:snapToGrid w:val="0"/>
              <w:jc w:val="center"/>
              <w:rPr>
                <w:rFonts w:hint="eastAsia" w:ascii="微软雅黑" w:eastAsia="微软雅黑" w:cs="微软雅黑"/>
                <w:i/>
                <w:iCs/>
                <w:color w:val="000000"/>
                <w:sz w:val="16"/>
                <w:szCs w:val="16"/>
                <w:u w:val="none"/>
              </w:rPr>
            </w:pP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04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jc w:val="center"/>
        </w:trPr>
        <w:tc>
          <w:tcPr>
            <w:tcW w:w="22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24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54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2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91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455"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04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pPr>
          </w:p>
        </w:tc>
        <w:tc>
          <w:tcPr>
            <w:tcW w:w="241" w:type="pct"/>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54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重要档案数据数量</w:t>
            </w:r>
          </w:p>
        </w:tc>
        <w:tc>
          <w:tcPr>
            <w:tcW w:w="2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30</w:t>
            </w:r>
          </w:p>
        </w:tc>
        <w:tc>
          <w:tcPr>
            <w:tcW w:w="91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套</w:t>
            </w:r>
          </w:p>
        </w:tc>
        <w:tc>
          <w:tcPr>
            <w:tcW w:w="455"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50</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04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widowControl w:val="0"/>
              <w:snapToGrid w:val="0"/>
              <w:jc w:val="center"/>
              <w:rPr>
                <w:rFonts w:hint="eastAsia" w:asci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pPr>
          </w:p>
        </w:tc>
        <w:tc>
          <w:tcPr>
            <w:tcW w:w="241"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pP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54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异地异质备份准确率大幅提升</w:t>
            </w:r>
          </w:p>
        </w:tc>
        <w:tc>
          <w:tcPr>
            <w:tcW w:w="2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91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455"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100</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04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widowControl w:val="0"/>
              <w:snapToGrid w:val="0"/>
              <w:jc w:val="center"/>
              <w:rPr>
                <w:rFonts w:hint="eastAsia" w:asci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pPr>
          </w:p>
        </w:tc>
        <w:tc>
          <w:tcPr>
            <w:tcW w:w="241"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pP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54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档案异地备份完成及时率</w:t>
            </w:r>
          </w:p>
        </w:tc>
        <w:tc>
          <w:tcPr>
            <w:tcW w:w="2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91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455"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95</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104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widowControl w:val="0"/>
              <w:snapToGrid w:val="0"/>
              <w:jc w:val="center"/>
              <w:rPr>
                <w:rFonts w:hint="eastAsia" w:asci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pPr>
          </w:p>
        </w:tc>
        <w:tc>
          <w:tcPr>
            <w:tcW w:w="24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经济效益指标</w:t>
            </w:r>
          </w:p>
        </w:tc>
        <w:tc>
          <w:tcPr>
            <w:tcW w:w="54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潜在经济损失减少率</w:t>
            </w:r>
          </w:p>
        </w:tc>
        <w:tc>
          <w:tcPr>
            <w:tcW w:w="2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91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455"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95</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104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widowControl w:val="0"/>
              <w:snapToGrid w:val="0"/>
              <w:jc w:val="center"/>
              <w:rPr>
                <w:rFonts w:hint="eastAsia" w:asci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jc w:val="center"/>
        </w:trPr>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pPr>
          </w:p>
        </w:tc>
        <w:tc>
          <w:tcPr>
            <w:tcW w:w="241" w:type="pct"/>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23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服务对象满意度指标</w:t>
            </w:r>
          </w:p>
        </w:tc>
        <w:tc>
          <w:tcPr>
            <w:tcW w:w="54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档案查阅群众满意度</w:t>
            </w:r>
          </w:p>
        </w:tc>
        <w:tc>
          <w:tcPr>
            <w:tcW w:w="2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98</w:t>
            </w:r>
          </w:p>
        </w:tc>
        <w:tc>
          <w:tcPr>
            <w:tcW w:w="91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455"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99.9</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104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widowControl w:val="0"/>
              <w:snapToGrid w:val="0"/>
              <w:jc w:val="center"/>
              <w:rPr>
                <w:rFonts w:hint="eastAsia" w:asci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pPr>
          </w:p>
        </w:tc>
        <w:tc>
          <w:tcPr>
            <w:tcW w:w="241"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pPr>
          </w:p>
        </w:tc>
        <w:tc>
          <w:tcPr>
            <w:tcW w:w="23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pPr>
          </w:p>
        </w:tc>
        <w:tc>
          <w:tcPr>
            <w:tcW w:w="54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档案利用群众满意度</w:t>
            </w:r>
          </w:p>
        </w:tc>
        <w:tc>
          <w:tcPr>
            <w:tcW w:w="2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91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455"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99.9</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104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widowControl w:val="0"/>
              <w:snapToGrid w:val="0"/>
              <w:jc w:val="center"/>
              <w:rPr>
                <w:rFonts w:hint="eastAsia" w:asci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pPr>
          </w:p>
        </w:tc>
        <w:tc>
          <w:tcPr>
            <w:tcW w:w="24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经济成本指标</w:t>
            </w:r>
          </w:p>
        </w:tc>
        <w:tc>
          <w:tcPr>
            <w:tcW w:w="54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项目预算控制率</w:t>
            </w:r>
          </w:p>
        </w:tc>
        <w:tc>
          <w:tcPr>
            <w:tcW w:w="2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91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455"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95</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104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widowControl w:val="0"/>
              <w:snapToGrid w:val="0"/>
              <w:jc w:val="center"/>
              <w:rPr>
                <w:rFonts w:hint="eastAsia" w:asci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22" w:type="pct"/>
            <w:gridSpan w:val="1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30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04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widowControl w:val="0"/>
              <w:snapToGrid w:val="0"/>
              <w:rPr>
                <w:rFonts w:hint="eastAsia" w:asci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777" w:type="pct"/>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本项目自评得分100分，严格按“异地异质、安全优先”原则完成档案异地备份，达到预期目标。将馆藏永久文书、民生及音像等重要档案全部纳入备份，实现全覆盖。采用档案级蓝光光盘与硬盘为载体，依据DA/T 99-2024规范制作两套数据，实行离线与异地备份，构建“本地+异地”双重保障。异地选址符合安全距离等要求，签订备份协议，明确权责。全流程规范管控，数据校验、介质封装、专人护送、入库监管到位。同步建立常态化增量备份与定期检测机制，确保数据可读可用。项目建成完整异地异质备份体系，消除单地单质存放隐患，大幅提升档案安全与抗灾能力，保障重要档案绝对安全，为规范管理与安全利用奠定基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777" w:type="pct"/>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777" w:type="pct"/>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60"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ascii="黑体" w:eastAsia="黑体" w:cs="黑体"/>
                <w:i w:val="0"/>
                <w:iCs w:val="0"/>
                <w:color w:val="000000"/>
                <w:sz w:val="18"/>
                <w:szCs w:val="18"/>
                <w:u w:val="none"/>
                <w:lang w:val="en-US"/>
              </w:rPr>
            </w:pPr>
            <w:r>
              <w:rPr>
                <w:rFonts w:hint="eastAsia" w:ascii="黑体" w:eastAsia="黑体" w:cs="黑体"/>
                <w:i w:val="0"/>
                <w:iCs w:val="0"/>
                <w:color w:val="000000"/>
                <w:kern w:val="0"/>
                <w:sz w:val="18"/>
                <w:szCs w:val="18"/>
                <w:u w:val="none"/>
                <w:lang w:val="en-US" w:eastAsia="zh-CN"/>
              </w:rPr>
              <w:t>项目负责人：谭郦</w:t>
            </w:r>
          </w:p>
        </w:tc>
        <w:tc>
          <w:tcPr>
            <w:tcW w:w="3539" w:type="pct"/>
            <w:gridSpan w:val="1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ascii="黑体" w:eastAsia="黑体" w:cs="黑体"/>
                <w:i w:val="0"/>
                <w:iCs w:val="0"/>
                <w:color w:val="000000"/>
                <w:sz w:val="18"/>
                <w:szCs w:val="18"/>
                <w:u w:val="none"/>
                <w:lang w:val="en-US"/>
              </w:rPr>
            </w:pPr>
            <w:r>
              <w:rPr>
                <w:rFonts w:hint="eastAsia" w:ascii="黑体" w:eastAsia="黑体" w:cs="黑体"/>
                <w:i w:val="0"/>
                <w:iCs w:val="0"/>
                <w:color w:val="000000"/>
                <w:kern w:val="0"/>
                <w:sz w:val="18"/>
                <w:szCs w:val="18"/>
                <w:u w:val="none"/>
                <w:lang w:val="en-US" w:eastAsia="zh-CN"/>
              </w:rPr>
              <w:t>分管负责人：苏朗恩波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21"/>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黑体" w:eastAsia="黑体" w:cs="黑体"/>
                <w:b/>
                <w:bCs/>
                <w:i w:val="0"/>
                <w:iCs w:val="0"/>
                <w:color w:val="000000"/>
                <w:sz w:val="30"/>
                <w:szCs w:val="30"/>
                <w:u w:val="none"/>
              </w:rPr>
            </w:pPr>
            <w:r>
              <w:rPr>
                <w:rFonts w:hint="eastAsia" w:ascii="黑体" w:eastAsia="黑体" w:cs="黑体"/>
                <w:b/>
                <w:bCs/>
                <w:i w:val="0"/>
                <w:iCs w:val="0"/>
                <w:color w:val="000000"/>
                <w:kern w:val="0"/>
                <w:sz w:val="30"/>
                <w:szCs w:val="30"/>
                <w:u w:val="none"/>
                <w:lang w:val="en-US" w:eastAsia="zh-CN"/>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6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4535" w:type="pct"/>
            <w:gridSpan w:val="1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51320025T000012661579-散落民间各门类档案征集费（2025年度）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6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267"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州档案馆部门</w:t>
            </w:r>
          </w:p>
        </w:tc>
        <w:tc>
          <w:tcPr>
            <w:tcW w:w="234" w:type="pct"/>
            <w:gridSpan w:val="2"/>
            <w:tcBorders>
              <w:top w:val="nil"/>
              <w:left w:val="nil"/>
              <w:bottom w:val="nil"/>
              <w:right w:val="nil"/>
            </w:tcBorders>
            <w:shd w:val="clear" w:color="auto" w:fill="auto"/>
            <w:noWrap/>
            <w:vAlign w:val="center"/>
          </w:tcPr>
          <w:p>
            <w:pPr>
              <w:keepNext/>
              <w:keepLines w:val="0"/>
              <w:widowControl/>
              <w:suppressLineNumbers w:val="0"/>
              <w:snapToGrid w:val="0"/>
              <w:jc w:val="left"/>
              <w:textAlignment w:val="center"/>
              <w:rPr>
                <w:rFonts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实施单位 （盖章）</w:t>
            </w:r>
          </w:p>
        </w:tc>
        <w:tc>
          <w:tcPr>
            <w:tcW w:w="2033"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州档案馆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2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241" w:type="pct"/>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267"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2268"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pPr>
          </w:p>
        </w:tc>
        <w:tc>
          <w:tcPr>
            <w:tcW w:w="241"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pPr>
          </w:p>
        </w:tc>
        <w:tc>
          <w:tcPr>
            <w:tcW w:w="2267"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寻访、征集接收一批具有馆藏价值的文书、照片、实物等各门类档案，进一步提升馆藏档案价值，丰富馆藏资源，项目费用包含档案征集费、专家鉴定咨询费、差旅交通、办公费等。</w:t>
            </w:r>
          </w:p>
        </w:tc>
        <w:tc>
          <w:tcPr>
            <w:tcW w:w="2268"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pPr>
          </w:p>
        </w:tc>
        <w:tc>
          <w:tcPr>
            <w:tcW w:w="24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4535" w:type="pct"/>
            <w:gridSpan w:val="1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项目围绕民间档案征集与珍贵档案仿真复制两大核心任务展开。通过深入寻访并征集接收具有馆藏价值的文书、照片、实物等各门类档案，进一步丰富馆藏特色资源，提升档案价值。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2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24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54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1483"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23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1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577"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pPr>
          </w:p>
        </w:tc>
        <w:tc>
          <w:tcPr>
            <w:tcW w:w="24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14.00</w:t>
            </w:r>
          </w:p>
        </w:tc>
        <w:tc>
          <w:tcPr>
            <w:tcW w:w="54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13.92</w:t>
            </w:r>
          </w:p>
        </w:tc>
        <w:tc>
          <w:tcPr>
            <w:tcW w:w="1483"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13.92</w:t>
            </w:r>
          </w:p>
        </w:tc>
        <w:tc>
          <w:tcPr>
            <w:tcW w:w="23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1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jc w:val="center"/>
              <w:rPr>
                <w:rFonts w:hint="eastAsia" w:ascii="宋体" w:eastAsia="宋体" w:cs="宋体"/>
                <w:i w:val="0"/>
                <w:iCs w:val="0"/>
                <w:color w:val="000000"/>
                <w:sz w:val="18"/>
                <w:szCs w:val="18"/>
                <w:u w:val="none"/>
              </w:rPr>
            </w:pPr>
          </w:p>
        </w:tc>
        <w:tc>
          <w:tcPr>
            <w:tcW w:w="1577" w:type="pct"/>
            <w:gridSpan w:val="5"/>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hint="eastAsia" w:ascii="黑体" w:eastAsia="黑体" w:cs="黑体"/>
                <w:i/>
                <w:iCs/>
                <w:color w:val="000000"/>
                <w:sz w:val="18"/>
                <w:szCs w:val="18"/>
                <w:u w:val="none"/>
              </w:rPr>
            </w:pPr>
            <w:r>
              <w:rPr>
                <w:rFonts w:hint="eastAsia" w:ascii="黑体" w:eastAsia="黑体" w:cs="黑体"/>
                <w:i/>
                <w:iCs/>
                <w:color w:val="000000"/>
                <w:kern w:val="0"/>
                <w:sz w:val="18"/>
                <w:szCs w:val="18"/>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pPr>
          </w:p>
        </w:tc>
        <w:tc>
          <w:tcPr>
            <w:tcW w:w="24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14.00</w:t>
            </w:r>
          </w:p>
        </w:tc>
        <w:tc>
          <w:tcPr>
            <w:tcW w:w="54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13.92</w:t>
            </w:r>
          </w:p>
        </w:tc>
        <w:tc>
          <w:tcPr>
            <w:tcW w:w="1483"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13.92</w:t>
            </w:r>
          </w:p>
        </w:tc>
        <w:tc>
          <w:tcPr>
            <w:tcW w:w="23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1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77" w:type="pct"/>
            <w:gridSpan w:val="5"/>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pPr>
          </w:p>
        </w:tc>
        <w:tc>
          <w:tcPr>
            <w:tcW w:w="24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483"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3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1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77" w:type="pct"/>
            <w:gridSpan w:val="5"/>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pPr>
          </w:p>
        </w:tc>
        <w:tc>
          <w:tcPr>
            <w:tcW w:w="24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4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483"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3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1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77" w:type="pct"/>
            <w:gridSpan w:val="5"/>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jc w:val="center"/>
        </w:trPr>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pPr>
          </w:p>
        </w:tc>
        <w:tc>
          <w:tcPr>
            <w:tcW w:w="24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jc w:val="center"/>
              <w:rPr>
                <w:rFonts w:hint="eastAsia" w:ascii="微软雅黑" w:eastAsia="微软雅黑" w:cs="微软雅黑"/>
                <w:i/>
                <w:iCs/>
                <w:color w:val="000000"/>
                <w:sz w:val="16"/>
                <w:szCs w:val="16"/>
                <w:u w:val="none"/>
              </w:rPr>
            </w:pPr>
          </w:p>
        </w:tc>
        <w:tc>
          <w:tcPr>
            <w:tcW w:w="54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jc w:val="center"/>
              <w:rPr>
                <w:rFonts w:hint="eastAsia" w:ascii="微软雅黑" w:eastAsia="微软雅黑" w:cs="微软雅黑"/>
                <w:i/>
                <w:iCs/>
                <w:color w:val="000000"/>
                <w:sz w:val="16"/>
                <w:szCs w:val="16"/>
                <w:u w:val="none"/>
              </w:rPr>
            </w:pPr>
          </w:p>
        </w:tc>
        <w:tc>
          <w:tcPr>
            <w:tcW w:w="1483"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jc w:val="center"/>
              <w:rPr>
                <w:rFonts w:hint="eastAsia" w:ascii="微软雅黑" w:eastAsia="微软雅黑" w:cs="微软雅黑"/>
                <w:i/>
                <w:iCs/>
                <w:color w:val="000000"/>
                <w:sz w:val="16"/>
                <w:szCs w:val="16"/>
                <w:u w:val="none"/>
              </w:rPr>
            </w:pPr>
          </w:p>
        </w:tc>
        <w:tc>
          <w:tcPr>
            <w:tcW w:w="23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jc w:val="center"/>
              <w:rPr>
                <w:rFonts w:hint="eastAsia" w:ascii="微软雅黑" w:eastAsia="微软雅黑" w:cs="微软雅黑"/>
                <w:i/>
                <w:iCs/>
                <w:color w:val="000000"/>
                <w:sz w:val="16"/>
                <w:szCs w:val="16"/>
                <w:u w:val="none"/>
              </w:rPr>
            </w:pP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1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77" w:type="pct"/>
            <w:gridSpan w:val="5"/>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2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24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54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2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6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23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1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577"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pPr>
          </w:p>
        </w:tc>
        <w:tc>
          <w:tcPr>
            <w:tcW w:w="241" w:type="pct"/>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54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征集档案门类类别数量</w:t>
            </w:r>
          </w:p>
        </w:tc>
        <w:tc>
          <w:tcPr>
            <w:tcW w:w="2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w:t>
            </w:r>
          </w:p>
        </w:tc>
        <w:tc>
          <w:tcPr>
            <w:tcW w:w="6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个（套）</w:t>
            </w:r>
          </w:p>
        </w:tc>
        <w:tc>
          <w:tcPr>
            <w:tcW w:w="23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jc w:val="center"/>
              <w:rPr>
                <w:rFonts w:hint="eastAsia" w:ascii="微软雅黑" w:eastAsia="微软雅黑" w:cs="微软雅黑"/>
                <w:i/>
                <w:iCs/>
                <w:color w:val="000000"/>
                <w:sz w:val="16"/>
                <w:szCs w:val="16"/>
                <w:u w:val="none"/>
              </w:rPr>
            </w:pP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1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jc w:val="center"/>
              <w:rPr>
                <w:rFonts w:hint="eastAsia" w:ascii="宋体" w:eastAsia="宋体" w:cs="宋体"/>
                <w:i w:val="0"/>
                <w:iCs w:val="0"/>
                <w:color w:val="000000"/>
                <w:sz w:val="18"/>
                <w:szCs w:val="18"/>
                <w:u w:val="none"/>
              </w:rPr>
            </w:pPr>
          </w:p>
        </w:tc>
        <w:tc>
          <w:tcPr>
            <w:tcW w:w="1577"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jc w:val="center"/>
              <w:rPr>
                <w:rFonts w:hint="eastAsia" w:asci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pPr>
          </w:p>
        </w:tc>
        <w:tc>
          <w:tcPr>
            <w:tcW w:w="241"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pP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54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异地异质备份准确率大幅提升</w:t>
            </w:r>
          </w:p>
        </w:tc>
        <w:tc>
          <w:tcPr>
            <w:tcW w:w="2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6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3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jc w:val="center"/>
              <w:rPr>
                <w:rFonts w:hint="eastAsia" w:ascii="微软雅黑" w:eastAsia="微软雅黑" w:cs="微软雅黑"/>
                <w:i/>
                <w:iCs/>
                <w:color w:val="000000"/>
                <w:sz w:val="16"/>
                <w:szCs w:val="16"/>
                <w:u w:val="none"/>
              </w:rPr>
            </w:pP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1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jc w:val="center"/>
              <w:rPr>
                <w:rFonts w:hint="eastAsia" w:ascii="宋体" w:eastAsia="宋体" w:cs="宋体"/>
                <w:i w:val="0"/>
                <w:iCs w:val="0"/>
                <w:color w:val="000000"/>
                <w:sz w:val="18"/>
                <w:szCs w:val="18"/>
                <w:u w:val="none"/>
              </w:rPr>
            </w:pPr>
          </w:p>
        </w:tc>
        <w:tc>
          <w:tcPr>
            <w:tcW w:w="1577"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jc w:val="center"/>
              <w:rPr>
                <w:rFonts w:hint="eastAsia" w:asci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jc w:val="center"/>
        </w:trPr>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pPr>
          </w:p>
        </w:tc>
        <w:tc>
          <w:tcPr>
            <w:tcW w:w="241"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pP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54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征集工作按期完成率</w:t>
            </w:r>
          </w:p>
        </w:tc>
        <w:tc>
          <w:tcPr>
            <w:tcW w:w="2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6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3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jc w:val="center"/>
              <w:rPr>
                <w:rFonts w:hint="eastAsia" w:ascii="微软雅黑" w:eastAsia="微软雅黑" w:cs="微软雅黑"/>
                <w:i/>
                <w:iCs/>
                <w:color w:val="000000"/>
                <w:sz w:val="16"/>
                <w:szCs w:val="16"/>
                <w:u w:val="none"/>
              </w:rPr>
            </w:pP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1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jc w:val="center"/>
              <w:rPr>
                <w:rFonts w:hint="eastAsia" w:ascii="宋体" w:eastAsia="宋体" w:cs="宋体"/>
                <w:i w:val="0"/>
                <w:iCs w:val="0"/>
                <w:color w:val="000000"/>
                <w:sz w:val="18"/>
                <w:szCs w:val="18"/>
                <w:u w:val="none"/>
              </w:rPr>
            </w:pPr>
          </w:p>
        </w:tc>
        <w:tc>
          <w:tcPr>
            <w:tcW w:w="1577"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jc w:val="center"/>
              <w:rPr>
                <w:rFonts w:hint="eastAsia" w:asci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pPr>
          </w:p>
        </w:tc>
        <w:tc>
          <w:tcPr>
            <w:tcW w:w="241" w:type="pct"/>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54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珍贵实物档案要凸显阿坝特色且主题鲜明，能反映阿坝州历史或藏羌文化，凸显特色亮点</w:t>
            </w:r>
          </w:p>
        </w:tc>
        <w:tc>
          <w:tcPr>
            <w:tcW w:w="2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良好</w:t>
            </w:r>
          </w:p>
        </w:tc>
        <w:tc>
          <w:tcPr>
            <w:tcW w:w="6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jc w:val="center"/>
              <w:rPr>
                <w:rFonts w:hint="eastAsia" w:ascii="宋体" w:eastAsia="宋体" w:cs="宋体"/>
                <w:i w:val="0"/>
                <w:iCs w:val="0"/>
                <w:color w:val="000000"/>
                <w:sz w:val="18"/>
                <w:szCs w:val="18"/>
                <w:u w:val="none"/>
              </w:rPr>
            </w:pPr>
          </w:p>
        </w:tc>
        <w:tc>
          <w:tcPr>
            <w:tcW w:w="23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jc w:val="center"/>
              <w:rPr>
                <w:rFonts w:hint="eastAsia" w:ascii="微软雅黑" w:eastAsia="微软雅黑" w:cs="微软雅黑"/>
                <w:i/>
                <w:iCs/>
                <w:color w:val="000000"/>
                <w:sz w:val="16"/>
                <w:szCs w:val="16"/>
                <w:u w:val="none"/>
              </w:rPr>
            </w:pP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1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jc w:val="center"/>
              <w:rPr>
                <w:rFonts w:hint="eastAsia" w:ascii="宋体" w:eastAsia="宋体" w:cs="宋体"/>
                <w:i w:val="0"/>
                <w:iCs w:val="0"/>
                <w:color w:val="000000"/>
                <w:sz w:val="18"/>
                <w:szCs w:val="18"/>
                <w:u w:val="none"/>
              </w:rPr>
            </w:pPr>
          </w:p>
        </w:tc>
        <w:tc>
          <w:tcPr>
            <w:tcW w:w="1577"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jc w:val="center"/>
              <w:rPr>
                <w:rFonts w:hint="eastAsia" w:asci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pPr>
          </w:p>
        </w:tc>
        <w:tc>
          <w:tcPr>
            <w:tcW w:w="241"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pP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可持续发展指标</w:t>
            </w:r>
          </w:p>
        </w:tc>
        <w:tc>
          <w:tcPr>
            <w:tcW w:w="54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原始素材利用率</w:t>
            </w:r>
          </w:p>
        </w:tc>
        <w:tc>
          <w:tcPr>
            <w:tcW w:w="2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98</w:t>
            </w:r>
          </w:p>
        </w:tc>
        <w:tc>
          <w:tcPr>
            <w:tcW w:w="6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3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jc w:val="center"/>
              <w:rPr>
                <w:rFonts w:hint="eastAsia" w:ascii="微软雅黑" w:eastAsia="微软雅黑" w:cs="微软雅黑"/>
                <w:i/>
                <w:iCs/>
                <w:color w:val="000000"/>
                <w:sz w:val="16"/>
                <w:szCs w:val="16"/>
                <w:u w:val="none"/>
              </w:rPr>
            </w:pP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1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jc w:val="center"/>
              <w:rPr>
                <w:rFonts w:hint="eastAsia" w:ascii="宋体" w:eastAsia="宋体" w:cs="宋体"/>
                <w:i w:val="0"/>
                <w:iCs w:val="0"/>
                <w:color w:val="000000"/>
                <w:sz w:val="18"/>
                <w:szCs w:val="18"/>
                <w:u w:val="none"/>
              </w:rPr>
            </w:pPr>
          </w:p>
        </w:tc>
        <w:tc>
          <w:tcPr>
            <w:tcW w:w="1577"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jc w:val="center"/>
              <w:rPr>
                <w:rFonts w:hint="eastAsia" w:asci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pPr>
          </w:p>
        </w:tc>
        <w:tc>
          <w:tcPr>
            <w:tcW w:w="24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服务对象满意度指标</w:t>
            </w:r>
          </w:p>
        </w:tc>
        <w:tc>
          <w:tcPr>
            <w:tcW w:w="54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征集对象满意度</w:t>
            </w:r>
          </w:p>
        </w:tc>
        <w:tc>
          <w:tcPr>
            <w:tcW w:w="2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6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3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jc w:val="center"/>
              <w:rPr>
                <w:rFonts w:hint="eastAsia" w:ascii="微软雅黑" w:eastAsia="微软雅黑" w:cs="微软雅黑"/>
                <w:i/>
                <w:iCs/>
                <w:color w:val="000000"/>
                <w:sz w:val="16"/>
                <w:szCs w:val="16"/>
                <w:u w:val="none"/>
              </w:rPr>
            </w:pP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1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jc w:val="center"/>
              <w:rPr>
                <w:rFonts w:hint="eastAsia" w:ascii="宋体" w:eastAsia="宋体" w:cs="宋体"/>
                <w:i w:val="0"/>
                <w:iCs w:val="0"/>
                <w:color w:val="000000"/>
                <w:sz w:val="18"/>
                <w:szCs w:val="18"/>
                <w:u w:val="none"/>
              </w:rPr>
            </w:pPr>
          </w:p>
        </w:tc>
        <w:tc>
          <w:tcPr>
            <w:tcW w:w="1577"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jc w:val="center"/>
              <w:rPr>
                <w:rFonts w:hint="eastAsia" w:asci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pPr>
          </w:p>
        </w:tc>
        <w:tc>
          <w:tcPr>
            <w:tcW w:w="24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经济成本指标</w:t>
            </w:r>
          </w:p>
        </w:tc>
        <w:tc>
          <w:tcPr>
            <w:tcW w:w="54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项目预算控制率</w:t>
            </w:r>
          </w:p>
        </w:tc>
        <w:tc>
          <w:tcPr>
            <w:tcW w:w="2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6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3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jc w:val="center"/>
              <w:rPr>
                <w:rFonts w:hint="eastAsia" w:ascii="微软雅黑" w:eastAsia="微软雅黑" w:cs="微软雅黑"/>
                <w:i/>
                <w:iCs/>
                <w:color w:val="000000"/>
                <w:sz w:val="16"/>
                <w:szCs w:val="16"/>
                <w:u w:val="none"/>
              </w:rPr>
            </w:pP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1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jc w:val="center"/>
              <w:rPr>
                <w:rFonts w:hint="eastAsia" w:ascii="宋体" w:eastAsia="宋体" w:cs="宋体"/>
                <w:i w:val="0"/>
                <w:iCs w:val="0"/>
                <w:color w:val="000000"/>
                <w:sz w:val="18"/>
                <w:szCs w:val="18"/>
                <w:u w:val="none"/>
              </w:rPr>
            </w:pPr>
          </w:p>
        </w:tc>
        <w:tc>
          <w:tcPr>
            <w:tcW w:w="1577"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jc w:val="center"/>
              <w:rPr>
                <w:rFonts w:hint="eastAsia" w:asci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966" w:type="pct"/>
            <w:gridSpan w:val="1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1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rPr>
                <w:rFonts w:hint="eastAsia" w:ascii="宋体" w:eastAsia="宋体" w:cs="宋体"/>
                <w:i w:val="0"/>
                <w:iCs w:val="0"/>
                <w:color w:val="000000"/>
                <w:sz w:val="18"/>
                <w:szCs w:val="18"/>
                <w:u w:val="none"/>
              </w:rPr>
            </w:pPr>
          </w:p>
        </w:tc>
        <w:tc>
          <w:tcPr>
            <w:tcW w:w="1577"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rPr>
                <w:rFonts w:hint="eastAsia" w:asci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777" w:type="pct"/>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项目自评总分98分。项目实施成效显著：一是全面完成年度目标，成功征集一批具有馆藏价值的文书、照片、实物等档案，进一步丰富馆藏资源，凸显阿坝特色与藏羌文化内涵；二是经费使用规范高效，预算执行率100%，成本控制严格；三是档案征集与保护协同推进，为红色文化和民族文化遗产传承提供了有力支撑，服务对象满意度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777" w:type="pct"/>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一是征集渠道相对单一，主要依靠传统寻访方式，数字化征集手段运用不足；二是部分征集档案的整理编目滞后，与后续开发利用衔接不够紧密；三是专家鉴定咨询频次偏低，对征集档案的价值挖掘深度有待加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777" w:type="pct"/>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一是拓宽征集渠道，探索线上线下相结合的多元化征集模式，提升征集效率；二是加强征集与整理编目同步推进，建立快速响应机制，确保征集档案及时入库利用；三是增加专家鉴定咨询频次，深化档案价值挖掘与特色提炼，提升征集成果的学术与文化影响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60"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项目负责人：邓明瀚</w:t>
            </w:r>
          </w:p>
        </w:tc>
        <w:tc>
          <w:tcPr>
            <w:tcW w:w="3539" w:type="pct"/>
            <w:gridSpan w:val="1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分管负责人：杨跃珍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21"/>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黑体" w:eastAsia="黑体" w:cs="黑体"/>
                <w:b/>
                <w:bCs/>
                <w:i w:val="0"/>
                <w:iCs w:val="0"/>
                <w:color w:val="000000"/>
                <w:sz w:val="30"/>
                <w:szCs w:val="30"/>
                <w:u w:val="none"/>
              </w:rPr>
            </w:pPr>
            <w:r>
              <w:rPr>
                <w:rFonts w:hint="eastAsia" w:ascii="黑体" w:eastAsia="黑体" w:cs="黑体"/>
                <w:b/>
                <w:bCs/>
                <w:i w:val="0"/>
                <w:iCs w:val="0"/>
                <w:color w:val="000000"/>
                <w:kern w:val="0"/>
                <w:sz w:val="30"/>
                <w:szCs w:val="30"/>
                <w:u w:val="none"/>
                <w:lang w:val="en-US" w:eastAsia="zh-CN"/>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8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4411" w:type="pct"/>
            <w:gridSpan w:val="1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ascii="宋体" w:eastAsia="宋体" w:cs="宋体"/>
                <w:i w:val="0"/>
                <w:iCs w:val="0"/>
                <w:color w:val="FF0000"/>
                <w:sz w:val="18"/>
                <w:szCs w:val="18"/>
                <w:u w:val="none"/>
              </w:rPr>
            </w:pPr>
            <w:r>
              <w:rPr>
                <w:rFonts w:ascii="宋体" w:eastAsia="宋体" w:cs="宋体"/>
                <w:i w:val="0"/>
                <w:iCs w:val="0"/>
                <w:color w:val="000000"/>
                <w:kern w:val="0"/>
                <w:sz w:val="18"/>
                <w:szCs w:val="18"/>
                <w:u w:val="none"/>
                <w:lang w:val="en-US" w:eastAsia="zh-CN"/>
              </w:rPr>
              <w:t>51320025T000012661461-档案保管保护项目（2025年度）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8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720"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州档案馆部门</w:t>
            </w:r>
          </w:p>
        </w:tc>
        <w:tc>
          <w:tcPr>
            <w:tcW w:w="335" w:type="pct"/>
            <w:gridSpan w:val="2"/>
            <w:tcBorders>
              <w:top w:val="nil"/>
              <w:left w:val="nil"/>
              <w:bottom w:val="nil"/>
              <w:right w:val="nil"/>
            </w:tcBorders>
            <w:shd w:val="clear" w:color="auto" w:fill="auto"/>
            <w:noWrap/>
            <w:vAlign w:val="center"/>
          </w:tcPr>
          <w:p>
            <w:pPr>
              <w:keepNext w:val="0"/>
              <w:keepLines w:val="0"/>
              <w:widowControl/>
              <w:suppressLineNumbers w:val="0"/>
              <w:snapToGrid w:val="0"/>
              <w:jc w:val="left"/>
              <w:textAlignment w:val="center"/>
              <w:rPr>
                <w:rFonts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实施单位 （盖章）</w:t>
            </w:r>
          </w:p>
        </w:tc>
        <w:tc>
          <w:tcPr>
            <w:tcW w:w="1355"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州档案馆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24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720"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691"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pPr>
          </w:p>
        </w:tc>
        <w:tc>
          <w:tcPr>
            <w:tcW w:w="24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pPr>
          </w:p>
        </w:tc>
        <w:tc>
          <w:tcPr>
            <w:tcW w:w="2720"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确保实体档案得到有效保护，根据国家综合档案馆业务建设评价要求，今年新增库房恒温恒温系统、防漏水漏电等各类设施设备，综合考虑行业评价标准不断提高，且物价上涨成本增大，尤其是人力成果增加较大，近年来，查阅利用档案的人数急剧增长，为档案利用者办理养老保险、退休、机关干部档案清查及学者查考研究提供了大量真实、有效的凭证，档案复印量增长较大。特别是近年来破产改制企业退休人员查档增多，查阅量增大，提供打印、复印大幅增加，且不允许收费，故增加查阅档案的办公经费；同时，按照《国家档案馆档案开放办法》等规定，需开展档案鉴定、解密、划控和开放等工作。项目费用包括办公费、印刷费、咨询费、劳务、差旅、交通、专用材料等费用。</w:t>
            </w:r>
          </w:p>
        </w:tc>
        <w:tc>
          <w:tcPr>
            <w:tcW w:w="1691"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实施库房档案密集架改造、库房设备提效升级，采买档案盒、杀虫药等装具耗材，按档案保管现状实施馆藏档案倒架等工作。采购查阅专用电脑和文创展示柜等设施设备，免费提供档案查阅利用。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pPr>
          </w:p>
        </w:tc>
        <w:tc>
          <w:tcPr>
            <w:tcW w:w="24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4411" w:type="pct"/>
            <w:gridSpan w:val="1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完成了库房档案密集架维修升级改造，根据档案保管情况，购置档案盒、档案标签、杀虫药等装具及耗材，按规范管理完成馆藏档案倒架等系列工作，采购查阅专用电脑和文创展示柜等设施设备，改善查阅大厅服务条件，免费提供档案查阅利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24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38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37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1954" w:type="pct"/>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33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2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0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9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pPr>
          </w:p>
        </w:tc>
        <w:tc>
          <w:tcPr>
            <w:tcW w:w="24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38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82.00</w:t>
            </w:r>
          </w:p>
        </w:tc>
        <w:tc>
          <w:tcPr>
            <w:tcW w:w="37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78.98</w:t>
            </w:r>
          </w:p>
        </w:tc>
        <w:tc>
          <w:tcPr>
            <w:tcW w:w="1954" w:type="pct"/>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78.97</w:t>
            </w:r>
          </w:p>
        </w:tc>
        <w:tc>
          <w:tcPr>
            <w:tcW w:w="33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99.99%</w:t>
            </w:r>
          </w:p>
        </w:tc>
        <w:tc>
          <w:tcPr>
            <w:tcW w:w="2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0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94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黑体" w:eastAsia="黑体" w:cs="黑体"/>
                <w:i/>
                <w:iCs/>
                <w:color w:val="000000"/>
                <w:sz w:val="18"/>
                <w:szCs w:val="18"/>
                <w:u w:val="none"/>
              </w:rPr>
            </w:pPr>
            <w:r>
              <w:rPr>
                <w:rFonts w:hint="eastAsia" w:ascii="黑体" w:eastAsia="黑体" w:cs="黑体"/>
                <w:i/>
                <w:iCs/>
                <w:color w:val="000000"/>
                <w:kern w:val="0"/>
                <w:sz w:val="18"/>
                <w:szCs w:val="18"/>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pPr>
          </w:p>
        </w:tc>
        <w:tc>
          <w:tcPr>
            <w:tcW w:w="24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38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82.00</w:t>
            </w:r>
          </w:p>
        </w:tc>
        <w:tc>
          <w:tcPr>
            <w:tcW w:w="37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78.98</w:t>
            </w:r>
          </w:p>
        </w:tc>
        <w:tc>
          <w:tcPr>
            <w:tcW w:w="1954" w:type="pct"/>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78.97</w:t>
            </w:r>
          </w:p>
        </w:tc>
        <w:tc>
          <w:tcPr>
            <w:tcW w:w="33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99.99%</w:t>
            </w:r>
          </w:p>
        </w:tc>
        <w:tc>
          <w:tcPr>
            <w:tcW w:w="2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0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9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pPr>
          </w:p>
        </w:tc>
        <w:tc>
          <w:tcPr>
            <w:tcW w:w="24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38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37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954" w:type="pct"/>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33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0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9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pPr>
          </w:p>
        </w:tc>
        <w:tc>
          <w:tcPr>
            <w:tcW w:w="24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38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37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954" w:type="pct"/>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33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0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9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pPr>
          </w:p>
        </w:tc>
        <w:tc>
          <w:tcPr>
            <w:tcW w:w="24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38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微软雅黑" w:eastAsia="微软雅黑" w:cs="微软雅黑"/>
                <w:i/>
                <w:iCs/>
                <w:color w:val="000000"/>
                <w:sz w:val="16"/>
                <w:szCs w:val="16"/>
                <w:u w:val="none"/>
              </w:rPr>
            </w:pPr>
          </w:p>
        </w:tc>
        <w:tc>
          <w:tcPr>
            <w:tcW w:w="37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微软雅黑" w:eastAsia="微软雅黑" w:cs="微软雅黑"/>
                <w:i/>
                <w:iCs/>
                <w:color w:val="000000"/>
                <w:sz w:val="16"/>
                <w:szCs w:val="16"/>
                <w:u w:val="none"/>
              </w:rPr>
            </w:pPr>
          </w:p>
        </w:tc>
        <w:tc>
          <w:tcPr>
            <w:tcW w:w="1954" w:type="pct"/>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微软雅黑" w:eastAsia="微软雅黑" w:cs="微软雅黑"/>
                <w:i/>
                <w:iCs/>
                <w:color w:val="000000"/>
                <w:sz w:val="16"/>
                <w:szCs w:val="16"/>
                <w:u w:val="none"/>
              </w:rPr>
            </w:pPr>
          </w:p>
        </w:tc>
        <w:tc>
          <w:tcPr>
            <w:tcW w:w="33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微软雅黑" w:eastAsia="微软雅黑" w:cs="微软雅黑"/>
                <w:i/>
                <w:iCs/>
                <w:color w:val="000000"/>
                <w:sz w:val="16"/>
                <w:szCs w:val="16"/>
                <w:u w:val="none"/>
              </w:rPr>
            </w:pPr>
          </w:p>
        </w:tc>
        <w:tc>
          <w:tcPr>
            <w:tcW w:w="2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0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9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24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38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37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69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79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45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33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2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0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9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jc w:val="center"/>
        </w:trPr>
        <w:tc>
          <w:tcPr>
            <w:tcW w:w="33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pPr>
          </w:p>
        </w:tc>
        <w:tc>
          <w:tcPr>
            <w:tcW w:w="24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38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37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馆藏档案数量</w:t>
            </w:r>
          </w:p>
        </w:tc>
        <w:tc>
          <w:tcPr>
            <w:tcW w:w="695" w:type="pct"/>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9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245721</w:t>
            </w:r>
          </w:p>
        </w:tc>
        <w:tc>
          <w:tcPr>
            <w:tcW w:w="45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件</w:t>
            </w:r>
          </w:p>
        </w:tc>
        <w:tc>
          <w:tcPr>
            <w:tcW w:w="33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293521</w:t>
            </w:r>
          </w:p>
        </w:tc>
        <w:tc>
          <w:tcPr>
            <w:tcW w:w="2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20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9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jc w:val="center"/>
        </w:trPr>
        <w:tc>
          <w:tcPr>
            <w:tcW w:w="33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pPr>
          </w:p>
        </w:tc>
        <w:tc>
          <w:tcPr>
            <w:tcW w:w="24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pPr>
          </w:p>
        </w:tc>
        <w:tc>
          <w:tcPr>
            <w:tcW w:w="38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pPr>
          </w:p>
        </w:tc>
        <w:tc>
          <w:tcPr>
            <w:tcW w:w="37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pPr>
          </w:p>
        </w:tc>
        <w:tc>
          <w:tcPr>
            <w:tcW w:w="695"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pPr>
          </w:p>
        </w:tc>
        <w:tc>
          <w:tcPr>
            <w:tcW w:w="79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139207</w:t>
            </w:r>
          </w:p>
        </w:tc>
        <w:tc>
          <w:tcPr>
            <w:tcW w:w="45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卷</w:t>
            </w:r>
          </w:p>
        </w:tc>
        <w:tc>
          <w:tcPr>
            <w:tcW w:w="33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140572</w:t>
            </w:r>
          </w:p>
        </w:tc>
        <w:tc>
          <w:tcPr>
            <w:tcW w:w="2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20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9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pPr>
          </w:p>
        </w:tc>
        <w:tc>
          <w:tcPr>
            <w:tcW w:w="24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pPr>
          </w:p>
        </w:tc>
        <w:tc>
          <w:tcPr>
            <w:tcW w:w="38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pPr>
          </w:p>
        </w:tc>
        <w:tc>
          <w:tcPr>
            <w:tcW w:w="37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新增设备数量</w:t>
            </w:r>
          </w:p>
        </w:tc>
        <w:tc>
          <w:tcPr>
            <w:tcW w:w="69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9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w:t>
            </w:r>
          </w:p>
        </w:tc>
        <w:tc>
          <w:tcPr>
            <w:tcW w:w="45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套</w:t>
            </w:r>
          </w:p>
        </w:tc>
        <w:tc>
          <w:tcPr>
            <w:tcW w:w="33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2套</w:t>
            </w:r>
          </w:p>
        </w:tc>
        <w:tc>
          <w:tcPr>
            <w:tcW w:w="2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0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9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pPr>
          </w:p>
        </w:tc>
        <w:tc>
          <w:tcPr>
            <w:tcW w:w="24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pPr>
          </w:p>
        </w:tc>
        <w:tc>
          <w:tcPr>
            <w:tcW w:w="38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37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馆藏档案保管保护合格率</w:t>
            </w:r>
          </w:p>
        </w:tc>
        <w:tc>
          <w:tcPr>
            <w:tcW w:w="69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9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45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3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100%</w:t>
            </w:r>
          </w:p>
        </w:tc>
        <w:tc>
          <w:tcPr>
            <w:tcW w:w="2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0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9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pPr>
          </w:p>
        </w:tc>
        <w:tc>
          <w:tcPr>
            <w:tcW w:w="24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pPr>
          </w:p>
        </w:tc>
        <w:tc>
          <w:tcPr>
            <w:tcW w:w="38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37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完成时限</w:t>
            </w:r>
          </w:p>
        </w:tc>
        <w:tc>
          <w:tcPr>
            <w:tcW w:w="69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9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w:t>
            </w:r>
          </w:p>
        </w:tc>
        <w:tc>
          <w:tcPr>
            <w:tcW w:w="45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w:t>
            </w:r>
          </w:p>
        </w:tc>
        <w:tc>
          <w:tcPr>
            <w:tcW w:w="33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1年</w:t>
            </w:r>
          </w:p>
        </w:tc>
        <w:tc>
          <w:tcPr>
            <w:tcW w:w="2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0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9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pPr>
          </w:p>
        </w:tc>
        <w:tc>
          <w:tcPr>
            <w:tcW w:w="24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38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37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提升档案利用质效</w:t>
            </w:r>
          </w:p>
        </w:tc>
        <w:tc>
          <w:tcPr>
            <w:tcW w:w="69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79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良好</w:t>
            </w:r>
          </w:p>
        </w:tc>
        <w:tc>
          <w:tcPr>
            <w:tcW w:w="45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eastAsia="宋体" w:cs="宋体"/>
                <w:i w:val="0"/>
                <w:iCs w:val="0"/>
                <w:color w:val="000000"/>
                <w:sz w:val="18"/>
                <w:szCs w:val="18"/>
                <w:u w:val="none"/>
              </w:rPr>
            </w:pPr>
          </w:p>
        </w:tc>
        <w:tc>
          <w:tcPr>
            <w:tcW w:w="33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良好</w:t>
            </w:r>
          </w:p>
        </w:tc>
        <w:tc>
          <w:tcPr>
            <w:tcW w:w="2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0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9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pPr>
          </w:p>
        </w:tc>
        <w:tc>
          <w:tcPr>
            <w:tcW w:w="24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38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服务对象满意度指标</w:t>
            </w:r>
          </w:p>
        </w:tc>
        <w:tc>
          <w:tcPr>
            <w:tcW w:w="37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查档对象满意度</w:t>
            </w:r>
          </w:p>
        </w:tc>
        <w:tc>
          <w:tcPr>
            <w:tcW w:w="69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9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45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3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99.50%</w:t>
            </w:r>
          </w:p>
        </w:tc>
        <w:tc>
          <w:tcPr>
            <w:tcW w:w="2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0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9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pPr>
          </w:p>
        </w:tc>
        <w:tc>
          <w:tcPr>
            <w:tcW w:w="24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W w:w="38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经济成本指标</w:t>
            </w:r>
          </w:p>
        </w:tc>
        <w:tc>
          <w:tcPr>
            <w:tcW w:w="37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档案保护单位成本</w:t>
            </w:r>
          </w:p>
        </w:tc>
        <w:tc>
          <w:tcPr>
            <w:tcW w:w="69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9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82</w:t>
            </w:r>
          </w:p>
        </w:tc>
        <w:tc>
          <w:tcPr>
            <w:tcW w:w="45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万元</w:t>
            </w:r>
          </w:p>
        </w:tc>
        <w:tc>
          <w:tcPr>
            <w:tcW w:w="33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微软雅黑" w:eastAsia="微软雅黑" w:cs="微软雅黑"/>
                <w:i/>
                <w:iCs/>
                <w:color w:val="000000"/>
                <w:sz w:val="16"/>
                <w:szCs w:val="16"/>
                <w:u w:val="none"/>
              </w:rPr>
            </w:pPr>
          </w:p>
        </w:tc>
        <w:tc>
          <w:tcPr>
            <w:tcW w:w="2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0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9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44" w:type="pct"/>
            <w:gridSpan w:val="1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2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0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9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rPr>
                <w:rFonts w:hint="eastAsia" w:asci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jc w:val="center"/>
        </w:trPr>
        <w:tc>
          <w:tcPr>
            <w:tcW w:w="33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660" w:type="pct"/>
            <w:gridSpan w:val="1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项目自评总分100分，本项目围绕档案安全保管保护工作有序推进，顺利完成库房档案密集架维修升级改造，硬件设施得到有效加固与优化，为档案长期安全存放筑牢基础。项目按馆藏档案实际需求，规范购置档案盒、标签、杀虫药剂等专业装具及耗材。 同时严格依照档案管理标准，完成馆藏档案倒架、整理等工作，档案存放秩序、保管条件显著改善，安全防护能力全面提升。改善查阅大厅服务条件，设施设备稳定运行，持续免费提供档案查阅利用服务，查档群众满意率达99.5%，在保障档案安全的同时，有效发挥档案资源利用价值，整体达到预期建设目标，管理服务水平进一步提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jc w:val="center"/>
        </w:trPr>
        <w:tc>
          <w:tcPr>
            <w:tcW w:w="33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660" w:type="pct"/>
            <w:gridSpan w:val="1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660" w:type="pct"/>
            <w:gridSpan w:val="1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048"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ascii="黑体" w:eastAsia="黑体" w:cs="黑体"/>
                <w:i w:val="0"/>
                <w:iCs w:val="0"/>
                <w:color w:val="000000"/>
                <w:sz w:val="18"/>
                <w:szCs w:val="18"/>
                <w:u w:val="none"/>
                <w:lang w:val="en-US"/>
              </w:rPr>
            </w:pPr>
            <w:r>
              <w:rPr>
                <w:rFonts w:hint="eastAsia" w:ascii="黑体" w:eastAsia="黑体" w:cs="黑体"/>
                <w:i w:val="0"/>
                <w:iCs w:val="0"/>
                <w:color w:val="000000"/>
                <w:kern w:val="0"/>
                <w:sz w:val="18"/>
                <w:szCs w:val="18"/>
                <w:u w:val="none"/>
                <w:lang w:val="en-US" w:eastAsia="zh-CN"/>
              </w:rPr>
              <w:t>项目负责人：黄瑾 刘树莹 马杰</w:t>
            </w:r>
          </w:p>
        </w:tc>
        <w:tc>
          <w:tcPr>
            <w:tcW w:w="2951"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ascii="黑体" w:eastAsia="黑体" w:cs="黑体"/>
                <w:i w:val="0"/>
                <w:iCs w:val="0"/>
                <w:color w:val="000000"/>
                <w:sz w:val="18"/>
                <w:szCs w:val="18"/>
                <w:u w:val="none"/>
                <w:lang w:val="en-US"/>
              </w:rPr>
            </w:pPr>
            <w:r>
              <w:rPr>
                <w:rFonts w:hint="eastAsia" w:ascii="黑体" w:eastAsia="黑体" w:cs="黑体"/>
                <w:i w:val="0"/>
                <w:iCs w:val="0"/>
                <w:color w:val="000000"/>
                <w:kern w:val="0"/>
                <w:sz w:val="18"/>
                <w:szCs w:val="18"/>
                <w:u w:val="none"/>
                <w:lang w:val="en-US" w:eastAsia="zh-CN"/>
              </w:rPr>
              <w:t>分管负责人：杨跃珍</w:t>
            </w:r>
          </w:p>
        </w:tc>
      </w:tr>
    </w:tbl>
    <w:p>
      <w:pPr>
        <w:rPr>
          <w:rFonts w:hint="eastAsia" w:ascii="Times New Roman" w:hAnsi="Times New Roman"/>
          <w:lang w:eastAsia="zh-CN"/>
        </w:rPr>
      </w:pPr>
    </w:p>
    <w:tbl>
      <w:tblPr>
        <w:tblStyle w:val="15"/>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24"/>
        <w:gridCol w:w="460"/>
        <w:gridCol w:w="918"/>
        <w:gridCol w:w="1061"/>
        <w:gridCol w:w="575"/>
        <w:gridCol w:w="549"/>
        <w:gridCol w:w="571"/>
        <w:gridCol w:w="865"/>
        <w:gridCol w:w="558"/>
        <w:gridCol w:w="558"/>
        <w:gridCol w:w="19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黑体" w:eastAsia="黑体" w:cs="黑体"/>
                <w:b/>
                <w:bCs/>
                <w:i w:val="0"/>
                <w:iCs w:val="0"/>
                <w:color w:val="000000"/>
                <w:sz w:val="30"/>
                <w:szCs w:val="30"/>
                <w:u w:val="none"/>
              </w:rPr>
            </w:pPr>
            <w:r>
              <w:rPr>
                <w:rFonts w:hint="eastAsia" w:ascii="黑体" w:eastAsia="黑体" w:cs="黑体"/>
                <w:b/>
                <w:bCs/>
                <w:i w:val="0"/>
                <w:iCs w:val="0"/>
                <w:color w:val="000000"/>
                <w:kern w:val="0"/>
                <w:sz w:val="30"/>
                <w:szCs w:val="30"/>
                <w:u w:val="none"/>
                <w:lang w:val="en-US" w:eastAsia="zh-CN"/>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73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4261"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51320025T000012661403-阿坝州档案馆宣传项目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73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102"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州档案馆部门</w:t>
            </w:r>
          </w:p>
        </w:tc>
        <w:tc>
          <w:tcPr>
            <w:tcW w:w="513" w:type="pct"/>
            <w:tcBorders>
              <w:top w:val="nil"/>
              <w:left w:val="nil"/>
              <w:bottom w:val="nil"/>
              <w:right w:val="nil"/>
            </w:tcBorders>
            <w:shd w:val="clear" w:color="auto" w:fill="auto"/>
            <w:noWrap/>
            <w:vAlign w:val="center"/>
          </w:tcPr>
          <w:p>
            <w:pPr>
              <w:keepNext w:val="0"/>
              <w:keepLines w:val="0"/>
              <w:widowControl/>
              <w:suppressLineNumbers w:val="0"/>
              <w:snapToGrid w:val="0"/>
              <w:jc w:val="left"/>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实施单位（盖章）</w:t>
            </w:r>
          </w:p>
        </w:tc>
        <w:tc>
          <w:tcPr>
            <w:tcW w:w="1645"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州档案馆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6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37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102"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215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6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102"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保障档案工作有序开展，特申请档案宣传工作经费，主要用于日常宣传工作所需办公费、差旅交通费，《中国档案报》《四川档案杂志》等行业报刊杂志征订、配合省档案馆开展“6.9国际档案日”系列宣传活动所需经费及文创产品、档案宣传等，通过档案宣传工作，提高档案利用率，扩大档案影响力。</w:t>
            </w:r>
          </w:p>
        </w:tc>
        <w:tc>
          <w:tcPr>
            <w:tcW w:w="215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2025年，本科室重点项目高效落地：“6.9国际档案日”等宣传活动成效显著；“共产党人的家风档案展”累计接待超7000人次，反响热烈；《红色突围》出版项目完成采购并启动实施；《刷勒日》图注顺利出版；开发文创产品5类，实现档案资源创造性转化。各项目标全面完成，资金使用规范，社会效益突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6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4261"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eastAsia="宋体" w:cs="宋体"/>
                <w:i w:val="0"/>
                <w:iCs w:val="0"/>
                <w:color w:val="000000"/>
                <w:sz w:val="18"/>
                <w:szCs w:val="18"/>
                <w:u w:val="none"/>
              </w:rPr>
            </w:pPr>
            <w:r>
              <w:rPr>
                <w:rFonts w:hint="eastAsia" w:ascii="宋体" w:eastAsia="宋体" w:cs="宋体"/>
                <w:i w:val="0"/>
                <w:iCs w:val="0"/>
                <w:color w:val="000000"/>
                <w:kern w:val="0"/>
                <w:sz w:val="18"/>
                <w:szCs w:val="18"/>
                <w:u w:val="none"/>
                <w:lang w:val="en-US" w:eastAsia="zh-CN"/>
              </w:rPr>
              <w:t>2025年，本科室紧扣年度目标任务，扎实推进各项重点项目实施。在宣传活动方面，精心策划“6.9国际档案日”，通过展板展示、集章打卡等形式普及档案知识；结合“12.4”宪法日开展档案法治宣传，扩大社会覆盖面。在展览展示方面，承办“中国共产党人的家风档案展”，从方案制定、展陈设计到讲解接待全程精细化管理，累计接待参观近200场次。《红色突围》项目完成财政评审后，于9月15日通过竞争性磋商确定四川人民出版社为供应商，正式进入实施阶段。在文创开发方面，深挖馆藏资源，完成刷勒日十二生肖书签、蓝牙音响等5类文创产品设计制作。各项目均严格履行政府采购、合同签订、资金支付等程序，确保实施过程规范有序、廉洁高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6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86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0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6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99.16</w:t>
            </w:r>
          </w:p>
        </w:tc>
        <w:tc>
          <w:tcPr>
            <w:tcW w:w="86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99.16</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eastAsia="宋体" w:cs="宋体"/>
                <w:i w:val="0"/>
                <w:iCs w:val="0"/>
                <w:color w:val="000000"/>
                <w:sz w:val="18"/>
                <w:szCs w:val="18"/>
                <w:u w:val="none"/>
              </w:rPr>
            </w:pPr>
          </w:p>
        </w:tc>
        <w:tc>
          <w:tcPr>
            <w:tcW w:w="1087"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黑体" w:eastAsia="黑体" w:cs="黑体"/>
                <w:i/>
                <w:iCs/>
                <w:color w:val="000000"/>
                <w:sz w:val="18"/>
                <w:szCs w:val="18"/>
                <w:u w:val="none"/>
              </w:rPr>
            </w:pPr>
            <w:r>
              <w:rPr>
                <w:rFonts w:hint="eastAsia" w:ascii="黑体" w:eastAsia="黑体" w:cs="黑体"/>
                <w:i/>
                <w:iCs/>
                <w:color w:val="000000"/>
                <w:kern w:val="0"/>
                <w:sz w:val="18"/>
                <w:szCs w:val="18"/>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6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99.16</w:t>
            </w:r>
          </w:p>
        </w:tc>
        <w:tc>
          <w:tcPr>
            <w:tcW w:w="86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99.16</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0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6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86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0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6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86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0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6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微软雅黑" w:eastAsia="微软雅黑" w:cs="微软雅黑"/>
                <w:i/>
                <w:iCs/>
                <w:color w:val="000000"/>
                <w:sz w:val="16"/>
                <w:szCs w:val="16"/>
                <w:u w:val="none"/>
              </w:rPr>
            </w:pP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微软雅黑" w:eastAsia="微软雅黑" w:cs="微软雅黑"/>
                <w:i/>
                <w:iCs/>
                <w:color w:val="000000"/>
                <w:sz w:val="16"/>
                <w:szCs w:val="16"/>
                <w:u w:val="none"/>
              </w:rPr>
            </w:pPr>
          </w:p>
        </w:tc>
        <w:tc>
          <w:tcPr>
            <w:tcW w:w="86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微软雅黑" w:eastAsia="微软雅黑" w:cs="微软雅黑"/>
                <w:i/>
                <w:iCs/>
                <w:color w:val="000000"/>
                <w:sz w:val="16"/>
                <w:szCs w:val="16"/>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微软雅黑" w:eastAsia="微软雅黑" w:cs="微软雅黑"/>
                <w:i/>
                <w:iCs/>
                <w:color w:val="000000"/>
                <w:sz w:val="16"/>
                <w:szCs w:val="16"/>
                <w:u w:val="none"/>
              </w:rPr>
            </w:pP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0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6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2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0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6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7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56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行业报刊杂志征订数量</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w:t>
            </w:r>
          </w:p>
        </w:tc>
        <w:tc>
          <w:tcPr>
            <w:tcW w:w="2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次</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1</w:t>
            </w: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0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6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56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展览项目数量</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w:t>
            </w:r>
          </w:p>
        </w:tc>
        <w:tc>
          <w:tcPr>
            <w:tcW w:w="2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次</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1</w:t>
            </w: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0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6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提升档案宣传率</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2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100</w:t>
            </w: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0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6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开展“6.9国际档案日”系列宣传活动次数</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w:t>
            </w:r>
          </w:p>
        </w:tc>
        <w:tc>
          <w:tcPr>
            <w:tcW w:w="2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次</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1</w:t>
            </w: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0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6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7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档案保管保护水平提升率</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2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100</w:t>
            </w: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0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6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可持续发展指标</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持续开展档案宣传活动</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好</w:t>
            </w:r>
          </w:p>
        </w:tc>
        <w:tc>
          <w:tcPr>
            <w:tcW w:w="2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eastAsia="宋体" w:cs="宋体"/>
                <w:i w:val="0"/>
                <w:iCs w:val="0"/>
                <w:color w:val="000000"/>
                <w:sz w:val="18"/>
                <w:szCs w:val="18"/>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好</w:t>
            </w: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0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6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服务对象满意度指标</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查档人员满意度</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2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95</w:t>
            </w: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0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6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W w:w="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经济成本指标</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项目预算控制率</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2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100</w:t>
            </w: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10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354"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0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rPr>
                <w:rFonts w:hint="eastAsia" w:asci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635"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2025年，编研宣传科各项目标任务全面完成，实施效果显著。一是宣传覆盖面广。“6.9国际档案日”等主题活动形式新颖、群众参与度高，有效提升档案工作社会知晓度。二是展览影响力强。“共产党人的家风档案展”观展热情持续高涨，累计接待7000余人次，社会反响良好，成为党性教育生动课堂。三是出版项目实现突破。《红色突围》项目完成采购并启动实施，为红色文化传承奠定基础。四是文创开发成果丰硕。推出5类文创产品，实现档案资源创造性转化。各项目过程管理规范，资金使用合规，绩效目标全面达成，社会效益突出，有力推动了档案事业高质量发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635"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一是项目进度统筹有待加强。《红色突围》出版项目因前期筹备、市场调研及财政评审环节耗时较长，导致进度一度滞后，反映出在复杂项目的时间节点把控上经验不足。二是过程管理精细化程度不足。部分项目在实施中的风险预见性不够，对可能出现的设计反复、协调困难等问题准备不足，应急响应机制有待完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635"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一是强化项目前期统筹。提前开展项目调研等，科学制定时间表和路线图，预留充足弹性时间，避免因前期准备不足导致进度滞后。二是提升精细化管理水平。加强项目实施全过程跟踪，建立关键节点预警机制，对可能出现的设计修改、协调难点提前研判、制定预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2270"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ascii="黑体" w:eastAsia="黑体" w:cs="黑体"/>
                <w:i w:val="0"/>
                <w:iCs w:val="0"/>
                <w:color w:val="000000"/>
                <w:sz w:val="18"/>
                <w:szCs w:val="18"/>
                <w:u w:val="none"/>
                <w:lang w:val="en-US"/>
              </w:rPr>
            </w:pPr>
            <w:r>
              <w:rPr>
                <w:rFonts w:hint="eastAsia" w:ascii="黑体" w:eastAsia="黑体" w:cs="黑体"/>
                <w:i w:val="0"/>
                <w:iCs w:val="0"/>
                <w:color w:val="000000"/>
                <w:kern w:val="0"/>
                <w:sz w:val="18"/>
                <w:szCs w:val="18"/>
                <w:u w:val="none"/>
                <w:lang w:val="en-US" w:eastAsia="zh-CN"/>
              </w:rPr>
              <w:t>项目负责人：代虹</w:t>
            </w:r>
          </w:p>
        </w:tc>
        <w:tc>
          <w:tcPr>
            <w:tcW w:w="2729"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ascii="黑体" w:eastAsia="黑体" w:cs="黑体"/>
                <w:i w:val="0"/>
                <w:iCs w:val="0"/>
                <w:color w:val="000000"/>
                <w:sz w:val="18"/>
                <w:szCs w:val="18"/>
                <w:u w:val="none"/>
                <w:lang w:val="en-US"/>
              </w:rPr>
            </w:pPr>
            <w:r>
              <w:rPr>
                <w:rFonts w:hint="eastAsia" w:ascii="黑体" w:eastAsia="黑体" w:cs="黑体"/>
                <w:i w:val="0"/>
                <w:iCs w:val="0"/>
                <w:color w:val="000000"/>
                <w:kern w:val="0"/>
                <w:sz w:val="18"/>
                <w:szCs w:val="18"/>
                <w:u w:val="none"/>
                <w:lang w:val="en-US" w:eastAsia="zh-CN"/>
              </w:rPr>
              <w:t>分管负责人：苏朗恩波</w:t>
            </w:r>
          </w:p>
        </w:tc>
      </w:tr>
    </w:tbl>
    <w:p>
      <w:pPr>
        <w:rPr>
          <w:rFonts w:hint="eastAsia" w:ascii="Times New Roman" w:hAnsi="Times New Roman"/>
          <w:lang w:eastAsia="zh-CN"/>
        </w:rPr>
      </w:pPr>
    </w:p>
    <w:p>
      <w:pPr>
        <w:rPr>
          <w:rFonts w:hint="eastAsia" w:ascii="Times New Roman" w:hAnsi="Times New Roman"/>
          <w:lang w:eastAsia="zh-CN"/>
        </w:rPr>
      </w:pPr>
    </w:p>
    <w:tbl>
      <w:tblPr>
        <w:tblStyle w:val="15"/>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57"/>
        <w:gridCol w:w="498"/>
        <w:gridCol w:w="1122"/>
        <w:gridCol w:w="1251"/>
        <w:gridCol w:w="675"/>
        <w:gridCol w:w="637"/>
        <w:gridCol w:w="675"/>
        <w:gridCol w:w="416"/>
        <w:gridCol w:w="263"/>
        <w:gridCol w:w="264"/>
        <w:gridCol w:w="22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黑体" w:eastAsia="黑体" w:cs="黑体"/>
                <w:b/>
                <w:bCs/>
                <w:i w:val="0"/>
                <w:iCs w:val="0"/>
                <w:color w:val="000000"/>
                <w:sz w:val="30"/>
                <w:szCs w:val="30"/>
                <w:u w:val="none"/>
              </w:rPr>
            </w:pPr>
            <w:r>
              <w:rPr>
                <w:rFonts w:hint="eastAsia" w:ascii="黑体" w:eastAsia="黑体" w:cs="黑体"/>
                <w:b/>
                <w:bCs/>
                <w:i w:val="0"/>
                <w:iCs w:val="0"/>
                <w:color w:val="000000"/>
                <w:kern w:val="0"/>
                <w:sz w:val="30"/>
                <w:szCs w:val="30"/>
                <w:u w:val="none"/>
                <w:lang w:val="en-US" w:eastAsia="zh-CN"/>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74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425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51320025T000013105818-阿坝州档案馆信息化建设及业务用房改造项目-馆藏档案电子数据筛查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74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253"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州档案馆部门</w:t>
            </w:r>
          </w:p>
        </w:tc>
        <w:tc>
          <w:tcPr>
            <w:tcW w:w="501" w:type="pct"/>
            <w:tcBorders>
              <w:top w:val="nil"/>
              <w:left w:val="nil"/>
              <w:bottom w:val="nil"/>
              <w:right w:val="nil"/>
            </w:tcBorders>
            <w:shd w:val="clear" w:color="auto" w:fill="auto"/>
            <w:noWrap/>
            <w:vAlign w:val="center"/>
          </w:tcPr>
          <w:p>
            <w:pPr>
              <w:keepNext/>
              <w:keepLines w:val="0"/>
              <w:widowControl/>
              <w:suppressLineNumbers w:val="0"/>
              <w:snapToGrid w:val="0"/>
              <w:jc w:val="left"/>
              <w:textAlignment w:val="center"/>
              <w:rPr>
                <w:rFonts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实施单位 （盖章）</w:t>
            </w:r>
          </w:p>
        </w:tc>
        <w:tc>
          <w:tcPr>
            <w:tcW w:w="150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州档案馆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377"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253"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2001"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7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253"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根据《四川省档案局关于开展数字档案馆建设评价工作的通知》（川档函〔2024〕13号），按照长期保存的要求，对档案数字资源进行分类存储、格式转换、备份等，建立案卷级、文件级电子目录，全部纳入档案目录数据库管理。对馆藏档案电子数据进行筛查、分类，实现电子数据开放和划控的分类管理，确保档案信息安全。</w:t>
            </w:r>
          </w:p>
        </w:tc>
        <w:tc>
          <w:tcPr>
            <w:tcW w:w="2001"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2025年度阿坝州档案馆馆藏档案电子数据筛查项目已完成2199785件电子数据档案进行信息筛查、标记，提供信息分类服务，清查其中可能存在的密级标志或其他涉密标志；最终在对应的案卷级、文件级电子目录上进行登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425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该项目由重庆西信天元数据咨询有限公司中标，单价0.5元/件。完成2199785件电子数据档案进行信息筛查、标记，提供信息分类服务，清查其中可能存在的密级标志或其他涉密标志；最终在对应的案卷级、文件级电子目录上进行登记。项目实施内容主要包括以下几个方面：一是对馆藏档案电子数据进行全面梳理与筛查，摸清现有数字资源的底数及格式状况；二是严格按照长期保存的标准，对不同类型、不同价值的档案数字资源进行分类存储，并统一转换为符合长期保存要求的通用格式（如PDF/A、TIFF等），消除格式过时带来的读取风险；三是同步建立与完善案卷级和文件级电子目录，确保目录信息与数字对象一一对应，全部纳入统一的档案目录数据库进行集中管理，实现数据的标准化著录与高效检索；四是依据保密规定和开放审核要求，对电子数据进行开放和划控的分类管理，通过技术手段精准标识开放与控制使用范围，确保档案信息安全，杜绝失泄密隐患。在实施过程中，项目严格按照“先筛查后处理、先分类后存储、先标引后入库”的流程推进。通过对数据的清洗、去重、格式检测与转换，以及对敏感信息的筛查与控制，最终建立起一套结构清晰、格式规范、长期可读、安全可控的馆藏档案数字资源体系。该项目的顺利实施，不仅为迎接数字档案馆建设评价奠定了坚实基础，也为今后档案信息资源的深度开发与安全利用提供了有力保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6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7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93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5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9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6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311.00</w:t>
            </w:r>
          </w:p>
        </w:tc>
        <w:tc>
          <w:tcPr>
            <w:tcW w:w="7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226.59</w:t>
            </w:r>
          </w:p>
        </w:tc>
        <w:tc>
          <w:tcPr>
            <w:tcW w:w="93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226.59</w:t>
            </w:r>
          </w:p>
        </w:tc>
        <w:tc>
          <w:tcPr>
            <w:tcW w:w="5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95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hint="eastAsia" w:ascii="黑体" w:eastAsia="黑体" w:cs="黑体"/>
                <w:i/>
                <w:iCs/>
                <w:color w:val="000000"/>
                <w:sz w:val="18"/>
                <w:szCs w:val="18"/>
                <w:u w:val="none"/>
              </w:rPr>
            </w:pPr>
            <w:r>
              <w:rPr>
                <w:rFonts w:hint="eastAsia" w:ascii="黑体" w:eastAsia="黑体" w:cs="黑体"/>
                <w:i/>
                <w:iCs/>
                <w:color w:val="000000"/>
                <w:kern w:val="0"/>
                <w:sz w:val="18"/>
                <w:szCs w:val="18"/>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6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311.00</w:t>
            </w:r>
          </w:p>
        </w:tc>
        <w:tc>
          <w:tcPr>
            <w:tcW w:w="7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226.59</w:t>
            </w:r>
          </w:p>
        </w:tc>
        <w:tc>
          <w:tcPr>
            <w:tcW w:w="93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226.59</w:t>
            </w:r>
          </w:p>
        </w:tc>
        <w:tc>
          <w:tcPr>
            <w:tcW w:w="5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95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6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93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95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6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93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95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6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widowControl w:val="0"/>
              <w:snapToGrid w:val="0"/>
              <w:jc w:val="center"/>
              <w:rPr>
                <w:rFonts w:hint="eastAsia" w:ascii="微软雅黑" w:eastAsia="微软雅黑" w:cs="微软雅黑"/>
                <w:i/>
                <w:iCs/>
                <w:color w:val="000000"/>
                <w:sz w:val="16"/>
                <w:szCs w:val="16"/>
                <w:u w:val="none"/>
              </w:rPr>
            </w:pPr>
          </w:p>
        </w:tc>
        <w:tc>
          <w:tcPr>
            <w:tcW w:w="7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widowControl w:val="0"/>
              <w:snapToGrid w:val="0"/>
              <w:jc w:val="center"/>
              <w:rPr>
                <w:rFonts w:hint="eastAsia" w:ascii="微软雅黑" w:eastAsia="微软雅黑" w:cs="微软雅黑"/>
                <w:i/>
                <w:iCs/>
                <w:color w:val="000000"/>
                <w:sz w:val="16"/>
                <w:szCs w:val="16"/>
                <w:u w:val="none"/>
              </w:rPr>
            </w:pPr>
          </w:p>
        </w:tc>
        <w:tc>
          <w:tcPr>
            <w:tcW w:w="93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widowControl w:val="0"/>
              <w:snapToGrid w:val="0"/>
              <w:jc w:val="center"/>
              <w:rPr>
                <w:rFonts w:hint="eastAsia" w:ascii="微软雅黑" w:eastAsia="微软雅黑" w:cs="微软雅黑"/>
                <w:i/>
                <w:iCs/>
                <w:color w:val="000000"/>
                <w:sz w:val="16"/>
                <w:szCs w:val="16"/>
                <w:u w:val="none"/>
              </w:rPr>
            </w:pPr>
          </w:p>
        </w:tc>
        <w:tc>
          <w:tcPr>
            <w:tcW w:w="5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widowControl w:val="0"/>
              <w:snapToGrid w:val="0"/>
              <w:jc w:val="center"/>
              <w:rPr>
                <w:rFonts w:hint="eastAsia" w:asci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95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6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7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5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9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77"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6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7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查阅利用大厅整体改造</w:t>
            </w:r>
          </w:p>
        </w:tc>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w:t>
            </w:r>
          </w:p>
        </w:tc>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座</w:t>
            </w:r>
          </w:p>
        </w:tc>
        <w:tc>
          <w:tcPr>
            <w:tcW w:w="5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1</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9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widowControl w:val="0"/>
              <w:snapToGrid w:val="0"/>
              <w:jc w:val="center"/>
              <w:rPr>
                <w:rFonts w:hint="eastAsia" w:asci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7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6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7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档案信息化建设率</w:t>
            </w:r>
          </w:p>
        </w:tc>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80</w:t>
            </w:r>
          </w:p>
        </w:tc>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90</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9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widowControl w:val="0"/>
              <w:snapToGrid w:val="0"/>
              <w:jc w:val="center"/>
              <w:rPr>
                <w:rFonts w:hint="eastAsia" w:asci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7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6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7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项目完成时效</w:t>
            </w:r>
          </w:p>
        </w:tc>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w:t>
            </w:r>
          </w:p>
        </w:tc>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w:t>
            </w:r>
          </w:p>
        </w:tc>
        <w:tc>
          <w:tcPr>
            <w:tcW w:w="5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0.9</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9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widowControl w:val="0"/>
              <w:snapToGrid w:val="0"/>
              <w:jc w:val="center"/>
              <w:rPr>
                <w:rFonts w:hint="eastAsia" w:asci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77"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6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7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完成数字档案馆建设</w:t>
            </w:r>
          </w:p>
        </w:tc>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良好</w:t>
            </w:r>
          </w:p>
        </w:tc>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widowControl w:val="0"/>
              <w:snapToGrid w:val="0"/>
              <w:jc w:val="center"/>
              <w:rPr>
                <w:rFonts w:hint="eastAsia" w:ascii="宋体" w:eastAsia="宋体" w:cs="宋体"/>
                <w:i w:val="0"/>
                <w:iCs w:val="0"/>
                <w:color w:val="000000"/>
                <w:sz w:val="18"/>
                <w:szCs w:val="18"/>
                <w:u w:val="none"/>
              </w:rPr>
            </w:pPr>
          </w:p>
        </w:tc>
        <w:tc>
          <w:tcPr>
            <w:tcW w:w="5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良好</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9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widowControl w:val="0"/>
              <w:snapToGrid w:val="0"/>
              <w:jc w:val="center"/>
              <w:rPr>
                <w:rFonts w:hint="eastAsia" w:asci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7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6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可持续发展指标</w:t>
            </w:r>
          </w:p>
        </w:tc>
        <w:tc>
          <w:tcPr>
            <w:tcW w:w="7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持续提升档案查阅率</w:t>
            </w:r>
          </w:p>
        </w:tc>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99</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9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widowControl w:val="0"/>
              <w:snapToGrid w:val="0"/>
              <w:jc w:val="center"/>
              <w:rPr>
                <w:rFonts w:hint="eastAsia" w:asci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6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服务对象满意度指标</w:t>
            </w:r>
          </w:p>
        </w:tc>
        <w:tc>
          <w:tcPr>
            <w:tcW w:w="7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查档人员满意度</w:t>
            </w:r>
          </w:p>
        </w:tc>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98</w:t>
            </w:r>
          </w:p>
        </w:tc>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99.5</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9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widowControl w:val="0"/>
              <w:snapToGrid w:val="0"/>
              <w:jc w:val="center"/>
              <w:rPr>
                <w:rFonts w:hint="eastAsia" w:asci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77"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W w:w="6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经济成本指标</w:t>
            </w:r>
          </w:p>
        </w:tc>
        <w:tc>
          <w:tcPr>
            <w:tcW w:w="7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线上查阅档案成本</w:t>
            </w:r>
          </w:p>
        </w:tc>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60</w:t>
            </w:r>
          </w:p>
        </w:tc>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万元</w:t>
            </w:r>
          </w:p>
        </w:tc>
        <w:tc>
          <w:tcPr>
            <w:tcW w:w="5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10</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9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widowControl w:val="0"/>
              <w:snapToGrid w:val="0"/>
              <w:jc w:val="center"/>
              <w:rPr>
                <w:rFonts w:hint="eastAsia" w:asci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7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6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生态环境成本指标</w:t>
            </w:r>
          </w:p>
        </w:tc>
        <w:tc>
          <w:tcPr>
            <w:tcW w:w="7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线上查阅档案，降低纸张浪费</w:t>
            </w:r>
          </w:p>
        </w:tc>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良好</w:t>
            </w:r>
          </w:p>
        </w:tc>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widowControl w:val="0"/>
              <w:snapToGrid w:val="0"/>
              <w:jc w:val="center"/>
              <w:rPr>
                <w:rFonts w:hint="eastAsia" w:ascii="宋体" w:eastAsia="宋体" w:cs="宋体"/>
                <w:i w:val="0"/>
                <w:iCs w:val="0"/>
                <w:color w:val="000000"/>
                <w:sz w:val="18"/>
                <w:szCs w:val="18"/>
                <w:u w:val="none"/>
              </w:rPr>
            </w:pPr>
          </w:p>
        </w:tc>
        <w:tc>
          <w:tcPr>
            <w:tcW w:w="5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良好</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9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widowControl w:val="0"/>
              <w:snapToGrid w:val="0"/>
              <w:jc w:val="center"/>
              <w:rPr>
                <w:rFonts w:hint="eastAsia" w:asci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499"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9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widowControl w:val="0"/>
              <w:snapToGrid w:val="0"/>
              <w:rPr>
                <w:rFonts w:hint="eastAsia" w:asci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632"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本项目自评得分100分，实施规范、成效显著。项目围绕长期保存，对档案数字资源分类存储、格式转换，防范数据读取风险，提升资源可读性与稳定性。建立规范电子目录并纳入数据库统一管理，实现目录与数字对象精准挂接。严格落实安全要求，完成电子数据全面筛查与分类，实现开放与划控精准管理。项目技术合理、管理到位、成果可靠，提升了档案数字资源规范化、安全化水平，满足数字档案馆建设评价指标，为高质量发展提供有力支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632"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632"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jc w:val="center"/>
        </w:trPr>
        <w:tc>
          <w:tcPr>
            <w:tcW w:w="2381"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ascii="黑体" w:eastAsia="黑体" w:cs="黑体"/>
                <w:i w:val="0"/>
                <w:iCs w:val="0"/>
                <w:color w:val="000000"/>
                <w:sz w:val="18"/>
                <w:szCs w:val="18"/>
                <w:u w:val="none"/>
                <w:lang w:val="en-US"/>
              </w:rPr>
            </w:pPr>
            <w:r>
              <w:rPr>
                <w:rFonts w:hint="eastAsia" w:ascii="黑体" w:eastAsia="黑体" w:cs="黑体"/>
                <w:i w:val="0"/>
                <w:iCs w:val="0"/>
                <w:color w:val="000000"/>
                <w:kern w:val="0"/>
                <w:sz w:val="18"/>
                <w:szCs w:val="18"/>
                <w:u w:val="none"/>
                <w:lang w:val="en-US" w:eastAsia="zh-CN"/>
              </w:rPr>
              <w:t>项目负责人：谭郦</w:t>
            </w:r>
          </w:p>
        </w:tc>
        <w:tc>
          <w:tcPr>
            <w:tcW w:w="2618"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ascii="黑体" w:eastAsia="黑体" w:cs="黑体"/>
                <w:i w:val="0"/>
                <w:iCs w:val="0"/>
                <w:color w:val="000000"/>
                <w:sz w:val="18"/>
                <w:szCs w:val="18"/>
                <w:u w:val="none"/>
                <w:lang w:val="en-US"/>
              </w:rPr>
            </w:pPr>
            <w:r>
              <w:rPr>
                <w:rFonts w:hint="eastAsia" w:ascii="黑体" w:eastAsia="黑体" w:cs="黑体"/>
                <w:i w:val="0"/>
                <w:iCs w:val="0"/>
                <w:color w:val="000000"/>
                <w:kern w:val="0"/>
                <w:sz w:val="18"/>
                <w:szCs w:val="18"/>
                <w:u w:val="none"/>
                <w:lang w:val="en-US" w:eastAsia="zh-CN"/>
              </w:rPr>
              <w:t>分管负责人：苏朗恩波</w:t>
            </w:r>
          </w:p>
        </w:tc>
      </w:tr>
    </w:tbl>
    <w:p>
      <w:pPr>
        <w:rPr>
          <w:rFonts w:hint="eastAsia" w:ascii="Times New Roman" w:hAnsi="Times New Roman"/>
          <w:lang w:eastAsia="zh-CN"/>
        </w:rPr>
      </w:pPr>
    </w:p>
    <w:p>
      <w:pPr>
        <w:rPr>
          <w:rFonts w:hint="eastAsia" w:ascii="Times New Roman" w:hAnsi="Times New Roman"/>
          <w:lang w:eastAsia="zh-CN"/>
        </w:rPr>
      </w:pPr>
    </w:p>
    <w:p>
      <w:pPr>
        <w:rPr>
          <w:rFonts w:hint="eastAsia" w:ascii="Times New Roman" w:hAnsi="Times New Roman"/>
          <w:lang w:eastAsia="zh-CN"/>
        </w:rPr>
      </w:pPr>
    </w:p>
    <w:tbl>
      <w:tblPr>
        <w:tblStyle w:val="15"/>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32"/>
        <w:gridCol w:w="469"/>
        <w:gridCol w:w="1165"/>
        <w:gridCol w:w="1328"/>
        <w:gridCol w:w="737"/>
        <w:gridCol w:w="692"/>
        <w:gridCol w:w="739"/>
        <w:gridCol w:w="395"/>
        <w:gridCol w:w="258"/>
        <w:gridCol w:w="258"/>
        <w:gridCol w:w="204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hint="eastAsia" w:ascii="黑体" w:eastAsia="黑体" w:cs="黑体"/>
                <w:b/>
                <w:bCs/>
                <w:i w:val="0"/>
                <w:iCs w:val="0"/>
                <w:color w:val="000000"/>
                <w:kern w:val="0"/>
                <w:sz w:val="30"/>
                <w:szCs w:val="30"/>
                <w:u w:val="none"/>
                <w:lang w:val="en-US" w:eastAsia="zh-CN"/>
              </w:rPr>
            </w:pPr>
          </w:p>
          <w:p>
            <w:pPr>
              <w:keepNext/>
              <w:keepLines w:val="0"/>
              <w:widowControl/>
              <w:suppressLineNumbers w:val="0"/>
              <w:snapToGrid w:val="0"/>
              <w:jc w:val="both"/>
              <w:textAlignment w:val="center"/>
              <w:rPr>
                <w:rFonts w:ascii="黑体" w:eastAsia="黑体" w:cs="黑体"/>
                <w:b/>
                <w:bCs/>
                <w:i w:val="0"/>
                <w:iCs w:val="0"/>
                <w:color w:val="000000"/>
                <w:sz w:val="30"/>
                <w:szCs w:val="30"/>
                <w:u w:val="none"/>
              </w:rPr>
            </w:pPr>
            <w:r>
              <w:rPr>
                <w:rFonts w:hint="eastAsia" w:ascii="黑体" w:eastAsia="黑体" w:cs="黑体"/>
                <w:b/>
                <w:bCs/>
                <w:i w:val="0"/>
                <w:iCs w:val="0"/>
                <w:color w:val="000000"/>
                <w:kern w:val="0"/>
                <w:sz w:val="30"/>
                <w:szCs w:val="30"/>
                <w:u w:val="none"/>
                <w:lang w:val="en-US" w:eastAsia="zh-CN"/>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74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4256"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51320025T000012661573-档案专项业务工作经费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4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314"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州档案馆部门</w:t>
            </w:r>
          </w:p>
        </w:tc>
        <w:tc>
          <w:tcPr>
            <w:tcW w:w="499" w:type="pct"/>
            <w:tcBorders>
              <w:top w:val="nil"/>
              <w:left w:val="nil"/>
              <w:bottom w:val="nil"/>
              <w:right w:val="nil"/>
            </w:tcBorders>
            <w:shd w:val="clear" w:color="auto" w:fill="auto"/>
            <w:noWrap/>
            <w:vAlign w:val="center"/>
          </w:tcPr>
          <w:p>
            <w:pPr>
              <w:keepNext/>
              <w:keepLines w:val="0"/>
              <w:widowControl/>
              <w:suppressLineNumbers w:val="0"/>
              <w:snapToGrid w:val="0"/>
              <w:jc w:val="left"/>
              <w:textAlignment w:val="center"/>
              <w:rPr>
                <w:rFonts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实施单位 （盖章）</w:t>
            </w:r>
          </w:p>
        </w:tc>
        <w:tc>
          <w:tcPr>
            <w:tcW w:w="14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州档案馆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6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377"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314"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942"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6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7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314"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为全面推动档案事业发展“十四五”规划目标落地落实，加快推进档案数字化转型推动档案事业高质量发展，按照《开展全省综合档案馆业务评价工作》（川档函〔2023〕33号）文件要求与“执法检查回头看”专项工作，需在2025年底前完成全州各县（市）综合档案馆业务建设评价工作与“执法检查回头看”专项工作，；实地深入开展档案业务指导，通过“一对一”“面对面”的现场指导，提升机关档案室档案工作规范化管理水平，特申请档案接收指导业务工作运行费18万，主要用于开展档案业务指导的差旅费、办公费与其他交通费；购置相机等必要的音像档案采集设备，用于重大活动、城市（村镇）音像资料的常态化采集工作，提高音像档案的馆藏比例，进一步优化馆藏资源结构。</w:t>
            </w:r>
          </w:p>
        </w:tc>
        <w:tc>
          <w:tcPr>
            <w:tcW w:w="1942"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本年度，档案专项工作经费严格按照预算管理及工作部署规范使用，全力保障全州档案业务建设评价、执法检查“回头看”、基层业务指导及“兰台智库”等重点任务落地，各项绩效目标均圆满完成。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6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4256"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本年度，档案专项工作经费严格按预算执行，紧扣全州档案业务建设重点任务有序推进。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6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99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9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6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27.00</w:t>
            </w: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25.45</w:t>
            </w:r>
          </w:p>
        </w:tc>
        <w:tc>
          <w:tcPr>
            <w:tcW w:w="99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25.45</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widowControl w:val="0"/>
              <w:snapToGrid w:val="0"/>
              <w:jc w:val="center"/>
              <w:rPr>
                <w:rFonts w:hint="eastAsia" w:ascii="宋体" w:eastAsia="宋体" w:cs="宋体"/>
                <w:i w:val="0"/>
                <w:iCs w:val="0"/>
                <w:color w:val="000000"/>
                <w:sz w:val="18"/>
                <w:szCs w:val="18"/>
                <w:u w:val="none"/>
              </w:rPr>
            </w:pPr>
          </w:p>
        </w:tc>
        <w:tc>
          <w:tcPr>
            <w:tcW w:w="94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hint="eastAsia" w:ascii="黑体" w:eastAsia="黑体" w:cs="黑体"/>
                <w:i/>
                <w:iCs/>
                <w:color w:val="000000"/>
                <w:sz w:val="18"/>
                <w:szCs w:val="18"/>
                <w:u w:val="none"/>
              </w:rPr>
            </w:pPr>
            <w:r>
              <w:rPr>
                <w:rFonts w:hint="eastAsia" w:ascii="黑体" w:eastAsia="黑体" w:cs="黑体"/>
                <w:i/>
                <w:iCs/>
                <w:color w:val="000000"/>
                <w:kern w:val="0"/>
                <w:sz w:val="18"/>
                <w:szCs w:val="18"/>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6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27.00</w:t>
            </w: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25.45</w:t>
            </w:r>
          </w:p>
        </w:tc>
        <w:tc>
          <w:tcPr>
            <w:tcW w:w="99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25.45</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94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6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99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94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6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99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94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6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widowControl w:val="0"/>
              <w:snapToGrid w:val="0"/>
              <w:jc w:val="center"/>
              <w:rPr>
                <w:rFonts w:hint="eastAsia" w:ascii="微软雅黑" w:eastAsia="微软雅黑" w:cs="微软雅黑"/>
                <w:i/>
                <w:iCs/>
                <w:color w:val="000000"/>
                <w:sz w:val="16"/>
                <w:szCs w:val="16"/>
                <w:u w:val="none"/>
              </w:rPr>
            </w:pP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widowControl w:val="0"/>
              <w:snapToGrid w:val="0"/>
              <w:jc w:val="center"/>
              <w:rPr>
                <w:rFonts w:hint="eastAsia" w:ascii="微软雅黑" w:eastAsia="微软雅黑" w:cs="微软雅黑"/>
                <w:i/>
                <w:iCs/>
                <w:color w:val="000000"/>
                <w:sz w:val="16"/>
                <w:szCs w:val="16"/>
                <w:u w:val="none"/>
              </w:rPr>
            </w:pPr>
          </w:p>
        </w:tc>
        <w:tc>
          <w:tcPr>
            <w:tcW w:w="99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widowControl w:val="0"/>
              <w:snapToGrid w:val="0"/>
              <w:jc w:val="center"/>
              <w:rPr>
                <w:rFonts w:hint="eastAsia" w:ascii="微软雅黑" w:eastAsia="微软雅黑" w:cs="微软雅黑"/>
                <w:i/>
                <w:iCs/>
                <w:color w:val="000000"/>
                <w:sz w:val="16"/>
                <w:szCs w:val="16"/>
                <w:u w:val="none"/>
              </w:rPr>
            </w:pP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widowControl w:val="0"/>
              <w:snapToGrid w:val="0"/>
              <w:jc w:val="center"/>
              <w:rPr>
                <w:rFonts w:hint="eastAsia" w:asci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94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6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9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6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77"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60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档案馆业务建设评价完成数量</w:t>
            </w: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13</w:t>
            </w: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份/县</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widowControl w:val="0"/>
              <w:snapToGrid w:val="0"/>
              <w:jc w:val="center"/>
              <w:rPr>
                <w:rFonts w:hint="eastAsia" w:asci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widowControl w:val="0"/>
              <w:snapToGrid w:val="0"/>
              <w:jc w:val="center"/>
              <w:rPr>
                <w:rFonts w:hint="eastAsia" w:ascii="宋体" w:eastAsia="宋体" w:cs="宋体"/>
                <w:i w:val="0"/>
                <w:iCs w:val="0"/>
                <w:color w:val="000000"/>
                <w:sz w:val="18"/>
                <w:szCs w:val="18"/>
                <w:u w:val="none"/>
              </w:rPr>
            </w:pPr>
          </w:p>
        </w:tc>
        <w:tc>
          <w:tcPr>
            <w:tcW w:w="9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widowControl w:val="0"/>
              <w:snapToGrid w:val="0"/>
              <w:jc w:val="center"/>
              <w:rPr>
                <w:rFonts w:hint="eastAsia" w:asci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6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7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设备购置数量</w:t>
            </w: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w:t>
            </w: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台/套</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widowControl w:val="0"/>
              <w:snapToGrid w:val="0"/>
              <w:jc w:val="center"/>
              <w:rPr>
                <w:rFonts w:hint="eastAsia" w:asci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widowControl w:val="0"/>
              <w:snapToGrid w:val="0"/>
              <w:jc w:val="center"/>
              <w:rPr>
                <w:rFonts w:hint="eastAsia" w:ascii="宋体" w:eastAsia="宋体" w:cs="宋体"/>
                <w:i w:val="0"/>
                <w:iCs w:val="0"/>
                <w:color w:val="000000"/>
                <w:sz w:val="18"/>
                <w:szCs w:val="18"/>
                <w:u w:val="none"/>
              </w:rPr>
            </w:pPr>
          </w:p>
        </w:tc>
        <w:tc>
          <w:tcPr>
            <w:tcW w:w="9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widowControl w:val="0"/>
              <w:snapToGrid w:val="0"/>
              <w:jc w:val="center"/>
              <w:rPr>
                <w:rFonts w:hint="eastAsia" w:asci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6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7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档案接收指导业务水平</w:t>
            </w: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widowControl w:val="0"/>
              <w:snapToGrid w:val="0"/>
              <w:jc w:val="center"/>
              <w:rPr>
                <w:rFonts w:hint="eastAsia" w:asci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widowControl w:val="0"/>
              <w:snapToGrid w:val="0"/>
              <w:jc w:val="center"/>
              <w:rPr>
                <w:rFonts w:hint="eastAsia" w:ascii="宋体" w:eastAsia="宋体" w:cs="宋体"/>
                <w:i w:val="0"/>
                <w:iCs w:val="0"/>
                <w:color w:val="000000"/>
                <w:sz w:val="18"/>
                <w:szCs w:val="18"/>
                <w:u w:val="none"/>
              </w:rPr>
            </w:pPr>
          </w:p>
        </w:tc>
        <w:tc>
          <w:tcPr>
            <w:tcW w:w="9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widowControl w:val="0"/>
              <w:snapToGrid w:val="0"/>
              <w:jc w:val="center"/>
              <w:rPr>
                <w:rFonts w:hint="eastAsia" w:asci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6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7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年度档案专项工作次数</w:t>
            </w: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次</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widowControl w:val="0"/>
              <w:snapToGrid w:val="0"/>
              <w:jc w:val="center"/>
              <w:rPr>
                <w:rFonts w:hint="eastAsia" w:asci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widowControl w:val="0"/>
              <w:snapToGrid w:val="0"/>
              <w:jc w:val="center"/>
              <w:rPr>
                <w:rFonts w:hint="eastAsia" w:ascii="宋体" w:eastAsia="宋体" w:cs="宋体"/>
                <w:i w:val="0"/>
                <w:iCs w:val="0"/>
                <w:color w:val="000000"/>
                <w:sz w:val="18"/>
                <w:szCs w:val="18"/>
                <w:u w:val="none"/>
              </w:rPr>
            </w:pPr>
          </w:p>
        </w:tc>
        <w:tc>
          <w:tcPr>
            <w:tcW w:w="9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widowControl w:val="0"/>
              <w:snapToGrid w:val="0"/>
              <w:jc w:val="center"/>
              <w:rPr>
                <w:rFonts w:hint="eastAsia" w:asci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6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77"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馆藏资源结构优化程度</w:t>
            </w: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widowControl w:val="0"/>
              <w:snapToGrid w:val="0"/>
              <w:jc w:val="center"/>
              <w:rPr>
                <w:rFonts w:hint="eastAsia" w:asci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widowControl w:val="0"/>
              <w:snapToGrid w:val="0"/>
              <w:jc w:val="center"/>
              <w:rPr>
                <w:rFonts w:hint="eastAsia" w:ascii="宋体" w:eastAsia="宋体" w:cs="宋体"/>
                <w:i w:val="0"/>
                <w:iCs w:val="0"/>
                <w:color w:val="000000"/>
                <w:sz w:val="18"/>
                <w:szCs w:val="18"/>
                <w:u w:val="none"/>
              </w:rPr>
            </w:pPr>
          </w:p>
        </w:tc>
        <w:tc>
          <w:tcPr>
            <w:tcW w:w="9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widowControl w:val="0"/>
              <w:snapToGrid w:val="0"/>
              <w:jc w:val="center"/>
              <w:rPr>
                <w:rFonts w:hint="eastAsia" w:asci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jc w:val="center"/>
        </w:trPr>
        <w:tc>
          <w:tcPr>
            <w:tcW w:w="36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7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可持续发展指标</w:t>
            </w: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档案业务咨询量持续提升</w:t>
            </w: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次</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widowControl w:val="0"/>
              <w:snapToGrid w:val="0"/>
              <w:jc w:val="center"/>
              <w:rPr>
                <w:rFonts w:hint="eastAsia" w:asci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widowControl w:val="0"/>
              <w:snapToGrid w:val="0"/>
              <w:jc w:val="center"/>
              <w:rPr>
                <w:rFonts w:hint="eastAsia" w:ascii="宋体" w:eastAsia="宋体" w:cs="宋体"/>
                <w:i w:val="0"/>
                <w:iCs w:val="0"/>
                <w:color w:val="000000"/>
                <w:sz w:val="18"/>
                <w:szCs w:val="18"/>
                <w:u w:val="none"/>
              </w:rPr>
            </w:pPr>
          </w:p>
        </w:tc>
        <w:tc>
          <w:tcPr>
            <w:tcW w:w="9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widowControl w:val="0"/>
              <w:snapToGrid w:val="0"/>
              <w:jc w:val="center"/>
              <w:rPr>
                <w:rFonts w:hint="eastAsia" w:asci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6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服务对象满意度指标</w:t>
            </w: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查档人员满意度</w:t>
            </w: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98</w:t>
            </w: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widowControl w:val="0"/>
              <w:snapToGrid w:val="0"/>
              <w:jc w:val="center"/>
              <w:rPr>
                <w:rFonts w:hint="eastAsia" w:asci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widowControl w:val="0"/>
              <w:snapToGrid w:val="0"/>
              <w:jc w:val="center"/>
              <w:rPr>
                <w:rFonts w:hint="eastAsia" w:ascii="宋体" w:eastAsia="宋体" w:cs="宋体"/>
                <w:i w:val="0"/>
                <w:iCs w:val="0"/>
                <w:color w:val="000000"/>
                <w:sz w:val="18"/>
                <w:szCs w:val="18"/>
                <w:u w:val="none"/>
              </w:rPr>
            </w:pPr>
          </w:p>
        </w:tc>
        <w:tc>
          <w:tcPr>
            <w:tcW w:w="9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widowControl w:val="0"/>
              <w:snapToGrid w:val="0"/>
              <w:jc w:val="center"/>
              <w:rPr>
                <w:rFonts w:hint="eastAsia" w:asci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jc w:val="center"/>
        </w:trPr>
        <w:tc>
          <w:tcPr>
            <w:tcW w:w="36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经济成本指标</w:t>
            </w: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项目总成本</w:t>
            </w: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27</w:t>
            </w: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万元</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widowControl w:val="0"/>
              <w:snapToGrid w:val="0"/>
              <w:jc w:val="center"/>
              <w:rPr>
                <w:rFonts w:hint="eastAsia" w:asci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widowControl w:val="0"/>
              <w:snapToGrid w:val="0"/>
              <w:jc w:val="center"/>
              <w:rPr>
                <w:rFonts w:hint="eastAsia" w:ascii="宋体" w:eastAsia="宋体" w:cs="宋体"/>
                <w:i w:val="0"/>
                <w:iCs w:val="0"/>
                <w:color w:val="000000"/>
                <w:sz w:val="18"/>
                <w:szCs w:val="18"/>
                <w:u w:val="none"/>
              </w:rPr>
            </w:pPr>
          </w:p>
        </w:tc>
        <w:tc>
          <w:tcPr>
            <w:tcW w:w="9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widowControl w:val="0"/>
              <w:snapToGrid w:val="0"/>
              <w:jc w:val="center"/>
              <w:rPr>
                <w:rFonts w:hint="eastAsia" w:asci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557"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widowControl w:val="0"/>
              <w:snapToGrid w:val="0"/>
              <w:rPr>
                <w:rFonts w:hint="eastAsia" w:ascii="宋体" w:eastAsia="宋体" w:cs="宋体"/>
                <w:i w:val="0"/>
                <w:iCs w:val="0"/>
                <w:color w:val="000000"/>
                <w:sz w:val="18"/>
                <w:szCs w:val="18"/>
                <w:u w:val="none"/>
              </w:rPr>
            </w:pPr>
          </w:p>
        </w:tc>
        <w:tc>
          <w:tcPr>
            <w:tcW w:w="9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widowControl w:val="0"/>
              <w:snapToGrid w:val="0"/>
              <w:rPr>
                <w:rFonts w:hint="eastAsia" w:asci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634"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项目实施规范高效，经费使用安全合规，圆满完成年度绩效目标。自评得分99分。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634"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受时间、经费限制，对部分偏远县（市）及基层单位的指导频次仍显不足，难以实现全覆盖、常态化。基层档案工作人员流动性较大，专业能力参差不齐，短期内难以完全适应高水平数字化档案管理需求。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634"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建立长效业务指导机制，增加下沉指导频次，针对薄弱环节开展培训，提升全域档案工作均衡度。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402"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ascii="黑体" w:eastAsia="黑体" w:cs="黑体"/>
                <w:i w:val="0"/>
                <w:iCs w:val="0"/>
                <w:color w:val="000000"/>
                <w:sz w:val="18"/>
                <w:szCs w:val="18"/>
                <w:u w:val="none"/>
                <w:lang w:val="en-US"/>
              </w:rPr>
            </w:pPr>
            <w:r>
              <w:rPr>
                <w:rFonts w:hint="eastAsia" w:ascii="黑体" w:eastAsia="黑体" w:cs="黑体"/>
                <w:i w:val="0"/>
                <w:iCs w:val="0"/>
                <w:color w:val="000000"/>
                <w:kern w:val="0"/>
                <w:sz w:val="18"/>
                <w:szCs w:val="18"/>
                <w:u w:val="none"/>
                <w:lang w:val="en-US" w:eastAsia="zh-CN"/>
              </w:rPr>
              <w:t>项目负责人：马杰 阿桑</w:t>
            </w:r>
          </w:p>
        </w:tc>
        <w:tc>
          <w:tcPr>
            <w:tcW w:w="2597"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jc w:val="left"/>
              <w:textAlignment w:val="center"/>
              <w:rPr>
                <w:rFonts w:ascii="黑体" w:eastAsia="黑体" w:cs="黑体"/>
                <w:i w:val="0"/>
                <w:iCs w:val="0"/>
                <w:color w:val="000000"/>
                <w:sz w:val="18"/>
                <w:szCs w:val="18"/>
                <w:u w:val="none"/>
                <w:lang w:val="en-US"/>
              </w:rPr>
            </w:pPr>
            <w:r>
              <w:rPr>
                <w:rFonts w:hint="eastAsia" w:ascii="黑体" w:eastAsia="黑体" w:cs="黑体"/>
                <w:i w:val="0"/>
                <w:iCs w:val="0"/>
                <w:color w:val="000000"/>
                <w:kern w:val="0"/>
                <w:sz w:val="18"/>
                <w:szCs w:val="18"/>
                <w:u w:val="none"/>
                <w:lang w:val="en-US" w:eastAsia="zh-CN"/>
              </w:rPr>
              <w:t>分管负责人：苏朗恩波 杨跃珍</w:t>
            </w:r>
          </w:p>
        </w:tc>
      </w:tr>
    </w:tbl>
    <w:p>
      <w:pPr>
        <w:rPr>
          <w:rFonts w:hint="eastAsia" w:ascii="Times New Roman" w:hAnsi="Times New Roman"/>
          <w:lang w:eastAsia="zh-CN"/>
        </w:rPr>
      </w:pPr>
    </w:p>
    <w:p>
      <w:pPr>
        <w:rPr>
          <w:rFonts w:hint="eastAsia" w:ascii="Times New Roman" w:hAnsi="Times New Roman"/>
          <w:lang w:eastAsia="zh-CN"/>
        </w:rPr>
      </w:pPr>
    </w:p>
    <w:p>
      <w:pPr>
        <w:rPr>
          <w:rFonts w:hint="eastAsia" w:ascii="Times New Roman" w:hAnsi="Times New Roman"/>
          <w:lang w:eastAsia="zh-CN"/>
        </w:rPr>
      </w:pPr>
    </w:p>
    <w:tbl>
      <w:tblPr>
        <w:tblStyle w:val="15"/>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35"/>
        <w:gridCol w:w="472"/>
        <w:gridCol w:w="1191"/>
        <w:gridCol w:w="1265"/>
        <w:gridCol w:w="713"/>
        <w:gridCol w:w="747"/>
        <w:gridCol w:w="711"/>
        <w:gridCol w:w="397"/>
        <w:gridCol w:w="259"/>
        <w:gridCol w:w="259"/>
        <w:gridCol w:w="20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黑体" w:eastAsia="黑体" w:cs="黑体"/>
                <w:b/>
                <w:bCs/>
                <w:i w:val="0"/>
                <w:iCs w:val="0"/>
                <w:color w:val="000000"/>
                <w:sz w:val="30"/>
                <w:szCs w:val="30"/>
                <w:u w:val="none"/>
              </w:rPr>
            </w:pPr>
            <w:r>
              <w:rPr>
                <w:rFonts w:hint="eastAsia" w:ascii="黑体" w:eastAsia="黑体" w:cs="黑体"/>
                <w:b/>
                <w:bCs/>
                <w:i w:val="0"/>
                <w:iCs w:val="0"/>
                <w:color w:val="000000"/>
                <w:kern w:val="0"/>
                <w:sz w:val="30"/>
                <w:szCs w:val="30"/>
                <w:u w:val="none"/>
                <w:lang w:val="en-US" w:eastAsia="zh-CN"/>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73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ascii="宋体" w:eastAsia="宋体" w:cs="宋体"/>
                <w:i w:val="0"/>
                <w:iCs w:val="0"/>
                <w:color w:val="FF0000"/>
                <w:sz w:val="18"/>
                <w:szCs w:val="18"/>
                <w:u w:val="none"/>
              </w:rPr>
            </w:pPr>
            <w:r>
              <w:rPr>
                <w:rFonts w:ascii="宋体" w:eastAsia="宋体" w:cs="宋体"/>
                <w:i w:val="0"/>
                <w:iCs w:val="0"/>
                <w:color w:val="FF0000"/>
                <w:kern w:val="0"/>
                <w:sz w:val="18"/>
                <w:szCs w:val="18"/>
                <w:u w:val="none"/>
                <w:lang w:val="en-US" w:eastAsia="zh-CN"/>
              </w:rPr>
              <w:t>项目名称</w:t>
            </w:r>
          </w:p>
        </w:tc>
        <w:tc>
          <w:tcPr>
            <w:tcW w:w="4269"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ascii="宋体" w:eastAsia="宋体" w:cs="宋体"/>
                <w:i w:val="0"/>
                <w:iCs w:val="0"/>
                <w:color w:val="FF0000"/>
                <w:sz w:val="18"/>
                <w:szCs w:val="18"/>
                <w:u w:val="none"/>
              </w:rPr>
            </w:pPr>
            <w:r>
              <w:rPr>
                <w:rFonts w:ascii="宋体" w:eastAsia="宋体" w:cs="宋体"/>
                <w:i w:val="0"/>
                <w:iCs w:val="0"/>
                <w:color w:val="FF0000"/>
                <w:kern w:val="0"/>
                <w:sz w:val="18"/>
                <w:szCs w:val="18"/>
                <w:u w:val="none"/>
                <w:lang w:val="en-US" w:eastAsia="zh-CN"/>
              </w:rPr>
              <w:t>51320025T000012661733-重点档案抢救与保护（2025年度）—《档案馆指南》续编、重点档案抢救保护（档案修复）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3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33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州档案馆部门</w:t>
            </w:r>
          </w:p>
        </w:tc>
        <w:tc>
          <w:tcPr>
            <w:tcW w:w="497" w:type="pct"/>
            <w:tcBorders>
              <w:top w:val="nil"/>
              <w:left w:val="nil"/>
              <w:bottom w:val="nil"/>
              <w:right w:val="nil"/>
            </w:tcBorders>
            <w:shd w:val="clear" w:color="auto" w:fill="auto"/>
            <w:noWrap/>
            <w:vAlign w:val="center"/>
          </w:tcPr>
          <w:p>
            <w:pPr>
              <w:keepNext w:val="0"/>
              <w:keepLines w:val="0"/>
              <w:widowControl/>
              <w:suppressLineNumbers w:val="0"/>
              <w:snapToGrid w:val="0"/>
              <w:jc w:val="left"/>
              <w:textAlignment w:val="center"/>
              <w:rPr>
                <w:rFonts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实施单位 （盖章）</w:t>
            </w:r>
          </w:p>
        </w:tc>
        <w:tc>
          <w:tcPr>
            <w:tcW w:w="143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州档案馆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36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37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33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933"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7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33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对我馆保存的8个全宗重点档案（清代档案71件，民国档案7290卷），进行抢救保护；对《红军长征在阿坝》等具有馆藏价值的各门类档案进行等比例仿真复制，进一步提高馆藏档案使用寿命，实现对馆藏重点档案的抢救和保护；根据档案业务建设评价要求，需续编州档案馆2012-2023年度档案馆指南，续编章节包括档案馆概述、馆藏档案介绍、馆藏资料介绍等，实施周期约7个月。</w:t>
            </w:r>
          </w:p>
        </w:tc>
        <w:tc>
          <w:tcPr>
            <w:tcW w:w="1933"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完成重点档案抢救修复3000余页，完成《阿坝藏族羌族自治州档案馆指南》续编任务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4269"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指定馆藏重点档案3000余页档案修复任务，包括破损档案的修补、托裱加固、揭粘揭旧、修复等。实施《阿坝藏族羌族自治州档案馆指南》续编项目，对州档案馆2012年版《档案馆指南》续编至2024年12月，包括档案馆概述、馆藏档案介绍、馆藏资料介绍、附录等内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6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6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6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101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4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8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6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120.00</w:t>
            </w:r>
          </w:p>
        </w:tc>
        <w:tc>
          <w:tcPr>
            <w:tcW w:w="6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115.49</w:t>
            </w:r>
          </w:p>
        </w:tc>
        <w:tc>
          <w:tcPr>
            <w:tcW w:w="101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115.49</w:t>
            </w:r>
          </w:p>
        </w:tc>
        <w:tc>
          <w:tcPr>
            <w:tcW w:w="4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89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黑体" w:eastAsia="黑体" w:cs="黑体"/>
                <w:i/>
                <w:iCs/>
                <w:color w:val="000000"/>
                <w:sz w:val="18"/>
                <w:szCs w:val="18"/>
                <w:u w:val="none"/>
              </w:rPr>
            </w:pPr>
            <w:r>
              <w:rPr>
                <w:rFonts w:hint="eastAsia" w:ascii="黑体" w:eastAsia="黑体" w:cs="黑体"/>
                <w:i/>
                <w:iCs/>
                <w:color w:val="000000"/>
                <w:kern w:val="0"/>
                <w:sz w:val="18"/>
                <w:szCs w:val="18"/>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6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120.00</w:t>
            </w:r>
          </w:p>
        </w:tc>
        <w:tc>
          <w:tcPr>
            <w:tcW w:w="6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115.49</w:t>
            </w:r>
          </w:p>
        </w:tc>
        <w:tc>
          <w:tcPr>
            <w:tcW w:w="101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115.49</w:t>
            </w:r>
          </w:p>
        </w:tc>
        <w:tc>
          <w:tcPr>
            <w:tcW w:w="4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89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6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01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4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89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6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6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01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4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89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6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微软雅黑" w:eastAsia="微软雅黑" w:cs="微软雅黑"/>
                <w:i/>
                <w:iCs/>
                <w:color w:val="000000"/>
                <w:sz w:val="16"/>
                <w:szCs w:val="16"/>
                <w:u w:val="none"/>
              </w:rPr>
            </w:pPr>
          </w:p>
        </w:tc>
        <w:tc>
          <w:tcPr>
            <w:tcW w:w="6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微软雅黑" w:eastAsia="微软雅黑" w:cs="微软雅黑"/>
                <w:i/>
                <w:iCs/>
                <w:color w:val="000000"/>
                <w:sz w:val="16"/>
                <w:szCs w:val="16"/>
                <w:u w:val="none"/>
              </w:rPr>
            </w:pPr>
          </w:p>
        </w:tc>
        <w:tc>
          <w:tcPr>
            <w:tcW w:w="101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微软雅黑" w:eastAsia="微软雅黑" w:cs="微软雅黑"/>
                <w:i/>
                <w:iCs/>
                <w:color w:val="000000"/>
                <w:sz w:val="16"/>
                <w:szCs w:val="16"/>
                <w:u w:val="none"/>
              </w:rPr>
            </w:pPr>
          </w:p>
        </w:tc>
        <w:tc>
          <w:tcPr>
            <w:tcW w:w="4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89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6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6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6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4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8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7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6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6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档案修复量</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套</w:t>
            </w:r>
          </w:p>
        </w:tc>
        <w:tc>
          <w:tcPr>
            <w:tcW w:w="4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24</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8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7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63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6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提升档案利用质效</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4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100%</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8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7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6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档案修复率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99</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4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100%</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8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7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6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6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档案抢救保护完成率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4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100%</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8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7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6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经济效益指标</w:t>
            </w:r>
          </w:p>
        </w:tc>
        <w:tc>
          <w:tcPr>
            <w:tcW w:w="6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开发、利用红色档案资源</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次</w:t>
            </w:r>
          </w:p>
        </w:tc>
        <w:tc>
          <w:tcPr>
            <w:tcW w:w="4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8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7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6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6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提升档案利用质效</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良好</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eastAsia="宋体" w:cs="宋体"/>
                <w:i w:val="0"/>
                <w:iCs w:val="0"/>
                <w:color w:val="000000"/>
                <w:sz w:val="18"/>
                <w:szCs w:val="18"/>
                <w:u w:val="none"/>
              </w:rPr>
            </w:pPr>
          </w:p>
        </w:tc>
        <w:tc>
          <w:tcPr>
            <w:tcW w:w="4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良好</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8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6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服务对象满意度指标</w:t>
            </w:r>
          </w:p>
        </w:tc>
        <w:tc>
          <w:tcPr>
            <w:tcW w:w="6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档案利用对象满意度</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98</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4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99.50%</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8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W w:w="6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经济成本指标</w:t>
            </w:r>
          </w:p>
        </w:tc>
        <w:tc>
          <w:tcPr>
            <w:tcW w:w="6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降低档案开发利用成本</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4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8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563"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8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rPr>
                <w:rFonts w:hint="eastAsia" w:asci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639"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项目自评总分100分，项目按期高质量完成重点档案抢救保护与《档案馆指南》续编任务。完成3000余页破损档案修复，有效延长档案寿命，筑牢馆藏安全底线；指南续编全面更新至2024年底，系统完善馆藏介绍与利用体系，提升查档效率与服务水平。项目管理规范、成果扎实，兼具保护实效与利用价值，全面达成预期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639"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639"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81"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ascii="黑体" w:eastAsia="黑体" w:cs="黑体"/>
                <w:i w:val="0"/>
                <w:iCs w:val="0"/>
                <w:color w:val="000000"/>
                <w:sz w:val="18"/>
                <w:szCs w:val="18"/>
                <w:u w:val="none"/>
                <w:lang w:val="en-US"/>
              </w:rPr>
            </w:pPr>
            <w:r>
              <w:rPr>
                <w:rFonts w:hint="eastAsia" w:ascii="黑体" w:eastAsia="黑体" w:cs="黑体"/>
                <w:i w:val="0"/>
                <w:iCs w:val="0"/>
                <w:color w:val="000000"/>
                <w:kern w:val="0"/>
                <w:sz w:val="18"/>
                <w:szCs w:val="18"/>
                <w:u w:val="none"/>
                <w:lang w:val="en-US" w:eastAsia="zh-CN"/>
              </w:rPr>
              <w:t>项目负责人：黄瑾</w:t>
            </w:r>
          </w:p>
        </w:tc>
        <w:tc>
          <w:tcPr>
            <w:tcW w:w="2618"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ascii="黑体" w:eastAsia="黑体" w:cs="黑体"/>
                <w:i w:val="0"/>
                <w:iCs w:val="0"/>
                <w:color w:val="000000"/>
                <w:sz w:val="18"/>
                <w:szCs w:val="18"/>
                <w:u w:val="none"/>
                <w:lang w:val="en-US"/>
              </w:rPr>
            </w:pPr>
            <w:r>
              <w:rPr>
                <w:rFonts w:hint="eastAsia" w:ascii="黑体" w:eastAsia="黑体" w:cs="黑体"/>
                <w:i w:val="0"/>
                <w:iCs w:val="0"/>
                <w:color w:val="000000"/>
                <w:kern w:val="0"/>
                <w:sz w:val="18"/>
                <w:szCs w:val="18"/>
                <w:u w:val="none"/>
                <w:lang w:val="en-US" w:eastAsia="zh-CN"/>
              </w:rPr>
              <w:t>分管负责人：杨跃珍</w:t>
            </w:r>
          </w:p>
        </w:tc>
      </w:tr>
    </w:tbl>
    <w:p>
      <w:pPr>
        <w:rPr>
          <w:rFonts w:hint="eastAsia" w:ascii="Times New Roman" w:hAnsi="Times New Roman"/>
          <w:lang w:eastAsia="zh-CN"/>
        </w:rPr>
      </w:pPr>
    </w:p>
    <w:p>
      <w:pPr>
        <w:rPr>
          <w:rFonts w:hint="eastAsia" w:ascii="Times New Roman" w:hAnsi="Times New Roman"/>
          <w:lang w:eastAsia="zh-CN"/>
        </w:rPr>
      </w:pPr>
    </w:p>
    <w:tbl>
      <w:tblPr>
        <w:tblStyle w:val="15"/>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00"/>
        <w:gridCol w:w="550"/>
        <w:gridCol w:w="844"/>
        <w:gridCol w:w="1199"/>
        <w:gridCol w:w="564"/>
        <w:gridCol w:w="668"/>
        <w:gridCol w:w="565"/>
        <w:gridCol w:w="452"/>
        <w:gridCol w:w="272"/>
        <w:gridCol w:w="272"/>
        <w:gridCol w:w="263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黑体" w:eastAsia="黑体" w:cs="黑体"/>
                <w:b/>
                <w:bCs/>
                <w:i w:val="0"/>
                <w:iCs w:val="0"/>
                <w:color w:val="000000"/>
                <w:sz w:val="30"/>
                <w:szCs w:val="30"/>
                <w:u w:val="none"/>
              </w:rPr>
            </w:pPr>
            <w:r>
              <w:rPr>
                <w:rFonts w:hint="eastAsia" w:ascii="黑体" w:eastAsia="黑体" w:cs="黑体"/>
                <w:b/>
                <w:bCs/>
                <w:i w:val="0"/>
                <w:iCs w:val="0"/>
                <w:color w:val="000000"/>
                <w:kern w:val="0"/>
                <w:sz w:val="30"/>
                <w:szCs w:val="30"/>
                <w:u w:val="none"/>
                <w:lang w:val="en-US" w:eastAsia="zh-CN"/>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jc w:val="center"/>
        </w:trPr>
        <w:tc>
          <w:tcPr>
            <w:tcW w:w="76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423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51320025T000012661495-档案数字化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6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136"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州档案馆部门</w:t>
            </w:r>
          </w:p>
        </w:tc>
        <w:tc>
          <w:tcPr>
            <w:tcW w:w="507" w:type="pct"/>
            <w:tcBorders>
              <w:top w:val="nil"/>
              <w:left w:val="nil"/>
              <w:bottom w:val="nil"/>
              <w:right w:val="nil"/>
            </w:tcBorders>
            <w:shd w:val="clear" w:color="auto" w:fill="auto"/>
            <w:noWrap/>
            <w:vAlign w:val="center"/>
          </w:tcPr>
          <w:p>
            <w:pPr>
              <w:keepNext w:val="0"/>
              <w:keepLines w:val="0"/>
              <w:widowControl/>
              <w:suppressLineNumbers w:val="0"/>
              <w:snapToGrid w:val="0"/>
              <w:jc w:val="left"/>
              <w:textAlignment w:val="center"/>
              <w:rPr>
                <w:rFonts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实施单位 （盖章）</w:t>
            </w:r>
          </w:p>
        </w:tc>
        <w:tc>
          <w:tcPr>
            <w:tcW w:w="1591"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州档案馆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7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38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136"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209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7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8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136"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为加快档案事业信息化建设步伐，按照《四川省档案局关于公布数字档案馆建设试点单位的通知》川档函【2021】26号的要求，将馆内存量纸质档案、增量纸质档案进行全文数字化扫描、著录。最终实现档案“一键”查阅、“多元化”利用。</w:t>
            </w:r>
          </w:p>
        </w:tc>
        <w:tc>
          <w:tcPr>
            <w:tcW w:w="209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2025年度阿坝州档案馆档案数字化项目按照年度目标任务已经全部完成。完成了纸质档案数字化758940页；照片档案数字化15739张；录音录像档案数字化532盘。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7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4234"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ascii="宋体" w:eastAsia="宋体" w:cs="宋体"/>
                <w:i w:val="0"/>
                <w:iCs w:val="0"/>
                <w:color w:val="000000"/>
                <w:sz w:val="16"/>
                <w:szCs w:val="16"/>
                <w:u w:val="none"/>
              </w:rPr>
            </w:pPr>
            <w:r>
              <w:rPr>
                <w:rFonts w:ascii="宋体" w:eastAsia="宋体" w:cs="宋体"/>
                <w:i w:val="0"/>
                <w:iCs w:val="0"/>
                <w:color w:val="000000"/>
                <w:kern w:val="0"/>
                <w:sz w:val="16"/>
                <w:szCs w:val="16"/>
                <w:u w:val="none"/>
                <w:lang w:val="en-US" w:eastAsia="zh-CN"/>
              </w:rPr>
              <w:t>该项目由成都大成档案管理咨询有限公司中标，纸质档案数字化0.79元/页、照片档案数字化2元/张、录音录像档案数字化299元/盘（包含扫描、档案目录著录、图像挂接等），最终结算以实际产生的数量*合同单价进行结算，直至完成79万元的项目资金工作量。共完成纸质档案数字化758940页；照片档案数字化15739张；录音录像档案数字化532盘。项目对馆藏纸质档案、照片档案、录音录像档案进行整理、著录、数字化加工。项目实施内容是对馆藏存量档案进行全面数字化处理，按照《纸质档案数字化技术规范》《照片档案数字化技术规范》《录音录像档案数字化技术规范》等要求，对档案进行扫描、图像处理、元数据著录及数据挂接，形成与档案原件一一对应的数字副本。项目实施过程严格按照标准化流水线作业推进，主要分为以下阶段：一是档案前处理，包括出库交接、拆除装订、页面修整与编页；二是目录数据库建设，逐件著录档号、题名、日期、责任者等关键信息，确保目录准确规范；三是数字化扫描与图像处理，对扫描图像进行纠偏、去污、拼接等优化处理，保证图像清晰、完整、可读；四是数据挂接与质检，将图像文件与目录数据进行批量挂接，并实行三级质检机制，确保数字化成果准确率达100%；五是档案还原与还库，扫描完成后按原状恢复装订，清点核对后归还库房；六是数据备份与入库，将验收合格的数字化成果以通用格式（PDF/A、TIFF等）存储，并纳入档案管理系统统一管理。通过该项目的实施，馆藏档案数字资源体系全面建立，档案利用方式实现了从传统“逐页翻查”向“一键检索、在线阅览”的根本转变，不仅大幅提升了档案查阅效率，也为档案信息的跨平台共享、多维度开发利用奠定了坚实基础，有力推动了数字档案馆建设向更高水平迈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7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9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0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7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82.00</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79.23</w:t>
            </w:r>
          </w:p>
        </w:tc>
        <w:tc>
          <w:tcPr>
            <w:tcW w:w="9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79.23</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04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黑体" w:eastAsia="黑体" w:cs="黑体"/>
                <w:i/>
                <w:iCs/>
                <w:color w:val="000000"/>
                <w:sz w:val="18"/>
                <w:szCs w:val="18"/>
                <w:u w:val="none"/>
              </w:rPr>
            </w:pPr>
            <w:r>
              <w:rPr>
                <w:rFonts w:hint="eastAsia" w:ascii="黑体" w:eastAsia="黑体" w:cs="黑体"/>
                <w:i/>
                <w:iCs/>
                <w:color w:val="000000"/>
                <w:kern w:val="0"/>
                <w:sz w:val="18"/>
                <w:szCs w:val="18"/>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7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82.00</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79.23</w:t>
            </w:r>
          </w:p>
        </w:tc>
        <w:tc>
          <w:tcPr>
            <w:tcW w:w="9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79.23</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04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7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9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04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7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9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04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7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微软雅黑" w:eastAsia="微软雅黑" w:cs="微软雅黑"/>
                <w:i/>
                <w:iCs/>
                <w:color w:val="000000"/>
                <w:sz w:val="16"/>
                <w:szCs w:val="16"/>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微软雅黑" w:eastAsia="微软雅黑" w:cs="微软雅黑"/>
                <w:i/>
                <w:iCs/>
                <w:color w:val="000000"/>
                <w:sz w:val="16"/>
                <w:szCs w:val="16"/>
                <w:u w:val="none"/>
              </w:rPr>
            </w:pPr>
          </w:p>
        </w:tc>
        <w:tc>
          <w:tcPr>
            <w:tcW w:w="9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微软雅黑" w:eastAsia="微软雅黑" w:cs="微软雅黑"/>
                <w:i/>
                <w:iCs/>
                <w:color w:val="000000"/>
                <w:sz w:val="16"/>
                <w:szCs w:val="16"/>
                <w:u w:val="none"/>
              </w:rPr>
            </w:pP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微软雅黑" w:eastAsia="微软雅黑" w:cs="微软雅黑"/>
                <w:i/>
                <w:iCs/>
                <w:color w:val="000000"/>
                <w:sz w:val="16"/>
                <w:szCs w:val="16"/>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04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7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2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0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7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8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馆藏存量档案数量</w:t>
            </w:r>
          </w:p>
        </w:tc>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6000</w:t>
            </w:r>
          </w:p>
        </w:tc>
        <w:tc>
          <w:tcPr>
            <w:tcW w:w="2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卷</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7800</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0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jc w:val="center"/>
        </w:trPr>
        <w:tc>
          <w:tcPr>
            <w:tcW w:w="37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8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馆藏存量档案合格率</w:t>
            </w:r>
          </w:p>
        </w:tc>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99</w:t>
            </w:r>
          </w:p>
        </w:tc>
        <w:tc>
          <w:tcPr>
            <w:tcW w:w="2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100</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10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7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8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馆藏存量档案按时完工率</w:t>
            </w:r>
          </w:p>
        </w:tc>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99</w:t>
            </w:r>
          </w:p>
        </w:tc>
        <w:tc>
          <w:tcPr>
            <w:tcW w:w="2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100</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0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jc w:val="center"/>
        </w:trPr>
        <w:tc>
          <w:tcPr>
            <w:tcW w:w="37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8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经济效益指标</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档案数字化成本减少率</w:t>
            </w:r>
          </w:p>
        </w:tc>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2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95</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10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7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8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档案保管保护水平提升率</w:t>
            </w:r>
          </w:p>
        </w:tc>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2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100</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0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7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8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可持续发展指标</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通过数字化手段更好地保护和传播阿坝州的历史文化和社会记忆</w:t>
            </w:r>
          </w:p>
        </w:tc>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高</w:t>
            </w:r>
          </w:p>
        </w:tc>
        <w:tc>
          <w:tcPr>
            <w:tcW w:w="2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eastAsia="宋体" w:cs="宋体"/>
                <w:i w:val="0"/>
                <w:iCs w:val="0"/>
                <w:color w:val="000000"/>
                <w:sz w:val="18"/>
                <w:szCs w:val="18"/>
                <w:u w:val="none"/>
              </w:rPr>
            </w:pP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高</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10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7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服务对象满意度指标</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查档对象满意度</w:t>
            </w:r>
          </w:p>
        </w:tc>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2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99.9</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0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7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经济成本指标</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项目预算控制率</w:t>
            </w:r>
          </w:p>
        </w:tc>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2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90</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10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408"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0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rPr>
                <w:rFonts w:hint="eastAsia" w:asci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623"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该项目自评得分100分。本项目实施严谨规范、技术路线科学合理，成果符合国家及行业标准，圆满完成任务、达到预期目标。项目按标准化流程对馆藏档案开展全文数字化扫描与著录，建成完整数字资源体系。运用高清扫描、精细图像处理、规范元数据著录等技术，保证数字副本准确可读。实行三级质检机制，对扫描、著录、数据挂接等严格把关，成果合格率100%。严格落实档案交接、全程监控与数据备份，保障实体与信息安全。项目实现从人工查阅到一键检索、在线阅览的转变，大幅提升利用效率，为数字档案馆建设与资源共享夯实基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623"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623"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68"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项目负责人：</w:t>
            </w:r>
          </w:p>
        </w:tc>
        <w:tc>
          <w:tcPr>
            <w:tcW w:w="2731"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分管负责人：</w:t>
            </w:r>
          </w:p>
        </w:tc>
      </w:tr>
    </w:tbl>
    <w:p>
      <w:pPr>
        <w:rPr>
          <w:rFonts w:hint="eastAsia" w:ascii="Times New Roman" w:hAnsi="Times New Roman"/>
          <w:lang w:eastAsia="zh-CN"/>
        </w:rPr>
      </w:pPr>
    </w:p>
    <w:sectPr>
      <w:footerReference r:id="rId5" w:type="first"/>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微软雅黑">
    <w:altName w:val="黑体"/>
    <w:panose1 w:val="020B0503020204020204"/>
    <w:charset w:val="86"/>
    <w:family w:val="auto"/>
    <w:pitch w:val="default"/>
    <w:sig w:usb0="00000000" w:usb1="00000000" w:usb2="00000016" w:usb3="00000000" w:csb0="0004001F" w:csb1="00000000"/>
  </w:font>
  <w:font w:name="方正宋体S-超大字符集(SIP)">
    <w:panose1 w:val="03000509000000000000"/>
    <w:charset w:val="86"/>
    <w:family w:val="auto"/>
    <w:pitch w:val="default"/>
    <w:sig w:usb0="00000003" w:usb1="0A0E08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p>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MIkSXjECAABhBAAADgAAAAAAAAABACAAAAA1&#10;AQAAZHJzL2Uyb0RvYy54bWxQSwUGAAAAAAYABgBZAQAA2AUAAAAA&#10;">
              <v:fill on="f" focussize="0,0"/>
              <v:stroke on="f" weight="0.5pt"/>
              <v:imagedata o:title=""/>
              <o:lock v:ext="edit" aspectratio="f"/>
              <v:textbox inset="0mm,0mm,0mm,0mm" style="mso-fit-shape-to-text:t;">
                <w:txbxContent>
                  <w:p>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61E35DE"/>
    <w:rsid w:val="066E0107"/>
    <w:rsid w:val="06D118A6"/>
    <w:rsid w:val="07996F6E"/>
    <w:rsid w:val="07DFD8BA"/>
    <w:rsid w:val="08DB07E4"/>
    <w:rsid w:val="09867E8F"/>
    <w:rsid w:val="0A2032A3"/>
    <w:rsid w:val="0C6C4794"/>
    <w:rsid w:val="0CA8290A"/>
    <w:rsid w:val="0D35B1ED"/>
    <w:rsid w:val="0DE07E2B"/>
    <w:rsid w:val="0F026AA1"/>
    <w:rsid w:val="0F98263C"/>
    <w:rsid w:val="101860EC"/>
    <w:rsid w:val="10C055FF"/>
    <w:rsid w:val="11772AA4"/>
    <w:rsid w:val="118107EC"/>
    <w:rsid w:val="13D50BC4"/>
    <w:rsid w:val="14022904"/>
    <w:rsid w:val="152F2A07"/>
    <w:rsid w:val="165E0673"/>
    <w:rsid w:val="16BB723D"/>
    <w:rsid w:val="186504BB"/>
    <w:rsid w:val="1938089F"/>
    <w:rsid w:val="196C04BB"/>
    <w:rsid w:val="19A445FC"/>
    <w:rsid w:val="1B7D550C"/>
    <w:rsid w:val="1BE8440E"/>
    <w:rsid w:val="1D155CEE"/>
    <w:rsid w:val="1E740ACF"/>
    <w:rsid w:val="1F62156A"/>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27F14"/>
    <w:rsid w:val="321B2544"/>
    <w:rsid w:val="3304709D"/>
    <w:rsid w:val="34281836"/>
    <w:rsid w:val="349D6851"/>
    <w:rsid w:val="35BA6CAF"/>
    <w:rsid w:val="364D14C1"/>
    <w:rsid w:val="36AA5135"/>
    <w:rsid w:val="36BE0DA7"/>
    <w:rsid w:val="376B6AA6"/>
    <w:rsid w:val="376D39B2"/>
    <w:rsid w:val="37E16F03"/>
    <w:rsid w:val="37F53A3B"/>
    <w:rsid w:val="389B6C89"/>
    <w:rsid w:val="38D469F0"/>
    <w:rsid w:val="39627CCD"/>
    <w:rsid w:val="397BAF1F"/>
    <w:rsid w:val="39EA2D8B"/>
    <w:rsid w:val="3AB79AF3"/>
    <w:rsid w:val="3B7EF35A"/>
    <w:rsid w:val="3B9FDB6C"/>
    <w:rsid w:val="3BF5BC2F"/>
    <w:rsid w:val="3CEBA265"/>
    <w:rsid w:val="3D98207C"/>
    <w:rsid w:val="3D9B0D99"/>
    <w:rsid w:val="3DEE7CF3"/>
    <w:rsid w:val="3DF02244"/>
    <w:rsid w:val="3E78745D"/>
    <w:rsid w:val="3FF4CAE0"/>
    <w:rsid w:val="3FF7B227"/>
    <w:rsid w:val="40E54C45"/>
    <w:rsid w:val="43A407DF"/>
    <w:rsid w:val="44515BEA"/>
    <w:rsid w:val="44E268DA"/>
    <w:rsid w:val="453F7E5B"/>
    <w:rsid w:val="454964D0"/>
    <w:rsid w:val="486A6C7A"/>
    <w:rsid w:val="491766E0"/>
    <w:rsid w:val="49176D9B"/>
    <w:rsid w:val="4A627F82"/>
    <w:rsid w:val="4B0E749A"/>
    <w:rsid w:val="4B4F25DA"/>
    <w:rsid w:val="4BDA0CFB"/>
    <w:rsid w:val="4BE068DB"/>
    <w:rsid w:val="4D3C0CCC"/>
    <w:rsid w:val="4D577224"/>
    <w:rsid w:val="4DBF1CEB"/>
    <w:rsid w:val="4EAB630A"/>
    <w:rsid w:val="4ECE2238"/>
    <w:rsid w:val="4F113331"/>
    <w:rsid w:val="4F833267"/>
    <w:rsid w:val="4FE9BD67"/>
    <w:rsid w:val="4FFB052F"/>
    <w:rsid w:val="53083A92"/>
    <w:rsid w:val="537E6D0A"/>
    <w:rsid w:val="53AF27A2"/>
    <w:rsid w:val="53F74C96"/>
    <w:rsid w:val="557133BC"/>
    <w:rsid w:val="56E47B74"/>
    <w:rsid w:val="57BD3DD4"/>
    <w:rsid w:val="5AF92295"/>
    <w:rsid w:val="5BDD79E6"/>
    <w:rsid w:val="5BF561CA"/>
    <w:rsid w:val="5BFF5DFC"/>
    <w:rsid w:val="5CD71FC4"/>
    <w:rsid w:val="5D1F11B5"/>
    <w:rsid w:val="5DAE1B18"/>
    <w:rsid w:val="5DE7D9E5"/>
    <w:rsid w:val="5EAE7B74"/>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954DBA"/>
    <w:rsid w:val="7FA30C79"/>
    <w:rsid w:val="7FAF8ABF"/>
    <w:rsid w:val="7FB7269E"/>
    <w:rsid w:val="7FC96657"/>
    <w:rsid w:val="7FDA9588"/>
    <w:rsid w:val="7FDF220F"/>
    <w:rsid w:val="7FEDC5F7"/>
    <w:rsid w:val="7FEDD9DE"/>
    <w:rsid w:val="7FF16F6D"/>
    <w:rsid w:val="7FF5890D"/>
    <w:rsid w:val="7FF93490"/>
    <w:rsid w:val="99FF2014"/>
    <w:rsid w:val="A6DD0D7F"/>
    <w:rsid w:val="ADC6F725"/>
    <w:rsid w:val="B7CF06AB"/>
    <w:rsid w:val="B7CFA926"/>
    <w:rsid w:val="B7F8786B"/>
    <w:rsid w:val="BA6E2AB2"/>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5"/>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next w:val="1"/>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1"/>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0"/>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5"/>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2"/>
    <w:qFormat/>
    <w:uiPriority w:val="9"/>
    <w:rPr>
      <w:rFonts w:ascii="Times New Roman" w:hAnsi="Times New Roman"/>
      <w:b/>
      <w:bCs/>
      <w:kern w:val="44"/>
      <w:sz w:val="44"/>
      <w:szCs w:val="44"/>
    </w:rPr>
  </w:style>
  <w:style w:type="character" w:customStyle="1" w:styleId="29">
    <w:name w:val="标题 2 Char"/>
    <w:basedOn w:val="16"/>
    <w:link w:val="3"/>
    <w:qFormat/>
    <w:uiPriority w:val="9"/>
    <w:rPr>
      <w:rFonts w:asciiTheme="majorHAnsi" w:hAnsiTheme="majorHAnsi" w:eastAsiaTheme="majorEastAsia" w:cstheme="majorBidi"/>
      <w:b/>
      <w:bCs/>
      <w:kern w:val="2"/>
      <w:sz w:val="32"/>
      <w:szCs w:val="32"/>
    </w:rPr>
  </w:style>
  <w:style w:type="paragraph" w:customStyle="1" w:styleId="30">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9"/>
    <w:semiHidden/>
    <w:qFormat/>
    <w:uiPriority w:val="99"/>
    <w:rPr>
      <w:rFonts w:ascii="Times New Roman" w:hAnsi="Times New Roman"/>
      <w:kern w:val="2"/>
      <w:sz w:val="18"/>
      <w:szCs w:val="18"/>
    </w:rPr>
  </w:style>
  <w:style w:type="character" w:customStyle="1" w:styleId="32">
    <w:name w:val="标题 3 Char"/>
    <w:basedOn w:val="16"/>
    <w:link w:val="4"/>
    <w:qFormat/>
    <w:uiPriority w:val="9"/>
    <w:rPr>
      <w:rFonts w:ascii="Times New Roman" w:hAnsi="Times New Roman"/>
      <w:b/>
      <w:bCs/>
      <w:kern w:val="2"/>
      <w:sz w:val="32"/>
      <w:szCs w:val="32"/>
    </w:rPr>
  </w:style>
  <w:style w:type="paragraph" w:customStyle="1" w:styleId="33">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3.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chart" Target="charts/chart7.xml"/><Relationship Id="rId12" Type="http://schemas.openxmlformats.org/officeDocument/2006/relationships/chart" Target="charts/chart6.xml"/><Relationship Id="rId11" Type="http://schemas.openxmlformats.org/officeDocument/2006/relationships/chart" Target="charts/chart5.xml"/><Relationship Id="rId10" Type="http://schemas.openxmlformats.org/officeDocument/2006/relationships/chart" Target="charts/chart4.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24037;&#20316;&#31807;1"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24037;&#20316;&#31807;1"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24037;&#20316;&#31807;1"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24037;&#20316;&#31807;1"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24037;&#20316;&#31807;1"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24037;&#20316;&#31807;1"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24037;&#20316;&#31807;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[工作簿1]Sheet1!$A$2</c:f>
              <c:strCache>
                <c:ptCount val="1"/>
                <c:pt idx="0">
                  <c:v>2024</c:v>
                </c:pt>
              </c:strCache>
            </c:strRef>
          </c:tx>
          <c:spPr>
            <a:solidFill>
              <a:schemeClr val="accent1"/>
            </a:solidFill>
            <a:ln>
              <a:noFill/>
            </a:ln>
            <a:effectLst/>
          </c:spPr>
          <c:invertIfNegative val="0"/>
          <c:dLbls>
            <c:delete val="1"/>
          </c:dLbls>
          <c:cat>
            <c:strRef>
              <c:f>[工作簿1]Sheet1!$B$1:$C$1</c:f>
              <c:strCache>
                <c:ptCount val="2"/>
                <c:pt idx="0">
                  <c:v>收入（万元）</c:v>
                </c:pt>
                <c:pt idx="1">
                  <c:v>支出（万元）</c:v>
                </c:pt>
              </c:strCache>
            </c:strRef>
          </c:cat>
          <c:val>
            <c:numRef>
              <c:f>[工作簿1]Sheet1!$B$2:$C$2</c:f>
              <c:numCache>
                <c:formatCode>General</c:formatCode>
                <c:ptCount val="2"/>
                <c:pt idx="0">
                  <c:v>2756.79</c:v>
                </c:pt>
                <c:pt idx="1">
                  <c:v>2756.79</c:v>
                </c:pt>
              </c:numCache>
            </c:numRef>
          </c:val>
        </c:ser>
        <c:ser>
          <c:idx val="1"/>
          <c:order val="1"/>
          <c:tx>
            <c:strRef>
              <c:f>[工作簿1]Sheet1!$A$3</c:f>
              <c:strCache>
                <c:ptCount val="1"/>
                <c:pt idx="0">
                  <c:v>2025</c:v>
                </c:pt>
              </c:strCache>
            </c:strRef>
          </c:tx>
          <c:spPr>
            <a:solidFill>
              <a:schemeClr val="accent2"/>
            </a:solidFill>
            <a:ln>
              <a:noFill/>
            </a:ln>
            <a:effectLst/>
          </c:spPr>
          <c:invertIfNegative val="0"/>
          <c:dLbls>
            <c:delete val="1"/>
          </c:dLbls>
          <c:cat>
            <c:strRef>
              <c:f>[工作簿1]Sheet1!$B$1:$C$1</c:f>
              <c:strCache>
                <c:ptCount val="2"/>
                <c:pt idx="0">
                  <c:v>收入（万元）</c:v>
                </c:pt>
                <c:pt idx="1">
                  <c:v>支出（万元）</c:v>
                </c:pt>
              </c:strCache>
            </c:strRef>
          </c:cat>
          <c:val>
            <c:numRef>
              <c:f>[工作簿1]Sheet1!$B$3:$C$3</c:f>
              <c:numCache>
                <c:formatCode>General</c:formatCode>
                <c:ptCount val="2"/>
                <c:pt idx="0">
                  <c:v>1905.88</c:v>
                </c:pt>
                <c:pt idx="1">
                  <c:v>1905.88</c:v>
                </c:pt>
              </c:numCache>
            </c:numRef>
          </c:val>
        </c:ser>
        <c:dLbls>
          <c:showLegendKey val="0"/>
          <c:showVal val="0"/>
          <c:showCatName val="0"/>
          <c:showSerName val="0"/>
          <c:showPercent val="0"/>
          <c:showBubbleSize val="0"/>
        </c:dLbls>
        <c:gapWidth val="246"/>
        <c:overlap val="-28"/>
        <c:axId val="181758311"/>
        <c:axId val="845008341"/>
      </c:barChart>
      <c:catAx>
        <c:axId val="18175831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45008341"/>
        <c:crosses val="autoZero"/>
        <c:auto val="1"/>
        <c:lblAlgn val="ctr"/>
        <c:lblOffset val="100"/>
        <c:noMultiLvlLbl val="0"/>
      </c:catAx>
      <c:valAx>
        <c:axId val="845008341"/>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175831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[工作簿1]Sheet1!$A$2</c:f>
              <c:strCache>
                <c:ptCount val="1"/>
                <c:pt idx="0">
                  <c:v>2025</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elete val="1"/>
          </c:dLbls>
          <c:cat>
            <c:strRef>
              <c:f>[工作簿1]Sheet1!$B$1:$C$1</c:f>
              <c:strCache>
                <c:ptCount val="2"/>
                <c:pt idx="0">
                  <c:v>一般公共预算财政拨款收入</c:v>
                </c:pt>
              </c:strCache>
            </c:strRef>
          </c:cat>
          <c:val>
            <c:numRef>
              <c:f>[工作簿1]Sheet1!$B$2:$C$2</c:f>
              <c:numCache>
                <c:formatCode>General</c:formatCode>
                <c:ptCount val="2"/>
                <c:pt idx="0">
                  <c:v>1905.88</c:v>
                </c:pt>
                <c:pt idx="1">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elete val="1"/>
          </c:dLbls>
          <c:cat>
            <c:strRef>
              <c:f>[工作簿1]Sheet1!$A$12:$B$12</c:f>
              <c:strCache>
                <c:ptCount val="2"/>
                <c:pt idx="0">
                  <c:v>基本支出（907.83万元）</c:v>
                </c:pt>
                <c:pt idx="1">
                  <c:v>项目支出（998.06万元）</c:v>
                </c:pt>
              </c:strCache>
            </c:strRef>
          </c:cat>
          <c:val>
            <c:numRef>
              <c:f>[工作簿1]Sheet1!$A$13:$B$13</c:f>
              <c:numCache>
                <c:formatCode>General</c:formatCode>
                <c:ptCount val="2"/>
                <c:pt idx="0">
                  <c:v>907.83</c:v>
                </c:pt>
                <c:pt idx="1">
                  <c:v>998.06</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[工作簿1]Sheet1!$A$2</c:f>
              <c:strCache>
                <c:ptCount val="1"/>
                <c:pt idx="0">
                  <c:v>2024</c:v>
                </c:pt>
              </c:strCache>
            </c:strRef>
          </c:tx>
          <c:spPr>
            <a:solidFill>
              <a:schemeClr val="accent1"/>
            </a:solidFill>
            <a:ln>
              <a:noFill/>
            </a:ln>
            <a:effectLst/>
          </c:spPr>
          <c:invertIfNegative val="0"/>
          <c:dLbls>
            <c:delete val="1"/>
          </c:dLbls>
          <c:cat>
            <c:strRef>
              <c:f>[工作簿1]Sheet1!$B$1:$C$1</c:f>
              <c:strCache>
                <c:ptCount val="2"/>
                <c:pt idx="0">
                  <c:v>收入（万元）</c:v>
                </c:pt>
                <c:pt idx="1">
                  <c:v>支出（万元）</c:v>
                </c:pt>
              </c:strCache>
            </c:strRef>
          </c:cat>
          <c:val>
            <c:numRef>
              <c:f>[工作簿1]Sheet1!$B$2:$C$2</c:f>
              <c:numCache>
                <c:formatCode>General</c:formatCode>
                <c:ptCount val="2"/>
                <c:pt idx="0">
                  <c:v>2756.79</c:v>
                </c:pt>
                <c:pt idx="1">
                  <c:v>2756.79</c:v>
                </c:pt>
              </c:numCache>
            </c:numRef>
          </c:val>
        </c:ser>
        <c:ser>
          <c:idx val="1"/>
          <c:order val="1"/>
          <c:tx>
            <c:strRef>
              <c:f>[工作簿1]Sheet1!$A$3</c:f>
              <c:strCache>
                <c:ptCount val="1"/>
                <c:pt idx="0">
                  <c:v>2025</c:v>
                </c:pt>
              </c:strCache>
            </c:strRef>
          </c:tx>
          <c:spPr>
            <a:solidFill>
              <a:schemeClr val="accent2"/>
            </a:solidFill>
            <a:ln>
              <a:noFill/>
            </a:ln>
            <a:effectLst/>
          </c:spPr>
          <c:invertIfNegative val="0"/>
          <c:dLbls>
            <c:delete val="1"/>
          </c:dLbls>
          <c:cat>
            <c:strRef>
              <c:f>[工作簿1]Sheet1!$B$1:$C$1</c:f>
              <c:strCache>
                <c:ptCount val="2"/>
                <c:pt idx="0">
                  <c:v>收入（万元）</c:v>
                </c:pt>
                <c:pt idx="1">
                  <c:v>支出（万元）</c:v>
                </c:pt>
              </c:strCache>
            </c:strRef>
          </c:cat>
          <c:val>
            <c:numRef>
              <c:f>[工作簿1]Sheet1!$B$3:$C$3</c:f>
              <c:numCache>
                <c:formatCode>General</c:formatCode>
                <c:ptCount val="2"/>
                <c:pt idx="0">
                  <c:v>1905.88</c:v>
                </c:pt>
                <c:pt idx="1">
                  <c:v>1905.88</c:v>
                </c:pt>
              </c:numCache>
            </c:numRef>
          </c:val>
        </c:ser>
        <c:dLbls>
          <c:showLegendKey val="0"/>
          <c:showVal val="0"/>
          <c:showCatName val="0"/>
          <c:showSerName val="0"/>
          <c:showPercent val="0"/>
          <c:showBubbleSize val="0"/>
        </c:dLbls>
        <c:gapWidth val="246"/>
        <c:overlap val="-28"/>
        <c:axId val="181758311"/>
        <c:axId val="845008341"/>
      </c:barChart>
      <c:catAx>
        <c:axId val="18175831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45008341"/>
        <c:crosses val="autoZero"/>
        <c:auto val="1"/>
        <c:lblAlgn val="ctr"/>
        <c:lblOffset val="100"/>
        <c:noMultiLvlLbl val="0"/>
      </c:catAx>
      <c:valAx>
        <c:axId val="845008341"/>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175831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spPr>
            <a:solidFill>
              <a:schemeClr val="accent1"/>
            </a:solidFill>
            <a:ln>
              <a:noFill/>
            </a:ln>
            <a:effectLst/>
          </c:spPr>
          <c:invertIfNegative val="0"/>
          <c:dLbls>
            <c:delete val="1"/>
          </c:dLbls>
          <c:cat>
            <c:multiLvlStrRef>
              <c:f>[工作簿1]Sheet1!$A$1:$B$2</c:f>
              <c:multiLvlStrCache>
                <c:ptCount val="2"/>
                <c:lvl>
                  <c:pt idx="0">
                    <c:v>2024年度（万元）</c:v>
                  </c:pt>
                  <c:pt idx="1">
                    <c:v>2025年度（万元）</c:v>
                  </c:pt>
                </c:lvl>
                <c:lvl>
                  <c:pt idx="0">
                    <c:v>一般公共预算财政拨款支出决算变动情况</c:v>
                  </c:pt>
                </c:lvl>
              </c:multiLvlStrCache>
            </c:multiLvlStrRef>
          </c:cat>
          <c:val>
            <c:numRef>
              <c:f>[工作簿1]Sheet1!$A$3:$B$3</c:f>
              <c:numCache>
                <c:formatCode>General</c:formatCode>
                <c:ptCount val="2"/>
                <c:pt idx="0">
                  <c:v>1905.88</c:v>
                </c:pt>
                <c:pt idx="1">
                  <c:v>2756.79</c:v>
                </c:pt>
              </c:numCache>
            </c:numRef>
          </c:val>
        </c:ser>
        <c:dLbls>
          <c:showLegendKey val="0"/>
          <c:showVal val="0"/>
          <c:showCatName val="0"/>
          <c:showSerName val="0"/>
          <c:showPercent val="0"/>
          <c:showBubbleSize val="0"/>
        </c:dLbls>
        <c:gapWidth val="246"/>
        <c:overlap val="-28"/>
        <c:axId val="542903529"/>
        <c:axId val="250852633"/>
      </c:barChart>
      <c:catAx>
        <c:axId val="54290352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50852633"/>
        <c:crosses val="autoZero"/>
        <c:auto val="1"/>
        <c:lblAlgn val="ctr"/>
        <c:lblOffset val="100"/>
        <c:noMultiLvlLbl val="0"/>
      </c:catAx>
      <c:valAx>
        <c:axId val="25085263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290352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elete val="1"/>
          </c:dLbls>
          <c:cat>
            <c:strRef>
              <c:f>[工作簿1]Sheet1!$A$1:$D$1</c:f>
              <c:strCache>
                <c:ptCount val="4"/>
                <c:pt idx="0">
                  <c:v>一般公共服务支出</c:v>
                </c:pt>
                <c:pt idx="1">
                  <c:v>社会保障和就业支出</c:v>
                </c:pt>
                <c:pt idx="2">
                  <c:v>卫生健康支出</c:v>
                </c:pt>
                <c:pt idx="3">
                  <c:v>住房保障支出</c:v>
                </c:pt>
              </c:strCache>
            </c:strRef>
          </c:cat>
          <c:val>
            <c:numRef>
              <c:f>[工作簿1]Sheet1!$A$2:$D$2</c:f>
              <c:numCache>
                <c:formatCode>General</c:formatCode>
                <c:ptCount val="4"/>
                <c:pt idx="0">
                  <c:v>1688.78</c:v>
                </c:pt>
                <c:pt idx="1">
                  <c:v>115.28</c:v>
                </c:pt>
                <c:pt idx="2">
                  <c:v>42.93</c:v>
                </c:pt>
                <c:pt idx="3">
                  <c:v>58.88</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财政拨款“三公”经费支出结构</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elete val="1"/>
          </c:dLbls>
          <c:cat>
            <c:strRef>
              <c:f>[工作簿1]Sheet1!$A$7:$B$7</c:f>
              <c:strCache>
                <c:ptCount val="2"/>
                <c:pt idx="0">
                  <c:v>公务用车购置及运行维护费</c:v>
                </c:pt>
                <c:pt idx="1">
                  <c:v>公务接待费</c:v>
                </c:pt>
              </c:strCache>
            </c:strRef>
          </c:cat>
          <c:val>
            <c:numRef>
              <c:f>[工作簿1]Sheet1!$A$8:$B$8</c:f>
              <c:numCache>
                <c:formatCode>General</c:formatCode>
                <c:ptCount val="2"/>
                <c:pt idx="0">
                  <c:v>11.14</c:v>
                </c:pt>
                <c:pt idx="1">
                  <c:v>0.07</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36</Pages>
  <Words>5145</Words>
  <Characters>5820</Characters>
  <Lines>61</Lines>
  <Paragraphs>17</Paragraphs>
  <TotalTime>3</TotalTime>
  <ScaleCrop>false</ScaleCrop>
  <LinksUpToDate>false</LinksUpToDate>
  <CharactersWithSpaces>5841</CharactersWithSpaces>
  <Application>WPS Office_12.8.2.1113_F1E327BC-269C-435d-A152-05C5408002CA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2020-08-09T01:49:00Z</dcterms:created>
  <dc:creator>曹颖</dc:creator>
  <cp:lastModifiedBy>user</cp:lastModifiedBy>
  <cp:lastPrinted>2026-09-16T16:45:00Z</cp:lastPrinted>
  <dcterms:modified xsi:type="dcterms:W3CDTF">2026-09-17T09:58:15Z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2052-12.8.2.1113</vt:lpwstr>
  </property>
  <property fmtid="{D5CDD505-2E9C-101B-9397-08002B2CF9AE}" pid="3" name="ICV">
    <vt:lpwstr>3BF536824C220DA3E40E8B68BA118B1C_42</vt:lpwstr>
  </property>
  <property fmtid="{D5CDD505-2E9C-101B-9397-08002B2CF9AE}" pid="4" name="KSOTemplateDocerSaveRecord">
    <vt:lpwstr>eyJoZGlkIjoiZTIzNTM4YTU2YjRhMzZhY2RlYmViNzAxZGE1M2U4YjAiLCJ1c2VySWQiOiIyNjQyNTYwMDgifQ==</vt:lpwstr>
  </property>
</Properties>
</file>