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hint="eastAsia" w:ascii="黑体" w:hAnsi="黑体" w:eastAsia="黑体" w:cs="黑体"/>
          <w:color w:val="auto"/>
          <w:kern w:val="2"/>
          <w:sz w:val="32"/>
          <w:szCs w:val="32"/>
          <w:highlight w:val="none"/>
          <w:lang w:val="en-US" w:eastAsia="zh-CN" w:bidi="ar-SA"/>
        </w:rPr>
      </w:pPr>
      <w:bookmarkStart w:id="0" w:name="_Toc15396475"/>
      <w:bookmarkStart w:id="1" w:name="_Toc15396597"/>
      <w:bookmarkStart w:id="2" w:name="_Toc15378441"/>
      <w:bookmarkStart w:id="3" w:name="_Toc15306267"/>
      <w:bookmarkStart w:id="4" w:name="_Toc15377425"/>
      <w:bookmarkStart w:id="5" w:name="_Toc15377193"/>
    </w:p>
    <w:p>
      <w:pPr>
        <w:pStyle w:val="5"/>
        <w:rPr>
          <w:rFonts w:hint="eastAsia" w:ascii="Times New Roman" w:hAnsi="Times New Roman" w:eastAsia="方正小标宋简体" w:cs="Times New Roman"/>
          <w:color w:val="auto"/>
          <w:kern w:val="2"/>
          <w:sz w:val="72"/>
          <w:szCs w:val="72"/>
          <w:highlight w:val="none"/>
          <w:lang w:val="en-US" w:eastAsia="zh-CN" w:bidi="ar-SA"/>
        </w:rPr>
      </w:pPr>
    </w:p>
    <w:p>
      <w:pPr>
        <w:pStyle w:val="5"/>
        <w:rPr>
          <w:rFonts w:hint="eastAsia" w:ascii="Times New Roman" w:hAnsi="Times New Roman" w:eastAsia="方正小标宋简体" w:cs="Times New Roman"/>
          <w:color w:val="auto"/>
          <w:kern w:val="2"/>
          <w:sz w:val="72"/>
          <w:szCs w:val="72"/>
          <w:highlight w:val="none"/>
          <w:lang w:val="en-US" w:eastAsia="zh-CN" w:bidi="ar-SA"/>
        </w:rPr>
      </w:pPr>
    </w:p>
    <w:p>
      <w:pPr>
        <w:pStyle w:val="5"/>
        <w:rPr>
          <w:rFonts w:hint="eastAsia" w:ascii="Times New Roman" w:hAnsi="Times New Roman" w:eastAsia="方正小标宋简体" w:cs="Times New Roman"/>
          <w:color w:val="auto"/>
          <w:kern w:val="2"/>
          <w:sz w:val="72"/>
          <w:szCs w:val="72"/>
          <w:highlight w:val="none"/>
          <w:lang w:val="en-US" w:eastAsia="zh-CN" w:bidi="ar-SA"/>
        </w:rPr>
      </w:pPr>
      <w:bookmarkStart w:id="70" w:name="_GoBack"/>
      <w:bookmarkEnd w:id="70"/>
    </w:p>
    <w:p>
      <w:pPr>
        <w:pStyle w:val="5"/>
        <w:rPr>
          <w:rFonts w:hint="eastAsia" w:ascii="Times New Roman" w:hAnsi="Times New Roman" w:eastAsia="方正小标宋简体" w:cs="Times New Roman"/>
          <w:color w:val="auto"/>
          <w:kern w:val="2"/>
          <w:sz w:val="72"/>
          <w:szCs w:val="72"/>
          <w:highlight w:val="none"/>
          <w:lang w:val="en-US" w:eastAsia="zh-CN" w:bidi="ar-SA"/>
        </w:rPr>
      </w:pPr>
    </w:p>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2025年度阿坝州文联</w:t>
      </w:r>
      <w:r>
        <w:rPr>
          <w:rFonts w:hint="eastAsia" w:ascii="Times New Roman" w:hAnsi="Times New Roman" w:eastAsia="方正小标宋简体" w:cs="Times New Roman"/>
          <w:color w:val="auto"/>
          <w:kern w:val="2"/>
          <w:sz w:val="44"/>
          <w:szCs w:val="44"/>
          <w:highlight w:val="none"/>
          <w:lang w:val="en-US" w:eastAsia="zh-CN" w:bidi="ar-SA"/>
        </w:rPr>
        <w:t>（</w:t>
      </w:r>
      <w:r>
        <w:rPr>
          <w:rFonts w:hint="eastAsia" w:ascii="Times New Roman" w:eastAsia="方正小标宋简体" w:cs="Times New Roman"/>
          <w:color w:val="auto"/>
          <w:kern w:val="2"/>
          <w:sz w:val="44"/>
          <w:szCs w:val="44"/>
          <w:highlight w:val="none"/>
          <w:lang w:val="en-US" w:eastAsia="zh-CN" w:bidi="ar-SA"/>
        </w:rPr>
        <w:t>部门</w:t>
      </w:r>
      <w:r>
        <w:rPr>
          <w:rFonts w:hint="eastAsia" w:ascii="Times New Roman" w:hAnsi="Times New Roman" w:eastAsia="方正小标宋简体" w:cs="Times New Roman"/>
          <w:color w:val="auto"/>
          <w:kern w:val="2"/>
          <w:sz w:val="44"/>
          <w:szCs w:val="44"/>
          <w:highlight w:val="none"/>
          <w:lang w:val="en-US" w:eastAsia="zh-CN" w:bidi="ar-SA"/>
        </w:rPr>
        <w:t>）</w:t>
      </w:r>
    </w:p>
    <w:p>
      <w:pPr>
        <w:pStyle w:val="5"/>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决算公开</w:t>
      </w:r>
    </w:p>
    <w:p>
      <w:pPr>
        <w:pStyle w:val="19"/>
        <w:rPr>
          <w:rFonts w:ascii="Times New Roman" w:hAnsi="Times New Roman"/>
        </w:rPr>
      </w:pPr>
    </w:p>
    <w:p>
      <w:p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pPr>
        <w:widowControl/>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17</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_GB2312" w:cs="仿宋_GB2312"/>
          <w:kern w:val="2"/>
          <w:sz w:val="32"/>
          <w:szCs w:val="32"/>
          <w:lang w:val="en-US" w:eastAsia="zh-CN" w:bidi="ar-SA"/>
        </w:rPr>
      </w:pPr>
      <w:r>
        <w:rPr>
          <w:rFonts w:hint="eastAsia" w:ascii="Times New Roman" w:hAnsi="Times New Roman" w:eastAsia="黑体" w:cs="黑体"/>
          <w:color w:val="auto"/>
          <w:sz w:val="32"/>
          <w:szCs w:val="32"/>
          <w:highlight w:val="none"/>
        </w:rPr>
        <w:t>第一部分 部门概况</w:t>
      </w:r>
      <w:r>
        <w:rPr>
          <w:rFonts w:hint="eastAsia" w:eastAsia="仿宋_GB2312" w:cs="仿宋_GB2312"/>
          <w:sz w:val="32"/>
          <w:szCs w:val="32"/>
        </w:rPr>
        <w:tab/>
      </w:r>
      <w:r>
        <w:rPr>
          <w:rFonts w:hint="default" w:ascii="Times New Roman" w:hAnsi="Times New Roman" w:eastAsia="仿宋_GB2312" w:cs="仿宋_GB2312"/>
          <w:kern w:val="2"/>
          <w:sz w:val="32"/>
          <w:szCs w:val="32"/>
          <w:lang w:val="en-US" w:eastAsia="zh-CN" w:bidi="ar-SA"/>
        </w:rPr>
        <w:t>1</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sz w:val="32"/>
          <w:szCs w:val="32"/>
        </w:rPr>
        <w:tab/>
      </w:r>
      <w:r>
        <w:rPr>
          <w:rFonts w:hint="default" w:eastAsia="仿宋_GB2312" w:cs="仿宋_GB2312"/>
          <w:sz w:val="32"/>
          <w:szCs w:val="32"/>
          <w:lang w:val="en-US"/>
        </w:rPr>
        <w:t>1</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sz w:val="32"/>
          <w:szCs w:val="32"/>
        </w:rPr>
        <w:tab/>
      </w:r>
      <w:r>
        <w:rPr>
          <w:rFonts w:hint="default" w:eastAsia="仿宋_GB2312" w:cs="仿宋_GB2312"/>
          <w:sz w:val="32"/>
          <w:szCs w:val="32"/>
          <w:lang w:val="en-US"/>
        </w:rPr>
        <w:t>1</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eastAsia="仿宋_GB2312" w:cs="仿宋_GB2312"/>
          <w:sz w:val="32"/>
          <w:szCs w:val="32"/>
        </w:rPr>
        <w:tab/>
      </w:r>
      <w:r>
        <w:rPr>
          <w:rFonts w:hint="eastAsia" w:ascii="Times New Roman" w:hAnsi="Times New Roman" w:eastAsia="仿宋_GB2312" w:cs="仿宋_GB2312"/>
          <w:kern w:val="2"/>
          <w:sz w:val="32"/>
          <w:szCs w:val="32"/>
          <w:lang w:val="en-US" w:eastAsia="zh-CN" w:bidi="ar-SA"/>
        </w:rPr>
        <w:t>2</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sz w:val="32"/>
          <w:szCs w:val="32"/>
        </w:rPr>
        <w:tab/>
      </w:r>
      <w:r>
        <w:rPr>
          <w:rFonts w:hint="eastAsia" w:ascii="Times New Roman" w:hAnsi="Times New Roman" w:eastAsia="仿宋_GB2312" w:cs="仿宋_GB2312"/>
          <w:kern w:val="2"/>
          <w:sz w:val="32"/>
          <w:szCs w:val="32"/>
          <w:lang w:val="en-US" w:eastAsia="zh-CN" w:bidi="ar-SA"/>
        </w:rPr>
        <w:t>2</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sz w:val="32"/>
          <w:szCs w:val="32"/>
        </w:rPr>
        <w:tab/>
      </w:r>
      <w:r>
        <w:rPr>
          <w:rFonts w:hint="eastAsia" w:ascii="Times New Roman" w:hAnsi="Times New Roman" w:eastAsia="仿宋_GB2312" w:cs="仿宋_GB2312"/>
          <w:kern w:val="2"/>
          <w:sz w:val="32"/>
          <w:szCs w:val="32"/>
          <w:lang w:val="en-US" w:eastAsia="zh-CN" w:bidi="ar-SA"/>
        </w:rPr>
        <w:t>2</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sz w:val="32"/>
          <w:szCs w:val="32"/>
        </w:rPr>
        <w:tab/>
      </w:r>
      <w:r>
        <w:rPr>
          <w:rFonts w:hint="eastAsia" w:eastAsia="仿宋_GB2312" w:cs="仿宋_GB2312"/>
          <w:sz w:val="32"/>
          <w:szCs w:val="32"/>
          <w:lang w:val="en-US" w:eastAsia="zh-CN"/>
        </w:rPr>
        <w:t>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sz w:val="32"/>
          <w:szCs w:val="32"/>
        </w:rPr>
        <w:tab/>
      </w:r>
      <w:r>
        <w:rPr>
          <w:rFonts w:hint="eastAsia" w:eastAsia="仿宋_GB2312" w:cs="仿宋_GB2312"/>
          <w:sz w:val="32"/>
          <w:szCs w:val="32"/>
          <w:lang w:val="en-US" w:eastAsia="zh-CN"/>
        </w:rPr>
        <w:t>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sz w:val="32"/>
          <w:szCs w:val="32"/>
        </w:rPr>
        <w:tab/>
      </w:r>
      <w:r>
        <w:rPr>
          <w:rFonts w:hint="eastAsia" w:eastAsia="仿宋_GB2312" w:cs="仿宋_GB2312"/>
          <w:sz w:val="32"/>
          <w:szCs w:val="32"/>
          <w:lang w:val="en-US" w:eastAsia="zh-CN"/>
        </w:rPr>
        <w:t>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sz w:val="32"/>
          <w:szCs w:val="32"/>
        </w:rPr>
        <w:tab/>
      </w:r>
      <w:r>
        <w:rPr>
          <w:rFonts w:hint="eastAsia" w:eastAsia="仿宋_GB2312" w:cs="仿宋_GB2312"/>
          <w:sz w:val="32"/>
          <w:szCs w:val="32"/>
          <w:lang w:val="en-US" w:eastAsia="zh-CN"/>
        </w:rPr>
        <w:t>7</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sz w:val="32"/>
          <w:szCs w:val="32"/>
        </w:rPr>
        <w:tab/>
      </w:r>
      <w:r>
        <w:rPr>
          <w:rFonts w:hint="eastAsia" w:eastAsia="仿宋_GB2312" w:cs="仿宋_GB2312"/>
          <w:sz w:val="32"/>
          <w:szCs w:val="32"/>
          <w:lang w:val="en-US" w:eastAsia="zh-CN"/>
        </w:rPr>
        <w:t>8</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sz w:val="32"/>
          <w:szCs w:val="32"/>
        </w:rPr>
        <w:tab/>
      </w:r>
      <w:r>
        <w:rPr>
          <w:rFonts w:hint="eastAsia" w:eastAsia="仿宋_GB2312" w:cs="仿宋_GB2312"/>
          <w:sz w:val="32"/>
          <w:szCs w:val="32"/>
          <w:lang w:val="en-US" w:eastAsia="zh-CN"/>
        </w:rPr>
        <w:t>9</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sz w:val="32"/>
          <w:szCs w:val="32"/>
        </w:rPr>
        <w:tab/>
      </w:r>
      <w:r>
        <w:rPr>
          <w:rFonts w:hint="eastAsia" w:eastAsia="仿宋_GB2312" w:cs="仿宋_GB2312"/>
          <w:sz w:val="32"/>
          <w:szCs w:val="32"/>
          <w:lang w:val="en-US" w:eastAsia="zh-CN"/>
        </w:rPr>
        <w:t>9</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sz w:val="32"/>
          <w:szCs w:val="32"/>
        </w:rPr>
        <w:tab/>
      </w:r>
      <w:r>
        <w:rPr>
          <w:rFonts w:hint="eastAsia" w:eastAsia="仿宋_GB2312" w:cs="仿宋_GB2312"/>
          <w:sz w:val="32"/>
          <w:szCs w:val="32"/>
          <w:lang w:val="en-US" w:eastAsia="zh-CN"/>
        </w:rPr>
        <w:t>9</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_GB2312" w:cs="仿宋_GB2312"/>
          <w:kern w:val="2"/>
          <w:sz w:val="32"/>
          <w:szCs w:val="32"/>
          <w:lang w:val="en-US" w:eastAsia="zh-CN" w:bidi="ar-SA"/>
        </w:rPr>
      </w:pPr>
      <w:r>
        <w:rPr>
          <w:rFonts w:hint="eastAsia" w:ascii="Times New Roman" w:hAnsi="Times New Roman" w:eastAsia="黑体" w:cs="黑体"/>
          <w:color w:val="auto"/>
          <w:sz w:val="32"/>
          <w:szCs w:val="32"/>
          <w:highlight w:val="none"/>
        </w:rPr>
        <w:t>第三部分 名词解释</w:t>
      </w:r>
      <w:r>
        <w:rPr>
          <w:rFonts w:hint="eastAsia" w:eastAsia="仿宋_GB2312" w:cs="仿宋_GB2312"/>
          <w:sz w:val="32"/>
          <w:szCs w:val="32"/>
        </w:rPr>
        <w:tab/>
      </w:r>
      <w:r>
        <w:rPr>
          <w:rFonts w:hint="eastAsia" w:ascii="Times New Roman" w:hAnsi="Times New Roman" w:eastAsia="仿宋_GB2312" w:cs="仿宋_GB2312"/>
          <w:kern w:val="2"/>
          <w:sz w:val="32"/>
          <w:szCs w:val="32"/>
          <w:lang w:val="en-US" w:eastAsia="zh-CN" w:bidi="ar-SA"/>
        </w:rPr>
        <w:t>10</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_GB2312" w:cs="仿宋_GB2312"/>
          <w:kern w:val="2"/>
          <w:sz w:val="32"/>
          <w:szCs w:val="32"/>
          <w:lang w:val="en-US" w:eastAsia="zh-CN" w:bidi="ar-SA"/>
        </w:rPr>
      </w:pPr>
      <w:r>
        <w:rPr>
          <w:rFonts w:hint="eastAsia" w:ascii="Times New Roman" w:hAnsi="Times New Roman" w:eastAsia="黑体" w:cs="黑体"/>
          <w:color w:val="auto"/>
          <w:sz w:val="32"/>
          <w:szCs w:val="32"/>
          <w:highlight w:val="none"/>
        </w:rPr>
        <w:t>第四部分 附件</w:t>
      </w:r>
      <w:r>
        <w:rPr>
          <w:rFonts w:hint="eastAsia" w:eastAsia="仿宋_GB2312" w:cs="仿宋_GB2312"/>
          <w:sz w:val="32"/>
          <w:szCs w:val="32"/>
        </w:rPr>
        <w:tab/>
      </w:r>
      <w:r>
        <w:rPr>
          <w:rFonts w:hint="eastAsia" w:ascii="Times New Roman" w:hAnsi="Times New Roman" w:eastAsia="仿宋_GB2312" w:cs="仿宋_GB2312"/>
          <w:kern w:val="2"/>
          <w:sz w:val="32"/>
          <w:szCs w:val="32"/>
          <w:lang w:val="en-US" w:eastAsia="zh-CN" w:bidi="ar-SA"/>
        </w:rPr>
        <w:t>14</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_GB2312" w:cs="黑体"/>
          <w:color w:val="auto"/>
          <w:sz w:val="32"/>
          <w:szCs w:val="32"/>
          <w:highlight w:val="none"/>
          <w:lang w:val="en-US" w:eastAsia="zh-CN"/>
        </w:rPr>
      </w:pPr>
      <w:r>
        <w:rPr>
          <w:rFonts w:hint="eastAsia" w:ascii="Times New Roman" w:hAnsi="Times New Roman" w:eastAsia="仿宋_GB2312" w:cs="仿宋_GB2312"/>
          <w:kern w:val="2"/>
          <w:sz w:val="32"/>
          <w:szCs w:val="32"/>
          <w:lang w:val="en-US" w:eastAsia="zh-CN" w:bidi="ar-SA"/>
        </w:rPr>
        <w:t>第五部分 附表</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t>33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t>33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t>33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t>33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t>33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t>33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t>33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t>33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t>33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t>33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t>33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t>33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t>33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r>
        <w:rPr>
          <w:rFonts w:hint="eastAsia" w:ascii="Times New Roman" w:hAnsi="Times New Roman" w:eastAsia="仿宋_GB2312" w:cs="仿宋_GB2312"/>
          <w:kern w:val="2"/>
          <w:sz w:val="32"/>
          <w:szCs w:val="32"/>
          <w:lang w:val="en-US" w:eastAsia="zh-CN" w:bidi="ar-SA"/>
        </w:rPr>
        <w:tab/>
      </w:r>
      <w:r>
        <w:rPr>
          <w:rFonts w:hint="eastAsia" w:ascii="Times New Roman" w:hAnsi="Times New Roman" w:eastAsia="仿宋_GB2312" w:cs="仿宋_GB2312"/>
          <w:kern w:val="2"/>
          <w:sz w:val="32"/>
          <w:szCs w:val="32"/>
          <w:lang w:val="en-US" w:eastAsia="zh-CN" w:bidi="ar-SA"/>
        </w:rPr>
        <w:t>33</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pPr>
        <w:pStyle w:val="2"/>
        <w:jc w:val="center"/>
        <w:rPr>
          <w:rFonts w:hint="eastAsia" w:ascii="Times New Roman" w:hAnsi="Times New Roman" w:eastAsia="方正小标宋简体" w:cs="方正小标宋简体"/>
          <w:b w:val="0"/>
          <w:color w:val="auto"/>
          <w:highlight w:val="none"/>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p>
    <w:p>
      <w:pPr>
        <w:pStyle w:val="2"/>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p>
    <w:p>
      <w:pPr>
        <w:pStyle w:val="3"/>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pPr>
        <w:widowControl w:val="0"/>
        <w:numPr>
          <w:ilvl w:val="0"/>
          <w:numId w:val="0"/>
        </w:numPr>
        <w:jc w:val="both"/>
        <w:rPr>
          <w:rFonts w:hint="eastAsia"/>
          <w:lang w:eastAsia="zh-CN"/>
        </w:rPr>
      </w:pPr>
      <w:r>
        <w:rPr>
          <w:rFonts w:hint="eastAsia" w:ascii="仿宋" w:hAnsi="仿宋" w:eastAsia="仿宋" w:cs="仿宋"/>
          <w:sz w:val="32"/>
          <w:szCs w:val="32"/>
          <w:lang w:eastAsia="zh-CN"/>
        </w:rPr>
        <w:t>　　</w:t>
      </w:r>
      <w:r>
        <w:rPr>
          <w:rFonts w:hint="eastAsia" w:ascii="仿宋" w:hAnsi="仿宋" w:eastAsia="仿宋" w:cs="仿宋"/>
          <w:sz w:val="32"/>
          <w:szCs w:val="32"/>
        </w:rPr>
        <w:t>州文联是在州委、州政府领导下的，由全州性文学艺术家协会、各县文学艺术界联合会和全州性企业（行业）文学艺术工作者联合组成的人民团体，是党和政府联系文学艺术家的桥梁和纽带，主要职责就是组织、协调、联络、服务各团体会员，积极开展各门类艺术作品的采风、创作、评论、学术交流、负责指导、培训县级文联业务骨干及艺术人才、书刊出版、文艺评奖和调研工作，组织召开全州文联系统的学术研讨会议，开展送文艺下乡等各项文艺惠民活动等，活跃丰富全州各族人民的文学艺术生活，弘扬民族文化精神，发展民族文学艺术事业，推动全州文艺大发展大繁荣。</w:t>
      </w:r>
    </w:p>
    <w:p>
      <w:pPr>
        <w:pStyle w:val="3"/>
        <w:rPr>
          <w:rStyle w:val="29"/>
          <w:rFonts w:ascii="Times New Roman" w:hAnsi="Times New Roman"/>
          <w:b w:val="0"/>
          <w:bCs w:val="0"/>
          <w:color w:val="auto"/>
          <w:highlight w:val="none"/>
        </w:rPr>
      </w:pPr>
      <w:bookmarkStart w:id="8" w:name="_Toc15377200"/>
      <w:bookmarkStart w:id="9"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8"/>
      <w:bookmarkEnd w:id="9"/>
    </w:p>
    <w:p>
      <w:pPr>
        <w:ind w:firstLine="800" w:firstLineChars="250"/>
        <w:rPr>
          <w:rFonts w:eastAsia="仿宋_GB2312" w:cs="仿宋_GB2312"/>
          <w:sz w:val="32"/>
          <w:szCs w:val="32"/>
        </w:rPr>
      </w:pPr>
      <w:bookmarkStart w:id="10" w:name="_Toc15306275"/>
      <w:bookmarkStart w:id="11" w:name="_Toc15377201"/>
      <w:bookmarkStart w:id="12" w:name="_Toc15378448"/>
      <w:bookmarkStart w:id="13" w:name="_Toc15377432"/>
      <w:r>
        <w:rPr>
          <w:rFonts w:hint="eastAsia" w:eastAsia="仿宋_GB2312" w:cs="仿宋_GB2312"/>
          <w:sz w:val="32"/>
          <w:szCs w:val="32"/>
          <w:lang w:val="en-US" w:eastAsia="zh-CN"/>
        </w:rPr>
        <w:t>阿坝州文联</w:t>
      </w:r>
      <w:r>
        <w:rPr>
          <w:rFonts w:hint="eastAsia" w:eastAsia="仿宋_GB2312" w:cs="仿宋_GB2312"/>
          <w:sz w:val="32"/>
          <w:szCs w:val="32"/>
        </w:rPr>
        <w:t>下属二级预算单位</w:t>
      </w:r>
      <w:r>
        <w:rPr>
          <w:rFonts w:hint="eastAsia" w:eastAsia="仿宋_GB2312" w:cs="仿宋_GB2312"/>
          <w:sz w:val="32"/>
          <w:szCs w:val="32"/>
          <w:lang w:val="en-US" w:eastAsia="zh-CN"/>
        </w:rPr>
        <w:t>2</w:t>
      </w:r>
      <w:r>
        <w:rPr>
          <w:rFonts w:hint="eastAsia" w:eastAsia="仿宋_GB2312" w:cs="仿宋_GB2312"/>
          <w:sz w:val="32"/>
          <w:szCs w:val="32"/>
        </w:rPr>
        <w:t>个，其中参照公务员法管理的事业单位</w:t>
      </w:r>
      <w:r>
        <w:rPr>
          <w:rFonts w:hint="eastAsia" w:eastAsia="仿宋_GB2312" w:cs="仿宋_GB2312"/>
          <w:sz w:val="32"/>
          <w:szCs w:val="32"/>
          <w:lang w:val="en-US" w:eastAsia="zh-CN"/>
        </w:rPr>
        <w:t>1</w:t>
      </w:r>
      <w:r>
        <w:rPr>
          <w:rFonts w:hint="eastAsia" w:eastAsia="仿宋_GB2312" w:cs="仿宋_GB2312"/>
          <w:sz w:val="32"/>
          <w:szCs w:val="32"/>
        </w:rPr>
        <w:t>个，其他事业单位</w:t>
      </w:r>
      <w:r>
        <w:rPr>
          <w:rFonts w:hint="eastAsia" w:eastAsia="仿宋_GB2312" w:cs="仿宋_GB2312"/>
          <w:sz w:val="32"/>
          <w:szCs w:val="32"/>
          <w:lang w:val="en-US" w:eastAsia="zh-CN"/>
        </w:rPr>
        <w:t>1</w:t>
      </w:r>
      <w:r>
        <w:rPr>
          <w:rFonts w:hint="eastAsia" w:eastAsia="仿宋_GB2312" w:cs="仿宋_GB2312"/>
          <w:sz w:val="32"/>
          <w:szCs w:val="32"/>
        </w:rPr>
        <w:t>个。</w:t>
      </w:r>
    </w:p>
    <w:p>
      <w:pPr>
        <w:pStyle w:val="5"/>
        <w:adjustRightInd w:val="0"/>
        <w:snapToGrid w:val="0"/>
        <w:spacing w:before="93" w:line="600" w:lineRule="exact"/>
        <w:ind w:firstLine="672" w:firstLineChars="210"/>
        <w:rPr>
          <w:rFonts w:ascii="Times New Roman" w:cs="仿宋_GB2312"/>
          <w:sz w:val="32"/>
          <w:szCs w:val="32"/>
        </w:rPr>
      </w:pPr>
      <w:r>
        <w:rPr>
          <w:rFonts w:hint="eastAsia" w:ascii="Times New Roman" w:cs="仿宋_GB2312"/>
          <w:sz w:val="32"/>
          <w:szCs w:val="32"/>
        </w:rPr>
        <w:t>纳入</w:t>
      </w:r>
      <w:r>
        <w:rPr>
          <w:rFonts w:hint="eastAsia" w:eastAsia="仿宋_GB2312" w:cs="仿宋_GB2312"/>
          <w:sz w:val="32"/>
          <w:szCs w:val="32"/>
          <w:lang w:val="en-US" w:eastAsia="zh-CN"/>
        </w:rPr>
        <w:t>阿坝州文联</w:t>
      </w:r>
      <w:r>
        <w:rPr>
          <w:rFonts w:hint="eastAsia" w:ascii="Times New Roman" w:cs="仿宋_GB2312"/>
          <w:sz w:val="32"/>
          <w:szCs w:val="32"/>
        </w:rPr>
        <w:t>202</w:t>
      </w:r>
      <w:r>
        <w:rPr>
          <w:rFonts w:hint="eastAsia" w:ascii="Times New Roman" w:cs="仿宋_GB2312"/>
          <w:sz w:val="32"/>
          <w:szCs w:val="32"/>
          <w:lang w:val="en-US" w:eastAsia="zh-CN"/>
        </w:rPr>
        <w:t>5</w:t>
      </w:r>
      <w:r>
        <w:rPr>
          <w:rFonts w:hint="eastAsia" w:ascii="Times New Roman" w:cs="仿宋_GB2312"/>
          <w:sz w:val="32"/>
          <w:szCs w:val="32"/>
        </w:rPr>
        <w:t>年度部门决算编制范围的二级预算单位包括：</w:t>
      </w:r>
    </w:p>
    <w:bookmarkEnd w:id="10"/>
    <w:bookmarkEnd w:id="11"/>
    <w:bookmarkEnd w:id="12"/>
    <w:bookmarkEnd w:id="13"/>
    <w:p>
      <w:pPr>
        <w:pStyle w:val="5"/>
        <w:numPr>
          <w:ilvl w:val="0"/>
          <w:numId w:val="2"/>
        </w:numPr>
        <w:adjustRightInd w:val="0"/>
        <w:snapToGrid w:val="0"/>
        <w:spacing w:before="93" w:line="600" w:lineRule="exact"/>
        <w:outlineLvl w:val="2"/>
        <w:rPr>
          <w:rFonts w:ascii="Times New Roman" w:cs="仿宋_GB2312"/>
          <w:sz w:val="32"/>
          <w:szCs w:val="32"/>
        </w:rPr>
      </w:pPr>
      <w:bookmarkStart w:id="14" w:name="_Toc15377203"/>
      <w:bookmarkStart w:id="15" w:name="_Toc15378450"/>
      <w:bookmarkStart w:id="16" w:name="_Toc15377434"/>
      <w:bookmarkStart w:id="17" w:name="_Toc15306277"/>
      <w:r>
        <w:rPr>
          <w:rFonts w:hint="eastAsia" w:eastAsia="仿宋_GB2312" w:cs="仿宋_GB2312"/>
          <w:sz w:val="32"/>
          <w:szCs w:val="32"/>
          <w:lang w:val="en-US" w:eastAsia="zh-CN"/>
        </w:rPr>
        <w:t>阿坝州文联</w:t>
      </w:r>
    </w:p>
    <w:p>
      <w:pPr>
        <w:pStyle w:val="5"/>
        <w:numPr>
          <w:ilvl w:val="0"/>
          <w:numId w:val="2"/>
        </w:numPr>
        <w:adjustRightInd w:val="0"/>
        <w:snapToGrid w:val="0"/>
        <w:spacing w:before="93" w:line="600" w:lineRule="exact"/>
        <w:outlineLvl w:val="2"/>
        <w:rPr>
          <w:rFonts w:hint="eastAsia" w:ascii="Times New Roman" w:eastAsia="仿宋" w:cs="仿宋_GB2312"/>
          <w:sz w:val="32"/>
          <w:szCs w:val="32"/>
          <w:lang w:val="en-US" w:eastAsia="zh-CN"/>
        </w:rPr>
      </w:pPr>
      <w:r>
        <w:rPr>
          <w:rFonts w:hint="eastAsia" w:ascii="Times New Roman" w:eastAsia="仿宋" w:cs="仿宋_GB2312"/>
          <w:sz w:val="32"/>
          <w:szCs w:val="32"/>
          <w:lang w:val="en-US" w:eastAsia="zh-CN"/>
        </w:rPr>
        <w:t>草地杂志社</w:t>
      </w:r>
    </w:p>
    <w:p>
      <w:pPr>
        <w:pStyle w:val="5"/>
        <w:adjustRightInd w:val="0"/>
        <w:snapToGrid w:val="0"/>
        <w:spacing w:before="93" w:line="600" w:lineRule="exact"/>
        <w:rPr>
          <w:rFonts w:ascii="Times New Roman" w:hAnsi="Times New Roman" w:eastAsia="仿宋"/>
          <w:color w:val="auto"/>
          <w:kern w:val="0"/>
          <w:sz w:val="32"/>
          <w:szCs w:val="32"/>
          <w:highlight w:val="none"/>
        </w:rPr>
      </w:pPr>
      <w:r>
        <w:rPr>
          <w:rFonts w:eastAsia="仿宋"/>
          <w:sz w:val="32"/>
          <w:szCs w:val="32"/>
        </w:rPr>
        <w:br w:type="page"/>
      </w:r>
      <w:bookmarkEnd w:id="14"/>
      <w:bookmarkEnd w:id="15"/>
      <w:bookmarkEnd w:id="16"/>
      <w:bookmarkEnd w:id="17"/>
    </w:p>
    <w:p>
      <w:pPr>
        <w:pStyle w:val="2"/>
        <w:jc w:val="center"/>
        <w:rPr>
          <w:rFonts w:hint="eastAsia" w:ascii="Times New Roman" w:hAnsi="Times New Roman" w:eastAsia="方正小标宋简体" w:cs="方正小标宋简体"/>
          <w:b w:val="0"/>
          <w:color w:val="auto"/>
          <w:highlight w:val="none"/>
        </w:rPr>
      </w:pPr>
      <w:bookmarkStart w:id="18" w:name="_Toc15377204"/>
      <w:bookmarkStart w:id="19"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8"/>
      <w:bookmarkEnd w:id="19"/>
    </w:p>
    <w:p>
      <w:pPr>
        <w:rPr>
          <w:rFonts w:ascii="Times New Roman" w:hAnsi="Times New Roman"/>
          <w:color w:val="auto"/>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0" w:name="_Toc15396603"/>
      <w:bookmarkStart w:id="21"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20"/>
      <w:bookmarkEnd w:id="21"/>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872.14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val="en-US" w:eastAsia="zh-CN"/>
        </w:rPr>
        <w:t>2024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59.95</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7.38</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2025年人员经费增加。</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eastAsia="仿宋_GB2312" w:cs="仿宋_GB2312"/>
          <w:color w:val="auto"/>
          <w:sz w:val="32"/>
          <w:szCs w:val="32"/>
          <w:highlight w:val="none"/>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eastAsia="仿宋_GB2312" w:cs="仿宋_GB2312"/>
          <w:color w:val="auto"/>
          <w:sz w:val="32"/>
          <w:szCs w:val="32"/>
          <w:highlight w:val="none"/>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eastAsia="仿宋_GB2312" w:cs="仿宋_GB2312"/>
          <w:color w:val="auto"/>
          <w:sz w:val="32"/>
          <w:szCs w:val="32"/>
          <w:highlight w:val="none"/>
          <w:lang w:val="en-US" w:eastAsia="zh-CN"/>
        </w:rPr>
      </w:pPr>
      <w:r>
        <w:drawing>
          <wp:anchor distT="0" distB="0" distL="114300" distR="114300" simplePos="0" relativeHeight="251661312" behindDoc="0" locked="0" layoutInCell="1" allowOverlap="1">
            <wp:simplePos x="0" y="0"/>
            <wp:positionH relativeFrom="column">
              <wp:posOffset>271145</wp:posOffset>
            </wp:positionH>
            <wp:positionV relativeFrom="paragraph">
              <wp:posOffset>-2453005</wp:posOffset>
            </wp:positionV>
            <wp:extent cx="4572000" cy="2743200"/>
            <wp:effectExtent l="4445" t="4445" r="14605" b="14605"/>
            <wp:wrapSquare wrapText="bothSides"/>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2" w:name="_Toc15396604"/>
      <w:bookmarkStart w:id="23" w:name="_Toc15377206"/>
      <w:r>
        <w:rPr>
          <w:rFonts w:hint="eastAsia" w:ascii="Times New Roman" w:hAnsi="Times New Roman" w:eastAsia="黑体"/>
          <w:color w:val="auto"/>
          <w:sz w:val="32"/>
          <w:szCs w:val="32"/>
          <w:highlight w:val="none"/>
          <w:lang w:eastAsia="zh-CN"/>
        </w:rPr>
        <w:t>二、收入决算情况说明</w:t>
      </w:r>
      <w:bookmarkEnd w:id="22"/>
      <w:bookmarkEnd w:id="23"/>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872.14</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872.14</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
          <w:lang w:eastAsia="zh-CN"/>
        </w:rPr>
        <w:drawing>
          <wp:anchor distT="0" distB="0" distL="114300" distR="114300" simplePos="0" relativeHeight="251660288" behindDoc="0" locked="0" layoutInCell="1" allowOverlap="1">
            <wp:simplePos x="0" y="0"/>
            <wp:positionH relativeFrom="column">
              <wp:posOffset>642620</wp:posOffset>
            </wp:positionH>
            <wp:positionV relativeFrom="line">
              <wp:posOffset>4445</wp:posOffset>
            </wp:positionV>
            <wp:extent cx="4187825" cy="2934335"/>
            <wp:effectExtent l="4445" t="4445" r="17780" b="13970"/>
            <wp:wrapTopAndBottom/>
            <wp:docPr id="2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Times New Roman" w:hAnsi="Times New Roman" w:eastAsia="仿宋_GB2312" w:cs="仿宋_GB2312"/>
          <w:color w:val="auto"/>
          <w:sz w:val="32"/>
          <w:szCs w:val="32"/>
          <w:highlight w:val="none"/>
          <w:lang w:eastAsia="zh-CN"/>
        </w:rPr>
        <w:t>（图2：收入决算结构图）</w:t>
      </w:r>
    </w:p>
    <w:p>
      <w:pPr>
        <w:ind w:firstLine="800" w:firstLineChars="250"/>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4" w:name="_Toc15377207"/>
      <w:bookmarkStart w:id="25"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4"/>
      <w:bookmarkEnd w:id="25"/>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872.14</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574.37</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65.86</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297.77</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34.14</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eastAsia="仿宋_GB2312" w:cs="仿宋_GB2312"/>
          <w:color w:val="auto"/>
          <w:sz w:val="32"/>
          <w:szCs w:val="32"/>
          <w:highlight w:val="none"/>
          <w:lang w:eastAsia="zh-CN"/>
        </w:rPr>
      </w:pPr>
      <w:r>
        <w:drawing>
          <wp:anchor distT="0" distB="0" distL="114300" distR="114300" simplePos="0" relativeHeight="251662336" behindDoc="0" locked="0" layoutInCell="1" allowOverlap="1">
            <wp:simplePos x="0" y="0"/>
            <wp:positionH relativeFrom="column">
              <wp:posOffset>660400</wp:posOffset>
            </wp:positionH>
            <wp:positionV relativeFrom="paragraph">
              <wp:posOffset>42545</wp:posOffset>
            </wp:positionV>
            <wp:extent cx="4344670" cy="2923540"/>
            <wp:effectExtent l="4445" t="5080" r="13335" b="5080"/>
            <wp:wrapSquare wrapText="bothSides"/>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pPr>
        <w:ind w:firstLine="800" w:firstLineChars="250"/>
        <w:rPr>
          <w:rFonts w:hint="eastAsia" w:ascii="Times New Roman" w:hAnsi="Times New Roman" w:eastAsia="仿宋_GB2312" w:cs="仿宋_GB2312"/>
          <w:color w:val="auto"/>
          <w:sz w:val="32"/>
          <w:szCs w:val="32"/>
          <w:highlight w:val="none"/>
          <w:lang w:eastAsia="zh-CN"/>
        </w:rPr>
      </w:pPr>
    </w:p>
    <w:p>
      <w:pPr>
        <w:spacing w:line="600" w:lineRule="exact"/>
        <w:ind w:firstLine="640" w:firstLineChars="200"/>
        <w:outlineLvl w:val="1"/>
        <w:rPr>
          <w:rStyle w:val="29"/>
          <w:rFonts w:ascii="Times New Roman" w:hAnsi="Times New Roman" w:eastAsia="黑体"/>
          <w:b w:val="0"/>
          <w:color w:val="auto"/>
          <w:highlight w:val="none"/>
        </w:rPr>
      </w:pPr>
      <w:bookmarkStart w:id="26" w:name="_Toc15377208"/>
      <w:bookmarkStart w:id="27"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6"/>
      <w:bookmarkEnd w:id="27"/>
    </w:p>
    <w:p>
      <w:pPr>
        <w:spacing w:line="600" w:lineRule="exact"/>
        <w:ind w:firstLine="640"/>
        <w:rPr>
          <w:rFonts w:hint="eastAsia" w:eastAsia="仿宋_GB2312" w:cs="仿宋_GB2312"/>
          <w:color w:val="auto"/>
          <w:sz w:val="32"/>
          <w:szCs w:val="32"/>
          <w:highlight w:val="none"/>
          <w:lang w:val="en-US" w:eastAsia="zh-CN"/>
        </w:rPr>
      </w:pPr>
      <w:r>
        <w:drawing>
          <wp:anchor distT="0" distB="0" distL="114300" distR="114300" simplePos="0" relativeHeight="251663360" behindDoc="0" locked="0" layoutInCell="1" allowOverlap="1">
            <wp:simplePos x="0" y="0"/>
            <wp:positionH relativeFrom="column">
              <wp:posOffset>366395</wp:posOffset>
            </wp:positionH>
            <wp:positionV relativeFrom="paragraph">
              <wp:posOffset>1504315</wp:posOffset>
            </wp:positionV>
            <wp:extent cx="4667250" cy="2980690"/>
            <wp:effectExtent l="5080" t="5080" r="13970" b="5080"/>
            <wp:wrapSquare wrapText="bothSides"/>
            <wp:docPr id="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872.14</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59.95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7.38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2025年人员经费增加。</w:t>
      </w:r>
    </w:p>
    <w:p>
      <w:pPr>
        <w:spacing w:line="600" w:lineRule="exact"/>
        <w:ind w:firstLine="640"/>
        <w:rPr>
          <w:rFonts w:hint="eastAsia" w:eastAsia="仿宋_GB2312" w:cs="仿宋_GB2312"/>
          <w:color w:val="auto"/>
          <w:sz w:val="32"/>
          <w:szCs w:val="32"/>
          <w:highlight w:val="none"/>
          <w:lang w:val="en-US" w:eastAsia="zh-CN"/>
        </w:rPr>
      </w:pPr>
    </w:p>
    <w:p>
      <w:pPr>
        <w:spacing w:line="600" w:lineRule="exact"/>
        <w:ind w:firstLine="640"/>
        <w:rPr>
          <w:rFonts w:hint="eastAsia" w:eastAsia="仿宋_GB2312" w:cs="仿宋_GB2312"/>
          <w:color w:val="auto"/>
          <w:sz w:val="32"/>
          <w:szCs w:val="32"/>
          <w:highlight w:val="none"/>
          <w:lang w:val="en-US" w:eastAsia="zh-CN"/>
        </w:rPr>
      </w:pPr>
    </w:p>
    <w:p>
      <w:pPr>
        <w:spacing w:line="600" w:lineRule="exact"/>
        <w:ind w:firstLine="640"/>
        <w:rPr>
          <w:rFonts w:hint="eastAsia" w:eastAsia="仿宋_GB2312" w:cs="仿宋_GB2312"/>
          <w:color w:val="auto"/>
          <w:sz w:val="32"/>
          <w:szCs w:val="32"/>
          <w:highlight w:val="none"/>
          <w:lang w:val="en-US" w:eastAsia="zh-CN"/>
        </w:rPr>
      </w:pPr>
    </w:p>
    <w:p>
      <w:pPr>
        <w:spacing w:line="600" w:lineRule="exact"/>
        <w:ind w:firstLine="640"/>
        <w:rPr>
          <w:rFonts w:hint="eastAsia" w:eastAsia="仿宋_GB2312" w:cs="仿宋_GB2312"/>
          <w:color w:val="auto"/>
          <w:sz w:val="32"/>
          <w:szCs w:val="32"/>
          <w:highlight w:val="none"/>
          <w:lang w:val="en-US" w:eastAsia="zh-CN"/>
        </w:rPr>
      </w:pPr>
    </w:p>
    <w:p>
      <w:pPr>
        <w:spacing w:line="600" w:lineRule="exact"/>
        <w:ind w:firstLine="640"/>
        <w:rPr>
          <w:rFonts w:hint="eastAsia" w:eastAsia="仿宋_GB2312" w:cs="仿宋_GB2312"/>
          <w:color w:val="auto"/>
          <w:sz w:val="32"/>
          <w:szCs w:val="32"/>
          <w:highlight w:val="none"/>
          <w:lang w:val="en-US" w:eastAsia="zh-CN"/>
        </w:rPr>
      </w:pPr>
    </w:p>
    <w:p>
      <w:pPr>
        <w:spacing w:line="600" w:lineRule="exact"/>
        <w:ind w:firstLine="640"/>
        <w:rPr>
          <w:rFonts w:hint="eastAsia" w:eastAsia="仿宋_GB2312" w:cs="仿宋_GB2312"/>
          <w:color w:val="auto"/>
          <w:sz w:val="32"/>
          <w:szCs w:val="32"/>
          <w:highlight w:val="none"/>
          <w:lang w:val="en-US" w:eastAsia="zh-CN"/>
        </w:rPr>
      </w:pPr>
    </w:p>
    <w:p>
      <w:pPr>
        <w:spacing w:line="600" w:lineRule="exact"/>
        <w:ind w:firstLine="640"/>
        <w:rPr>
          <w:rFonts w:hint="eastAsia" w:eastAsia="仿宋_GB2312" w:cs="仿宋_GB2312"/>
          <w:color w:val="auto"/>
          <w:sz w:val="32"/>
          <w:szCs w:val="32"/>
          <w:highlight w:val="none"/>
          <w:lang w:val="en-US" w:eastAsia="zh-CN"/>
        </w:rPr>
      </w:pPr>
    </w:p>
    <w:p>
      <w:pPr>
        <w:spacing w:line="600" w:lineRule="exact"/>
        <w:ind w:firstLine="64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pPr>
        <w:spacing w:line="600" w:lineRule="exact"/>
        <w:ind w:firstLine="640"/>
        <w:jc w:val="center"/>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outlineLvl w:val="1"/>
        <w:rPr>
          <w:rStyle w:val="29"/>
          <w:rFonts w:ascii="Times New Roman" w:hAnsi="Times New Roman" w:eastAsia="黑体"/>
          <w:b w:val="0"/>
          <w:color w:val="auto"/>
          <w:highlight w:val="none"/>
        </w:rPr>
      </w:pPr>
      <w:bookmarkStart w:id="28" w:name="_Toc15396607"/>
      <w:bookmarkStart w:id="29"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8"/>
      <w:bookmarkEnd w:id="29"/>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0"/>
    </w:p>
    <w:p>
      <w:pPr>
        <w:spacing w:line="600" w:lineRule="exact"/>
        <w:ind w:firstLine="640"/>
        <w:rPr>
          <w:rFonts w:hint="eastAsia" w:eastAsia="仿宋_GB2312" w:cs="仿宋_GB2312"/>
          <w:color w:val="auto"/>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872.14</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59.95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7.38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2025年人员经费增加。</w:t>
      </w:r>
    </w:p>
    <w:p>
      <w:pPr>
        <w:spacing w:line="600" w:lineRule="exact"/>
        <w:ind w:firstLine="640"/>
        <w:rPr>
          <w:rFonts w:hint="eastAsia" w:eastAsia="仿宋_GB2312" w:cs="仿宋_GB2312"/>
          <w:color w:val="auto"/>
          <w:sz w:val="32"/>
          <w:szCs w:val="32"/>
          <w:highlight w:val="none"/>
          <w:lang w:val="en-US" w:eastAsia="zh-CN"/>
        </w:rPr>
      </w:pPr>
    </w:p>
    <w:p>
      <w:pPr>
        <w:spacing w:line="600" w:lineRule="exact"/>
        <w:ind w:firstLine="640"/>
        <w:rPr>
          <w:rFonts w:hint="eastAsia" w:eastAsia="仿宋_GB2312" w:cs="仿宋_GB2312"/>
          <w:color w:val="auto"/>
          <w:sz w:val="32"/>
          <w:szCs w:val="32"/>
          <w:highlight w:val="none"/>
          <w:lang w:val="en-US" w:eastAsia="zh-CN"/>
        </w:rPr>
      </w:pPr>
      <w:r>
        <w:drawing>
          <wp:anchor distT="0" distB="0" distL="114300" distR="114300" simplePos="0" relativeHeight="251664384" behindDoc="0" locked="0" layoutInCell="1" allowOverlap="1">
            <wp:simplePos x="0" y="0"/>
            <wp:positionH relativeFrom="column">
              <wp:posOffset>372745</wp:posOffset>
            </wp:positionH>
            <wp:positionV relativeFrom="paragraph">
              <wp:posOffset>213995</wp:posOffset>
            </wp:positionV>
            <wp:extent cx="4572000" cy="2743200"/>
            <wp:effectExtent l="4445" t="4445" r="14605" b="14605"/>
            <wp:wrapSquare wrapText="bothSides"/>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spacing w:line="600" w:lineRule="exact"/>
        <w:ind w:firstLine="640"/>
        <w:rPr>
          <w:rFonts w:hint="eastAsia" w:eastAsia="仿宋_GB2312" w:cs="仿宋_GB2312"/>
          <w:color w:val="auto"/>
          <w:sz w:val="32"/>
          <w:szCs w:val="32"/>
          <w:highlight w:val="none"/>
          <w:lang w:val="en-US" w:eastAsia="zh-CN"/>
        </w:rPr>
      </w:pPr>
    </w:p>
    <w:p>
      <w:pPr>
        <w:spacing w:line="600" w:lineRule="exact"/>
        <w:ind w:firstLine="640"/>
        <w:rPr>
          <w:rFonts w:hint="eastAsia" w:eastAsia="仿宋_GB2312" w:cs="仿宋_GB2312"/>
          <w:color w:val="auto"/>
          <w:sz w:val="32"/>
          <w:szCs w:val="32"/>
          <w:highlight w:val="none"/>
          <w:lang w:val="en-US" w:eastAsia="zh-CN"/>
        </w:rPr>
      </w:pPr>
    </w:p>
    <w:p>
      <w:pPr>
        <w:spacing w:line="600" w:lineRule="exact"/>
        <w:ind w:firstLine="640"/>
        <w:rPr>
          <w:rFonts w:hint="eastAsia" w:eastAsia="仿宋_GB2312" w:cs="仿宋_GB2312"/>
          <w:color w:val="auto"/>
          <w:sz w:val="32"/>
          <w:szCs w:val="32"/>
          <w:highlight w:val="none"/>
          <w:lang w:val="en-US" w:eastAsia="zh-CN"/>
        </w:rPr>
      </w:pPr>
    </w:p>
    <w:p>
      <w:pPr>
        <w:spacing w:line="600" w:lineRule="exact"/>
        <w:ind w:firstLine="640"/>
        <w:rPr>
          <w:rFonts w:hint="eastAsia" w:eastAsia="仿宋_GB2312" w:cs="仿宋_GB2312"/>
          <w:color w:val="auto"/>
          <w:sz w:val="32"/>
          <w:szCs w:val="32"/>
          <w:highlight w:val="none"/>
          <w:lang w:val="en-US" w:eastAsia="zh-CN"/>
        </w:rPr>
      </w:pPr>
    </w:p>
    <w:p>
      <w:pPr>
        <w:spacing w:line="600" w:lineRule="exact"/>
        <w:ind w:firstLine="640"/>
        <w:rPr>
          <w:rFonts w:hint="eastAsia" w:eastAsia="仿宋_GB2312" w:cs="仿宋_GB2312"/>
          <w:color w:val="auto"/>
          <w:sz w:val="32"/>
          <w:szCs w:val="32"/>
          <w:highlight w:val="none"/>
          <w:lang w:val="en-US" w:eastAsia="zh-CN"/>
        </w:rPr>
      </w:pPr>
    </w:p>
    <w:p>
      <w:pPr>
        <w:spacing w:line="600" w:lineRule="exact"/>
        <w:ind w:firstLine="640"/>
        <w:rPr>
          <w:rFonts w:hint="eastAsia" w:eastAsia="仿宋_GB2312" w:cs="仿宋_GB2312"/>
          <w:color w:val="auto"/>
          <w:sz w:val="32"/>
          <w:szCs w:val="32"/>
          <w:highlight w:val="none"/>
          <w:lang w:val="en-US" w:eastAsia="zh-CN"/>
        </w:rPr>
      </w:pPr>
    </w:p>
    <w:p>
      <w:pPr>
        <w:spacing w:line="600" w:lineRule="exact"/>
        <w:rPr>
          <w:rFonts w:hint="eastAsia" w:eastAsia="仿宋_GB2312" w:cs="仿宋_GB2312"/>
          <w:color w:val="auto"/>
          <w:sz w:val="32"/>
          <w:szCs w:val="32"/>
          <w:highlight w:val="none"/>
          <w:lang w:val="en-US" w:eastAsia="zh-CN"/>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1"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1"/>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872.14</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738.8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84.71</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69.49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7.97</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26.34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3.02</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37.51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drawing>
          <wp:anchor distT="0" distB="0" distL="114300" distR="114300" simplePos="0" relativeHeight="251665408" behindDoc="1" locked="0" layoutInCell="1" allowOverlap="1">
            <wp:simplePos x="0" y="0"/>
            <wp:positionH relativeFrom="column">
              <wp:posOffset>411480</wp:posOffset>
            </wp:positionH>
            <wp:positionV relativeFrom="paragraph">
              <wp:posOffset>119380</wp:posOffset>
            </wp:positionV>
            <wp:extent cx="4342765" cy="2599690"/>
            <wp:effectExtent l="4445" t="4445" r="15240" b="5715"/>
            <wp:wrapTight wrapText="bothSides">
              <wp:wrapPolygon>
                <wp:start x="-22" y="-37"/>
                <wp:lineTo x="-22" y="21489"/>
                <wp:lineTo x="21486" y="21489"/>
                <wp:lineTo x="21486" y="-37"/>
                <wp:lineTo x="-22" y="-37"/>
              </wp:wrapPolygon>
            </wp:wrapTight>
            <wp:docPr id="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2"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3" w:name="_Toc15377213"/>
      <w:bookmarkStart w:id="34" w:name="_Toc15378460"/>
      <w:bookmarkStart w:id="35"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872.14</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3"/>
      <w:bookmarkEnd w:id="34"/>
      <w:bookmarkEnd w:id="35"/>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1.文化旅游体育与传媒（207）文化和旅游（01）行政运行（01）: 支出决算为223.13万元，完成预算100%。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2.文化旅游体育与传媒（207）文化和旅游（01）一般行政管理事务（02）: 支出决算为138.38万元，完成预算100%。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3.文化旅游体育与传媒（207）文化和旅游（01）文化活动（08）: 支出决算为98.7万元，完成预算100%。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4.文化旅游体育与传媒（207）文化和旅游（01）文化创作与保护（11）: 支出决算为259.66万元，完成预算100%。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5.文化旅游体育与传媒（207）文化和旅游（01）其他文化和旅游支出（99）: 支出决算为18.92万元，完成预算100%。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6.社会保障和就业（208）行政事业单位养老（05）机关事业单位基本养老保险缴费（05）: 支出决算为46.32万元，完成预算100%。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7.社会保障和就业（208）行政事业单位养老（05）机关事业单位职业年金缴费（06）:支出决算为23.17万元，完成预算100%。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8.卫生健康（210）行政事业单位医疗（11）行政单位医疗（01）:支出决算为10.36万元，完成预算100%。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9.卫生健康（210）行政事业单位医疗（11）事业单位医疗（02）:支出决算为11.26万元，完成预算100%。</w:t>
      </w:r>
    </w:p>
    <w:p>
      <w:p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10.卫生健康（210）行政事业单位医疗（11）公务员医疗补助（03）:支出决算为2.17万元，完成预算100%。</w:t>
      </w:r>
    </w:p>
    <w:p>
      <w:p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11.卫生健康（210）行政事业单位医疗（11）其他行政事业单位医疗支出（99）:支出决算为2.56万元，完成预算100%。</w:t>
      </w:r>
    </w:p>
    <w:p>
      <w:pPr>
        <w:tabs>
          <w:tab w:val="right" w:pos="8306"/>
        </w:tabs>
        <w:spacing w:line="600" w:lineRule="exact"/>
        <w:ind w:firstLine="640" w:firstLineChars="200"/>
        <w:outlineLvl w:val="1"/>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12.住房保障（221）住房改革（02）住房公积金（01）:支出决算为37.51万元，完成预算100%。</w:t>
      </w:r>
      <w:bookmarkStart w:id="36" w:name="_Toc15396608"/>
      <w:bookmarkStart w:id="37" w:name="_Toc15377214"/>
    </w:p>
    <w:p>
      <w:pPr>
        <w:tabs>
          <w:tab w:val="right" w:pos="8306"/>
        </w:tabs>
        <w:spacing w:line="600" w:lineRule="exact"/>
        <w:ind w:firstLine="640"/>
        <w:outlineLvl w:val="1"/>
        <w:rPr>
          <w:rStyle w:val="29"/>
          <w:rFonts w:ascii="Times New Roman" w:hAnsi="Times New Roman"/>
          <w:color w:val="auto"/>
          <w:highlight w:val="none"/>
        </w:rPr>
      </w:pPr>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6"/>
      <w:bookmarkEnd w:id="37"/>
      <w:r>
        <w:rPr>
          <w:rStyle w:val="29"/>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574.38</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523.41</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w:t>
      </w:r>
      <w:r>
        <w:rPr>
          <w:rFonts w:hint="eastAsia" w:eastAsia="仿宋_GB2312" w:cs="仿宋_GB2312"/>
          <w:color w:val="auto"/>
          <w:kern w:val="2"/>
          <w:sz w:val="32"/>
          <w:szCs w:val="32"/>
          <w:highlight w:val="none"/>
          <w:lang w:val="en-US" w:eastAsia="zh-CN" w:bidi="ar-SA"/>
        </w:rPr>
        <w:t>职工基本医疗保险</w:t>
      </w:r>
      <w:r>
        <w:rPr>
          <w:rFonts w:hint="eastAsia" w:ascii="Times New Roman" w:hAnsi="Times New Roman" w:eastAsia="仿宋_GB2312" w:cs="仿宋_GB2312"/>
          <w:color w:val="auto"/>
          <w:kern w:val="2"/>
          <w:sz w:val="32"/>
          <w:szCs w:val="32"/>
          <w:highlight w:val="none"/>
          <w:lang w:val="en-US" w:eastAsia="zh-CN" w:bidi="ar-SA"/>
        </w:rPr>
        <w:t>缴费、</w:t>
      </w:r>
      <w:r>
        <w:rPr>
          <w:rFonts w:hint="eastAsia" w:eastAsia="仿宋_GB2312" w:cs="仿宋_GB2312"/>
          <w:color w:val="auto"/>
          <w:kern w:val="2"/>
          <w:sz w:val="32"/>
          <w:szCs w:val="32"/>
          <w:highlight w:val="none"/>
          <w:lang w:val="en-US" w:eastAsia="zh-CN" w:bidi="ar-SA"/>
        </w:rPr>
        <w:t>公务员医疗补助缴费、</w:t>
      </w:r>
      <w:r>
        <w:rPr>
          <w:rFonts w:hint="eastAsia" w:ascii="Times New Roman" w:hAnsi="Times New Roman" w:eastAsia="仿宋_GB2312" w:cs="仿宋_GB2312"/>
          <w:color w:val="auto"/>
          <w:kern w:val="2"/>
          <w:sz w:val="32"/>
          <w:szCs w:val="32"/>
          <w:highlight w:val="none"/>
          <w:lang w:val="en-US" w:eastAsia="zh-CN" w:bidi="ar-SA"/>
        </w:rPr>
        <w:t>其他</w:t>
      </w:r>
      <w:r>
        <w:rPr>
          <w:rFonts w:hint="eastAsia" w:eastAsia="仿宋_GB2312" w:cs="仿宋_GB2312"/>
          <w:color w:val="auto"/>
          <w:kern w:val="2"/>
          <w:sz w:val="32"/>
          <w:szCs w:val="32"/>
          <w:highlight w:val="none"/>
          <w:lang w:val="en-US" w:eastAsia="zh-CN" w:bidi="ar-SA"/>
        </w:rPr>
        <w:t>社会保障缴费</w:t>
      </w:r>
      <w:r>
        <w:rPr>
          <w:rFonts w:hint="eastAsia" w:ascii="Times New Roman" w:hAnsi="Times New Roman" w:eastAsia="仿宋_GB2312" w:cs="仿宋_GB2312"/>
          <w:color w:val="auto"/>
          <w:kern w:val="2"/>
          <w:sz w:val="32"/>
          <w:szCs w:val="32"/>
          <w:highlight w:val="none"/>
          <w:lang w:val="en-US" w:eastAsia="zh-CN" w:bidi="ar-SA"/>
        </w:rPr>
        <w:t>、住房公积金、其他</w:t>
      </w:r>
      <w:r>
        <w:rPr>
          <w:rFonts w:hint="eastAsia" w:eastAsia="仿宋_GB2312" w:cs="仿宋_GB2312"/>
          <w:color w:val="auto"/>
          <w:kern w:val="2"/>
          <w:sz w:val="32"/>
          <w:szCs w:val="32"/>
          <w:highlight w:val="none"/>
          <w:lang w:val="en-US" w:eastAsia="zh-CN" w:bidi="ar-SA"/>
        </w:rPr>
        <w:t>工资福利</w:t>
      </w:r>
      <w:r>
        <w:rPr>
          <w:rFonts w:hint="eastAsia" w:ascii="Times New Roman" w:hAnsi="Times New Roman" w:eastAsia="仿宋_GB2312" w:cs="仿宋_GB2312"/>
          <w:color w:val="auto"/>
          <w:kern w:val="2"/>
          <w:sz w:val="32"/>
          <w:szCs w:val="32"/>
          <w:highlight w:val="none"/>
          <w:lang w:val="en-US" w:eastAsia="zh-CN" w:bidi="ar-SA"/>
        </w:rPr>
        <w:t>支出</w:t>
      </w:r>
      <w:r>
        <w:rPr>
          <w:rFonts w:hint="eastAsia" w:eastAsia="仿宋_GB2312" w:cs="仿宋_GB2312"/>
          <w:color w:val="auto"/>
          <w:kern w:val="2"/>
          <w:sz w:val="32"/>
          <w:szCs w:val="32"/>
          <w:highlight w:val="none"/>
          <w:lang w:val="en-US" w:eastAsia="zh-CN" w:bidi="ar-SA"/>
        </w:rPr>
        <w:t>、生活补助、其他对个人和家庭的补助</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50.97</w:t>
      </w:r>
      <w:r>
        <w:rPr>
          <w:rFonts w:hint="eastAsia" w:ascii="Times New Roman" w:hAnsi="Times New Roman" w:eastAsia="仿宋_GB2312" w:cs="仿宋_GB2312"/>
          <w:color w:val="auto"/>
          <w:kern w:val="2"/>
          <w:sz w:val="32"/>
          <w:szCs w:val="32"/>
          <w:highlight w:val="none"/>
          <w:lang w:val="en-US" w:eastAsia="zh-CN" w:bidi="ar-SA"/>
        </w:rPr>
        <w:t>万元，主要包括：办公费、水费、电费、邮电费、差旅费、会议费、培训费、公务接待费、工会经费、福利费、公务用车运行维护费、其他交通费、其他商品和服务支出。</w:t>
      </w:r>
    </w:p>
    <w:p>
      <w:pPr>
        <w:spacing w:line="600" w:lineRule="exact"/>
        <w:ind w:firstLine="640"/>
        <w:outlineLvl w:val="1"/>
        <w:rPr>
          <w:rStyle w:val="29"/>
          <w:rFonts w:ascii="Times New Roman" w:hAnsi="Times New Roman" w:eastAsia="黑体"/>
          <w:b w:val="0"/>
          <w:color w:val="auto"/>
          <w:highlight w:val="none"/>
        </w:rPr>
      </w:pPr>
      <w:bookmarkStart w:id="38" w:name="_Toc15377215"/>
      <w:bookmarkStart w:id="39" w:name="_Toc15396609"/>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8"/>
      <w:bookmarkEnd w:id="39"/>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0"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0"/>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12.88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1.66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14.8</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1"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12.46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96.74</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0.42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3.26</w:t>
      </w:r>
      <w:r>
        <w:rPr>
          <w:rFonts w:hint="eastAsia" w:ascii="Times New Roman" w:hAnsi="Times New Roman" w:eastAsia="仿宋_GB2312" w:cs="仿宋_GB2312"/>
          <w:color w:val="auto"/>
          <w:kern w:val="2"/>
          <w:sz w:val="32"/>
          <w:szCs w:val="32"/>
          <w:highlight w:val="none"/>
          <w:lang w:val="en-US" w:eastAsia="zh-CN" w:bidi="ar-SA"/>
        </w:rPr>
        <w:t>%。具体情况如下：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6432" behindDoc="0" locked="0" layoutInCell="1" allowOverlap="1">
            <wp:simplePos x="0" y="0"/>
            <wp:positionH relativeFrom="column">
              <wp:posOffset>410845</wp:posOffset>
            </wp:positionH>
            <wp:positionV relativeFrom="paragraph">
              <wp:posOffset>-2453005</wp:posOffset>
            </wp:positionV>
            <wp:extent cx="4572000" cy="2743200"/>
            <wp:effectExtent l="4445" t="4445" r="14605" b="14605"/>
            <wp:wrapSquare wrapText="bothSides"/>
            <wp:docPr id="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w:t>
      </w: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12.46</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2024年度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1.66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14.8</w:t>
      </w:r>
      <w:r>
        <w:rPr>
          <w:rFonts w:hint="eastAsia" w:ascii="Times New Roman" w:hAnsi="Times New Roman" w:eastAsia="仿宋_GB2312" w:cs="仿宋_GB2312"/>
          <w:color w:val="auto"/>
          <w:kern w:val="2"/>
          <w:sz w:val="32"/>
          <w:szCs w:val="32"/>
          <w:highlight w:val="none"/>
          <w:lang w:val="en-US" w:eastAsia="zh-CN" w:bidi="ar-SA"/>
        </w:rPr>
        <w:t>%。主要原因</w:t>
      </w:r>
      <w:r>
        <w:rPr>
          <w:rFonts w:hint="eastAsia" w:eastAsia="仿宋_GB2312" w:cs="仿宋_GB2312"/>
          <w:color w:val="auto"/>
          <w:kern w:val="2"/>
          <w:sz w:val="32"/>
          <w:szCs w:val="32"/>
          <w:highlight w:val="none"/>
          <w:lang w:val="en-US" w:eastAsia="zh-CN" w:bidi="ar-SA"/>
        </w:rPr>
        <w:t>是公务出差及活动增加。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辆，其中：越野车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12.46</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公务出差</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0.42</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0.01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2.32</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严控接待标准，减少非必要公务接待</w:t>
      </w:r>
      <w:r>
        <w:rPr>
          <w:rFonts w:hint="eastAsia" w:ascii="Times New Roman" w:hAnsi="Times New Roman" w:eastAsia="仿宋_GB2312" w:cs="仿宋_GB2312"/>
          <w:color w:val="auto"/>
          <w:kern w:val="2"/>
          <w:sz w:val="32"/>
          <w:szCs w:val="32"/>
          <w:highlight w:val="none"/>
          <w:lang w:val="en-US" w:eastAsia="zh-CN" w:bidi="ar-SA"/>
        </w:rPr>
        <w:t>。其中：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0.42</w:t>
      </w:r>
      <w:r>
        <w:rPr>
          <w:rFonts w:hint="eastAsia" w:ascii="Times New Roman" w:hAnsi="Times New Roman" w:eastAsia="仿宋_GB2312" w:cs="仿宋_GB2312"/>
          <w:color w:val="auto"/>
          <w:kern w:val="2"/>
          <w:sz w:val="32"/>
          <w:szCs w:val="32"/>
          <w:highlight w:val="none"/>
          <w:lang w:val="en-US" w:eastAsia="zh-CN" w:bidi="ar-SA"/>
        </w:rPr>
        <w:t>万元，主要用于执行公务、开展业务活动开支的交通费、住宿费、用餐费等。国内公务接待</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33</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0.42</w:t>
      </w:r>
      <w:r>
        <w:rPr>
          <w:rFonts w:hint="eastAsia" w:ascii="Times New Roman" w:hAnsi="Times New Roman" w:eastAsia="仿宋_GB2312" w:cs="仿宋_GB2312"/>
          <w:color w:val="auto"/>
          <w:kern w:val="2"/>
          <w:sz w:val="32"/>
          <w:szCs w:val="32"/>
          <w:highlight w:val="none"/>
          <w:lang w:val="en-US" w:eastAsia="zh-CN" w:bidi="ar-SA"/>
        </w:rPr>
        <w:t>万元，具体内容包括：</w:t>
      </w:r>
      <w:r>
        <w:rPr>
          <w:rFonts w:hint="eastAsia" w:ascii="仿宋_GB2312" w:eastAsia="仿宋_GB2312"/>
          <w:color w:val="auto"/>
          <w:sz w:val="32"/>
          <w:szCs w:val="32"/>
          <w:highlight w:val="none"/>
          <w:shd w:val="clear" w:color="auto" w:fill="auto"/>
        </w:rPr>
        <w:t>执行公务、开展业务活动开支的用餐费</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42" w:name="_Toc15396610"/>
      <w:bookmarkStart w:id="43" w:name="_Toc15377218"/>
    </w:p>
    <w:p>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2"/>
      <w:bookmarkEnd w:id="4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44" w:name="_Toc15377219"/>
      <w:bookmarkStart w:id="45"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4"/>
      <w:bookmarkEnd w:id="4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6" w:name="_Toc15377221"/>
      <w:bookmarkStart w:id="47"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6"/>
      <w:bookmarkEnd w:id="47"/>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8" w:name="_Toc15377222"/>
      <w:r>
        <w:rPr>
          <w:rFonts w:hint="eastAsia" w:ascii="Times New Roman" w:hAnsi="Times New Roman" w:eastAsia="楷体_GB2312" w:cs="楷体_GB2312"/>
          <w:b/>
          <w:color w:val="auto"/>
          <w:sz w:val="32"/>
          <w:szCs w:val="32"/>
          <w:highlight w:val="none"/>
        </w:rPr>
        <w:t>（一）机关运行经费支出情况</w:t>
      </w:r>
      <w:bookmarkEnd w:id="48"/>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b/>
          <w:bCs/>
          <w:color w:val="auto"/>
          <w:sz w:val="32"/>
          <w:szCs w:val="32"/>
          <w:highlight w:val="none"/>
        </w:rPr>
        <w:t>四川省阿坝州文联</w:t>
      </w:r>
      <w:r>
        <w:rPr>
          <w:rFonts w:hint="eastAsia" w:ascii="仿宋_GB2312" w:eastAsia="仿宋_GB2312"/>
          <w:b/>
          <w:bCs/>
          <w:color w:val="auto"/>
          <w:sz w:val="32"/>
          <w:szCs w:val="32"/>
          <w:highlight w:val="none"/>
          <w:lang w:val="en-US" w:eastAsia="zh-CN"/>
        </w:rPr>
        <w:t>部门</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50.97</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5.35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11.73</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sz w:val="32"/>
          <w:szCs w:val="32"/>
          <w:highlight w:val="none"/>
          <w:lang w:val="en-US" w:eastAsia="zh-CN"/>
        </w:rPr>
        <w:t>2025年人员经费增加。</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9" w:name="_Toc15377223"/>
      <w:r>
        <w:rPr>
          <w:rFonts w:hint="eastAsia" w:ascii="Times New Roman" w:hAnsi="Times New Roman" w:eastAsia="楷体_GB2312" w:cs="楷体_GB2312"/>
          <w:b/>
          <w:color w:val="auto"/>
          <w:sz w:val="32"/>
          <w:szCs w:val="32"/>
          <w:highlight w:val="none"/>
        </w:rPr>
        <w:t>（二）政府采购支出情况</w:t>
      </w:r>
      <w:bookmarkEnd w:id="4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b/>
          <w:bCs/>
          <w:color w:val="auto"/>
          <w:sz w:val="32"/>
          <w:szCs w:val="32"/>
          <w:highlight w:val="none"/>
        </w:rPr>
        <w:t>四川省阿坝州文联</w:t>
      </w:r>
      <w:r>
        <w:rPr>
          <w:rFonts w:hint="eastAsia" w:ascii="仿宋_GB2312" w:eastAsia="仿宋_GB2312"/>
          <w:b/>
          <w:bCs/>
          <w:color w:val="auto"/>
          <w:sz w:val="32"/>
          <w:szCs w:val="32"/>
          <w:highlight w:val="none"/>
          <w:lang w:val="en-US" w:eastAsia="zh-CN"/>
        </w:rPr>
        <w:t>部门</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0" w:name="_Toc15377224"/>
      <w:r>
        <w:rPr>
          <w:rFonts w:hint="eastAsia" w:ascii="Times New Roman" w:hAnsi="Times New Roman" w:eastAsia="楷体_GB2312" w:cs="楷体_GB2312"/>
          <w:b/>
          <w:color w:val="auto"/>
          <w:sz w:val="32"/>
          <w:szCs w:val="32"/>
          <w:highlight w:val="none"/>
        </w:rPr>
        <w:t>（三）国有资产占有使用情况</w:t>
      </w:r>
      <w:bookmarkEnd w:id="5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eastAsia="仿宋_GB2312"/>
          <w:b/>
          <w:bCs/>
          <w:color w:val="auto"/>
          <w:sz w:val="32"/>
          <w:szCs w:val="32"/>
          <w:highlight w:val="none"/>
        </w:rPr>
        <w:t>四川省阿坝州文联</w:t>
      </w:r>
      <w:r>
        <w:rPr>
          <w:rFonts w:hint="eastAsia" w:ascii="仿宋_GB2312" w:eastAsia="仿宋_GB2312"/>
          <w:b/>
          <w:bCs/>
          <w:color w:val="auto"/>
          <w:sz w:val="32"/>
          <w:szCs w:val="32"/>
          <w:highlight w:val="none"/>
          <w:lang w:val="en-US" w:eastAsia="zh-CN"/>
        </w:rPr>
        <w:t>部门</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辆，其中：应急保障用车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ascii="仿宋_GB2312" w:eastAsia="仿宋_GB2312"/>
          <w:b/>
          <w:bCs/>
          <w:color w:val="auto"/>
          <w:sz w:val="32"/>
          <w:szCs w:val="32"/>
          <w:highlight w:val="none"/>
        </w:rPr>
        <w:t>四川省阿坝州文联</w:t>
      </w:r>
      <w:r>
        <w:rPr>
          <w:rFonts w:hint="eastAsia" w:ascii="仿宋_GB2312" w:eastAsia="仿宋_GB2312"/>
          <w:b/>
          <w:bCs/>
          <w:color w:val="auto"/>
          <w:sz w:val="32"/>
          <w:szCs w:val="32"/>
          <w:highlight w:val="none"/>
          <w:lang w:val="en-US" w:eastAsia="zh-CN"/>
        </w:rPr>
        <w:t>部门</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协会经费</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个项目开展了事前绩效评估，对</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1" w:name="_Toc15396613"/>
      <w:bookmarkStart w:id="52"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1"/>
      <w:bookmarkEnd w:id="52"/>
    </w:p>
    <w:p>
      <w:pPr>
        <w:spacing w:line="600" w:lineRule="exact"/>
        <w:jc w:val="left"/>
        <w:rPr>
          <w:rFonts w:ascii="Times New Roman" w:hAnsi="Times New Roman"/>
          <w:b/>
          <w:color w:val="auto"/>
          <w:sz w:val="44"/>
          <w:szCs w:val="44"/>
          <w:highlight w:val="none"/>
        </w:rPr>
      </w:pPr>
    </w:p>
    <w:p>
      <w:pPr>
        <w:ind w:firstLine="640" w:firstLineChars="200"/>
        <w:rPr>
          <w:rFonts w:hint="eastAsia" w:ascii="仿宋_GB2312" w:hAnsi="Calibri" w:eastAsia="仿宋_GB2312" w:cs="仿宋"/>
          <w:color w:val="auto"/>
          <w:kern w:val="0"/>
          <w:sz w:val="32"/>
          <w:szCs w:val="32"/>
          <w:highlight w:val="none"/>
          <w:lang w:val="en-US" w:eastAsia="zh-CN" w:bidi="ar-SA"/>
        </w:rPr>
      </w:pPr>
      <w:bookmarkStart w:id="53" w:name="_Toc15377226"/>
      <w:r>
        <w:rPr>
          <w:rFonts w:hint="eastAsia" w:ascii="仿宋_GB2312" w:hAnsi="Calibri" w:eastAsia="仿宋_GB2312" w:cs="仿宋"/>
          <w:color w:val="auto"/>
          <w:kern w:val="0"/>
          <w:sz w:val="32"/>
          <w:szCs w:val="32"/>
          <w:highlight w:val="none"/>
          <w:lang w:val="en-US" w:eastAsia="zh-CN" w:bidi="ar-SA"/>
        </w:rPr>
        <w:t>1.财政拨款收入：指单位从同级财政部门取得的财政预算资金。</w:t>
      </w:r>
    </w:p>
    <w:p>
      <w:pPr>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2.事业收入：指事业单位开展专业业务活动及辅助活动取得的收入。</w:t>
      </w:r>
    </w:p>
    <w:p>
      <w:pPr>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3.经营收入：指事业单位在专业业务活动及其辅助活动之外开展非独立核算经营活动取得的收入。</w:t>
      </w:r>
    </w:p>
    <w:p>
      <w:pPr>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 xml:space="preserve">4.其他收入：指单位取得的除上述收入以外的各项收入。 </w:t>
      </w:r>
    </w:p>
    <w:p>
      <w:pPr>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 xml:space="preserve">5.使用非财政拨款结余（含专用结余）：指事业单位使用以前年度积累的非财政拨款结余弥补当年收支差额的金额。 </w:t>
      </w:r>
    </w:p>
    <w:p>
      <w:pPr>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 xml:space="preserve">6.年初结转和结余：指以前年度尚未完成、结转到本年按有关规定继续使用的资金。 </w:t>
      </w:r>
    </w:p>
    <w:p>
      <w:pPr>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7.结余分配：指事业单位按照会计制度规定缴纳的所得税、提取的专用结余以及转入非财政拨款结余的金额等。</w:t>
      </w:r>
    </w:p>
    <w:p>
      <w:pPr>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8.年末结转和结余：指单位按有关规定结转到下年或以后年度继续使用的资金。</w:t>
      </w:r>
    </w:p>
    <w:p>
      <w:pPr>
        <w:ind w:firstLine="640" w:firstLineChars="200"/>
        <w:rPr>
          <w:rFonts w:hint="eastAsia" w:ascii="仿宋_GB2312"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 xml:space="preserve">9.文化旅游体育与传媒（207）文化和旅游（01）行政运行（01）: </w:t>
      </w:r>
      <w:r>
        <w:rPr>
          <w:rFonts w:hint="eastAsia" w:ascii="仿宋_GB2312" w:eastAsia="仿宋_GB2312" w:cs="仿宋"/>
          <w:color w:val="auto"/>
          <w:kern w:val="0"/>
          <w:sz w:val="32"/>
          <w:szCs w:val="32"/>
          <w:highlight w:val="none"/>
          <w:lang w:val="en-US" w:eastAsia="zh-CN" w:bidi="ar-SA"/>
        </w:rPr>
        <w:t>反映行政单位（包括实行公务员管理的事业单位）的基本支出。</w:t>
      </w:r>
    </w:p>
    <w:p>
      <w:pPr>
        <w:ind w:firstLine="640" w:firstLineChars="200"/>
        <w:rPr>
          <w:rFonts w:hint="default" w:ascii="仿宋_GB2312"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1</w:t>
      </w:r>
      <w:r>
        <w:rPr>
          <w:rFonts w:hint="eastAsia" w:ascii="仿宋_GB2312" w:eastAsia="仿宋_GB2312" w:cs="仿宋"/>
          <w:color w:val="auto"/>
          <w:kern w:val="0"/>
          <w:sz w:val="32"/>
          <w:szCs w:val="32"/>
          <w:highlight w:val="none"/>
          <w:lang w:val="en-US" w:eastAsia="zh-CN" w:bidi="ar-SA"/>
        </w:rPr>
        <w:t>0</w:t>
      </w:r>
      <w:r>
        <w:rPr>
          <w:rFonts w:hint="eastAsia" w:ascii="仿宋_GB2312" w:hAnsi="Calibri" w:eastAsia="仿宋_GB2312" w:cs="仿宋"/>
          <w:color w:val="auto"/>
          <w:kern w:val="0"/>
          <w:sz w:val="32"/>
          <w:szCs w:val="32"/>
          <w:highlight w:val="none"/>
          <w:lang w:val="en-US" w:eastAsia="zh-CN" w:bidi="ar-SA"/>
        </w:rPr>
        <w:t xml:space="preserve">.文化旅游体育与传媒（207）文化和旅游（01）一般行政管理事务（02）: </w:t>
      </w:r>
      <w:r>
        <w:rPr>
          <w:rFonts w:hint="eastAsia" w:ascii="仿宋_GB2312" w:eastAsia="仿宋_GB2312" w:cs="仿宋"/>
          <w:color w:val="auto"/>
          <w:kern w:val="0"/>
          <w:sz w:val="32"/>
          <w:szCs w:val="32"/>
          <w:highlight w:val="none"/>
          <w:lang w:val="en-US" w:eastAsia="zh-CN" w:bidi="ar-SA"/>
        </w:rPr>
        <w:t>反映行政单位（包括实行公务员管理的事业单位）未单独设置项级科目的其他项目支出。</w:t>
      </w:r>
    </w:p>
    <w:p>
      <w:pPr>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11.文化旅游体育与传媒（207）文化和旅游（01）文化活动（08）: 反映举办大型文化艺术活动的支出。</w:t>
      </w:r>
    </w:p>
    <w:p>
      <w:pPr>
        <w:ind w:firstLine="640" w:firstLineChars="200"/>
        <w:rPr>
          <w:rFonts w:hint="eastAsia" w:ascii="仿宋_GB2312"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 xml:space="preserve">12.文化旅游体育与传媒（207）文化和旅游（01）其他文化和旅游支出（99）: </w:t>
      </w:r>
      <w:r>
        <w:rPr>
          <w:rFonts w:hint="eastAsia" w:ascii="仿宋_GB2312" w:eastAsia="仿宋_GB2312" w:cs="仿宋"/>
          <w:color w:val="auto"/>
          <w:kern w:val="0"/>
          <w:sz w:val="32"/>
          <w:szCs w:val="32"/>
          <w:highlight w:val="none"/>
          <w:lang w:val="en-US" w:eastAsia="zh-CN" w:bidi="ar-SA"/>
        </w:rPr>
        <w:t>反映除上述项目以外其它用于文化和旅游方面的支出。</w:t>
      </w:r>
    </w:p>
    <w:p>
      <w:pPr>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eastAsia="仿宋_GB2312" w:cs="仿宋"/>
          <w:color w:val="auto"/>
          <w:kern w:val="0"/>
          <w:sz w:val="32"/>
          <w:szCs w:val="32"/>
          <w:highlight w:val="none"/>
          <w:lang w:val="en-US" w:eastAsia="zh-CN" w:bidi="ar-SA"/>
        </w:rPr>
        <w:t>13.</w:t>
      </w:r>
      <w:r>
        <w:rPr>
          <w:rFonts w:hint="eastAsia" w:ascii="仿宋_GB2312" w:hAnsi="Calibri" w:eastAsia="仿宋_GB2312" w:cs="仿宋"/>
          <w:color w:val="auto"/>
          <w:kern w:val="0"/>
          <w:sz w:val="32"/>
          <w:szCs w:val="32"/>
          <w:highlight w:val="none"/>
          <w:lang w:val="en-US" w:eastAsia="zh-CN" w:bidi="ar-SA"/>
        </w:rPr>
        <w:t>社会保障和就业（208）行政事业单位养老（05）机关事业单位基本养老保险缴费（05）：反映机关事业单位实施养老保险制度由单位缴纳的基本养老保险费支出。</w:t>
      </w:r>
    </w:p>
    <w:p>
      <w:pPr>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14.社会保障和就业（208）行政事业单位养老（05）机关事业单位职业年金缴费（06）：反映机关事业单位实施养老保险制度由单位实际缴纳的职业年金支出</w:t>
      </w:r>
      <w:r>
        <w:rPr>
          <w:rFonts w:hint="eastAsia" w:ascii="仿宋_GB2312" w:eastAsia="仿宋_GB2312" w:cs="仿宋"/>
          <w:color w:val="auto"/>
          <w:kern w:val="0"/>
          <w:sz w:val="32"/>
          <w:szCs w:val="32"/>
          <w:highlight w:val="none"/>
          <w:lang w:val="en-US" w:eastAsia="zh-CN" w:bidi="ar-SA"/>
        </w:rPr>
        <w:t>（含职业年金补给支出）</w:t>
      </w:r>
      <w:r>
        <w:rPr>
          <w:rFonts w:hint="eastAsia" w:ascii="仿宋_GB2312" w:hAnsi="Calibri" w:eastAsia="仿宋_GB2312" w:cs="仿宋"/>
          <w:color w:val="auto"/>
          <w:kern w:val="0"/>
          <w:sz w:val="32"/>
          <w:szCs w:val="32"/>
          <w:highlight w:val="none"/>
          <w:lang w:val="en-US" w:eastAsia="zh-CN" w:bidi="ar-SA"/>
        </w:rPr>
        <w:t>。</w:t>
      </w:r>
    </w:p>
    <w:p>
      <w:pPr>
        <w:spacing w:line="600" w:lineRule="exact"/>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eastAsia="仿宋_GB2312" w:cs="仿宋"/>
          <w:color w:val="auto"/>
          <w:kern w:val="0"/>
          <w:sz w:val="32"/>
          <w:szCs w:val="32"/>
          <w:highlight w:val="none"/>
          <w:lang w:val="en-US" w:eastAsia="zh-CN" w:bidi="ar-SA"/>
        </w:rPr>
        <w:t>15</w:t>
      </w:r>
      <w:r>
        <w:rPr>
          <w:rFonts w:hint="eastAsia" w:ascii="仿宋_GB2312" w:hAnsi="Calibri" w:eastAsia="仿宋_GB2312" w:cs="仿宋"/>
          <w:color w:val="auto"/>
          <w:kern w:val="0"/>
          <w:sz w:val="32"/>
          <w:szCs w:val="32"/>
          <w:highlight w:val="none"/>
          <w:lang w:val="en-US" w:eastAsia="zh-CN" w:bidi="ar-SA"/>
        </w:rPr>
        <w:t>.卫生健康（210）行政事业单位医疗（11）行政单位医疗（01）：反映财政部门安排的行政单位（包括实行公务员管理的事业单位）基本医疗保险缴费经费，未参加医疗保险的行政单位的公费医疗经费，按国家规定享受离休、红军老战士待遇人员的医疗经费。</w:t>
      </w:r>
    </w:p>
    <w:p>
      <w:pPr>
        <w:spacing w:line="600" w:lineRule="exact"/>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16.卫生健康（210）行政事业单位医疗（11）公务员医疗补助（03）：反映财政部门安排的公务员医疗补助经费。</w:t>
      </w:r>
    </w:p>
    <w:p>
      <w:pPr>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17.住房保障（221）住房改革（02）住房公积金（01）：反映行政事业单位按人力资源和社会保障部、财政部规定的基本工资和津贴补贴以及规定比例为职工缴纳的住房公积金。</w:t>
      </w:r>
    </w:p>
    <w:p>
      <w:pPr>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18.基本支出：指为保障机构正常运转、完成日常工作任务而发生的人员支出和公用支出。</w:t>
      </w:r>
    </w:p>
    <w:p>
      <w:pPr>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 xml:space="preserve">19.项目支出：指在基本支出之外为完成特定行政任务和事业发展目标所发生的支出。 </w:t>
      </w:r>
    </w:p>
    <w:p>
      <w:pPr>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20.经营支出：指事业单位在专业业务活动及其辅助活动之外开展非独立核算经营活动发生的支出。</w:t>
      </w:r>
    </w:p>
    <w:p>
      <w:p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21.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22.机关运行</w:t>
      </w:r>
      <w:r>
        <w:rPr>
          <w:rFonts w:hint="eastAsia" w:ascii="Times New Roman" w:hAnsi="Times New Roman" w:eastAsia="仿宋_GB2312" w:cs="仿宋_GB2312"/>
          <w:color w:val="auto"/>
          <w:kern w:val="2"/>
          <w:sz w:val="32"/>
          <w:szCs w:val="32"/>
          <w:highlight w:val="none"/>
          <w:lang w:val="en-US" w:eastAsia="zh-CN" w:bidi="ar-SA"/>
        </w:rPr>
        <w:t>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Style w:val="28"/>
          <w:rFonts w:hint="eastAsia" w:ascii="Times New Roman" w:hAnsi="Times New Roman" w:eastAsia="黑体"/>
          <w:b w:val="0"/>
          <w:color w:val="auto"/>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br w:type="page"/>
      </w:r>
      <w:bookmarkStart w:id="54"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4"/>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widowControl/>
        <w:spacing w:line="578" w:lineRule="exact"/>
        <w:contextualSpacing/>
        <w:jc w:val="center"/>
        <w:rPr>
          <w:rFonts w:eastAsia="方正小标宋简体"/>
          <w:bCs/>
          <w:sz w:val="44"/>
          <w:szCs w:val="44"/>
          <w:shd w:val="clear" w:color="auto" w:fill="FFFFFF"/>
          <w:lang w:eastAsia="zh-CN"/>
        </w:rPr>
      </w:pPr>
      <w:r>
        <w:rPr>
          <w:rFonts w:eastAsia="方正小标宋简体"/>
          <w:bCs/>
          <w:sz w:val="44"/>
          <w:szCs w:val="44"/>
          <w:shd w:val="clear" w:color="auto" w:fill="FFFFFF"/>
          <w:lang w:eastAsia="zh-CN"/>
        </w:rPr>
        <w:t>阿坝藏族羌族自治州文学艺术界联合会</w:t>
      </w:r>
    </w:p>
    <w:p>
      <w:pPr>
        <w:widowControl/>
        <w:spacing w:line="578" w:lineRule="exact"/>
        <w:contextualSpacing/>
        <w:jc w:val="center"/>
        <w:rPr>
          <w:rFonts w:eastAsia="方正小标宋简体"/>
          <w:bCs/>
          <w:sz w:val="44"/>
          <w:szCs w:val="44"/>
          <w:shd w:val="clear" w:color="auto" w:fill="FFFFFF"/>
        </w:rPr>
      </w:pPr>
      <w:r>
        <w:rPr>
          <w:rFonts w:eastAsia="方正小标宋简体"/>
          <w:bCs/>
          <w:sz w:val="44"/>
          <w:szCs w:val="44"/>
          <w:shd w:val="clear" w:color="auto" w:fill="FFFFFF"/>
        </w:rPr>
        <w:t>预算绩效自评报告</w:t>
      </w:r>
    </w:p>
    <w:p>
      <w:pPr>
        <w:widowControl/>
        <w:adjustRightInd w:val="0"/>
        <w:snapToGrid w:val="0"/>
        <w:spacing w:line="578" w:lineRule="exact"/>
        <w:ind w:firstLine="480" w:firstLineChars="200"/>
        <w:contextualSpacing/>
        <w:jc w:val="left"/>
        <w:rPr>
          <w:rFonts w:hint="eastAsia" w:ascii="黑体" w:eastAsia="黑体"/>
          <w:color w:val="000000"/>
          <w:kern w:val="0"/>
          <w:sz w:val="24"/>
          <w:szCs w:val="32"/>
          <w:shd w:val="clear" w:color="auto" w:fill="FFFFFF"/>
        </w:rPr>
      </w:pPr>
    </w:p>
    <w:p>
      <w:pPr>
        <w:ind w:firstLine="640" w:firstLineChars="200"/>
        <w:rPr>
          <w:rFonts w:hint="eastAsia" w:ascii="仿宋_GB2312" w:hAnsi="Calibri" w:eastAsia="仿宋_GB2312" w:cs="仿宋"/>
          <w:color w:val="auto"/>
          <w:kern w:val="0"/>
          <w:sz w:val="32"/>
          <w:szCs w:val="32"/>
          <w:highlight w:val="none"/>
          <w:lang w:val="zh-CN" w:eastAsia="zh-CN" w:bidi="ar-SA"/>
        </w:rPr>
      </w:pPr>
      <w:r>
        <w:rPr>
          <w:rFonts w:hint="eastAsia" w:ascii="方正黑体_GBK" w:hAnsi="Times New Roman" w:eastAsia="方正黑体_GBK" w:cs="Times New Roman"/>
          <w:color w:val="000000"/>
          <w:kern w:val="0"/>
          <w:sz w:val="32"/>
          <w:szCs w:val="32"/>
          <w:shd w:val="clear" w:color="auto" w:fill="FFFFFF"/>
          <w:lang w:val="zh-CN" w:eastAsia="zh-CN"/>
        </w:rPr>
        <w:t>一、部门（单位）基本情况</w:t>
      </w:r>
    </w:p>
    <w:p>
      <w:pPr>
        <w:ind w:firstLine="642" w:firstLineChars="200"/>
        <w:rPr>
          <w:rFonts w:hint="eastAsia" w:ascii="仿宋_GB2312" w:hAnsi="Calibri" w:eastAsia="仿宋_GB2312" w:cs="仿宋"/>
          <w:color w:val="auto"/>
          <w:kern w:val="0"/>
          <w:sz w:val="32"/>
          <w:szCs w:val="32"/>
          <w:highlight w:val="none"/>
          <w:lang w:val="zh-CN" w:eastAsia="zh-CN" w:bidi="ar-SA"/>
        </w:rPr>
      </w:pPr>
      <w:r>
        <w:rPr>
          <w:rFonts w:hint="eastAsia" w:ascii="方正楷体_GBK" w:hAnsi="Times New Roman" w:eastAsia="方正楷体_GBK" w:cs="Times New Roman"/>
          <w:b/>
          <w:bCs/>
          <w:color w:val="000000"/>
          <w:kern w:val="0"/>
          <w:sz w:val="32"/>
          <w:szCs w:val="32"/>
          <w:shd w:val="clear" w:color="auto" w:fill="FFFFFF"/>
          <w:lang w:val="zh-CN" w:eastAsia="zh-CN"/>
        </w:rPr>
        <w:t>（一）机构组成</w:t>
      </w:r>
      <w:r>
        <w:rPr>
          <w:rFonts w:hint="eastAsia" w:ascii="仿宋_GB2312" w:hAnsi="Calibri" w:eastAsia="仿宋_GB2312" w:cs="仿宋"/>
          <w:color w:val="auto"/>
          <w:kern w:val="0"/>
          <w:sz w:val="32"/>
          <w:szCs w:val="32"/>
          <w:highlight w:val="none"/>
          <w:lang w:val="zh-CN" w:eastAsia="zh-CN" w:bidi="ar-SA"/>
        </w:rPr>
        <w:t>。州文联部门下设 2 个科室及 1 个下属单位情况。</w:t>
      </w:r>
    </w:p>
    <w:p>
      <w:pPr>
        <w:ind w:firstLine="642" w:firstLineChars="200"/>
        <w:rPr>
          <w:rFonts w:hint="eastAsia" w:ascii="仿宋_GB2312" w:hAnsi="Calibri" w:eastAsia="仿宋_GB2312" w:cs="仿宋"/>
          <w:color w:val="auto"/>
          <w:kern w:val="0"/>
          <w:sz w:val="32"/>
          <w:szCs w:val="32"/>
          <w:highlight w:val="none"/>
          <w:lang w:val="zh-CN" w:eastAsia="zh-CN" w:bidi="ar-SA"/>
        </w:rPr>
      </w:pPr>
      <w:r>
        <w:rPr>
          <w:rFonts w:hint="eastAsia" w:ascii="方正楷体_GBK" w:hAnsi="Times New Roman" w:eastAsia="方正楷体_GBK" w:cs="Times New Roman"/>
          <w:b/>
          <w:bCs/>
          <w:color w:val="000000"/>
          <w:kern w:val="0"/>
          <w:sz w:val="32"/>
          <w:szCs w:val="32"/>
          <w:shd w:val="clear" w:color="auto" w:fill="FFFFFF"/>
          <w:lang w:val="zh-CN" w:eastAsia="zh-CN"/>
        </w:rPr>
        <w:t>（二）机构职能</w:t>
      </w:r>
      <w:r>
        <w:rPr>
          <w:rFonts w:hint="eastAsia" w:ascii="仿宋_GB2312" w:hAnsi="Calibri" w:eastAsia="仿宋_GB2312" w:cs="仿宋"/>
          <w:color w:val="auto"/>
          <w:kern w:val="0"/>
          <w:sz w:val="32"/>
          <w:szCs w:val="32"/>
          <w:highlight w:val="none"/>
          <w:lang w:val="zh-CN" w:eastAsia="zh-CN" w:bidi="ar-SA"/>
        </w:rPr>
        <w:t>。州文联是在州委、州政府领导下的，由全州性文学艺术家协会、各县市文学艺术界联合会和全州性企业（行业）文学艺术工作者联合组成的人民团体，是党和政府联系文学艺术家的桥梁和纽带，主要职责就是组织、协调、联络、服务各团体会员，积极开展各门类艺术作品的采风、创作、评论、学术交流，负责指导、培训县级文联业务骨干及艺术人才、书刊出版、文艺评奖和调研工作，组织召开全州文联系统的学术研讨会议，开展送文艺下乡等各项文艺惠民活动等，活跃丰富全州各族人民的文学艺术生活，弘扬民族文化精神，发展民族文学艺术事业，推动全州文艺发展繁荣。</w:t>
      </w:r>
    </w:p>
    <w:p>
      <w:pPr>
        <w:ind w:firstLine="642" w:firstLineChars="200"/>
        <w:rPr>
          <w:rFonts w:hint="eastAsia" w:ascii="仿宋_GB2312" w:hAnsi="Calibri" w:eastAsia="仿宋_GB2312" w:cs="仿宋"/>
          <w:color w:val="auto"/>
          <w:kern w:val="0"/>
          <w:sz w:val="32"/>
          <w:szCs w:val="32"/>
          <w:highlight w:val="none"/>
          <w:lang w:val="zh-CN" w:eastAsia="zh-CN" w:bidi="ar-SA"/>
        </w:rPr>
      </w:pPr>
      <w:r>
        <w:rPr>
          <w:rFonts w:hint="eastAsia" w:ascii="方正楷体_GBK" w:hAnsi="Times New Roman" w:eastAsia="方正楷体_GBK" w:cs="Times New Roman"/>
          <w:b/>
          <w:bCs/>
          <w:color w:val="000000"/>
          <w:kern w:val="0"/>
          <w:sz w:val="32"/>
          <w:szCs w:val="32"/>
          <w:shd w:val="clear" w:color="auto" w:fill="FFFFFF"/>
          <w:lang w:val="zh-CN" w:eastAsia="zh-CN"/>
        </w:rPr>
        <w:t>（三）人员概况</w:t>
      </w:r>
      <w:r>
        <w:rPr>
          <w:rFonts w:hint="eastAsia" w:ascii="仿宋_GB2312" w:hAnsi="Calibri" w:eastAsia="仿宋_GB2312" w:cs="仿宋"/>
          <w:color w:val="auto"/>
          <w:kern w:val="0"/>
          <w:sz w:val="32"/>
          <w:szCs w:val="32"/>
          <w:highlight w:val="none"/>
          <w:lang w:val="zh-CN" w:eastAsia="zh-CN" w:bidi="ar-SA"/>
        </w:rPr>
        <w:t>。截至2025 年末，州文联及下属单位编制情况及年末实有人数情况：州文联参公编制8 名，年末在岗8 名，退休人员4 名，临聘人员2 名。《草地》编辑部事业编制13 名，年末在岗 11 名，退休人员4 名，临聘人员 1 名。</w:t>
      </w:r>
    </w:p>
    <w:p>
      <w:pPr>
        <w:ind w:firstLine="640" w:firstLineChars="200"/>
        <w:rPr>
          <w:rFonts w:hint="eastAsia" w:ascii="方正黑体_GBK" w:hAnsi="Times New Roman" w:eastAsia="方正黑体_GBK" w:cs="Times New Roman"/>
          <w:color w:val="000000"/>
          <w:kern w:val="0"/>
          <w:sz w:val="32"/>
          <w:szCs w:val="32"/>
          <w:shd w:val="clear" w:color="auto" w:fill="FFFFFF"/>
          <w:lang w:val="zh-CN" w:eastAsia="zh-CN"/>
        </w:rPr>
      </w:pPr>
      <w:r>
        <w:rPr>
          <w:rFonts w:hint="eastAsia" w:ascii="方正黑体_GBK" w:hAnsi="Times New Roman" w:eastAsia="方正黑体_GBK" w:cs="Times New Roman"/>
          <w:color w:val="000000"/>
          <w:kern w:val="0"/>
          <w:sz w:val="32"/>
          <w:szCs w:val="32"/>
          <w:shd w:val="clear" w:color="auto" w:fill="FFFFFF"/>
          <w:lang w:val="zh-CN" w:eastAsia="zh-CN"/>
        </w:rPr>
        <w:t>二、部门资金收支情况</w:t>
      </w:r>
    </w:p>
    <w:p>
      <w:pPr>
        <w:ind w:firstLine="642" w:firstLineChars="200"/>
        <w:rPr>
          <w:rFonts w:hint="eastAsia" w:ascii="仿宋_GB2312" w:hAnsi="Calibri" w:eastAsia="仿宋_GB2312" w:cs="仿宋"/>
          <w:color w:val="auto"/>
          <w:kern w:val="0"/>
          <w:sz w:val="32"/>
          <w:szCs w:val="32"/>
          <w:highlight w:val="none"/>
          <w:lang w:val="zh-CN" w:eastAsia="zh-CN" w:bidi="ar-SA"/>
        </w:rPr>
      </w:pPr>
      <w:r>
        <w:rPr>
          <w:rFonts w:hint="eastAsia" w:ascii="方正楷体_GBK" w:hAnsi="Times New Roman" w:eastAsia="方正楷体_GBK" w:cs="Times New Roman"/>
          <w:b/>
          <w:bCs/>
          <w:color w:val="000000"/>
          <w:kern w:val="0"/>
          <w:sz w:val="32"/>
          <w:szCs w:val="32"/>
          <w:shd w:val="clear" w:color="auto" w:fill="FFFFFF"/>
          <w:lang w:val="zh-CN" w:eastAsia="zh-CN"/>
        </w:rPr>
        <w:t>（一）收入情况</w:t>
      </w:r>
      <w:r>
        <w:rPr>
          <w:rFonts w:hint="eastAsia" w:ascii="仿宋_GB2312" w:hAnsi="Calibri" w:eastAsia="仿宋_GB2312" w:cs="仿宋"/>
          <w:color w:val="auto"/>
          <w:kern w:val="0"/>
          <w:sz w:val="32"/>
          <w:szCs w:val="32"/>
          <w:highlight w:val="none"/>
          <w:lang w:val="zh-CN" w:eastAsia="zh-CN" w:bidi="ar-SA"/>
        </w:rPr>
        <w:t>。阿坝州文联部门2025 年年初预算收入713.65万元、决算报表收入872.14万元。</w:t>
      </w:r>
    </w:p>
    <w:p>
      <w:pPr>
        <w:ind w:firstLine="642" w:firstLineChars="200"/>
        <w:rPr>
          <w:rFonts w:hint="eastAsia" w:ascii="仿宋_GB2312" w:hAnsi="Calibri" w:eastAsia="仿宋_GB2312" w:cs="仿宋"/>
          <w:color w:val="auto"/>
          <w:kern w:val="0"/>
          <w:sz w:val="32"/>
          <w:szCs w:val="32"/>
          <w:highlight w:val="none"/>
          <w:lang w:val="zh-CN" w:eastAsia="zh-CN" w:bidi="ar-SA"/>
        </w:rPr>
      </w:pPr>
      <w:r>
        <w:rPr>
          <w:rFonts w:hint="eastAsia" w:ascii="方正楷体_GBK" w:hAnsi="Times New Roman" w:eastAsia="方正楷体_GBK" w:cs="Times New Roman"/>
          <w:b/>
          <w:bCs/>
          <w:color w:val="000000"/>
          <w:kern w:val="0"/>
          <w:sz w:val="32"/>
          <w:szCs w:val="32"/>
          <w:shd w:val="clear" w:color="auto" w:fill="FFFFFF"/>
          <w:lang w:val="zh-CN" w:eastAsia="zh-CN"/>
        </w:rPr>
        <w:t>（二）支出情况</w:t>
      </w:r>
      <w:r>
        <w:rPr>
          <w:rFonts w:hint="eastAsia" w:ascii="仿宋_GB2312" w:hAnsi="Calibri" w:eastAsia="仿宋_GB2312" w:cs="仿宋"/>
          <w:color w:val="auto"/>
          <w:kern w:val="0"/>
          <w:sz w:val="32"/>
          <w:szCs w:val="32"/>
          <w:highlight w:val="none"/>
          <w:lang w:val="zh-CN" w:eastAsia="zh-CN" w:bidi="ar-SA"/>
        </w:rPr>
        <w:t>。阿坝州文联部门2025 年年初预算支出713.65万元、决算报表支出872.14万元。</w:t>
      </w:r>
    </w:p>
    <w:p>
      <w:pPr>
        <w:ind w:firstLine="642" w:firstLineChars="200"/>
        <w:rPr>
          <w:rFonts w:hint="eastAsia" w:ascii="仿宋_GB2312" w:hAnsi="Calibri" w:eastAsia="仿宋_GB2312" w:cs="仿宋"/>
          <w:color w:val="auto"/>
          <w:kern w:val="0"/>
          <w:sz w:val="32"/>
          <w:szCs w:val="32"/>
          <w:highlight w:val="none"/>
          <w:lang w:val="zh-CN" w:eastAsia="zh-CN" w:bidi="ar-SA"/>
        </w:rPr>
      </w:pPr>
      <w:r>
        <w:rPr>
          <w:rFonts w:hint="eastAsia" w:ascii="方正楷体_GBK" w:hAnsi="Times New Roman" w:eastAsia="方正楷体_GBK" w:cs="Times New Roman"/>
          <w:b/>
          <w:bCs/>
          <w:color w:val="000000"/>
          <w:kern w:val="0"/>
          <w:sz w:val="32"/>
          <w:szCs w:val="32"/>
          <w:shd w:val="clear" w:color="auto" w:fill="FFFFFF"/>
          <w:lang w:val="zh-CN" w:eastAsia="zh-CN"/>
        </w:rPr>
        <w:t>（三）结余分配和结转结余情况。</w:t>
      </w:r>
      <w:r>
        <w:rPr>
          <w:rFonts w:hint="eastAsia" w:ascii="仿宋_GB2312" w:hAnsi="Calibri" w:eastAsia="仿宋_GB2312" w:cs="仿宋"/>
          <w:color w:val="auto"/>
          <w:kern w:val="0"/>
          <w:sz w:val="32"/>
          <w:szCs w:val="32"/>
          <w:highlight w:val="none"/>
          <w:lang w:val="zh-CN" w:eastAsia="zh-CN" w:bidi="ar-SA"/>
        </w:rPr>
        <w:t xml:space="preserve"> 阿坝州文联部门2025 年决算报表结转0 万元。</w:t>
      </w:r>
    </w:p>
    <w:p>
      <w:pPr>
        <w:ind w:firstLine="640" w:firstLineChars="200"/>
        <w:rPr>
          <w:rFonts w:hint="eastAsia" w:ascii="仿宋_GB2312" w:hAnsi="Calibri" w:eastAsia="仿宋_GB2312" w:cs="仿宋"/>
          <w:color w:val="auto"/>
          <w:kern w:val="0"/>
          <w:sz w:val="32"/>
          <w:szCs w:val="32"/>
          <w:highlight w:val="none"/>
          <w:lang w:val="zh-CN" w:eastAsia="zh-CN" w:bidi="ar-SA"/>
        </w:rPr>
      </w:pPr>
      <w:r>
        <w:rPr>
          <w:rFonts w:hint="eastAsia" w:ascii="方正黑体_GBK" w:hAnsi="Times New Roman" w:eastAsia="方正黑体_GBK" w:cs="Times New Roman"/>
          <w:color w:val="000000"/>
          <w:kern w:val="0"/>
          <w:sz w:val="32"/>
          <w:szCs w:val="32"/>
          <w:shd w:val="clear" w:color="auto" w:fill="FFFFFF"/>
          <w:lang w:val="zh-CN" w:eastAsia="zh-CN"/>
        </w:rPr>
        <w:t>三、部门预算绩效分析</w:t>
      </w:r>
    </w:p>
    <w:p>
      <w:pPr>
        <w:ind w:firstLine="642" w:firstLineChars="200"/>
        <w:rPr>
          <w:rFonts w:hint="eastAsia" w:ascii="仿宋_GB2312" w:hAnsi="Calibri" w:eastAsia="仿宋_GB2312" w:cs="仿宋"/>
          <w:color w:val="auto"/>
          <w:kern w:val="0"/>
          <w:sz w:val="32"/>
          <w:szCs w:val="32"/>
          <w:highlight w:val="none"/>
          <w:lang w:val="zh-CN" w:eastAsia="zh-CN" w:bidi="ar-SA"/>
        </w:rPr>
      </w:pPr>
      <w:r>
        <w:rPr>
          <w:rFonts w:hint="eastAsia" w:ascii="方正楷体_GBK" w:hAnsi="Times New Roman" w:eastAsia="方正楷体_GBK" w:cs="Times New Roman"/>
          <w:b/>
          <w:bCs/>
          <w:color w:val="000000"/>
          <w:kern w:val="0"/>
          <w:sz w:val="32"/>
          <w:szCs w:val="32"/>
          <w:shd w:val="clear" w:color="auto" w:fill="FFFFFF"/>
          <w:lang w:val="zh-CN" w:eastAsia="zh-CN"/>
        </w:rPr>
        <w:t>（一）部门预算总体绩效分析</w:t>
      </w:r>
      <w:r>
        <w:rPr>
          <w:rFonts w:hint="eastAsia" w:ascii="仿宋_GB2312" w:hAnsi="Calibri" w:eastAsia="仿宋_GB2312" w:cs="仿宋"/>
          <w:color w:val="auto"/>
          <w:kern w:val="0"/>
          <w:sz w:val="32"/>
          <w:szCs w:val="32"/>
          <w:highlight w:val="none"/>
          <w:lang w:val="zh-CN" w:eastAsia="zh-CN" w:bidi="ar-SA"/>
        </w:rPr>
        <w:t>。根据部门预算绩效评价指标体系“总体绩效”涉及二、三级指标进行逐项绩效分析并评分，依次包括履职效能、预算管理、财务管理、资产管理、采购管理等情况。</w:t>
      </w:r>
    </w:p>
    <w:p>
      <w:pPr>
        <w:ind w:firstLine="640" w:firstLineChars="200"/>
        <w:rPr>
          <w:rFonts w:hint="eastAsia" w:ascii="仿宋_GB2312" w:hAnsi="Calibri" w:eastAsia="仿宋_GB2312" w:cs="仿宋"/>
          <w:color w:val="auto"/>
          <w:kern w:val="0"/>
          <w:sz w:val="32"/>
          <w:szCs w:val="32"/>
          <w:highlight w:val="none"/>
          <w:lang w:val="zh-CN" w:eastAsia="zh-CN" w:bidi="ar-SA"/>
        </w:rPr>
      </w:pPr>
      <w:r>
        <w:rPr>
          <w:rFonts w:hint="eastAsia" w:ascii="仿宋_GB2312" w:hAnsi="Calibri" w:eastAsia="仿宋_GB2312" w:cs="仿宋"/>
          <w:color w:val="auto"/>
          <w:kern w:val="0"/>
          <w:sz w:val="32"/>
          <w:szCs w:val="32"/>
          <w:highlight w:val="none"/>
          <w:lang w:val="zh-CN" w:eastAsia="zh-CN" w:bidi="ar-SA"/>
        </w:rPr>
        <w:t>1.履职效能。一是实施文艺惠民工程履职效果。出版小说、诗集等20多本，在国家级、省级刊物发表作品近200余篇（首）。歌曲《爱润阿坝》入围“四川省十大歌曲”。舞蹈《天绘》入围“荷花奖”民族民间舞终评。电影《天宝》荣获第23届俄罗斯国际电影节最佳国际外语片奖。电影《旺姆的夏天》《如果悲伤可以解释》入围第38届中国电影金鸡奖“多彩中华”民族电影展映单元。摄影作品《松潘红军长征纪念碑》入选国家义务教育教科书《艺术 美术》。组织开展“深入生活·扎根人民”、“阿坝文艺讲堂”等活动10余场次，累计服务群众3000余名；开展“三下乡”活动”，为群众免费书画3000余幅（张）。文艺人才不断涌现。全州共有国家级会员54名，省级会员367名，州级会员1400余名，新文艺组织11个，社会组织20个，新文艺人才708名。创建阿坝州“名人库”建设，将100余名阿坝籍文艺名人纳入名人库。全州文艺系统30名文艺人才荣获州委州政府激励表彰。评选首批阿坝州文艺名家工作室6人。与州委统战部等部门联合举办首届“可爱的家乡”阿坝州宗教界人士，文艺创作大赛和书法展，以文艺助推“三个意识”教育。与州妇联等部门联合举办“爱润阿坝·爱心爸妈故事汇”文艺创作大赛，并创作群众工作诗歌《把工作做到群众心坎上》，以文艺力量激发干部职工的奉献精神。与浙阿援建办开展“浙阿情深·艺联山海”系列文艺项目，全面展现和宣介东西部协助成果和阿坝州丰富的文旅资源。与州教体局等部门联合举办“墨香承古韵 书写新时代”中小学师生书法大赛，助力“控辍保学”和学校师生艺术素养提升。与州总工会联合筹办“职工文艺之家”建设，服务干部职工的业余文化生活，提升他们的艺术修养。六是会同省文联在埃及举办非遗展，展出阿坝州非遗文创产品60件。与省音协共同举办“我们的中国梦 文化进万家”活动，把阿坝唱颂到更宽广的世界。年初计划实施的惠民活动完成情况达到90%以上，该项目自评得分</w:t>
      </w:r>
      <w:r>
        <w:rPr>
          <w:rFonts w:hint="eastAsia" w:ascii="仿宋_GB2312" w:hAnsi="Calibri" w:eastAsia="仿宋_GB2312" w:cs="仿宋"/>
          <w:color w:val="auto"/>
          <w:kern w:val="0"/>
          <w:sz w:val="32"/>
          <w:szCs w:val="32"/>
          <w:highlight w:val="none"/>
          <w:lang w:val="en-US" w:eastAsia="zh-CN" w:bidi="ar-SA"/>
        </w:rPr>
        <w:t>3</w:t>
      </w:r>
      <w:r>
        <w:rPr>
          <w:rFonts w:hint="eastAsia" w:ascii="仿宋_GB2312" w:hAnsi="Calibri" w:eastAsia="仿宋_GB2312" w:cs="仿宋"/>
          <w:color w:val="auto"/>
          <w:kern w:val="0"/>
          <w:sz w:val="32"/>
          <w:szCs w:val="32"/>
          <w:highlight w:val="none"/>
          <w:lang w:val="zh-CN" w:eastAsia="zh-CN" w:bidi="ar-SA"/>
        </w:rPr>
        <w:t>分。二是建强文艺品牌履职效果。努力繁荣多民族文学创作，着力打造高原独特的青稞文化品牌，积极创作一批优秀文艺作品，并在各类媒体、平台上发表、入展。在拉萨成功举办第四届“岗坚杯”藏文学创作奖颁奖典礼、举办 2025 年“ 民族文学周 · 阿坝”活动暨第六届“青稞文学奖”颁奖典礼 ，面向全国选出获奖作品并奖励、“阿来诗歌季”已成为具有全国重要影响力的阿坝文化品牌。文艺惠民扎实深入。自评得分</w:t>
      </w:r>
      <w:r>
        <w:rPr>
          <w:rFonts w:hint="eastAsia" w:ascii="仿宋_GB2312" w:hAnsi="Calibri" w:eastAsia="仿宋_GB2312" w:cs="仿宋"/>
          <w:color w:val="auto"/>
          <w:kern w:val="0"/>
          <w:sz w:val="32"/>
          <w:szCs w:val="32"/>
          <w:highlight w:val="none"/>
          <w:lang w:val="en-US" w:eastAsia="zh-CN" w:bidi="ar-SA"/>
        </w:rPr>
        <w:t>2</w:t>
      </w:r>
      <w:r>
        <w:rPr>
          <w:rFonts w:hint="eastAsia" w:ascii="仿宋_GB2312" w:hAnsi="Calibri" w:eastAsia="仿宋_GB2312" w:cs="仿宋"/>
          <w:color w:val="auto"/>
          <w:kern w:val="0"/>
          <w:sz w:val="32"/>
          <w:szCs w:val="32"/>
          <w:highlight w:val="none"/>
          <w:lang w:val="zh-CN" w:eastAsia="zh-CN" w:bidi="ar-SA"/>
        </w:rPr>
        <w:t>分。《阿坝文艺》杂志和微信号出版刊登作品，提高影响力，自评得分</w:t>
      </w:r>
      <w:r>
        <w:rPr>
          <w:rFonts w:hint="eastAsia" w:ascii="仿宋_GB2312" w:hAnsi="Calibri" w:eastAsia="仿宋_GB2312" w:cs="仿宋"/>
          <w:color w:val="auto"/>
          <w:kern w:val="0"/>
          <w:sz w:val="32"/>
          <w:szCs w:val="32"/>
          <w:highlight w:val="none"/>
          <w:lang w:val="en-US" w:eastAsia="zh-CN" w:bidi="ar-SA"/>
        </w:rPr>
        <w:t>1</w:t>
      </w:r>
      <w:r>
        <w:rPr>
          <w:rFonts w:hint="eastAsia" w:ascii="仿宋_GB2312" w:hAnsi="Calibri" w:eastAsia="仿宋_GB2312" w:cs="仿宋"/>
          <w:color w:val="auto"/>
          <w:kern w:val="0"/>
          <w:sz w:val="32"/>
          <w:szCs w:val="32"/>
          <w:highlight w:val="none"/>
          <w:lang w:val="zh-CN" w:eastAsia="zh-CN" w:bidi="ar-SA"/>
        </w:rPr>
        <w:t>分。三是服务文艺家群体履职效果。强化文艺队伍建设，完善各级文艺组织，努力为文艺家群体搞好服务，为阿坝州文艺事业繁荣发展搞好保障。切实履行好“ 团结引导、联络协调、服务管理、 自律维权”等职能 ，积极发挥桥梁纽带和方向引领作用。坚持“ 围绕中心，服务大局”工作原则 ，抓好“ 出作品，出人才”主责主业，强化自身建设 ，完善服务体系，举办书画摄影展，文艺家满意度达到 95%以上，自评得分5分。</w:t>
      </w:r>
    </w:p>
    <w:p>
      <w:pPr>
        <w:ind w:firstLine="640" w:firstLineChars="200"/>
        <w:rPr>
          <w:rFonts w:hint="eastAsia" w:ascii="仿宋_GB2312" w:hAnsi="Calibri" w:eastAsia="仿宋_GB2312" w:cs="仿宋"/>
          <w:color w:val="auto"/>
          <w:kern w:val="0"/>
          <w:sz w:val="32"/>
          <w:szCs w:val="32"/>
          <w:highlight w:val="none"/>
          <w:lang w:val="zh-CN" w:eastAsia="zh-CN" w:bidi="ar-SA"/>
        </w:rPr>
      </w:pPr>
      <w:r>
        <w:rPr>
          <w:rFonts w:hint="eastAsia" w:ascii="仿宋_GB2312" w:hAnsi="Calibri" w:eastAsia="仿宋_GB2312" w:cs="仿宋"/>
          <w:color w:val="auto"/>
          <w:kern w:val="0"/>
          <w:sz w:val="32"/>
          <w:szCs w:val="32"/>
          <w:highlight w:val="none"/>
          <w:lang w:val="zh-CN" w:eastAsia="zh-CN" w:bidi="ar-SA"/>
        </w:rPr>
        <w:t>2.预算管理。围绕预算编制质量、单位收入统筹、支出执行进度、预算年终结余、严控一般性支出进行绩效分析。一是预算编制质量，我单位财政拨款预算偏离度=（872.14-713.65） /713.65=22.21%，资产配置预算偏离度=（0-0）/0=0%，政府采购预算偏离度=（0-0）/0=0%。该项指标得分=（1-22.21%） × 100% ×4+（ 1-0） × 100% × 2+（ 1-0） × 100% × 2=7.12分。自评得 7.12 分。二是我会无自有收入，该项不扣分，得分 4 分。三是部门1月至</w:t>
      </w:r>
      <w:r>
        <w:rPr>
          <w:rFonts w:hint="eastAsia" w:ascii="仿宋_GB2312" w:hAnsi="Calibri" w:eastAsia="仿宋_GB2312" w:cs="仿宋"/>
          <w:color w:val="auto"/>
          <w:kern w:val="0"/>
          <w:sz w:val="32"/>
          <w:szCs w:val="32"/>
          <w:highlight w:val="none"/>
          <w:lang w:val="en-US" w:eastAsia="zh-CN" w:bidi="ar-SA"/>
        </w:rPr>
        <w:t>6</w:t>
      </w:r>
      <w:r>
        <w:rPr>
          <w:rFonts w:hint="eastAsia" w:ascii="仿宋_GB2312" w:hAnsi="Calibri" w:eastAsia="仿宋_GB2312" w:cs="仿宋"/>
          <w:color w:val="auto"/>
          <w:kern w:val="0"/>
          <w:sz w:val="32"/>
          <w:szCs w:val="32"/>
          <w:highlight w:val="none"/>
          <w:lang w:val="zh-CN" w:eastAsia="zh-CN" w:bidi="ar-SA"/>
        </w:rPr>
        <w:t>月预算执行数为358.18万元，预算执行率为41.06%，1 月至 10 月预算执行数为 665.49万元 ，预算执行率76.29% ，无支出预警金额和支出违规金额，根据指标得分计算公式得出，该项指标自评得 5.12分。四是部门整体年终预算无结余情况，自评得 2 分。五是部门严控“三公”经费、会议、培训、差旅、办节办展、办公设备购置、信息网络及软件购置更新、课题经费等 8 项一般性支出，一般性支出财政拨款年初预算为64.95万元，上年度为53.06万元 ，一般性支出财政拨款预算执行64.74万元，上年度为53.06万元，较上年未实现压减，该项不得分。</w:t>
      </w:r>
    </w:p>
    <w:p>
      <w:pPr>
        <w:ind w:firstLine="640" w:firstLineChars="200"/>
        <w:rPr>
          <w:rFonts w:hint="eastAsia" w:ascii="仿宋_GB2312" w:hAnsi="Calibri" w:eastAsia="仿宋_GB2312" w:cs="仿宋"/>
          <w:color w:val="auto"/>
          <w:kern w:val="0"/>
          <w:sz w:val="32"/>
          <w:szCs w:val="32"/>
          <w:highlight w:val="none"/>
          <w:lang w:val="zh-CN" w:eastAsia="zh-CN" w:bidi="ar-SA"/>
        </w:rPr>
      </w:pPr>
      <w:r>
        <w:rPr>
          <w:rFonts w:hint="eastAsia" w:ascii="仿宋_GB2312" w:hAnsi="Calibri" w:eastAsia="仿宋_GB2312" w:cs="仿宋"/>
          <w:color w:val="auto"/>
          <w:kern w:val="0"/>
          <w:sz w:val="32"/>
          <w:szCs w:val="32"/>
          <w:highlight w:val="none"/>
          <w:lang w:val="zh-CN" w:eastAsia="zh-CN" w:bidi="ar-SA"/>
        </w:rPr>
        <w:t>3.财务管理。一是财务管理制度，阿坝州文联建立部门财务管理制度，并严格按照制度执行，该项得分4分。二是财务岗位设置，部门合理设置财务工作岗位 ，明确职责权限，并严格实行不相容岗位分离，该项得分2分。三是资金使用规范，部门资金使用严格遵守财务管理制度规定，该项得分4分。</w:t>
      </w:r>
    </w:p>
    <w:p>
      <w:pPr>
        <w:ind w:firstLine="640" w:firstLineChars="200"/>
        <w:rPr>
          <w:rFonts w:hint="eastAsia" w:ascii="仿宋_GB2312" w:hAnsi="Calibri" w:eastAsia="仿宋_GB2312" w:cs="仿宋"/>
          <w:color w:val="auto"/>
          <w:kern w:val="0"/>
          <w:sz w:val="32"/>
          <w:szCs w:val="32"/>
          <w:highlight w:val="none"/>
          <w:lang w:val="zh-CN" w:eastAsia="zh-CN" w:bidi="ar-SA"/>
        </w:rPr>
      </w:pPr>
      <w:r>
        <w:rPr>
          <w:rFonts w:hint="eastAsia" w:ascii="仿宋_GB2312" w:hAnsi="Calibri" w:eastAsia="仿宋_GB2312" w:cs="仿宋"/>
          <w:color w:val="auto"/>
          <w:kern w:val="0"/>
          <w:sz w:val="32"/>
          <w:szCs w:val="32"/>
          <w:highlight w:val="none"/>
          <w:lang w:val="zh-CN" w:eastAsia="zh-CN" w:bidi="ar-SA"/>
        </w:rPr>
        <w:t>4.资产管理。一是人均资产变化率，州文联部门2024年末人数18人，固定资产和无形资产净值合计67.91万元；2025 年末实有人数19人，固定资产和无形资产净值合计66.9</w:t>
      </w:r>
      <w:r>
        <w:rPr>
          <w:rFonts w:hint="eastAsia" w:ascii="仿宋_GB2312" w:hAnsi="Calibri" w:eastAsia="仿宋_GB2312" w:cs="仿宋"/>
          <w:color w:val="auto"/>
          <w:kern w:val="0"/>
          <w:sz w:val="32"/>
          <w:szCs w:val="32"/>
          <w:highlight w:val="none"/>
          <w:lang w:val="en-US" w:eastAsia="zh-CN" w:bidi="ar-SA"/>
        </w:rPr>
        <w:t>0</w:t>
      </w:r>
      <w:r>
        <w:rPr>
          <w:rFonts w:hint="eastAsia" w:ascii="仿宋_GB2312" w:hAnsi="Calibri" w:eastAsia="仿宋_GB2312" w:cs="仿宋"/>
          <w:color w:val="auto"/>
          <w:kern w:val="0"/>
          <w:sz w:val="32"/>
          <w:szCs w:val="32"/>
          <w:highlight w:val="none"/>
          <w:lang w:val="zh-CN" w:eastAsia="zh-CN" w:bidi="ar-SA"/>
        </w:rPr>
        <w:t xml:space="preserve">万元。其中：《草地》编辑部 2024 年末人数10人，固定资产和无形资产净值合计 </w:t>
      </w:r>
      <w:r>
        <w:rPr>
          <w:rFonts w:hint="eastAsia" w:ascii="仿宋_GB2312" w:hAnsi="Calibri" w:eastAsia="仿宋_GB2312" w:cs="仿宋"/>
          <w:color w:val="auto"/>
          <w:kern w:val="0"/>
          <w:sz w:val="32"/>
          <w:szCs w:val="32"/>
          <w:highlight w:val="none"/>
          <w:lang w:val="en-US" w:eastAsia="zh-CN" w:bidi="ar-SA"/>
        </w:rPr>
        <w:t>43.22</w:t>
      </w:r>
      <w:r>
        <w:rPr>
          <w:rFonts w:hint="eastAsia" w:ascii="仿宋_GB2312" w:hAnsi="Calibri" w:eastAsia="仿宋_GB2312" w:cs="仿宋"/>
          <w:color w:val="auto"/>
          <w:kern w:val="0"/>
          <w:sz w:val="32"/>
          <w:szCs w:val="32"/>
          <w:highlight w:val="none"/>
          <w:lang w:val="zh-CN" w:eastAsia="zh-CN" w:bidi="ar-SA"/>
        </w:rPr>
        <w:t>万元；2025 年末实有人数 11 人，固定资产和无形资产净值合计</w:t>
      </w:r>
      <w:r>
        <w:rPr>
          <w:rFonts w:hint="eastAsia" w:ascii="仿宋_GB2312" w:hAnsi="Calibri" w:eastAsia="仿宋_GB2312" w:cs="仿宋"/>
          <w:color w:val="auto"/>
          <w:kern w:val="0"/>
          <w:sz w:val="32"/>
          <w:szCs w:val="32"/>
          <w:highlight w:val="none"/>
          <w:lang w:val="en-US" w:eastAsia="zh-CN" w:bidi="ar-SA"/>
        </w:rPr>
        <w:t>36.73</w:t>
      </w:r>
      <w:r>
        <w:rPr>
          <w:rFonts w:hint="eastAsia" w:ascii="仿宋_GB2312" w:hAnsi="Calibri" w:eastAsia="仿宋_GB2312" w:cs="仿宋"/>
          <w:color w:val="auto"/>
          <w:kern w:val="0"/>
          <w:sz w:val="32"/>
          <w:szCs w:val="32"/>
          <w:highlight w:val="none"/>
          <w:lang w:val="zh-CN" w:eastAsia="zh-CN" w:bidi="ar-SA"/>
        </w:rPr>
        <w:t xml:space="preserve"> 万元。州文联 2024 年末人数8人，固定资产和无形资产净值合计</w:t>
      </w:r>
      <w:r>
        <w:rPr>
          <w:rFonts w:hint="eastAsia" w:ascii="仿宋_GB2312" w:hAnsi="Calibri" w:eastAsia="仿宋_GB2312" w:cs="仿宋"/>
          <w:color w:val="auto"/>
          <w:kern w:val="0"/>
          <w:sz w:val="32"/>
          <w:szCs w:val="32"/>
          <w:highlight w:val="none"/>
          <w:lang w:val="en-US" w:eastAsia="zh-CN" w:bidi="ar-SA"/>
        </w:rPr>
        <w:t>25.36</w:t>
      </w:r>
      <w:r>
        <w:rPr>
          <w:rFonts w:hint="eastAsia" w:ascii="仿宋_GB2312" w:hAnsi="Calibri" w:eastAsia="仿宋_GB2312" w:cs="仿宋"/>
          <w:color w:val="auto"/>
          <w:kern w:val="0"/>
          <w:sz w:val="32"/>
          <w:szCs w:val="32"/>
          <w:highlight w:val="none"/>
          <w:lang w:val="zh-CN" w:eastAsia="zh-CN" w:bidi="ar-SA"/>
        </w:rPr>
        <w:t>万元；2025 年末实有人数 8 人，固定资产和无形资产净值合计</w:t>
      </w:r>
      <w:r>
        <w:rPr>
          <w:rFonts w:hint="eastAsia" w:ascii="仿宋_GB2312" w:hAnsi="Calibri" w:eastAsia="仿宋_GB2312" w:cs="仿宋"/>
          <w:color w:val="auto"/>
          <w:kern w:val="0"/>
          <w:sz w:val="32"/>
          <w:szCs w:val="32"/>
          <w:highlight w:val="none"/>
          <w:lang w:val="en-US" w:eastAsia="zh-CN" w:bidi="ar-SA"/>
        </w:rPr>
        <w:t>30.17</w:t>
      </w:r>
      <w:r>
        <w:rPr>
          <w:rFonts w:hint="eastAsia" w:ascii="仿宋_GB2312" w:hAnsi="Calibri" w:eastAsia="仿宋_GB2312" w:cs="仿宋"/>
          <w:color w:val="auto"/>
          <w:kern w:val="0"/>
          <w:sz w:val="32"/>
          <w:szCs w:val="32"/>
          <w:highlight w:val="none"/>
          <w:lang w:val="zh-CN" w:eastAsia="zh-CN" w:bidi="ar-SA"/>
        </w:rPr>
        <w:t>万元。根据评价标准，我部门 202</w:t>
      </w:r>
      <w:r>
        <w:rPr>
          <w:rFonts w:hint="eastAsia" w:ascii="仿宋_GB2312" w:hAnsi="Calibri" w:eastAsia="仿宋_GB2312" w:cs="仿宋"/>
          <w:color w:val="auto"/>
          <w:kern w:val="0"/>
          <w:sz w:val="32"/>
          <w:szCs w:val="32"/>
          <w:highlight w:val="none"/>
          <w:lang w:val="en-US" w:eastAsia="zh-CN" w:bidi="ar-SA"/>
        </w:rPr>
        <w:t>4</w:t>
      </w:r>
      <w:r>
        <w:rPr>
          <w:rFonts w:hint="eastAsia" w:ascii="仿宋_GB2312" w:hAnsi="Calibri" w:eastAsia="仿宋_GB2312" w:cs="仿宋"/>
          <w:color w:val="auto"/>
          <w:kern w:val="0"/>
          <w:sz w:val="32"/>
          <w:szCs w:val="32"/>
          <w:highlight w:val="none"/>
          <w:lang w:val="zh-CN" w:eastAsia="zh-CN" w:bidi="ar-SA"/>
        </w:rPr>
        <w:t xml:space="preserve"> 年人均占有资产=67.91/18=3.78（万元/人），2025 年人均占有资产=</w:t>
      </w:r>
      <w:r>
        <w:rPr>
          <w:rFonts w:hint="eastAsia" w:ascii="仿宋_GB2312" w:hAnsi="Calibri" w:eastAsia="仿宋_GB2312" w:cs="仿宋"/>
          <w:color w:val="auto"/>
          <w:kern w:val="0"/>
          <w:sz w:val="32"/>
          <w:szCs w:val="32"/>
          <w:highlight w:val="none"/>
          <w:lang w:val="en-US" w:eastAsia="zh-CN" w:bidi="ar-SA"/>
        </w:rPr>
        <w:t>66.90</w:t>
      </w:r>
      <w:r>
        <w:rPr>
          <w:rFonts w:hint="eastAsia" w:ascii="仿宋_GB2312" w:hAnsi="Calibri" w:eastAsia="仿宋_GB2312" w:cs="仿宋"/>
          <w:color w:val="auto"/>
          <w:kern w:val="0"/>
          <w:sz w:val="32"/>
          <w:szCs w:val="32"/>
          <w:highlight w:val="none"/>
          <w:lang w:val="zh-CN" w:eastAsia="zh-CN" w:bidi="ar-SA"/>
        </w:rPr>
        <w:t>/</w:t>
      </w:r>
      <w:r>
        <w:rPr>
          <w:rFonts w:hint="eastAsia" w:ascii="仿宋_GB2312" w:hAnsi="Calibri" w:eastAsia="仿宋_GB2312" w:cs="仿宋"/>
          <w:color w:val="auto"/>
          <w:kern w:val="0"/>
          <w:sz w:val="32"/>
          <w:szCs w:val="32"/>
          <w:highlight w:val="none"/>
          <w:lang w:val="en-US" w:eastAsia="zh-CN" w:bidi="ar-SA"/>
        </w:rPr>
        <w:t>19</w:t>
      </w:r>
      <w:r>
        <w:rPr>
          <w:rFonts w:hint="eastAsia" w:ascii="仿宋_GB2312" w:hAnsi="Calibri" w:eastAsia="仿宋_GB2312" w:cs="仿宋"/>
          <w:color w:val="auto"/>
          <w:kern w:val="0"/>
          <w:sz w:val="32"/>
          <w:szCs w:val="32"/>
          <w:highlight w:val="none"/>
          <w:lang w:val="zh-CN" w:eastAsia="zh-CN" w:bidi="ar-SA"/>
        </w:rPr>
        <w:t>=</w:t>
      </w:r>
      <w:r>
        <w:rPr>
          <w:rFonts w:hint="eastAsia" w:ascii="仿宋_GB2312" w:hAnsi="Calibri" w:eastAsia="仿宋_GB2312" w:cs="仿宋"/>
          <w:color w:val="auto"/>
          <w:kern w:val="0"/>
          <w:sz w:val="32"/>
          <w:szCs w:val="32"/>
          <w:highlight w:val="none"/>
          <w:lang w:val="en-US" w:eastAsia="zh-CN" w:bidi="ar-SA"/>
        </w:rPr>
        <w:t>3.52</w:t>
      </w:r>
      <w:r>
        <w:rPr>
          <w:rFonts w:hint="eastAsia" w:ascii="仿宋_GB2312" w:hAnsi="Calibri" w:eastAsia="仿宋_GB2312" w:cs="仿宋"/>
          <w:color w:val="auto"/>
          <w:kern w:val="0"/>
          <w:sz w:val="32"/>
          <w:szCs w:val="32"/>
          <w:highlight w:val="none"/>
          <w:lang w:val="zh-CN" w:eastAsia="zh-CN" w:bidi="ar-SA"/>
        </w:rPr>
        <w:t>（万元/人）。人均资产变化率=（</w:t>
      </w:r>
      <w:r>
        <w:rPr>
          <w:rFonts w:hint="eastAsia" w:ascii="仿宋_GB2312" w:hAnsi="Calibri" w:eastAsia="仿宋_GB2312" w:cs="仿宋"/>
          <w:color w:val="auto"/>
          <w:kern w:val="0"/>
          <w:sz w:val="32"/>
          <w:szCs w:val="32"/>
          <w:highlight w:val="none"/>
          <w:lang w:val="en-US" w:eastAsia="zh-CN" w:bidi="ar-SA"/>
        </w:rPr>
        <w:t>3.52</w:t>
      </w:r>
      <w:r>
        <w:rPr>
          <w:rFonts w:hint="eastAsia" w:ascii="仿宋_GB2312" w:hAnsi="Calibri" w:eastAsia="仿宋_GB2312" w:cs="仿宋"/>
          <w:color w:val="auto"/>
          <w:kern w:val="0"/>
          <w:sz w:val="32"/>
          <w:szCs w:val="32"/>
          <w:highlight w:val="none"/>
          <w:lang w:val="zh-CN" w:eastAsia="zh-CN" w:bidi="ar-SA"/>
        </w:rPr>
        <w:t>-</w:t>
      </w:r>
      <w:r>
        <w:rPr>
          <w:rFonts w:hint="eastAsia" w:ascii="仿宋_GB2312" w:hAnsi="Calibri" w:eastAsia="仿宋_GB2312" w:cs="仿宋"/>
          <w:color w:val="auto"/>
          <w:kern w:val="0"/>
          <w:sz w:val="32"/>
          <w:szCs w:val="32"/>
          <w:highlight w:val="none"/>
          <w:lang w:val="en-US" w:eastAsia="zh-CN" w:bidi="ar-SA"/>
        </w:rPr>
        <w:t>3.78</w:t>
      </w:r>
      <w:r>
        <w:rPr>
          <w:rFonts w:hint="eastAsia" w:ascii="仿宋_GB2312" w:hAnsi="Calibri" w:eastAsia="仿宋_GB2312" w:cs="仿宋"/>
          <w:color w:val="auto"/>
          <w:kern w:val="0"/>
          <w:sz w:val="32"/>
          <w:szCs w:val="32"/>
          <w:highlight w:val="none"/>
          <w:lang w:val="zh-CN" w:eastAsia="zh-CN" w:bidi="ar-SA"/>
        </w:rPr>
        <w:t>）/</w:t>
      </w:r>
      <w:r>
        <w:rPr>
          <w:rFonts w:hint="eastAsia" w:ascii="仿宋_GB2312" w:hAnsi="Calibri" w:eastAsia="仿宋_GB2312" w:cs="仿宋"/>
          <w:color w:val="auto"/>
          <w:kern w:val="0"/>
          <w:sz w:val="32"/>
          <w:szCs w:val="32"/>
          <w:highlight w:val="none"/>
          <w:lang w:val="en-US" w:eastAsia="zh-CN" w:bidi="ar-SA"/>
        </w:rPr>
        <w:t>3.52</w:t>
      </w:r>
      <w:r>
        <w:rPr>
          <w:rFonts w:hint="eastAsia" w:ascii="仿宋_GB2312" w:hAnsi="Calibri" w:eastAsia="仿宋_GB2312" w:cs="仿宋"/>
          <w:color w:val="auto"/>
          <w:kern w:val="0"/>
          <w:sz w:val="32"/>
          <w:szCs w:val="32"/>
          <w:highlight w:val="none"/>
          <w:lang w:val="zh-CN" w:eastAsia="zh-CN" w:bidi="ar-SA"/>
        </w:rPr>
        <w:t>*100%=-</w:t>
      </w:r>
      <w:r>
        <w:rPr>
          <w:rFonts w:hint="eastAsia" w:ascii="仿宋_GB2312" w:hAnsi="Calibri" w:eastAsia="仿宋_GB2312" w:cs="仿宋"/>
          <w:color w:val="auto"/>
          <w:kern w:val="0"/>
          <w:sz w:val="32"/>
          <w:szCs w:val="32"/>
          <w:highlight w:val="none"/>
          <w:lang w:val="en-US" w:eastAsia="zh-CN" w:bidi="ar-SA"/>
        </w:rPr>
        <w:t>7.39</w:t>
      </w:r>
      <w:r>
        <w:rPr>
          <w:rFonts w:hint="eastAsia" w:ascii="仿宋_GB2312" w:hAnsi="Calibri" w:eastAsia="仿宋_GB2312" w:cs="仿宋"/>
          <w:color w:val="auto"/>
          <w:kern w:val="0"/>
          <w:sz w:val="32"/>
          <w:szCs w:val="32"/>
          <w:highlight w:val="none"/>
          <w:lang w:val="zh-CN" w:eastAsia="zh-CN" w:bidi="ar-SA"/>
        </w:rPr>
        <w:t xml:space="preserve"> ，低于同期阿坝州州级财政增长率 </w:t>
      </w:r>
      <w:r>
        <w:rPr>
          <w:rFonts w:hint="eastAsia" w:ascii="仿宋_GB2312" w:hAnsi="Calibri" w:eastAsia="仿宋_GB2312" w:cs="仿宋"/>
          <w:color w:val="auto"/>
          <w:kern w:val="0"/>
          <w:sz w:val="32"/>
          <w:szCs w:val="32"/>
          <w:highlight w:val="none"/>
          <w:lang w:val="en-US" w:eastAsia="zh-CN" w:bidi="ar-SA"/>
        </w:rPr>
        <w:t>-3.49</w:t>
      </w:r>
      <w:r>
        <w:rPr>
          <w:rFonts w:hint="eastAsia" w:ascii="仿宋_GB2312" w:hAnsi="Calibri" w:eastAsia="仿宋_GB2312" w:cs="仿宋"/>
          <w:color w:val="auto"/>
          <w:kern w:val="0"/>
          <w:sz w:val="32"/>
          <w:szCs w:val="32"/>
          <w:highlight w:val="none"/>
          <w:lang w:val="zh-CN" w:eastAsia="zh-CN" w:bidi="ar-SA"/>
        </w:rPr>
        <w:t>% 。该项得分 3 分。二是资产利用率。州文联部门超最低使用年限办公家具账面价值为</w:t>
      </w:r>
      <w:r>
        <w:rPr>
          <w:rFonts w:hint="eastAsia" w:ascii="仿宋_GB2312" w:hAnsi="Calibri" w:eastAsia="仿宋_GB2312" w:cs="仿宋"/>
          <w:color w:val="auto"/>
          <w:kern w:val="0"/>
          <w:sz w:val="32"/>
          <w:szCs w:val="32"/>
          <w:highlight w:val="none"/>
          <w:lang w:val="en-US" w:eastAsia="zh-CN" w:bidi="ar-SA"/>
        </w:rPr>
        <w:t>3.65</w:t>
      </w:r>
      <w:r>
        <w:rPr>
          <w:rFonts w:hint="eastAsia" w:ascii="仿宋_GB2312" w:hAnsi="Calibri" w:eastAsia="仿宋_GB2312" w:cs="仿宋"/>
          <w:color w:val="auto"/>
          <w:kern w:val="0"/>
          <w:sz w:val="32"/>
          <w:szCs w:val="32"/>
          <w:highlight w:val="none"/>
          <w:lang w:val="zh-CN" w:eastAsia="zh-CN" w:bidi="ar-SA"/>
        </w:rPr>
        <w:t>万元，办公家具账面价值为</w:t>
      </w:r>
      <w:r>
        <w:rPr>
          <w:rFonts w:hint="eastAsia" w:ascii="仿宋_GB2312" w:hAnsi="Calibri" w:eastAsia="仿宋_GB2312" w:cs="仿宋"/>
          <w:color w:val="auto"/>
          <w:kern w:val="0"/>
          <w:sz w:val="32"/>
          <w:szCs w:val="32"/>
          <w:highlight w:val="none"/>
          <w:lang w:val="en-US" w:eastAsia="zh-CN" w:bidi="ar-SA"/>
        </w:rPr>
        <w:t>12.16</w:t>
      </w:r>
      <w:r>
        <w:rPr>
          <w:rFonts w:hint="eastAsia" w:ascii="仿宋_GB2312" w:hAnsi="Calibri" w:eastAsia="仿宋_GB2312" w:cs="仿宋"/>
          <w:color w:val="auto"/>
          <w:kern w:val="0"/>
          <w:sz w:val="32"/>
          <w:szCs w:val="32"/>
          <w:highlight w:val="none"/>
          <w:lang w:val="zh-CN" w:eastAsia="zh-CN" w:bidi="ar-SA"/>
        </w:rPr>
        <w:t xml:space="preserve"> 万元，办公家具超最低使用年限利用率</w:t>
      </w:r>
      <w:r>
        <w:rPr>
          <w:rFonts w:hint="eastAsia" w:ascii="仿宋_GB2312" w:hAnsi="Calibri" w:eastAsia="仿宋_GB2312" w:cs="仿宋"/>
          <w:color w:val="auto"/>
          <w:kern w:val="0"/>
          <w:sz w:val="32"/>
          <w:szCs w:val="32"/>
          <w:highlight w:val="none"/>
          <w:lang w:val="en-US" w:eastAsia="zh-CN" w:bidi="ar-SA"/>
        </w:rPr>
        <w:t>30.02</w:t>
      </w:r>
      <w:r>
        <w:rPr>
          <w:rFonts w:hint="eastAsia" w:ascii="仿宋_GB2312" w:hAnsi="Calibri" w:eastAsia="仿宋_GB2312" w:cs="仿宋"/>
          <w:color w:val="auto"/>
          <w:kern w:val="0"/>
          <w:sz w:val="32"/>
          <w:szCs w:val="32"/>
          <w:highlight w:val="none"/>
          <w:lang w:val="zh-CN" w:eastAsia="zh-CN" w:bidi="ar-SA"/>
        </w:rPr>
        <w:t>% ，州直行政事业单位办公家具利用率平均值为</w:t>
      </w:r>
      <w:r>
        <w:rPr>
          <w:rFonts w:hint="eastAsia" w:ascii="仿宋_GB2312" w:hAnsi="Calibri" w:eastAsia="仿宋_GB2312" w:cs="仿宋"/>
          <w:color w:val="auto"/>
          <w:kern w:val="0"/>
          <w:sz w:val="32"/>
          <w:szCs w:val="32"/>
          <w:highlight w:val="none"/>
          <w:lang w:val="en-US" w:eastAsia="zh-CN" w:bidi="ar-SA"/>
        </w:rPr>
        <w:t>12.93</w:t>
      </w:r>
      <w:r>
        <w:rPr>
          <w:rFonts w:hint="eastAsia" w:ascii="仿宋_GB2312" w:hAnsi="Calibri" w:eastAsia="仿宋_GB2312" w:cs="仿宋"/>
          <w:color w:val="auto"/>
          <w:kern w:val="0"/>
          <w:sz w:val="32"/>
          <w:szCs w:val="32"/>
          <w:highlight w:val="none"/>
          <w:lang w:val="zh-CN" w:eastAsia="zh-CN" w:bidi="ar-SA"/>
        </w:rPr>
        <w:t>%，该项得分1.</w:t>
      </w:r>
      <w:r>
        <w:rPr>
          <w:rFonts w:hint="eastAsia" w:ascii="仿宋_GB2312" w:hAnsi="Calibri" w:eastAsia="仿宋_GB2312" w:cs="仿宋"/>
          <w:color w:val="auto"/>
          <w:kern w:val="0"/>
          <w:sz w:val="32"/>
          <w:szCs w:val="32"/>
          <w:highlight w:val="none"/>
          <w:lang w:val="en-US" w:eastAsia="zh-CN" w:bidi="ar-SA"/>
        </w:rPr>
        <w:t>5</w:t>
      </w:r>
      <w:r>
        <w:rPr>
          <w:rFonts w:hint="eastAsia" w:ascii="仿宋_GB2312" w:hAnsi="Calibri" w:eastAsia="仿宋_GB2312" w:cs="仿宋"/>
          <w:color w:val="auto"/>
          <w:kern w:val="0"/>
          <w:sz w:val="32"/>
          <w:szCs w:val="32"/>
          <w:highlight w:val="none"/>
          <w:lang w:val="zh-CN" w:eastAsia="zh-CN" w:bidi="ar-SA"/>
        </w:rPr>
        <w:t xml:space="preserve">分。（其中：州文联机关超最低使用年限办公家具账面价值为 </w:t>
      </w:r>
      <w:r>
        <w:rPr>
          <w:rFonts w:hint="eastAsia" w:ascii="仿宋_GB2312" w:hAnsi="Calibri" w:eastAsia="仿宋_GB2312" w:cs="仿宋"/>
          <w:color w:val="auto"/>
          <w:kern w:val="0"/>
          <w:sz w:val="32"/>
          <w:szCs w:val="32"/>
          <w:highlight w:val="none"/>
          <w:lang w:val="en-US" w:eastAsia="zh-CN" w:bidi="ar-SA"/>
        </w:rPr>
        <w:t>0.1</w:t>
      </w:r>
      <w:r>
        <w:rPr>
          <w:rFonts w:hint="eastAsia" w:ascii="仿宋_GB2312" w:hAnsi="Calibri" w:eastAsia="仿宋_GB2312" w:cs="仿宋"/>
          <w:color w:val="auto"/>
          <w:kern w:val="0"/>
          <w:sz w:val="32"/>
          <w:szCs w:val="32"/>
          <w:highlight w:val="none"/>
          <w:lang w:val="zh-CN" w:eastAsia="zh-CN" w:bidi="ar-SA"/>
        </w:rPr>
        <w:t>万元，办公家具账面价值为</w:t>
      </w:r>
      <w:r>
        <w:rPr>
          <w:rFonts w:hint="eastAsia" w:ascii="仿宋_GB2312" w:hAnsi="Calibri" w:eastAsia="仿宋_GB2312" w:cs="仿宋"/>
          <w:color w:val="auto"/>
          <w:kern w:val="0"/>
          <w:sz w:val="32"/>
          <w:szCs w:val="32"/>
          <w:highlight w:val="none"/>
          <w:lang w:val="en-US" w:eastAsia="zh-CN" w:bidi="ar-SA"/>
        </w:rPr>
        <w:t>9.95</w:t>
      </w:r>
      <w:r>
        <w:rPr>
          <w:rFonts w:hint="eastAsia" w:ascii="仿宋_GB2312" w:hAnsi="Calibri" w:eastAsia="仿宋_GB2312" w:cs="仿宋"/>
          <w:color w:val="auto"/>
          <w:kern w:val="0"/>
          <w:sz w:val="32"/>
          <w:szCs w:val="32"/>
          <w:highlight w:val="none"/>
          <w:lang w:val="zh-CN" w:eastAsia="zh-CN" w:bidi="ar-SA"/>
        </w:rPr>
        <w:t>万元，《草地》编辑部超最低使用年限办公家具账面价值为</w:t>
      </w:r>
      <w:r>
        <w:rPr>
          <w:rFonts w:hint="eastAsia" w:ascii="仿宋_GB2312" w:hAnsi="Calibri" w:eastAsia="仿宋_GB2312" w:cs="仿宋"/>
          <w:color w:val="auto"/>
          <w:kern w:val="0"/>
          <w:sz w:val="32"/>
          <w:szCs w:val="32"/>
          <w:highlight w:val="none"/>
          <w:lang w:val="en-US" w:eastAsia="zh-CN" w:bidi="ar-SA"/>
        </w:rPr>
        <w:t>3.55</w:t>
      </w:r>
      <w:r>
        <w:rPr>
          <w:rFonts w:hint="eastAsia" w:ascii="仿宋_GB2312" w:hAnsi="Calibri" w:eastAsia="仿宋_GB2312" w:cs="仿宋"/>
          <w:color w:val="auto"/>
          <w:kern w:val="0"/>
          <w:sz w:val="32"/>
          <w:szCs w:val="32"/>
          <w:highlight w:val="none"/>
          <w:lang w:val="zh-CN" w:eastAsia="zh-CN" w:bidi="ar-SA"/>
        </w:rPr>
        <w:t>万元 ，办公家具账面价值为</w:t>
      </w:r>
      <w:r>
        <w:rPr>
          <w:rFonts w:hint="eastAsia" w:ascii="仿宋_GB2312" w:hAnsi="Calibri" w:eastAsia="仿宋_GB2312" w:cs="仿宋"/>
          <w:color w:val="auto"/>
          <w:kern w:val="0"/>
          <w:sz w:val="32"/>
          <w:szCs w:val="32"/>
          <w:highlight w:val="none"/>
          <w:lang w:val="en-US" w:eastAsia="zh-CN" w:bidi="ar-SA"/>
        </w:rPr>
        <w:t>6.28</w:t>
      </w:r>
      <w:r>
        <w:rPr>
          <w:rFonts w:hint="eastAsia" w:ascii="仿宋_GB2312" w:hAnsi="Calibri" w:eastAsia="仿宋_GB2312" w:cs="仿宋"/>
          <w:color w:val="auto"/>
          <w:kern w:val="0"/>
          <w:sz w:val="32"/>
          <w:szCs w:val="32"/>
          <w:highlight w:val="none"/>
          <w:lang w:val="zh-CN" w:eastAsia="zh-CN" w:bidi="ar-SA"/>
        </w:rPr>
        <w:t>万元。）</w:t>
      </w:r>
    </w:p>
    <w:p>
      <w:pPr>
        <w:ind w:firstLine="640" w:firstLineChars="200"/>
        <w:rPr>
          <w:rFonts w:hint="eastAsia" w:ascii="仿宋_GB2312" w:hAnsi="Calibri" w:eastAsia="仿宋_GB2312" w:cs="仿宋"/>
          <w:color w:val="auto"/>
          <w:kern w:val="0"/>
          <w:sz w:val="32"/>
          <w:szCs w:val="32"/>
          <w:highlight w:val="none"/>
          <w:lang w:val="zh-CN" w:eastAsia="zh-CN" w:bidi="ar-SA"/>
        </w:rPr>
      </w:pPr>
      <w:r>
        <w:rPr>
          <w:rFonts w:hint="eastAsia" w:ascii="仿宋_GB2312" w:hAnsi="Calibri" w:eastAsia="仿宋_GB2312" w:cs="仿宋"/>
          <w:color w:val="auto"/>
          <w:kern w:val="0"/>
          <w:sz w:val="32"/>
          <w:szCs w:val="32"/>
          <w:highlight w:val="none"/>
          <w:lang w:val="zh-CN" w:eastAsia="zh-CN" w:bidi="ar-SA"/>
        </w:rPr>
        <w:t>州文联部门超最低使用年限办公设备账面价值为</w:t>
      </w:r>
      <w:r>
        <w:rPr>
          <w:rFonts w:hint="eastAsia" w:ascii="仿宋_GB2312" w:hAnsi="Calibri" w:eastAsia="仿宋_GB2312" w:cs="仿宋"/>
          <w:color w:val="auto"/>
          <w:kern w:val="0"/>
          <w:sz w:val="32"/>
          <w:szCs w:val="32"/>
          <w:highlight w:val="none"/>
          <w:lang w:val="en-US" w:eastAsia="zh-CN" w:bidi="ar-SA"/>
        </w:rPr>
        <w:t>96.41</w:t>
      </w:r>
      <w:r>
        <w:rPr>
          <w:rFonts w:hint="eastAsia" w:ascii="仿宋_GB2312" w:hAnsi="Calibri" w:eastAsia="仿宋_GB2312" w:cs="仿宋"/>
          <w:color w:val="auto"/>
          <w:kern w:val="0"/>
          <w:sz w:val="32"/>
          <w:szCs w:val="32"/>
          <w:highlight w:val="none"/>
          <w:lang w:val="zh-CN" w:eastAsia="zh-CN" w:bidi="ar-SA"/>
        </w:rPr>
        <w:t>万元 ，办公设备账面价值为</w:t>
      </w:r>
      <w:r>
        <w:rPr>
          <w:rFonts w:hint="eastAsia" w:ascii="仿宋_GB2312" w:hAnsi="Calibri" w:eastAsia="仿宋_GB2312" w:cs="仿宋"/>
          <w:color w:val="auto"/>
          <w:kern w:val="0"/>
          <w:sz w:val="32"/>
          <w:szCs w:val="32"/>
          <w:highlight w:val="none"/>
          <w:lang w:val="en-US" w:eastAsia="zh-CN" w:bidi="ar-SA"/>
        </w:rPr>
        <w:t>154.03</w:t>
      </w:r>
      <w:r>
        <w:rPr>
          <w:rFonts w:hint="eastAsia" w:ascii="仿宋_GB2312" w:hAnsi="Calibri" w:eastAsia="仿宋_GB2312" w:cs="仿宋"/>
          <w:color w:val="auto"/>
          <w:kern w:val="0"/>
          <w:sz w:val="32"/>
          <w:szCs w:val="32"/>
          <w:highlight w:val="none"/>
          <w:lang w:val="zh-CN" w:eastAsia="zh-CN" w:bidi="ar-SA"/>
        </w:rPr>
        <w:t xml:space="preserve">万元，办公设备超最低使用年限利用率为 </w:t>
      </w:r>
      <w:r>
        <w:rPr>
          <w:rFonts w:hint="eastAsia" w:ascii="仿宋_GB2312" w:hAnsi="Calibri" w:eastAsia="仿宋_GB2312" w:cs="仿宋"/>
          <w:color w:val="auto"/>
          <w:kern w:val="0"/>
          <w:sz w:val="32"/>
          <w:szCs w:val="32"/>
          <w:highlight w:val="none"/>
          <w:lang w:val="en-US" w:eastAsia="zh-CN" w:bidi="ar-SA"/>
        </w:rPr>
        <w:t>62.59</w:t>
      </w:r>
      <w:r>
        <w:rPr>
          <w:rFonts w:hint="eastAsia" w:ascii="仿宋_GB2312" w:hAnsi="Calibri" w:eastAsia="仿宋_GB2312" w:cs="仿宋"/>
          <w:color w:val="auto"/>
          <w:kern w:val="0"/>
          <w:sz w:val="32"/>
          <w:szCs w:val="32"/>
          <w:highlight w:val="none"/>
          <w:lang w:val="zh-CN" w:eastAsia="zh-CN" w:bidi="ar-SA"/>
        </w:rPr>
        <w:t>%,州直行政事业单位办公设备利用率平均值为</w:t>
      </w:r>
      <w:r>
        <w:rPr>
          <w:rFonts w:hint="eastAsia" w:ascii="仿宋_GB2312" w:hAnsi="Calibri" w:eastAsia="仿宋_GB2312" w:cs="仿宋"/>
          <w:color w:val="auto"/>
          <w:kern w:val="0"/>
          <w:sz w:val="32"/>
          <w:szCs w:val="32"/>
          <w:highlight w:val="none"/>
          <w:lang w:val="en-US" w:eastAsia="zh-CN" w:bidi="ar-SA"/>
        </w:rPr>
        <w:t>53.14</w:t>
      </w:r>
      <w:r>
        <w:rPr>
          <w:rFonts w:hint="eastAsia" w:ascii="仿宋_GB2312" w:hAnsi="Calibri" w:eastAsia="仿宋_GB2312" w:cs="仿宋"/>
          <w:color w:val="auto"/>
          <w:kern w:val="0"/>
          <w:sz w:val="32"/>
          <w:szCs w:val="32"/>
          <w:highlight w:val="none"/>
          <w:lang w:val="zh-CN" w:eastAsia="zh-CN" w:bidi="ar-SA"/>
        </w:rPr>
        <w:t>%,该项得分为</w:t>
      </w:r>
      <w:r>
        <w:rPr>
          <w:rFonts w:hint="eastAsia" w:ascii="仿宋_GB2312" w:hAnsi="Calibri" w:eastAsia="仿宋_GB2312" w:cs="仿宋"/>
          <w:color w:val="auto"/>
          <w:kern w:val="0"/>
          <w:sz w:val="32"/>
          <w:szCs w:val="32"/>
          <w:highlight w:val="none"/>
          <w:lang w:val="en-US" w:eastAsia="zh-CN" w:bidi="ar-SA"/>
        </w:rPr>
        <w:t>1.5</w:t>
      </w:r>
      <w:r>
        <w:rPr>
          <w:rFonts w:hint="eastAsia" w:ascii="仿宋_GB2312" w:hAnsi="Calibri" w:eastAsia="仿宋_GB2312" w:cs="仿宋"/>
          <w:color w:val="auto"/>
          <w:kern w:val="0"/>
          <w:sz w:val="32"/>
          <w:szCs w:val="32"/>
          <w:highlight w:val="none"/>
          <w:lang w:val="zh-CN" w:eastAsia="zh-CN" w:bidi="ar-SA"/>
        </w:rPr>
        <w:t>分。（其中：州文联机关超最低使用年限办公设备账面价值为</w:t>
      </w:r>
      <w:r>
        <w:rPr>
          <w:rFonts w:hint="eastAsia" w:ascii="仿宋_GB2312" w:hAnsi="Calibri" w:eastAsia="仿宋_GB2312" w:cs="仿宋"/>
          <w:color w:val="auto"/>
          <w:kern w:val="0"/>
          <w:sz w:val="32"/>
          <w:szCs w:val="32"/>
          <w:highlight w:val="none"/>
          <w:lang w:val="en-US" w:eastAsia="zh-CN" w:bidi="ar-SA"/>
        </w:rPr>
        <w:t>90.84</w:t>
      </w:r>
      <w:r>
        <w:rPr>
          <w:rFonts w:hint="eastAsia" w:ascii="仿宋_GB2312" w:hAnsi="Calibri" w:eastAsia="仿宋_GB2312" w:cs="仿宋"/>
          <w:color w:val="auto"/>
          <w:kern w:val="0"/>
          <w:sz w:val="32"/>
          <w:szCs w:val="32"/>
          <w:highlight w:val="none"/>
          <w:lang w:val="zh-CN" w:eastAsia="zh-CN" w:bidi="ar-SA"/>
        </w:rPr>
        <w:t>万元，办公设备账面价值为</w:t>
      </w:r>
      <w:r>
        <w:rPr>
          <w:rFonts w:hint="eastAsia" w:ascii="仿宋_GB2312" w:hAnsi="Calibri" w:eastAsia="仿宋_GB2312" w:cs="仿宋"/>
          <w:color w:val="auto"/>
          <w:kern w:val="0"/>
          <w:sz w:val="32"/>
          <w:szCs w:val="32"/>
          <w:highlight w:val="none"/>
          <w:lang w:val="en-US" w:eastAsia="zh-CN" w:bidi="ar-SA"/>
        </w:rPr>
        <w:t>120.02</w:t>
      </w:r>
      <w:r>
        <w:rPr>
          <w:rFonts w:hint="eastAsia" w:ascii="仿宋_GB2312" w:hAnsi="Calibri" w:eastAsia="仿宋_GB2312" w:cs="仿宋"/>
          <w:color w:val="auto"/>
          <w:kern w:val="0"/>
          <w:sz w:val="32"/>
          <w:szCs w:val="32"/>
          <w:highlight w:val="none"/>
          <w:lang w:val="zh-CN" w:eastAsia="zh-CN" w:bidi="ar-SA"/>
        </w:rPr>
        <w:t>万元，《草地》编辑部超最低使用年限办公设备账面价值为</w:t>
      </w:r>
      <w:r>
        <w:rPr>
          <w:rFonts w:hint="eastAsia" w:ascii="仿宋_GB2312" w:hAnsi="Calibri" w:eastAsia="仿宋_GB2312" w:cs="仿宋"/>
          <w:color w:val="auto"/>
          <w:kern w:val="0"/>
          <w:sz w:val="32"/>
          <w:szCs w:val="32"/>
          <w:highlight w:val="none"/>
          <w:lang w:val="en-US" w:eastAsia="zh-CN" w:bidi="ar-SA"/>
        </w:rPr>
        <w:t>5.57</w:t>
      </w:r>
      <w:r>
        <w:rPr>
          <w:rFonts w:hint="eastAsia" w:ascii="仿宋_GB2312" w:hAnsi="Calibri" w:eastAsia="仿宋_GB2312" w:cs="仿宋"/>
          <w:color w:val="auto"/>
          <w:kern w:val="0"/>
          <w:sz w:val="32"/>
          <w:szCs w:val="32"/>
          <w:highlight w:val="none"/>
          <w:lang w:val="zh-CN" w:eastAsia="zh-CN" w:bidi="ar-SA"/>
        </w:rPr>
        <w:t>万元，办公设备账面价值为</w:t>
      </w:r>
      <w:r>
        <w:rPr>
          <w:rFonts w:hint="eastAsia" w:ascii="仿宋_GB2312" w:hAnsi="Calibri" w:eastAsia="仿宋_GB2312" w:cs="仿宋"/>
          <w:color w:val="auto"/>
          <w:kern w:val="0"/>
          <w:sz w:val="32"/>
          <w:szCs w:val="32"/>
          <w:highlight w:val="none"/>
          <w:lang w:val="en-US" w:eastAsia="zh-CN" w:bidi="ar-SA"/>
        </w:rPr>
        <w:t>34.01</w:t>
      </w:r>
      <w:r>
        <w:rPr>
          <w:rFonts w:hint="eastAsia" w:ascii="仿宋_GB2312" w:hAnsi="Calibri" w:eastAsia="仿宋_GB2312" w:cs="仿宋"/>
          <w:color w:val="auto"/>
          <w:kern w:val="0"/>
          <w:sz w:val="32"/>
          <w:szCs w:val="32"/>
          <w:highlight w:val="none"/>
          <w:lang w:val="zh-CN" w:eastAsia="zh-CN" w:bidi="ar-SA"/>
        </w:rPr>
        <w:t>万元。）三是资产盘活率，我部门202</w:t>
      </w:r>
      <w:r>
        <w:rPr>
          <w:rFonts w:hint="eastAsia" w:ascii="仿宋_GB2312" w:hAnsi="Calibri" w:eastAsia="仿宋_GB2312" w:cs="仿宋"/>
          <w:color w:val="auto"/>
          <w:kern w:val="0"/>
          <w:sz w:val="32"/>
          <w:szCs w:val="32"/>
          <w:highlight w:val="none"/>
          <w:lang w:val="en-US" w:eastAsia="zh-CN" w:bidi="ar-SA"/>
        </w:rPr>
        <w:t>4</w:t>
      </w:r>
      <w:r>
        <w:rPr>
          <w:rFonts w:hint="eastAsia" w:ascii="仿宋_GB2312" w:hAnsi="Calibri" w:eastAsia="仿宋_GB2312" w:cs="仿宋"/>
          <w:color w:val="auto"/>
          <w:kern w:val="0"/>
          <w:sz w:val="32"/>
          <w:szCs w:val="32"/>
          <w:highlight w:val="none"/>
          <w:lang w:val="zh-CN" w:eastAsia="zh-CN" w:bidi="ar-SA"/>
        </w:rPr>
        <w:t>年，2025年均无闲置资产。该项指标不扣分，得3分。</w:t>
      </w:r>
    </w:p>
    <w:p>
      <w:pPr>
        <w:ind w:firstLine="640" w:firstLineChars="200"/>
        <w:rPr>
          <w:rFonts w:hint="eastAsia" w:ascii="仿宋_GB2312" w:hAnsi="Calibri" w:eastAsia="仿宋_GB2312" w:cs="仿宋"/>
          <w:color w:val="auto"/>
          <w:kern w:val="0"/>
          <w:sz w:val="32"/>
          <w:szCs w:val="32"/>
          <w:highlight w:val="none"/>
          <w:lang w:val="zh-CN" w:eastAsia="zh-CN" w:bidi="ar-SA"/>
        </w:rPr>
      </w:pPr>
      <w:r>
        <w:rPr>
          <w:rFonts w:hint="eastAsia" w:ascii="仿宋_GB2312" w:hAnsi="Calibri" w:eastAsia="仿宋_GB2312" w:cs="仿宋"/>
          <w:color w:val="auto"/>
          <w:kern w:val="0"/>
          <w:sz w:val="32"/>
          <w:szCs w:val="32"/>
          <w:highlight w:val="none"/>
          <w:lang w:val="zh-CN" w:eastAsia="zh-CN" w:bidi="ar-SA"/>
        </w:rPr>
        <w:t>5.采购管理。一是部门严格执行政府采购促进中小企业发展相关管理办法，自评得分3分。二是根据《中华人民共和国政府采购法》的有关规定，2025年未编制政府采购预算，共涉及采购项目0个，采购预算资金0万元，自评得3分。</w:t>
      </w:r>
    </w:p>
    <w:p>
      <w:pPr>
        <w:ind w:firstLine="642" w:firstLineChars="200"/>
        <w:rPr>
          <w:rFonts w:hint="eastAsia" w:ascii="仿宋_GB2312" w:hAnsi="Calibri" w:eastAsia="仿宋_GB2312" w:cs="仿宋"/>
          <w:color w:val="auto"/>
          <w:kern w:val="0"/>
          <w:sz w:val="32"/>
          <w:szCs w:val="32"/>
          <w:highlight w:val="none"/>
          <w:lang w:val="zh-CN" w:eastAsia="zh-CN" w:bidi="ar-SA"/>
        </w:rPr>
      </w:pPr>
      <w:r>
        <w:rPr>
          <w:rFonts w:hint="eastAsia" w:ascii="方正楷体_GBK" w:hAnsi="Times New Roman" w:eastAsia="方正楷体_GBK" w:cs="Times New Roman"/>
          <w:b/>
          <w:bCs/>
          <w:color w:val="000000"/>
          <w:kern w:val="0"/>
          <w:sz w:val="32"/>
          <w:szCs w:val="32"/>
          <w:shd w:val="clear" w:color="auto" w:fill="FFFFFF"/>
          <w:lang w:val="zh-CN" w:eastAsia="zh-CN"/>
        </w:rPr>
        <w:t>（二）部门预算项目绩效分析</w:t>
      </w:r>
      <w:r>
        <w:rPr>
          <w:rFonts w:hint="eastAsia" w:ascii="仿宋_GB2312" w:hAnsi="Calibri" w:eastAsia="仿宋_GB2312" w:cs="仿宋"/>
          <w:color w:val="auto"/>
          <w:kern w:val="0"/>
          <w:sz w:val="32"/>
          <w:szCs w:val="32"/>
          <w:highlight w:val="none"/>
          <w:lang w:val="zh-CN" w:eastAsia="zh-CN" w:bidi="ar-SA"/>
        </w:rPr>
        <w:t>。常年项目绩效分析。该类项目总数8个，涉及预算总金额241.57万元，1—12月预算执行数为230.94万元，1—12 月预算执行总体进度为91.90%，其中：预算结余率大于10%的项目共计 3 个。</w:t>
      </w:r>
    </w:p>
    <w:p>
      <w:pPr>
        <w:ind w:firstLine="640" w:firstLineChars="200"/>
        <w:rPr>
          <w:rFonts w:hint="eastAsia" w:ascii="仿宋_GB2312" w:hAnsi="Calibri" w:eastAsia="仿宋_GB2312" w:cs="仿宋"/>
          <w:color w:val="auto"/>
          <w:kern w:val="0"/>
          <w:sz w:val="32"/>
          <w:szCs w:val="32"/>
          <w:highlight w:val="none"/>
          <w:lang w:val="zh-CN" w:eastAsia="zh-CN" w:bidi="ar-SA"/>
        </w:rPr>
      </w:pPr>
      <w:r>
        <w:rPr>
          <w:rFonts w:hint="eastAsia" w:ascii="仿宋_GB2312" w:hAnsi="Calibri" w:eastAsia="仿宋_GB2312" w:cs="仿宋"/>
          <w:color w:val="auto"/>
          <w:kern w:val="0"/>
          <w:sz w:val="32"/>
          <w:szCs w:val="32"/>
          <w:highlight w:val="none"/>
          <w:lang w:val="zh-CN" w:eastAsia="zh-CN" w:bidi="ar-SA"/>
        </w:rPr>
        <w:t>阶段（一次性）项目绩效分析。该类项目总数2 个 ，涉及预算总金额68万元，1—12 月预算执行数为 66.83万元，1— 12 月预算执行总体进度为 98.28%，其中：预算结余率大于 10%的项目共计0个。</w:t>
      </w:r>
    </w:p>
    <w:p>
      <w:pPr>
        <w:ind w:firstLine="640" w:firstLineChars="200"/>
        <w:rPr>
          <w:rFonts w:hint="eastAsia" w:ascii="仿宋_GB2312" w:hAnsi="Calibri" w:eastAsia="仿宋_GB2312" w:cs="仿宋"/>
          <w:color w:val="auto"/>
          <w:kern w:val="0"/>
          <w:sz w:val="32"/>
          <w:szCs w:val="32"/>
          <w:highlight w:val="none"/>
          <w:lang w:val="zh-CN" w:eastAsia="zh-CN" w:bidi="ar-SA"/>
        </w:rPr>
      </w:pPr>
      <w:r>
        <w:rPr>
          <w:rFonts w:hint="eastAsia" w:ascii="仿宋_GB2312" w:hAnsi="Calibri" w:eastAsia="仿宋_GB2312" w:cs="仿宋"/>
          <w:color w:val="auto"/>
          <w:kern w:val="0"/>
          <w:sz w:val="32"/>
          <w:szCs w:val="32"/>
          <w:highlight w:val="none"/>
          <w:lang w:val="zh-CN" w:eastAsia="zh-CN" w:bidi="ar-SA"/>
        </w:rPr>
        <w:t>1.项目决策。一是部门预算项目设立严格按规定履行做好事前评估论证、申报程序。即各科室结合当年重点工作申报预算，由分管领导审核，提交党组会集体研究和主席办公会审定通过， 自评得4分。二是部门预算项目绩效目标与计划期内的任务量、预算安排的资金量匹配，绩效目标设置科学合理、规范完整、量化细化、预算匹配，严格按照预算执行，自评得4分。三是部门预算项目在规定时间内完成项目入库，自评得4分。</w:t>
      </w:r>
    </w:p>
    <w:p>
      <w:pPr>
        <w:ind w:firstLine="640" w:firstLineChars="200"/>
        <w:rPr>
          <w:rFonts w:hint="eastAsia" w:ascii="仿宋_GB2312" w:hAnsi="Calibri" w:eastAsia="仿宋_GB2312" w:cs="仿宋"/>
          <w:color w:val="auto"/>
          <w:kern w:val="0"/>
          <w:sz w:val="32"/>
          <w:szCs w:val="32"/>
          <w:highlight w:val="none"/>
          <w:lang w:val="zh-CN" w:eastAsia="zh-CN" w:bidi="ar-SA"/>
        </w:rPr>
      </w:pPr>
      <w:r>
        <w:rPr>
          <w:rFonts w:hint="eastAsia" w:ascii="仿宋_GB2312" w:hAnsi="Calibri" w:eastAsia="仿宋_GB2312" w:cs="仿宋"/>
          <w:color w:val="auto"/>
          <w:kern w:val="0"/>
          <w:sz w:val="32"/>
          <w:szCs w:val="32"/>
          <w:highlight w:val="none"/>
          <w:lang w:val="zh-CN" w:eastAsia="zh-CN" w:bidi="ar-SA"/>
        </w:rPr>
        <w:t>2.项目执行。一是部门预算项目实际列支内容与绩效目标设置方向相符，自评得4分；二是部门预算项目无应采取未采取收回预算、调整目标等处置措施部门预算阶段项 目，自评得4分；三是我单位预算结余率小于10%的常年项目数3个，一次性项 目数0个，按公式计算，该项得分3分。</w:t>
      </w:r>
    </w:p>
    <w:p>
      <w:pPr>
        <w:ind w:firstLine="640" w:firstLineChars="200"/>
        <w:rPr>
          <w:rFonts w:hint="eastAsia" w:ascii="仿宋_GB2312" w:hAnsi="Calibri" w:eastAsia="仿宋_GB2312" w:cs="仿宋"/>
          <w:color w:val="auto"/>
          <w:kern w:val="0"/>
          <w:sz w:val="32"/>
          <w:szCs w:val="32"/>
          <w:highlight w:val="none"/>
          <w:lang w:val="zh-CN" w:eastAsia="zh-CN" w:bidi="ar-SA"/>
        </w:rPr>
      </w:pPr>
      <w:r>
        <w:rPr>
          <w:rFonts w:hint="eastAsia" w:ascii="仿宋_GB2312" w:hAnsi="Calibri" w:eastAsia="仿宋_GB2312" w:cs="仿宋"/>
          <w:color w:val="auto"/>
          <w:kern w:val="0"/>
          <w:sz w:val="32"/>
          <w:szCs w:val="32"/>
          <w:highlight w:val="none"/>
          <w:lang w:val="zh-CN" w:eastAsia="zh-CN" w:bidi="ar-SA"/>
        </w:rPr>
        <w:t>3. 目标实现。一是2025年部门预算项目绩效目标数量指标全部完成，自评得4分。二是部门预算项目绩效目标数量指标实现程度与预期目标无偏离情况，自评得4分。三是部门预算项 目绩效目标效益指标全部实现目标，自评得3分。</w:t>
      </w:r>
    </w:p>
    <w:p>
      <w:pPr>
        <w:ind w:firstLine="640" w:firstLineChars="200"/>
        <w:rPr>
          <w:rFonts w:hint="eastAsia" w:ascii="仿宋_GB2312" w:hAnsi="Calibri" w:eastAsia="仿宋_GB2312" w:cs="仿宋"/>
          <w:color w:val="auto"/>
          <w:kern w:val="0"/>
          <w:sz w:val="32"/>
          <w:szCs w:val="32"/>
          <w:highlight w:val="none"/>
          <w:lang w:val="zh-CN" w:eastAsia="zh-CN" w:bidi="ar-SA"/>
        </w:rPr>
      </w:pPr>
      <w:r>
        <w:rPr>
          <w:rFonts w:hint="eastAsia" w:ascii="仿宋_GB2312" w:hAnsi="Calibri" w:eastAsia="仿宋_GB2312" w:cs="仿宋"/>
          <w:color w:val="auto"/>
          <w:kern w:val="0"/>
          <w:sz w:val="32"/>
          <w:szCs w:val="32"/>
          <w:highlight w:val="none"/>
          <w:lang w:val="zh-CN" w:eastAsia="zh-CN" w:bidi="ar-SA"/>
        </w:rPr>
        <w:t>我部门2025年度未涉及国有资本、行政事业性国有资产、债券资金、政府采购和政府购买服务等重点领域。</w:t>
      </w:r>
    </w:p>
    <w:p>
      <w:pPr>
        <w:ind w:firstLine="642" w:firstLineChars="200"/>
        <w:rPr>
          <w:rFonts w:hint="eastAsia" w:ascii="仿宋_GB2312" w:hAnsi="Calibri" w:eastAsia="仿宋_GB2312" w:cs="仿宋"/>
          <w:color w:val="auto"/>
          <w:kern w:val="0"/>
          <w:sz w:val="32"/>
          <w:szCs w:val="32"/>
          <w:highlight w:val="none"/>
          <w:lang w:val="zh-CN" w:eastAsia="zh-CN" w:bidi="ar-SA"/>
        </w:rPr>
      </w:pPr>
      <w:r>
        <w:rPr>
          <w:rFonts w:hint="eastAsia" w:ascii="方正楷体_GBK" w:hAnsi="Times New Roman" w:eastAsia="方正楷体_GBK" w:cs="Times New Roman"/>
          <w:b/>
          <w:bCs/>
          <w:color w:val="000000"/>
          <w:kern w:val="0"/>
          <w:sz w:val="32"/>
          <w:szCs w:val="32"/>
          <w:shd w:val="clear" w:color="auto" w:fill="FFFFFF"/>
          <w:lang w:val="zh-CN" w:eastAsia="zh-CN"/>
        </w:rPr>
        <w:t>（三）绩效结果应用情况</w:t>
      </w:r>
      <w:r>
        <w:rPr>
          <w:rFonts w:hint="eastAsia" w:ascii="仿宋_GB2312" w:hAnsi="Calibri" w:eastAsia="仿宋_GB2312" w:cs="仿宋"/>
          <w:color w:val="auto"/>
          <w:kern w:val="0"/>
          <w:sz w:val="32"/>
          <w:szCs w:val="32"/>
          <w:highlight w:val="none"/>
          <w:lang w:val="zh-CN" w:eastAsia="zh-CN" w:bidi="ar-SA"/>
        </w:rPr>
        <w:t>。对于2025年我部门绩效管理过</w:t>
      </w:r>
    </w:p>
    <w:p>
      <w:pPr>
        <w:ind w:firstLine="640" w:firstLineChars="200"/>
        <w:rPr>
          <w:rFonts w:hint="eastAsia" w:ascii="仿宋_GB2312" w:hAnsi="Calibri" w:eastAsia="仿宋_GB2312" w:cs="仿宋"/>
          <w:color w:val="auto"/>
          <w:kern w:val="0"/>
          <w:sz w:val="32"/>
          <w:szCs w:val="32"/>
          <w:highlight w:val="none"/>
          <w:lang w:val="zh-CN" w:eastAsia="zh-CN" w:bidi="ar-SA"/>
        </w:rPr>
      </w:pPr>
      <w:r>
        <w:rPr>
          <w:rFonts w:hint="eastAsia" w:ascii="仿宋_GB2312" w:hAnsi="Calibri" w:eastAsia="仿宋_GB2312" w:cs="仿宋"/>
          <w:color w:val="auto"/>
          <w:kern w:val="0"/>
          <w:sz w:val="32"/>
          <w:szCs w:val="32"/>
          <w:highlight w:val="none"/>
          <w:lang w:val="zh-CN" w:eastAsia="zh-CN" w:bidi="ar-SA"/>
        </w:rPr>
        <w:t>程中存在的问题进行整改，将绩效管理结果应用于完善政策、改进管理、预算挂钩等，使我会绩效管理更加规范合理。明确预算编制、预算分解、预算执行与分析、预算调整、决算管理、预算绩效管理及预决算信息公开管理等业务环节的管理要求，加强预算业务各环节的风险管控，促进预算业务在提高单位各项业务管理过程中发挥积极作用。</w:t>
      </w:r>
    </w:p>
    <w:p>
      <w:pPr>
        <w:ind w:firstLine="640" w:firstLineChars="200"/>
        <w:rPr>
          <w:rFonts w:hint="eastAsia" w:ascii="方正黑体_GBK" w:hAnsi="Times New Roman" w:eastAsia="方正黑体_GBK" w:cs="Times New Roman"/>
          <w:color w:val="000000"/>
          <w:kern w:val="0"/>
          <w:sz w:val="32"/>
          <w:szCs w:val="32"/>
          <w:shd w:val="clear" w:color="auto" w:fill="FFFFFF"/>
          <w:lang w:val="zh-CN" w:eastAsia="zh-CN"/>
        </w:rPr>
      </w:pPr>
      <w:r>
        <w:rPr>
          <w:rFonts w:hint="eastAsia" w:ascii="方正黑体_GBK" w:hAnsi="Times New Roman" w:eastAsia="方正黑体_GBK" w:cs="Times New Roman"/>
          <w:color w:val="000000"/>
          <w:kern w:val="0"/>
          <w:sz w:val="32"/>
          <w:szCs w:val="32"/>
          <w:shd w:val="clear" w:color="auto" w:fill="FFFFFF"/>
          <w:lang w:val="zh-CN" w:eastAsia="zh-CN"/>
        </w:rPr>
        <w:t>四、评价结论及建议</w:t>
      </w:r>
    </w:p>
    <w:p>
      <w:pPr>
        <w:ind w:firstLine="642" w:firstLineChars="200"/>
        <w:rPr>
          <w:rFonts w:hint="eastAsia" w:ascii="仿宋_GB2312" w:hAnsi="Calibri" w:eastAsia="仿宋_GB2312" w:cs="仿宋"/>
          <w:color w:val="auto"/>
          <w:kern w:val="0"/>
          <w:sz w:val="32"/>
          <w:szCs w:val="32"/>
          <w:highlight w:val="none"/>
          <w:lang w:val="zh-CN" w:eastAsia="zh-CN" w:bidi="ar-SA"/>
        </w:rPr>
      </w:pPr>
      <w:r>
        <w:rPr>
          <w:rFonts w:hint="eastAsia" w:ascii="方正楷体_GBK" w:hAnsi="Times New Roman" w:eastAsia="方正楷体_GBK" w:cs="Times New Roman"/>
          <w:b/>
          <w:bCs/>
          <w:color w:val="000000"/>
          <w:kern w:val="0"/>
          <w:sz w:val="32"/>
          <w:szCs w:val="32"/>
          <w:shd w:val="clear" w:color="auto" w:fill="FFFFFF"/>
          <w:lang w:val="zh-CN" w:eastAsia="zh-CN"/>
        </w:rPr>
        <w:t>（一）评价结论</w:t>
      </w:r>
      <w:r>
        <w:rPr>
          <w:rFonts w:hint="eastAsia" w:ascii="仿宋_GB2312" w:hAnsi="Calibri" w:eastAsia="仿宋_GB2312" w:cs="仿宋"/>
          <w:color w:val="auto"/>
          <w:kern w:val="0"/>
          <w:sz w:val="32"/>
          <w:szCs w:val="32"/>
          <w:highlight w:val="none"/>
          <w:lang w:val="zh-CN" w:eastAsia="zh-CN" w:bidi="ar-SA"/>
        </w:rPr>
        <w:t>。从总体上看，2025年州文联财政资金支出取得了较好的绩效，有力地保障了职能作用的正常发挥、机关的正常运行和各项工作的正常开展。我会对整体支出进行了绩效评价，自评得分88.24分，评价结果为预算编制及执行决算较为准确，支出管理较为规范，使绩效评价结果与预算编制、预算执行有效结合。</w:t>
      </w:r>
    </w:p>
    <w:p>
      <w:pPr>
        <w:ind w:firstLine="642" w:firstLineChars="200"/>
        <w:rPr>
          <w:rFonts w:hint="eastAsia" w:ascii="仿宋_GB2312" w:hAnsi="Calibri" w:eastAsia="仿宋_GB2312" w:cs="仿宋"/>
          <w:color w:val="auto"/>
          <w:kern w:val="0"/>
          <w:sz w:val="32"/>
          <w:szCs w:val="32"/>
          <w:highlight w:val="none"/>
          <w:lang w:val="zh-CN" w:eastAsia="zh-CN" w:bidi="ar-SA"/>
        </w:rPr>
      </w:pPr>
      <w:r>
        <w:rPr>
          <w:rFonts w:hint="eastAsia" w:ascii="方正楷体_GBK" w:hAnsi="Times New Roman" w:eastAsia="方正楷体_GBK" w:cs="Times New Roman"/>
          <w:b/>
          <w:bCs/>
          <w:color w:val="000000"/>
          <w:kern w:val="0"/>
          <w:sz w:val="32"/>
          <w:szCs w:val="32"/>
          <w:shd w:val="clear" w:color="auto" w:fill="FFFFFF"/>
          <w:lang w:val="zh-CN" w:eastAsia="zh-CN"/>
        </w:rPr>
        <w:t>（二）存在问题。</w:t>
      </w:r>
      <w:r>
        <w:rPr>
          <w:rFonts w:hint="eastAsia" w:ascii="仿宋_GB2312" w:hAnsi="Calibri" w:eastAsia="仿宋_GB2312" w:cs="仿宋"/>
          <w:color w:val="auto"/>
          <w:kern w:val="0"/>
          <w:sz w:val="32"/>
          <w:szCs w:val="32"/>
          <w:highlight w:val="none"/>
          <w:lang w:val="zh-CN" w:eastAsia="zh-CN" w:bidi="ar-SA"/>
        </w:rPr>
        <w:t>2025年人员增加，一次性项目增加，故财政拨款预算执行数增加。</w:t>
      </w:r>
    </w:p>
    <w:p>
      <w:pPr>
        <w:ind w:firstLine="642" w:firstLineChars="200"/>
        <w:rPr>
          <w:rFonts w:hint="eastAsia" w:ascii="仿宋_GB2312" w:hAnsi="Calibri" w:eastAsia="仿宋_GB2312" w:cs="仿宋"/>
          <w:color w:val="auto"/>
          <w:kern w:val="0"/>
          <w:sz w:val="32"/>
          <w:szCs w:val="32"/>
          <w:highlight w:val="none"/>
          <w:lang w:val="zh-CN" w:eastAsia="zh-CN" w:bidi="ar-SA"/>
        </w:rPr>
      </w:pPr>
      <w:r>
        <w:rPr>
          <w:rFonts w:hint="eastAsia" w:ascii="方正楷体_GBK" w:hAnsi="Times New Roman" w:eastAsia="方正楷体_GBK" w:cs="Times New Roman"/>
          <w:b/>
          <w:bCs/>
          <w:color w:val="000000"/>
          <w:kern w:val="0"/>
          <w:sz w:val="32"/>
          <w:szCs w:val="32"/>
          <w:shd w:val="clear" w:color="auto" w:fill="FFFFFF"/>
          <w:lang w:val="zh-CN" w:eastAsia="zh-CN"/>
        </w:rPr>
        <w:t>（三）改进建议。</w:t>
      </w:r>
      <w:bookmarkStart w:id="55" w:name="_Hlk110546638"/>
      <w:r>
        <w:rPr>
          <w:rFonts w:hint="eastAsia" w:ascii="仿宋_GB2312" w:hAnsi="Calibri" w:eastAsia="仿宋_GB2312" w:cs="仿宋"/>
          <w:color w:val="auto"/>
          <w:kern w:val="0"/>
          <w:sz w:val="32"/>
          <w:szCs w:val="32"/>
          <w:highlight w:val="none"/>
          <w:lang w:val="zh-CN" w:eastAsia="zh-CN" w:bidi="ar-SA"/>
        </w:rPr>
        <w:t>一是加强预算执行力度。在下一步工作中，按要求开展绩效运行情况监控分析，加强预算执行力度，切实强化绩效评价结果应用，将绩效管理实质性嵌入预算管理中，提升绩效目标质量。二是适时修订完善内控制度，理顺管理流程，提升风险防控能力。</w:t>
      </w:r>
    </w:p>
    <w:bookmarkEnd w:id="55"/>
    <w:p>
      <w:pPr>
        <w:ind w:firstLine="640" w:firstLineChars="200"/>
        <w:rPr>
          <w:rFonts w:hint="eastAsia" w:ascii="仿宋_GB2312" w:hAnsi="Calibri" w:eastAsia="仿宋_GB2312" w:cs="仿宋"/>
          <w:color w:val="auto"/>
          <w:ker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sectPr>
          <w:footerReference r:id="rId7" w:type="default"/>
          <w:pgSz w:w="11906" w:h="16838"/>
          <w:pgMar w:top="1440" w:right="1800" w:bottom="1440" w:left="1800" w:header="851" w:footer="992" w:gutter="0"/>
          <w:pgNumType w:fmt="numberInDash" w:start="1"/>
          <w:cols w:space="425" w:num="1"/>
          <w:docGrid w:type="lines" w:linePitch="312" w:charSpace="0"/>
        </w:sectPr>
      </w:pPr>
    </w:p>
    <w:tbl>
      <w:tblPr>
        <w:tblStyle w:val="15"/>
        <w:tblpPr w:leftFromText="180" w:rightFromText="180" w:vertAnchor="text" w:horzAnchor="page" w:tblpX="512" w:tblpY="-33"/>
        <w:tblOverlap w:val="never"/>
        <w:tblW w:w="1593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35"/>
        <w:gridCol w:w="1995"/>
        <w:gridCol w:w="1957"/>
        <w:gridCol w:w="2265"/>
        <w:gridCol w:w="748"/>
        <w:gridCol w:w="1245"/>
        <w:gridCol w:w="737"/>
        <w:gridCol w:w="1138"/>
        <w:gridCol w:w="585"/>
        <w:gridCol w:w="160"/>
        <w:gridCol w:w="635"/>
        <w:gridCol w:w="25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15930"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黑体"/>
                <w:b/>
                <w:bCs/>
                <w:i w:val="0"/>
                <w:iCs w:val="0"/>
                <w:color w:val="000000"/>
                <w:sz w:val="30"/>
                <w:szCs w:val="30"/>
                <w:u w:val="none"/>
              </w:rPr>
            </w:pPr>
            <w:r>
              <w:rPr>
                <w:rFonts w:ascii="Times New Roman" w:hAnsi="Times New Roman" w:eastAsia="黑体" w:cs="Times New Roman"/>
                <w:b/>
                <w:bCs/>
                <w:i w:val="0"/>
                <w:iCs w:val="0"/>
                <w:color w:val="000000"/>
                <w:kern w:val="0"/>
                <w:sz w:val="28"/>
                <w:szCs w:val="28"/>
                <w:u w:val="none"/>
                <w:lang w:val="en-US" w:eastAsia="zh-CN"/>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9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项目名称</w:t>
            </w:r>
          </w:p>
        </w:tc>
        <w:tc>
          <w:tcPr>
            <w:tcW w:w="12000"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51320021T000000114361-协会经费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4" w:hRule="atLeast"/>
        </w:trPr>
        <w:tc>
          <w:tcPr>
            <w:tcW w:w="39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主管部门</w:t>
            </w:r>
          </w:p>
        </w:tc>
        <w:tc>
          <w:tcPr>
            <w:tcW w:w="695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州文联部门</w:t>
            </w:r>
          </w:p>
        </w:tc>
        <w:tc>
          <w:tcPr>
            <w:tcW w:w="1883" w:type="dxa"/>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eastAsia="simhei"/>
                <w:i w:val="0"/>
                <w:iCs w:val="0"/>
                <w:color w:val="000000"/>
                <w:sz w:val="24"/>
                <w:szCs w:val="24"/>
                <w:u w:val="none"/>
              </w:rPr>
            </w:pPr>
            <w:r>
              <w:rPr>
                <w:rFonts w:eastAsia="simhei"/>
                <w:i w:val="0"/>
                <w:iCs w:val="0"/>
                <w:color w:val="000000"/>
                <w:kern w:val="0"/>
                <w:sz w:val="18"/>
                <w:szCs w:val="18"/>
                <w:u w:val="none"/>
                <w:lang w:val="en-US" w:eastAsia="zh-CN"/>
              </w:rPr>
              <w:t>实施单位 （盖章）</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项目基本情况</w:t>
            </w:r>
          </w:p>
        </w:tc>
        <w:tc>
          <w:tcPr>
            <w:tcW w:w="199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5"/>
                <w:szCs w:val="15"/>
                <w:u w:val="none"/>
                <w:lang w:val="en-US" w:eastAsia="zh-CN"/>
              </w:rPr>
              <w:t>1.项目年度目标完成情况</w:t>
            </w:r>
          </w:p>
        </w:tc>
        <w:tc>
          <w:tcPr>
            <w:tcW w:w="695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项目年度目标</w:t>
            </w:r>
          </w:p>
        </w:tc>
        <w:tc>
          <w:tcPr>
            <w:tcW w:w="504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1"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9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95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6"/>
                <w:szCs w:val="16"/>
                <w:u w:val="none"/>
              </w:rPr>
            </w:pPr>
            <w:r>
              <w:rPr>
                <w:rFonts w:eastAsia="宋体"/>
                <w:i w:val="0"/>
                <w:iCs w:val="0"/>
                <w:color w:val="000000"/>
                <w:kern w:val="0"/>
                <w:sz w:val="13"/>
                <w:szCs w:val="13"/>
                <w:u w:val="none"/>
                <w:lang w:val="en-US" w:eastAsia="zh-CN"/>
              </w:rPr>
              <w:t>根据文联章程，组织引导、联络协调、服务管理州文联下属10个文艺家协会，开展各门类艺术培训、交流、研讨、创作、采风、展览、展演、展播等各项工作，积极参与州委宣传部组织的文化交流、文艺“三下乡”活动及其他“文艺惠民”活动，有力推进各协会业务活动，提升文艺工作者的创作水平，促进文艺事业发展。</w:t>
            </w:r>
          </w:p>
        </w:tc>
        <w:tc>
          <w:tcPr>
            <w:tcW w:w="504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完成年度目标任务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9"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3"/>
                <w:szCs w:val="13"/>
                <w:u w:val="none"/>
              </w:rPr>
            </w:pPr>
            <w:r>
              <w:rPr>
                <w:rFonts w:eastAsia="宋体"/>
                <w:i w:val="0"/>
                <w:iCs w:val="0"/>
                <w:color w:val="000000"/>
                <w:kern w:val="0"/>
                <w:sz w:val="13"/>
                <w:szCs w:val="13"/>
                <w:u w:val="none"/>
                <w:lang w:val="en-US" w:eastAsia="zh-CN"/>
              </w:rPr>
              <w:t>2.项目实施内容及过程概述</w:t>
            </w:r>
          </w:p>
        </w:tc>
        <w:tc>
          <w:tcPr>
            <w:tcW w:w="12000"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6"/>
                <w:szCs w:val="16"/>
                <w:u w:val="none"/>
              </w:rPr>
            </w:pPr>
            <w:r>
              <w:rPr>
                <w:rFonts w:eastAsia="宋体"/>
                <w:i w:val="0"/>
                <w:iCs w:val="0"/>
                <w:color w:val="000000"/>
                <w:kern w:val="0"/>
                <w:sz w:val="15"/>
                <w:szCs w:val="15"/>
                <w:u w:val="none"/>
                <w:lang w:val="en-US" w:eastAsia="zh-CN"/>
              </w:rPr>
              <w:t>开展各门类艺术培训、交流、研讨、创作、采风、展览、展演、展播等各项工作，积极参与州委宣传部组织的文化交流、文艺“三下乡”活动及其他“文艺惠民”活动。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2" w:hRule="atLeast"/>
        </w:trPr>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预算执行情况（10分）</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年度预算数（万元）</w:t>
            </w:r>
          </w:p>
        </w:tc>
        <w:tc>
          <w:tcPr>
            <w:tcW w:w="1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预算执行数</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预算执行率</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权重</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得分</w:t>
            </w:r>
          </w:p>
        </w:tc>
        <w:tc>
          <w:tcPr>
            <w:tcW w:w="2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2"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总额</w:t>
            </w:r>
          </w:p>
        </w:tc>
        <w:tc>
          <w:tcPr>
            <w:tcW w:w="1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55.00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53.98</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53.98</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100.00%</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9.81</w:t>
            </w:r>
          </w:p>
        </w:tc>
        <w:tc>
          <w:tcPr>
            <w:tcW w:w="253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160" w:lineRule="exact"/>
              <w:jc w:val="left"/>
              <w:textAlignment w:val="center"/>
              <w:rPr>
                <w:rFonts w:eastAsia="simhei"/>
                <w:i/>
                <w:iCs/>
                <w:color w:val="000000"/>
                <w:sz w:val="18"/>
                <w:szCs w:val="18"/>
                <w:u w:val="none"/>
              </w:rPr>
            </w:pPr>
            <w:r>
              <w:rPr>
                <w:rFonts w:eastAsia="simhei"/>
                <w:i/>
                <w:iCs/>
                <w:color w:val="000000"/>
                <w:kern w:val="0"/>
                <w:sz w:val="16"/>
                <w:szCs w:val="16"/>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其中：财政资金</w:t>
            </w:r>
          </w:p>
        </w:tc>
        <w:tc>
          <w:tcPr>
            <w:tcW w:w="1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55.00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53.98</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53.98</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100.00%</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253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7"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财政专户管理资金</w:t>
            </w:r>
          </w:p>
        </w:tc>
        <w:tc>
          <w:tcPr>
            <w:tcW w:w="1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253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单位资金</w:t>
            </w:r>
          </w:p>
        </w:tc>
        <w:tc>
          <w:tcPr>
            <w:tcW w:w="1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253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其他资金</w:t>
            </w:r>
          </w:p>
        </w:tc>
        <w:tc>
          <w:tcPr>
            <w:tcW w:w="1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253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 w:hRule="atLeast"/>
        </w:trPr>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绩效指标（90分）</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一级指标</w:t>
            </w:r>
          </w:p>
        </w:tc>
        <w:tc>
          <w:tcPr>
            <w:tcW w:w="1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三级指标</w:t>
            </w:r>
          </w:p>
        </w:tc>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ascii="宋体" w:hAnsi="宋体" w:eastAsia="宋体" w:cs="宋体"/>
                <w:kern w:val="2"/>
                <w:sz w:val="11"/>
                <w:szCs w:val="18"/>
                <w:lang w:val="en-US" w:eastAsia="zh-CN" w:bidi="ar-SA"/>
              </w:rPr>
              <w:t>指标性质</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指标值</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1"/>
                <w:szCs w:val="11"/>
                <w:u w:val="none"/>
                <w:lang w:val="en-US" w:eastAsia="zh-CN"/>
              </w:rPr>
              <w:t>度量单位</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完成值</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权重</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得分</w:t>
            </w:r>
          </w:p>
        </w:tc>
        <w:tc>
          <w:tcPr>
            <w:tcW w:w="2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6"/>
                <w:szCs w:val="16"/>
                <w:u w:val="none"/>
                <w:lang w:val="en-US" w:eastAsia="zh-CN"/>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2"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9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产出指标</w:t>
            </w:r>
          </w:p>
        </w:tc>
        <w:tc>
          <w:tcPr>
            <w:tcW w:w="195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开展活动种类</w:t>
            </w:r>
          </w:p>
        </w:tc>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4</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个</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4</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20</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20</w:t>
            </w:r>
          </w:p>
        </w:tc>
        <w:tc>
          <w:tcPr>
            <w:tcW w:w="2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7"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参与活动人次</w:t>
            </w:r>
          </w:p>
        </w:tc>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100</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人次</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203</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5</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5</w:t>
            </w:r>
          </w:p>
        </w:tc>
        <w:tc>
          <w:tcPr>
            <w:tcW w:w="2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2"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服务文艺家协会数量</w:t>
            </w:r>
          </w:p>
        </w:tc>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个</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5</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5</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0.25</w:t>
            </w:r>
          </w:p>
        </w:tc>
        <w:tc>
          <w:tcPr>
            <w:tcW w:w="2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4"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质量指标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活动完成率</w:t>
            </w:r>
          </w:p>
        </w:tc>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100</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100</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5</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5</w:t>
            </w:r>
          </w:p>
        </w:tc>
        <w:tc>
          <w:tcPr>
            <w:tcW w:w="2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9"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时效指标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项目完成及时率</w:t>
            </w:r>
          </w:p>
        </w:tc>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100</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100</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5</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5</w:t>
            </w:r>
          </w:p>
        </w:tc>
        <w:tc>
          <w:tcPr>
            <w:tcW w:w="2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4"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效益指标</w:t>
            </w:r>
          </w:p>
        </w:tc>
        <w:tc>
          <w:tcPr>
            <w:tcW w:w="1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协会开展活动频次提升率</w:t>
            </w:r>
          </w:p>
        </w:tc>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10</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20</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20</w:t>
            </w:r>
          </w:p>
        </w:tc>
        <w:tc>
          <w:tcPr>
            <w:tcW w:w="2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满意度指标</w:t>
            </w:r>
          </w:p>
        </w:tc>
        <w:tc>
          <w:tcPr>
            <w:tcW w:w="1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受惠群众满意度</w:t>
            </w:r>
          </w:p>
        </w:tc>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98</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98</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2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2"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成本指标</w:t>
            </w:r>
          </w:p>
        </w:tc>
        <w:tc>
          <w:tcPr>
            <w:tcW w:w="1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项目总金额</w:t>
            </w:r>
          </w:p>
        </w:tc>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60</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万元</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53.98</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20</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17.99</w:t>
            </w:r>
          </w:p>
        </w:tc>
        <w:tc>
          <w:tcPr>
            <w:tcW w:w="2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 w:hRule="atLeast"/>
        </w:trPr>
        <w:tc>
          <w:tcPr>
            <w:tcW w:w="1202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合计</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100</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93.05</w:t>
            </w:r>
          </w:p>
        </w:tc>
        <w:tc>
          <w:tcPr>
            <w:tcW w:w="2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7" w:hRule="atLeast"/>
        </w:trPr>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评价结论</w:t>
            </w:r>
          </w:p>
        </w:tc>
        <w:tc>
          <w:tcPr>
            <w:tcW w:w="1399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微软雅黑"/>
                <w:i/>
                <w:iCs/>
                <w:color w:val="000000"/>
                <w:sz w:val="13"/>
                <w:szCs w:val="13"/>
                <w:u w:val="none"/>
              </w:rPr>
            </w:pPr>
            <w:r>
              <w:rPr>
                <w:rFonts w:eastAsia="微软雅黑"/>
                <w:i/>
                <w:iCs/>
                <w:color w:val="000000"/>
                <w:kern w:val="0"/>
                <w:sz w:val="13"/>
                <w:szCs w:val="13"/>
                <w:u w:val="none"/>
                <w:lang w:val="en-US" w:eastAsia="zh-CN"/>
              </w:rPr>
              <w:t>我单位按质按量完成目标任务。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7" w:hRule="atLeast"/>
        </w:trPr>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存在问题</w:t>
            </w:r>
          </w:p>
        </w:tc>
        <w:tc>
          <w:tcPr>
            <w:tcW w:w="1399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3"/>
                <w:szCs w:val="13"/>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 w:hRule="atLeast"/>
        </w:trPr>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改进措施</w:t>
            </w:r>
          </w:p>
        </w:tc>
        <w:tc>
          <w:tcPr>
            <w:tcW w:w="1399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3"/>
                <w:szCs w:val="13"/>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trPr>
        <w:tc>
          <w:tcPr>
            <w:tcW w:w="815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kern w:val="0"/>
                <w:sz w:val="15"/>
                <w:szCs w:val="15"/>
                <w:u w:val="none"/>
                <w:lang w:val="en-US" w:eastAsia="zh-CN"/>
              </w:rPr>
            </w:pPr>
            <w:r>
              <w:rPr>
                <w:rFonts w:eastAsia="simhei"/>
                <w:i w:val="0"/>
                <w:iCs w:val="0"/>
                <w:color w:val="000000"/>
                <w:kern w:val="0"/>
                <w:sz w:val="18"/>
                <w:szCs w:val="18"/>
                <w:u w:val="none"/>
                <w:lang w:val="en-US" w:eastAsia="zh-CN"/>
              </w:rPr>
              <w:t>项目负责人：周利庚、王庆九</w:t>
            </w:r>
          </w:p>
        </w:tc>
        <w:tc>
          <w:tcPr>
            <w:tcW w:w="7778"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微软雅黑"/>
                <w:i/>
                <w:iCs/>
                <w:color w:val="000000"/>
                <w:sz w:val="13"/>
                <w:szCs w:val="13"/>
                <w:u w:val="none"/>
              </w:rPr>
            </w:pPr>
            <w:r>
              <w:rPr>
                <w:rFonts w:eastAsia="simhei"/>
                <w:i w:val="0"/>
                <w:iCs w:val="0"/>
                <w:color w:val="000000"/>
                <w:kern w:val="0"/>
                <w:sz w:val="18"/>
                <w:szCs w:val="18"/>
                <w:u w:val="none"/>
                <w:lang w:val="en-US" w:eastAsia="zh-CN"/>
              </w:rPr>
              <w:t>财务负责人：刘小花</w:t>
            </w:r>
          </w:p>
        </w:tc>
      </w:tr>
    </w:tbl>
    <w:tbl>
      <w:tblPr>
        <w:tblStyle w:val="15"/>
        <w:tblpPr w:leftFromText="180" w:rightFromText="180" w:vertAnchor="text" w:horzAnchor="page" w:tblpX="517" w:tblpY="-1"/>
        <w:tblOverlap w:val="never"/>
        <w:tblW w:w="159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26"/>
        <w:gridCol w:w="2429"/>
        <w:gridCol w:w="1290"/>
        <w:gridCol w:w="2320"/>
        <w:gridCol w:w="170"/>
        <w:gridCol w:w="690"/>
        <w:gridCol w:w="1140"/>
        <w:gridCol w:w="787"/>
        <w:gridCol w:w="1178"/>
        <w:gridCol w:w="630"/>
        <w:gridCol w:w="660"/>
        <w:gridCol w:w="26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15960"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黑体"/>
                <w:b/>
                <w:bCs/>
                <w:i w:val="0"/>
                <w:iCs w:val="0"/>
                <w:color w:val="000000"/>
                <w:sz w:val="30"/>
                <w:szCs w:val="30"/>
                <w:u w:val="none"/>
              </w:rPr>
            </w:pPr>
            <w:r>
              <w:rPr>
                <w:rFonts w:eastAsia="黑体"/>
                <w:b/>
                <w:bCs/>
                <w:i w:val="0"/>
                <w:iCs w:val="0"/>
                <w:color w:val="000000"/>
                <w:kern w:val="0"/>
                <w:sz w:val="28"/>
                <w:szCs w:val="28"/>
                <w:u w:val="none"/>
                <w:lang w:val="en-US" w:eastAsia="zh-CN"/>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 w:hRule="atLeast"/>
        </w:trPr>
        <w:tc>
          <w:tcPr>
            <w:tcW w:w="44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项目名称</w:t>
            </w:r>
          </w:p>
        </w:tc>
        <w:tc>
          <w:tcPr>
            <w:tcW w:w="1150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51320021T000000114397-《阿坝文艺》办刊费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4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主管部门</w:t>
            </w:r>
          </w:p>
        </w:tc>
        <w:tc>
          <w:tcPr>
            <w:tcW w:w="6397"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州文联部门</w:t>
            </w:r>
          </w:p>
        </w:tc>
        <w:tc>
          <w:tcPr>
            <w:tcW w:w="1808" w:type="dxa"/>
            <w:gridSpan w:val="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eastAsia="simhei"/>
                <w:i w:val="0"/>
                <w:iCs w:val="0"/>
                <w:color w:val="000000"/>
                <w:sz w:val="16"/>
                <w:szCs w:val="16"/>
                <w:u w:val="none"/>
              </w:rPr>
            </w:pPr>
            <w:r>
              <w:rPr>
                <w:rFonts w:eastAsia="simhei"/>
                <w:i w:val="0"/>
                <w:iCs w:val="0"/>
                <w:color w:val="000000"/>
                <w:kern w:val="0"/>
                <w:sz w:val="16"/>
                <w:szCs w:val="16"/>
                <w:u w:val="none"/>
                <w:lang w:val="en-US" w:eastAsia="zh-CN"/>
              </w:rPr>
              <w:t>实施单位 （盖章）</w:t>
            </w:r>
          </w:p>
        </w:tc>
        <w:tc>
          <w:tcPr>
            <w:tcW w:w="33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02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项目基本情况</w:t>
            </w:r>
          </w:p>
        </w:tc>
        <w:tc>
          <w:tcPr>
            <w:tcW w:w="242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1.项目年度目标完成情况</w:t>
            </w:r>
          </w:p>
        </w:tc>
        <w:tc>
          <w:tcPr>
            <w:tcW w:w="6397"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项目年度目标</w:t>
            </w:r>
          </w:p>
        </w:tc>
        <w:tc>
          <w:tcPr>
            <w:tcW w:w="510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4" w:hRule="atLeast"/>
        </w:trPr>
        <w:tc>
          <w:tcPr>
            <w:tcW w:w="20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4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397"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5"/>
                <w:szCs w:val="15"/>
                <w:u w:val="none"/>
                <w:lang w:val="en-US" w:eastAsia="zh-CN"/>
              </w:rPr>
              <w:t>《阿坝文艺》季刊办刊费和“阿坝文艺”微信平台运营维护费，积极宣传我州文学艺术成果，展示我州文艺新风貌。</w:t>
            </w:r>
          </w:p>
        </w:tc>
        <w:tc>
          <w:tcPr>
            <w:tcW w:w="510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6"/>
                <w:szCs w:val="16"/>
                <w:u w:val="none"/>
              </w:rPr>
            </w:pPr>
            <w:r>
              <w:rPr>
                <w:rFonts w:eastAsia="simhei"/>
                <w:i w:val="0"/>
                <w:iCs w:val="0"/>
                <w:color w:val="000000"/>
                <w:kern w:val="0"/>
                <w:sz w:val="16"/>
                <w:szCs w:val="16"/>
                <w:u w:val="none"/>
                <w:lang w:val="en-US" w:eastAsia="zh-CN"/>
              </w:rPr>
              <w:t>完成年度目标任务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20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2.项目实施内容及过程概述</w:t>
            </w:r>
          </w:p>
        </w:tc>
        <w:tc>
          <w:tcPr>
            <w:tcW w:w="1150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《阿坝文艺》季刊办刊，“阿坝文艺”微信平台运营维护费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7" w:hRule="atLeast"/>
        </w:trPr>
        <w:tc>
          <w:tcPr>
            <w:tcW w:w="202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预算执行情况（10分）</w:t>
            </w:r>
          </w:p>
        </w:tc>
        <w:tc>
          <w:tcPr>
            <w:tcW w:w="2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年度预算数（万元）</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年初预算</w:t>
            </w: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调整后预算数</w:t>
            </w:r>
          </w:p>
        </w:tc>
        <w:tc>
          <w:tcPr>
            <w:tcW w:w="261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预算执行数</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预算执行率</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权重</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得分</w:t>
            </w:r>
          </w:p>
        </w:tc>
        <w:tc>
          <w:tcPr>
            <w:tcW w:w="2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0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总额</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22.00</w:t>
            </w: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17.82</w:t>
            </w:r>
          </w:p>
        </w:tc>
        <w:tc>
          <w:tcPr>
            <w:tcW w:w="261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17.82</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100.00%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8.1</w:t>
            </w:r>
          </w:p>
        </w:tc>
        <w:tc>
          <w:tcPr>
            <w:tcW w:w="264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160" w:lineRule="exact"/>
              <w:jc w:val="left"/>
              <w:textAlignment w:val="center"/>
              <w:rPr>
                <w:rFonts w:eastAsia="simhei"/>
                <w:i/>
                <w:iCs/>
                <w:color w:val="000000"/>
                <w:sz w:val="18"/>
                <w:szCs w:val="18"/>
                <w:u w:val="none"/>
              </w:rPr>
            </w:pPr>
            <w:r>
              <w:rPr>
                <w:rFonts w:eastAsia="simhei"/>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0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其中：财政资金</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22.00</w:t>
            </w: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17.82</w:t>
            </w:r>
          </w:p>
        </w:tc>
        <w:tc>
          <w:tcPr>
            <w:tcW w:w="261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17.82</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100.00%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26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0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财政专户管理资金</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61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26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 w:hRule="atLeast"/>
        </w:trPr>
        <w:tc>
          <w:tcPr>
            <w:tcW w:w="20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单位资金</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61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26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 w:hRule="atLeast"/>
        </w:trPr>
        <w:tc>
          <w:tcPr>
            <w:tcW w:w="20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其他资金</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261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26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202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绩效指标（90分）</w:t>
            </w:r>
          </w:p>
        </w:tc>
        <w:tc>
          <w:tcPr>
            <w:tcW w:w="2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一级指标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二级指标</w:t>
            </w: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三级指标</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20"/>
                <w:szCs w:val="20"/>
                <w:u w:val="none"/>
              </w:rPr>
            </w:pPr>
            <w:r>
              <w:rPr>
                <w:rFonts w:eastAsia="宋体"/>
                <w:i w:val="0"/>
                <w:iCs w:val="0"/>
                <w:color w:val="000000"/>
                <w:kern w:val="0"/>
                <w:sz w:val="11"/>
                <w:szCs w:val="11"/>
                <w:u w:val="none"/>
                <w:lang w:val="en-US" w:eastAsia="zh-CN"/>
              </w:rPr>
              <w:t>指标性质</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指标值</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3"/>
                <w:szCs w:val="13"/>
                <w:u w:val="none"/>
                <w:lang w:val="en-US" w:eastAsia="zh-CN"/>
              </w:rPr>
              <w:t>度量单位</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完成值</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权重</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得分</w:t>
            </w:r>
          </w:p>
        </w:tc>
        <w:tc>
          <w:tcPr>
            <w:tcW w:w="2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atLeast"/>
        </w:trPr>
        <w:tc>
          <w:tcPr>
            <w:tcW w:w="20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42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产出指标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数量指标</w:t>
            </w: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《阿坝文艺》年出版数量</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4</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期/年</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2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20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4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质量指标</w:t>
            </w: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《阿坝文艺》刊物质量达标率</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98</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98</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2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 w:hRule="atLeast"/>
        </w:trPr>
        <w:tc>
          <w:tcPr>
            <w:tcW w:w="20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4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时效指标</w:t>
            </w: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项目完成及时率</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100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2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20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效益指标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6"/>
                <w:szCs w:val="16"/>
                <w:u w:val="none"/>
                <w:lang w:val="en-US" w:eastAsia="zh-CN"/>
              </w:rPr>
              <w:t>社会效益指标</w:t>
            </w: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提升公众文化认同感</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定性</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效果显著</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效果显著</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2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20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满意度指标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6"/>
                <w:szCs w:val="16"/>
                <w:u w:val="none"/>
                <w:lang w:val="en-US" w:eastAsia="zh-CN"/>
              </w:rPr>
              <w:t>服务对象满意度指标</w:t>
            </w: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公众满意度(%)</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98</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98</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2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7" w:hRule="atLeast"/>
        </w:trPr>
        <w:tc>
          <w:tcPr>
            <w:tcW w:w="20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42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成本指标</w:t>
            </w:r>
          </w:p>
        </w:tc>
        <w:tc>
          <w:tcPr>
            <w:tcW w:w="12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6"/>
                <w:szCs w:val="16"/>
                <w:u w:val="none"/>
                <w:lang w:val="en-US" w:eastAsia="zh-CN"/>
              </w:rPr>
              <w:t>经济成本指标</w:t>
            </w: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项目总金额</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22</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万元</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17.82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8.1</w:t>
            </w:r>
          </w:p>
        </w:tc>
        <w:tc>
          <w:tcPr>
            <w:tcW w:w="2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7" w:hRule="atLeast"/>
        </w:trPr>
        <w:tc>
          <w:tcPr>
            <w:tcW w:w="20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4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小程序运营费用</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万元</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5</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2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trPr>
        <w:tc>
          <w:tcPr>
            <w:tcW w:w="1203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合计</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96.2</w:t>
            </w:r>
          </w:p>
        </w:tc>
        <w:tc>
          <w:tcPr>
            <w:tcW w:w="2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评价结论</w:t>
            </w:r>
          </w:p>
        </w:tc>
        <w:tc>
          <w:tcPr>
            <w:tcW w:w="13934"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我单位按质按量完成目标任务。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5" w:hRule="atLeast"/>
        </w:trPr>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存在问题</w:t>
            </w:r>
          </w:p>
        </w:tc>
        <w:tc>
          <w:tcPr>
            <w:tcW w:w="13934"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改进措施</w:t>
            </w:r>
          </w:p>
        </w:tc>
        <w:tc>
          <w:tcPr>
            <w:tcW w:w="13934"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80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simhei" w:cs="Microsoft Himalaya"/>
                <w:i w:val="0"/>
                <w:iCs w:val="0"/>
                <w:color w:val="000000"/>
                <w:kern w:val="2"/>
                <w:sz w:val="18"/>
                <w:szCs w:val="18"/>
                <w:u w:val="none"/>
                <w:lang w:val="en-US" w:eastAsia="zh-CN" w:bidi="bo-CN"/>
              </w:rPr>
            </w:pPr>
            <w:r>
              <w:rPr>
                <w:rFonts w:eastAsia="simhei"/>
                <w:i w:val="0"/>
                <w:iCs w:val="0"/>
                <w:color w:val="000000"/>
                <w:kern w:val="0"/>
                <w:sz w:val="18"/>
                <w:szCs w:val="18"/>
                <w:u w:val="none"/>
                <w:lang w:val="en-US" w:eastAsia="zh-CN"/>
              </w:rPr>
              <w:t>项目负责人：王庆九</w:t>
            </w:r>
          </w:p>
        </w:tc>
        <w:tc>
          <w:tcPr>
            <w:tcW w:w="7895"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simhei" w:cs="Times New Roman"/>
                <w:i w:val="0"/>
                <w:iCs w:val="0"/>
                <w:color w:val="000000"/>
                <w:kern w:val="2"/>
                <w:sz w:val="18"/>
                <w:szCs w:val="18"/>
                <w:u w:val="none"/>
                <w:lang w:val="en-US" w:eastAsia="zh-CN" w:bidi="ar-SA"/>
              </w:rPr>
            </w:pPr>
            <w:r>
              <w:rPr>
                <w:rFonts w:eastAsia="simhei"/>
                <w:i w:val="0"/>
                <w:iCs w:val="0"/>
                <w:color w:val="000000"/>
                <w:kern w:val="0"/>
                <w:sz w:val="18"/>
                <w:szCs w:val="18"/>
                <w:u w:val="none"/>
                <w:lang w:val="en-US" w:eastAsia="zh-CN"/>
              </w:rPr>
              <w:t>财务负责人：刘小花</w:t>
            </w:r>
          </w:p>
        </w:tc>
      </w:tr>
    </w:tbl>
    <w:tbl>
      <w:tblPr>
        <w:tblStyle w:val="15"/>
        <w:tblW w:w="20211" w:type="dxa"/>
        <w:tblInd w:w="-45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026"/>
        <w:gridCol w:w="1655"/>
        <w:gridCol w:w="279"/>
        <w:gridCol w:w="1"/>
        <w:gridCol w:w="45"/>
        <w:gridCol w:w="44"/>
        <w:gridCol w:w="30"/>
        <w:gridCol w:w="106"/>
        <w:gridCol w:w="1550"/>
        <w:gridCol w:w="114"/>
        <w:gridCol w:w="1"/>
        <w:gridCol w:w="149"/>
        <w:gridCol w:w="1306"/>
        <w:gridCol w:w="90"/>
        <w:gridCol w:w="22"/>
        <w:gridCol w:w="88"/>
        <w:gridCol w:w="1750"/>
        <w:gridCol w:w="149"/>
        <w:gridCol w:w="45"/>
        <w:gridCol w:w="301"/>
        <w:gridCol w:w="20"/>
        <w:gridCol w:w="525"/>
        <w:gridCol w:w="99"/>
        <w:gridCol w:w="75"/>
        <w:gridCol w:w="256"/>
        <w:gridCol w:w="30"/>
        <w:gridCol w:w="704"/>
        <w:gridCol w:w="91"/>
        <w:gridCol w:w="165"/>
        <w:gridCol w:w="88"/>
        <w:gridCol w:w="172"/>
        <w:gridCol w:w="525"/>
        <w:gridCol w:w="59"/>
        <w:gridCol w:w="115"/>
        <w:gridCol w:w="31"/>
        <w:gridCol w:w="890"/>
        <w:gridCol w:w="52"/>
        <w:gridCol w:w="108"/>
        <w:gridCol w:w="400"/>
        <w:gridCol w:w="52"/>
        <w:gridCol w:w="13"/>
        <w:gridCol w:w="59"/>
        <w:gridCol w:w="75"/>
        <w:gridCol w:w="91"/>
        <w:gridCol w:w="120"/>
        <w:gridCol w:w="90"/>
        <w:gridCol w:w="90"/>
        <w:gridCol w:w="100"/>
        <w:gridCol w:w="94"/>
        <w:gridCol w:w="61"/>
        <w:gridCol w:w="180"/>
        <w:gridCol w:w="2744"/>
        <w:gridCol w:w="1"/>
        <w:gridCol w:w="15"/>
        <w:gridCol w:w="15"/>
        <w:gridCol w:w="14"/>
        <w:gridCol w:w="15"/>
        <w:gridCol w:w="31"/>
        <w:gridCol w:w="1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494" w:hRule="atLeast"/>
        </w:trPr>
        <w:tc>
          <w:tcPr>
            <w:tcW w:w="20016" w:type="dxa"/>
            <w:gridSpan w:val="5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黑体"/>
                <w:b/>
                <w:bCs/>
                <w:i w:val="0"/>
                <w:iCs w:val="0"/>
                <w:color w:val="000000"/>
                <w:sz w:val="30"/>
                <w:szCs w:val="30"/>
                <w:u w:val="none"/>
              </w:rPr>
            </w:pPr>
            <w:r>
              <w:rPr>
                <w:rFonts w:eastAsia="黑体"/>
                <w:b/>
                <w:bCs/>
                <w:i w:val="0"/>
                <w:iCs w:val="0"/>
                <w:color w:val="000000"/>
                <w:kern w:val="0"/>
                <w:sz w:val="30"/>
                <w:szCs w:val="30"/>
                <w:u w:val="none"/>
                <w:lang w:val="en-US" w:eastAsia="zh-CN"/>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95" w:type="dxa"/>
          <w:trHeight w:val="286" w:hRule="atLeast"/>
        </w:trPr>
        <w:tc>
          <w:tcPr>
            <w:tcW w:w="7851"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项目名称</w:t>
            </w:r>
          </w:p>
        </w:tc>
        <w:tc>
          <w:tcPr>
            <w:tcW w:w="12165" w:type="dxa"/>
            <w:gridSpan w:val="4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51320021T000000114624-阿坝创作基地工作经费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217" w:hRule="atLeast"/>
        </w:trPr>
        <w:tc>
          <w:tcPr>
            <w:tcW w:w="7851"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主管部门</w:t>
            </w:r>
          </w:p>
        </w:tc>
        <w:tc>
          <w:tcPr>
            <w:tcW w:w="6855" w:type="dxa"/>
            <w:gridSpan w:val="2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州文联部门</w:t>
            </w:r>
          </w:p>
        </w:tc>
        <w:tc>
          <w:tcPr>
            <w:tcW w:w="1740" w:type="dxa"/>
            <w:gridSpan w:val="9"/>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eastAsia="simhei"/>
                <w:i w:val="0"/>
                <w:iCs w:val="0"/>
                <w:color w:val="000000"/>
                <w:sz w:val="13"/>
                <w:szCs w:val="13"/>
                <w:u w:val="none"/>
              </w:rPr>
            </w:pPr>
            <w:r>
              <w:rPr>
                <w:rFonts w:eastAsia="simhei"/>
                <w:i w:val="0"/>
                <w:iCs w:val="0"/>
                <w:color w:val="000000"/>
                <w:kern w:val="0"/>
                <w:sz w:val="16"/>
                <w:szCs w:val="16"/>
                <w:u w:val="none"/>
                <w:lang w:val="en-US" w:eastAsia="zh-CN"/>
              </w:rPr>
              <w:t>实施单位 （盖章）</w:t>
            </w:r>
          </w:p>
        </w:tc>
        <w:tc>
          <w:tcPr>
            <w:tcW w:w="3570" w:type="dxa"/>
            <w:gridSpan w:val="1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212" w:hRule="atLeast"/>
        </w:trPr>
        <w:tc>
          <w:tcPr>
            <w:tcW w:w="6186" w:type="dxa"/>
            <w:gridSpan w:val="8"/>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项目基本情况</w:t>
            </w:r>
          </w:p>
        </w:tc>
        <w:tc>
          <w:tcPr>
            <w:tcW w:w="166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1.项目年度目标完成情况</w:t>
            </w:r>
          </w:p>
        </w:tc>
        <w:tc>
          <w:tcPr>
            <w:tcW w:w="6855" w:type="dxa"/>
            <w:gridSpan w:val="2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项目年度目标</w:t>
            </w:r>
          </w:p>
        </w:tc>
        <w:tc>
          <w:tcPr>
            <w:tcW w:w="5310" w:type="dxa"/>
            <w:gridSpan w:val="2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simhei"/>
                <w:i w:val="0"/>
                <w:iCs w:val="0"/>
                <w:color w:val="000000"/>
                <w:sz w:val="15"/>
                <w:szCs w:val="15"/>
                <w:u w:val="none"/>
              </w:rPr>
            </w:pPr>
            <w:r>
              <w:rPr>
                <w:rFonts w:eastAsia="simhei"/>
                <w:i w:val="0"/>
                <w:iCs w:val="0"/>
                <w:color w:val="000000"/>
                <w:kern w:val="0"/>
                <w:sz w:val="15"/>
                <w:szCs w:val="15"/>
                <w:u w:val="none"/>
                <w:lang w:val="en-US" w:eastAsia="zh-CN"/>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928" w:hRule="atLeast"/>
        </w:trPr>
        <w:tc>
          <w:tcPr>
            <w:tcW w:w="6186"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66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18"/>
                <w:szCs w:val="21"/>
              </w:rPr>
            </w:pPr>
          </w:p>
        </w:tc>
        <w:tc>
          <w:tcPr>
            <w:tcW w:w="6855" w:type="dxa"/>
            <w:gridSpan w:val="2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3"/>
                <w:szCs w:val="13"/>
                <w:u w:val="none"/>
              </w:rPr>
            </w:pPr>
            <w:r>
              <w:rPr>
                <w:rFonts w:eastAsia="宋体"/>
                <w:i w:val="0"/>
                <w:iCs w:val="0"/>
                <w:color w:val="000000"/>
                <w:kern w:val="0"/>
                <w:sz w:val="13"/>
                <w:szCs w:val="13"/>
                <w:u w:val="none"/>
                <w:lang w:val="en-US" w:eastAsia="zh-CN"/>
              </w:rPr>
              <w:t>根据我州和《民族文学》杂志社签订的阿坝创作基地设立的协议，每年需订购《民族文学》杂志200份需要支付50000元资料费，同时为了及时掌握全国乃至世界各门类文学艺术新成果、新作品，州文联每年需要购买2万元左右的新书，通过订购文学刊物和新书，丰富文艺创作资源，提升我州文艺创作水平和积极。</w:t>
            </w:r>
          </w:p>
        </w:tc>
        <w:tc>
          <w:tcPr>
            <w:tcW w:w="5310" w:type="dxa"/>
            <w:gridSpan w:val="2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5"/>
                <w:szCs w:val="15"/>
                <w:u w:val="none"/>
              </w:rPr>
            </w:pPr>
            <w:r>
              <w:rPr>
                <w:rFonts w:eastAsia="simhei"/>
                <w:i w:val="0"/>
                <w:iCs w:val="0"/>
                <w:color w:val="000000"/>
                <w:kern w:val="0"/>
                <w:sz w:val="15"/>
                <w:szCs w:val="15"/>
                <w:u w:val="none"/>
                <w:lang w:val="en-US" w:eastAsia="zh-CN"/>
              </w:rPr>
              <w:t>完成年度目标任务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524" w:hRule="atLeast"/>
        </w:trPr>
        <w:tc>
          <w:tcPr>
            <w:tcW w:w="6186"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6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2.项目实施内容及过程概述</w:t>
            </w:r>
          </w:p>
        </w:tc>
        <w:tc>
          <w:tcPr>
            <w:tcW w:w="12165" w:type="dxa"/>
            <w:gridSpan w:val="4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3"/>
                <w:szCs w:val="13"/>
                <w:u w:val="none"/>
              </w:rPr>
            </w:pPr>
            <w:r>
              <w:rPr>
                <w:rFonts w:eastAsia="宋体"/>
                <w:i w:val="0"/>
                <w:iCs w:val="0"/>
                <w:color w:val="000000"/>
                <w:kern w:val="0"/>
                <w:sz w:val="13"/>
                <w:szCs w:val="13"/>
                <w:u w:val="none"/>
                <w:lang w:val="en-US" w:eastAsia="zh-CN"/>
              </w:rPr>
              <w:t>我州和《民族文学》杂志社签订的阿坝创作基地设立的协议，每年需订购《民族文学》杂志200份需要支付50000元资料费，同时为了及时掌握全国乃至世界各门类文学艺术新成果、新作品，州文联每年需要购买2万元左右的新书，通过订购文学刊物和新书，丰富文艺创作资源，提升我州文艺创作水平和积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212" w:hRule="atLeast"/>
        </w:trPr>
        <w:tc>
          <w:tcPr>
            <w:tcW w:w="6186" w:type="dxa"/>
            <w:gridSpan w:val="8"/>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预算执行情况（10分）</w:t>
            </w:r>
          </w:p>
        </w:tc>
        <w:tc>
          <w:tcPr>
            <w:tcW w:w="16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年度预算数（万元）</w:t>
            </w:r>
          </w:p>
        </w:tc>
        <w:tc>
          <w:tcPr>
            <w:tcW w:w="154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年初预算</w:t>
            </w:r>
          </w:p>
        </w:tc>
        <w:tc>
          <w:tcPr>
            <w:tcW w:w="23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调整后预算数</w:t>
            </w:r>
          </w:p>
        </w:tc>
        <w:tc>
          <w:tcPr>
            <w:tcW w:w="2955"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预算执行数</w:t>
            </w:r>
          </w:p>
        </w:tc>
        <w:tc>
          <w:tcPr>
            <w:tcW w:w="10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5"/>
                <w:szCs w:val="15"/>
                <w:u w:val="none"/>
                <w:lang w:val="en-US" w:eastAsia="zh-CN"/>
              </w:rPr>
              <w:t>预算执行率</w:t>
            </w:r>
          </w:p>
        </w:tc>
        <w:tc>
          <w:tcPr>
            <w:tcW w:w="69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权重</w:t>
            </w:r>
          </w:p>
        </w:tc>
        <w:tc>
          <w:tcPr>
            <w:tcW w:w="73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得分</w:t>
            </w:r>
          </w:p>
        </w:tc>
        <w:tc>
          <w:tcPr>
            <w:tcW w:w="283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242" w:hRule="atLeast"/>
        </w:trPr>
        <w:tc>
          <w:tcPr>
            <w:tcW w:w="6186"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6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总额</w:t>
            </w:r>
          </w:p>
        </w:tc>
        <w:tc>
          <w:tcPr>
            <w:tcW w:w="154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7.00</w:t>
            </w:r>
          </w:p>
        </w:tc>
        <w:tc>
          <w:tcPr>
            <w:tcW w:w="23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7.00</w:t>
            </w:r>
          </w:p>
        </w:tc>
        <w:tc>
          <w:tcPr>
            <w:tcW w:w="2955"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7.00</w:t>
            </w:r>
          </w:p>
        </w:tc>
        <w:tc>
          <w:tcPr>
            <w:tcW w:w="10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100.00%</w:t>
            </w:r>
          </w:p>
        </w:tc>
        <w:tc>
          <w:tcPr>
            <w:tcW w:w="69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73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2835" w:type="dxa"/>
            <w:gridSpan w:val="7"/>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160" w:lineRule="exact"/>
              <w:jc w:val="left"/>
              <w:textAlignment w:val="center"/>
              <w:rPr>
                <w:rFonts w:eastAsia="simhei"/>
                <w:i/>
                <w:iCs/>
                <w:color w:val="000000"/>
                <w:sz w:val="16"/>
                <w:szCs w:val="16"/>
                <w:u w:val="none"/>
              </w:rPr>
            </w:pPr>
            <w:r>
              <w:rPr>
                <w:rFonts w:eastAsia="simhei"/>
                <w:i/>
                <w:iCs/>
                <w:color w:val="000000"/>
                <w:kern w:val="0"/>
                <w:sz w:val="16"/>
                <w:szCs w:val="16"/>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95" w:type="dxa"/>
          <w:trHeight w:val="291" w:hRule="atLeast"/>
        </w:trPr>
        <w:tc>
          <w:tcPr>
            <w:tcW w:w="6186"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6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其中：财政资金</w:t>
            </w:r>
          </w:p>
        </w:tc>
        <w:tc>
          <w:tcPr>
            <w:tcW w:w="154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7.00</w:t>
            </w:r>
          </w:p>
        </w:tc>
        <w:tc>
          <w:tcPr>
            <w:tcW w:w="23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7.00</w:t>
            </w:r>
          </w:p>
        </w:tc>
        <w:tc>
          <w:tcPr>
            <w:tcW w:w="2955"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7.00</w:t>
            </w:r>
          </w:p>
        </w:tc>
        <w:tc>
          <w:tcPr>
            <w:tcW w:w="10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100.00%</w:t>
            </w:r>
          </w:p>
        </w:tc>
        <w:tc>
          <w:tcPr>
            <w:tcW w:w="69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73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283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322" w:hRule="atLeast"/>
        </w:trPr>
        <w:tc>
          <w:tcPr>
            <w:tcW w:w="6186"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6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财政专户管理资金</w:t>
            </w:r>
          </w:p>
        </w:tc>
        <w:tc>
          <w:tcPr>
            <w:tcW w:w="154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23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2955"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10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69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73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283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306" w:hRule="atLeast"/>
        </w:trPr>
        <w:tc>
          <w:tcPr>
            <w:tcW w:w="6186"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6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单位资金</w:t>
            </w:r>
          </w:p>
        </w:tc>
        <w:tc>
          <w:tcPr>
            <w:tcW w:w="154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23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2955"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10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69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73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283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212" w:hRule="atLeast"/>
        </w:trPr>
        <w:tc>
          <w:tcPr>
            <w:tcW w:w="6186"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6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其他资金</w:t>
            </w:r>
          </w:p>
        </w:tc>
        <w:tc>
          <w:tcPr>
            <w:tcW w:w="154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c>
          <w:tcPr>
            <w:tcW w:w="23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c>
          <w:tcPr>
            <w:tcW w:w="2955"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c>
          <w:tcPr>
            <w:tcW w:w="10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c>
          <w:tcPr>
            <w:tcW w:w="69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73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283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272" w:hRule="atLeast"/>
        </w:trPr>
        <w:tc>
          <w:tcPr>
            <w:tcW w:w="6186" w:type="dxa"/>
            <w:gridSpan w:val="8"/>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绩效指标（90分）</w:t>
            </w:r>
          </w:p>
        </w:tc>
        <w:tc>
          <w:tcPr>
            <w:tcW w:w="16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一级指标</w:t>
            </w:r>
          </w:p>
        </w:tc>
        <w:tc>
          <w:tcPr>
            <w:tcW w:w="154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二级指标</w:t>
            </w:r>
          </w:p>
        </w:tc>
        <w:tc>
          <w:tcPr>
            <w:tcW w:w="23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三级指标</w:t>
            </w:r>
          </w:p>
        </w:tc>
        <w:tc>
          <w:tcPr>
            <w:tcW w:w="9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指标性质</w:t>
            </w:r>
          </w:p>
        </w:tc>
        <w:tc>
          <w:tcPr>
            <w:tcW w:w="99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指标值</w:t>
            </w:r>
          </w:p>
        </w:tc>
        <w:tc>
          <w:tcPr>
            <w:tcW w:w="99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度量单位</w:t>
            </w:r>
          </w:p>
        </w:tc>
        <w:tc>
          <w:tcPr>
            <w:tcW w:w="10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完成值</w:t>
            </w:r>
          </w:p>
        </w:tc>
        <w:tc>
          <w:tcPr>
            <w:tcW w:w="69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权重</w:t>
            </w:r>
          </w:p>
        </w:tc>
        <w:tc>
          <w:tcPr>
            <w:tcW w:w="73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得分</w:t>
            </w:r>
          </w:p>
        </w:tc>
        <w:tc>
          <w:tcPr>
            <w:tcW w:w="283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272" w:hRule="atLeast"/>
        </w:trPr>
        <w:tc>
          <w:tcPr>
            <w:tcW w:w="6186"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66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产出指标</w:t>
            </w:r>
          </w:p>
        </w:tc>
        <w:tc>
          <w:tcPr>
            <w:tcW w:w="154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数量指标</w:t>
            </w:r>
          </w:p>
        </w:tc>
        <w:tc>
          <w:tcPr>
            <w:tcW w:w="23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订购&lt;民族文学&gt;杂志份数</w:t>
            </w:r>
          </w:p>
        </w:tc>
        <w:tc>
          <w:tcPr>
            <w:tcW w:w="9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99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200</w:t>
            </w:r>
          </w:p>
        </w:tc>
        <w:tc>
          <w:tcPr>
            <w:tcW w:w="99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份</w:t>
            </w:r>
          </w:p>
        </w:tc>
        <w:tc>
          <w:tcPr>
            <w:tcW w:w="10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200</w:t>
            </w:r>
          </w:p>
        </w:tc>
        <w:tc>
          <w:tcPr>
            <w:tcW w:w="69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73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283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197" w:hRule="atLeast"/>
        </w:trPr>
        <w:tc>
          <w:tcPr>
            <w:tcW w:w="6186"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66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54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23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合作刊物数</w:t>
            </w:r>
          </w:p>
        </w:tc>
        <w:tc>
          <w:tcPr>
            <w:tcW w:w="9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99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3</w:t>
            </w:r>
          </w:p>
        </w:tc>
        <w:tc>
          <w:tcPr>
            <w:tcW w:w="99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个</w:t>
            </w:r>
          </w:p>
        </w:tc>
        <w:tc>
          <w:tcPr>
            <w:tcW w:w="10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3</w:t>
            </w:r>
          </w:p>
        </w:tc>
        <w:tc>
          <w:tcPr>
            <w:tcW w:w="69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73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283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209" w:hRule="atLeast"/>
        </w:trPr>
        <w:tc>
          <w:tcPr>
            <w:tcW w:w="6186"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66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54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质量指标</w:t>
            </w:r>
          </w:p>
        </w:tc>
        <w:tc>
          <w:tcPr>
            <w:tcW w:w="23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选购刊物质量合格率</w:t>
            </w:r>
          </w:p>
        </w:tc>
        <w:tc>
          <w:tcPr>
            <w:tcW w:w="9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99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98</w:t>
            </w:r>
          </w:p>
        </w:tc>
        <w:tc>
          <w:tcPr>
            <w:tcW w:w="99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0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98</w:t>
            </w:r>
          </w:p>
        </w:tc>
        <w:tc>
          <w:tcPr>
            <w:tcW w:w="69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73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283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257" w:hRule="atLeast"/>
        </w:trPr>
        <w:tc>
          <w:tcPr>
            <w:tcW w:w="6186"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66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54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时效指标</w:t>
            </w:r>
          </w:p>
        </w:tc>
        <w:tc>
          <w:tcPr>
            <w:tcW w:w="23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项目完成及时率</w:t>
            </w:r>
          </w:p>
        </w:tc>
        <w:tc>
          <w:tcPr>
            <w:tcW w:w="9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99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2025</w:t>
            </w:r>
          </w:p>
        </w:tc>
        <w:tc>
          <w:tcPr>
            <w:tcW w:w="99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年</w:t>
            </w:r>
          </w:p>
        </w:tc>
        <w:tc>
          <w:tcPr>
            <w:tcW w:w="10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2025</w:t>
            </w:r>
          </w:p>
        </w:tc>
        <w:tc>
          <w:tcPr>
            <w:tcW w:w="69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73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110</w:t>
            </w:r>
          </w:p>
        </w:tc>
        <w:tc>
          <w:tcPr>
            <w:tcW w:w="283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314" w:hRule="atLeast"/>
        </w:trPr>
        <w:tc>
          <w:tcPr>
            <w:tcW w:w="6186"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6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效益指标</w:t>
            </w:r>
          </w:p>
        </w:tc>
        <w:tc>
          <w:tcPr>
            <w:tcW w:w="154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社会效益指标</w:t>
            </w:r>
          </w:p>
        </w:tc>
        <w:tc>
          <w:tcPr>
            <w:tcW w:w="23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促进文艺创作积极性</w:t>
            </w:r>
          </w:p>
        </w:tc>
        <w:tc>
          <w:tcPr>
            <w:tcW w:w="9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定性</w:t>
            </w:r>
          </w:p>
        </w:tc>
        <w:tc>
          <w:tcPr>
            <w:tcW w:w="99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效果显著</w:t>
            </w:r>
          </w:p>
        </w:tc>
        <w:tc>
          <w:tcPr>
            <w:tcW w:w="99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6"/>
                <w:szCs w:val="16"/>
                <w:u w:val="none"/>
              </w:rPr>
            </w:pPr>
          </w:p>
        </w:tc>
        <w:tc>
          <w:tcPr>
            <w:tcW w:w="10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效果显著</w:t>
            </w:r>
          </w:p>
        </w:tc>
        <w:tc>
          <w:tcPr>
            <w:tcW w:w="69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20</w:t>
            </w:r>
          </w:p>
        </w:tc>
        <w:tc>
          <w:tcPr>
            <w:tcW w:w="73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20</w:t>
            </w:r>
          </w:p>
        </w:tc>
        <w:tc>
          <w:tcPr>
            <w:tcW w:w="283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334" w:hRule="atLeast"/>
        </w:trPr>
        <w:tc>
          <w:tcPr>
            <w:tcW w:w="6186"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6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满意度指标</w:t>
            </w:r>
          </w:p>
        </w:tc>
        <w:tc>
          <w:tcPr>
            <w:tcW w:w="154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3"/>
                <w:szCs w:val="13"/>
                <w:u w:val="none"/>
                <w:lang w:val="en-US" w:eastAsia="zh-CN"/>
              </w:rPr>
              <w:t>服务对象满意度指标</w:t>
            </w:r>
          </w:p>
        </w:tc>
        <w:tc>
          <w:tcPr>
            <w:tcW w:w="23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争取得到我州广大会员满意</w:t>
            </w:r>
          </w:p>
        </w:tc>
        <w:tc>
          <w:tcPr>
            <w:tcW w:w="9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99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98</w:t>
            </w:r>
          </w:p>
        </w:tc>
        <w:tc>
          <w:tcPr>
            <w:tcW w:w="99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0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98</w:t>
            </w:r>
          </w:p>
        </w:tc>
        <w:tc>
          <w:tcPr>
            <w:tcW w:w="69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73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283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197" w:hRule="atLeast"/>
        </w:trPr>
        <w:tc>
          <w:tcPr>
            <w:tcW w:w="6186" w:type="dxa"/>
            <w:gridSpan w:val="8"/>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6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成本指标</w:t>
            </w:r>
          </w:p>
        </w:tc>
        <w:tc>
          <w:tcPr>
            <w:tcW w:w="154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经济成本指标</w:t>
            </w:r>
          </w:p>
        </w:tc>
        <w:tc>
          <w:tcPr>
            <w:tcW w:w="23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项目总金额</w:t>
            </w:r>
          </w:p>
        </w:tc>
        <w:tc>
          <w:tcPr>
            <w:tcW w:w="9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99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7</w:t>
            </w:r>
          </w:p>
        </w:tc>
        <w:tc>
          <w:tcPr>
            <w:tcW w:w="99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万元</w:t>
            </w:r>
          </w:p>
        </w:tc>
        <w:tc>
          <w:tcPr>
            <w:tcW w:w="105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7</w:t>
            </w:r>
          </w:p>
        </w:tc>
        <w:tc>
          <w:tcPr>
            <w:tcW w:w="69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20</w:t>
            </w:r>
          </w:p>
        </w:tc>
        <w:tc>
          <w:tcPr>
            <w:tcW w:w="73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20</w:t>
            </w:r>
          </w:p>
        </w:tc>
        <w:tc>
          <w:tcPr>
            <w:tcW w:w="283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90" w:hRule="atLeast"/>
        </w:trPr>
        <w:tc>
          <w:tcPr>
            <w:tcW w:w="15756" w:type="dxa"/>
            <w:gridSpan w:val="3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合计</w:t>
            </w:r>
          </w:p>
        </w:tc>
        <w:tc>
          <w:tcPr>
            <w:tcW w:w="69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100</w:t>
            </w:r>
          </w:p>
        </w:tc>
        <w:tc>
          <w:tcPr>
            <w:tcW w:w="73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100</w:t>
            </w:r>
          </w:p>
        </w:tc>
        <w:tc>
          <w:tcPr>
            <w:tcW w:w="283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227" w:hRule="atLeast"/>
        </w:trPr>
        <w:tc>
          <w:tcPr>
            <w:tcW w:w="6186"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评价结论</w:t>
            </w:r>
          </w:p>
        </w:tc>
        <w:tc>
          <w:tcPr>
            <w:tcW w:w="13830" w:type="dxa"/>
            <w:gridSpan w:val="5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我单位按质按量完成目标任务。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90" w:hRule="atLeast"/>
        </w:trPr>
        <w:tc>
          <w:tcPr>
            <w:tcW w:w="6186"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存在问题</w:t>
            </w:r>
          </w:p>
        </w:tc>
        <w:tc>
          <w:tcPr>
            <w:tcW w:w="13830" w:type="dxa"/>
            <w:gridSpan w:val="50"/>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90" w:hRule="atLeast"/>
        </w:trPr>
        <w:tc>
          <w:tcPr>
            <w:tcW w:w="6186"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改进措施</w:t>
            </w:r>
          </w:p>
        </w:tc>
        <w:tc>
          <w:tcPr>
            <w:tcW w:w="13830" w:type="dxa"/>
            <w:gridSpan w:val="50"/>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162" w:hRule="atLeast"/>
        </w:trPr>
        <w:tc>
          <w:tcPr>
            <w:tcW w:w="12726" w:type="dxa"/>
            <w:gridSpan w:val="2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iCs w:val="0"/>
                <w:color w:val="000000"/>
                <w:kern w:val="0"/>
                <w:sz w:val="16"/>
                <w:szCs w:val="16"/>
                <w:u w:val="none"/>
                <w:lang w:val="en-US" w:eastAsia="zh-CN"/>
              </w:rPr>
            </w:pPr>
            <w:r>
              <w:rPr>
                <w:rFonts w:ascii="Times New Roman" w:hAnsi="Times New Roman" w:eastAsia="宋体" w:cs="Times New Roman"/>
                <w:i w:val="0"/>
                <w:iCs w:val="0"/>
                <w:color w:val="000000"/>
                <w:kern w:val="0"/>
                <w:sz w:val="16"/>
                <w:szCs w:val="16"/>
                <w:u w:val="none"/>
                <w:lang w:val="en-US" w:eastAsia="zh-CN"/>
              </w:rPr>
              <w:t>项目负责人：刘小花</w:t>
            </w:r>
          </w:p>
        </w:tc>
        <w:tc>
          <w:tcPr>
            <w:tcW w:w="7290" w:type="dxa"/>
            <w:gridSpan w:val="3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iCs w:val="0"/>
                <w:color w:val="000000"/>
                <w:kern w:val="0"/>
                <w:sz w:val="16"/>
                <w:szCs w:val="16"/>
                <w:u w:val="none"/>
                <w:lang w:val="en-US" w:eastAsia="zh-CN"/>
              </w:rPr>
            </w:pPr>
            <w:r>
              <w:rPr>
                <w:rFonts w:ascii="Times New Roman" w:hAnsi="Times New Roman" w:eastAsia="宋体" w:cs="Times New Roman"/>
                <w:i w:val="0"/>
                <w:iCs w:val="0"/>
                <w:color w:val="000000"/>
                <w:kern w:val="0"/>
                <w:sz w:val="16"/>
                <w:szCs w:val="16"/>
                <w:u w:val="none"/>
                <w:lang w:val="en-US" w:eastAsia="zh-CN"/>
              </w:rPr>
              <w:t>财务负责人：刘小花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0211" w:type="dxa"/>
            <w:gridSpan w:val="5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黑体"/>
                <w:b/>
                <w:bCs/>
                <w:i w:val="0"/>
                <w:iCs w:val="0"/>
                <w:color w:val="000000"/>
                <w:sz w:val="30"/>
                <w:szCs w:val="30"/>
                <w:u w:val="none"/>
              </w:rPr>
            </w:pPr>
            <w:r>
              <w:rPr>
                <w:rFonts w:eastAsia="黑体"/>
                <w:b/>
                <w:bCs/>
                <w:i w:val="0"/>
                <w:iCs w:val="0"/>
                <w:color w:val="000000"/>
                <w:kern w:val="0"/>
                <w:sz w:val="30"/>
                <w:szCs w:val="30"/>
                <w:u w:val="none"/>
                <w:lang w:val="en-US" w:eastAsia="zh-CN"/>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7736"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项目名称</w:t>
            </w:r>
          </w:p>
        </w:tc>
        <w:tc>
          <w:tcPr>
            <w:tcW w:w="12475" w:type="dxa"/>
            <w:gridSpan w:val="5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51320022T000000319227-“民族文学周阿坝”和青稞文学奖“等系列文学活动经费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7736"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主管部门</w:t>
            </w:r>
          </w:p>
        </w:tc>
        <w:tc>
          <w:tcPr>
            <w:tcW w:w="6765" w:type="dxa"/>
            <w:gridSpan w:val="2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州文联部门</w:t>
            </w:r>
          </w:p>
        </w:tc>
        <w:tc>
          <w:tcPr>
            <w:tcW w:w="2245" w:type="dxa"/>
            <w:gridSpan w:val="15"/>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实施单位 （盖章）</w:t>
            </w:r>
          </w:p>
        </w:tc>
        <w:tc>
          <w:tcPr>
            <w:tcW w:w="3465"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68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项目基本情况</w:t>
            </w:r>
          </w:p>
        </w:tc>
        <w:tc>
          <w:tcPr>
            <w:tcW w:w="2055" w:type="dxa"/>
            <w:gridSpan w:val="7"/>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1.项目年度目标完成情况</w:t>
            </w:r>
          </w:p>
        </w:tc>
        <w:tc>
          <w:tcPr>
            <w:tcW w:w="6765" w:type="dxa"/>
            <w:gridSpan w:val="2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项目年度目标</w:t>
            </w:r>
          </w:p>
        </w:tc>
        <w:tc>
          <w:tcPr>
            <w:tcW w:w="5710" w:type="dxa"/>
            <w:gridSpan w:val="2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56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55"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765" w:type="dxa"/>
            <w:gridSpan w:val="2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面向全国征集评选出公开发表和出版的，以深受青稞文化影响的西藏、青海、四川、云南、甘肃等多民族文化生活为主要创作题材的中长篇小说和影视剧本，举行颁奖典礼，并相应开展系列文学活动。</w:t>
            </w:r>
          </w:p>
        </w:tc>
        <w:tc>
          <w:tcPr>
            <w:tcW w:w="5710" w:type="dxa"/>
            <w:gridSpan w:val="2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完成年度目标任务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56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2.项目实施内容及过程概述</w:t>
            </w:r>
          </w:p>
        </w:tc>
        <w:tc>
          <w:tcPr>
            <w:tcW w:w="12475" w:type="dxa"/>
            <w:gridSpan w:val="5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面向全国征集评选出公开发表和出版的，以深受青稞文化影响的西藏、青海、四川、云南、甘肃等多民族文化生活为主要创作题材的中长篇小说和影视剧本，举行颁奖典礼，并相应开展系列文学活动。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68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预算执行情况（10分）</w:t>
            </w:r>
          </w:p>
        </w:tc>
        <w:tc>
          <w:tcPr>
            <w:tcW w:w="20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年度预算数（万元）</w:t>
            </w:r>
          </w:p>
        </w:tc>
        <w:tc>
          <w:tcPr>
            <w:tcW w:w="17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年初预算</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调整后预算数</w:t>
            </w:r>
          </w:p>
        </w:tc>
        <w:tc>
          <w:tcPr>
            <w:tcW w:w="3245"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预算执行数</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预算执行率</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权重</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得分</w:t>
            </w:r>
          </w:p>
        </w:tc>
        <w:tc>
          <w:tcPr>
            <w:tcW w:w="33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56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总额</w:t>
            </w:r>
          </w:p>
        </w:tc>
        <w:tc>
          <w:tcPr>
            <w:tcW w:w="17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98.70</w:t>
            </w:r>
          </w:p>
        </w:tc>
        <w:tc>
          <w:tcPr>
            <w:tcW w:w="3245"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98.70</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100.00%</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3365" w:type="dxa"/>
            <w:gridSpan w:val="11"/>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eastAsia="simhei"/>
                <w:i/>
                <w:iCs/>
                <w:color w:val="000000"/>
                <w:sz w:val="18"/>
                <w:szCs w:val="18"/>
                <w:u w:val="none"/>
              </w:rPr>
            </w:pPr>
            <w:r>
              <w:rPr>
                <w:rFonts w:eastAsia="simhei"/>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56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其中：财政资金</w:t>
            </w:r>
          </w:p>
        </w:tc>
        <w:tc>
          <w:tcPr>
            <w:tcW w:w="17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98.70</w:t>
            </w:r>
          </w:p>
        </w:tc>
        <w:tc>
          <w:tcPr>
            <w:tcW w:w="3245"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98.70</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100.00%</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3365" w:type="dxa"/>
            <w:gridSpan w:val="11"/>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56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财政专户管理资金</w:t>
            </w:r>
          </w:p>
        </w:tc>
        <w:tc>
          <w:tcPr>
            <w:tcW w:w="17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3245"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3365" w:type="dxa"/>
            <w:gridSpan w:val="11"/>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56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单位资金</w:t>
            </w:r>
          </w:p>
        </w:tc>
        <w:tc>
          <w:tcPr>
            <w:tcW w:w="17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3245"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3365" w:type="dxa"/>
            <w:gridSpan w:val="11"/>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6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其他资金</w:t>
            </w:r>
          </w:p>
        </w:tc>
        <w:tc>
          <w:tcPr>
            <w:tcW w:w="17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3245"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3365" w:type="dxa"/>
            <w:gridSpan w:val="11"/>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68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绩效指标（90分）</w:t>
            </w:r>
          </w:p>
        </w:tc>
        <w:tc>
          <w:tcPr>
            <w:tcW w:w="20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一级指标</w:t>
            </w:r>
          </w:p>
        </w:tc>
        <w:tc>
          <w:tcPr>
            <w:tcW w:w="17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二级指标</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三级指标</w:t>
            </w:r>
          </w:p>
        </w:tc>
        <w:tc>
          <w:tcPr>
            <w:tcW w:w="104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指标性质</w:t>
            </w:r>
          </w:p>
        </w:tc>
        <w:tc>
          <w:tcPr>
            <w:tcW w:w="12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指标值</w:t>
            </w:r>
          </w:p>
        </w:tc>
        <w:tc>
          <w:tcPr>
            <w:tcW w:w="95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度量单位</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完成值</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权重</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得分</w:t>
            </w:r>
          </w:p>
        </w:tc>
        <w:tc>
          <w:tcPr>
            <w:tcW w:w="33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56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7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04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2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95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33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5596" w:type="dxa"/>
            <w:gridSpan w:val="3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合计</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w:t>
            </w:r>
          </w:p>
        </w:tc>
        <w:tc>
          <w:tcPr>
            <w:tcW w:w="336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5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评价结论</w:t>
            </w:r>
          </w:p>
        </w:tc>
        <w:tc>
          <w:tcPr>
            <w:tcW w:w="14530" w:type="dxa"/>
            <w:gridSpan w:val="5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我单位按质按量完成目标任务。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存在问题</w:t>
            </w:r>
          </w:p>
        </w:tc>
        <w:tc>
          <w:tcPr>
            <w:tcW w:w="14530" w:type="dxa"/>
            <w:gridSpan w:val="57"/>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5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改进措施</w:t>
            </w:r>
          </w:p>
        </w:tc>
        <w:tc>
          <w:tcPr>
            <w:tcW w:w="14530" w:type="dxa"/>
            <w:gridSpan w:val="57"/>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2296" w:type="dxa"/>
            <w:gridSpan w:val="2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项目负责人：周利庚</w:t>
            </w:r>
          </w:p>
        </w:tc>
        <w:tc>
          <w:tcPr>
            <w:tcW w:w="7915" w:type="dxa"/>
            <w:gridSpan w:val="3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财务负责人：刘小花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6"/>
          <w:wBefore w:w="4026" w:type="dxa"/>
          <w:wAfter w:w="285" w:type="dxa"/>
          <w:trHeight w:val="494" w:hRule="atLeast"/>
        </w:trPr>
        <w:tc>
          <w:tcPr>
            <w:tcW w:w="15900" w:type="dxa"/>
            <w:gridSpan w:val="5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黑体"/>
                <w:b/>
                <w:bCs/>
                <w:i w:val="0"/>
                <w:iCs w:val="0"/>
                <w:color w:val="000000"/>
                <w:sz w:val="30"/>
                <w:szCs w:val="30"/>
                <w:u w:val="none"/>
              </w:rPr>
            </w:pPr>
            <w:r>
              <w:rPr>
                <w:rFonts w:eastAsia="黑体"/>
                <w:b/>
                <w:bCs/>
                <w:i w:val="0"/>
                <w:iCs w:val="0"/>
                <w:color w:val="000000"/>
                <w:kern w:val="0"/>
                <w:sz w:val="30"/>
                <w:szCs w:val="30"/>
                <w:u w:val="none"/>
                <w:lang w:val="en-US" w:eastAsia="zh-CN"/>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Before w:val="1"/>
          <w:gridAfter w:val="6"/>
          <w:wBefore w:w="4026" w:type="dxa"/>
          <w:wAfter w:w="285" w:type="dxa"/>
          <w:trHeight w:val="286" w:hRule="atLeast"/>
        </w:trPr>
        <w:tc>
          <w:tcPr>
            <w:tcW w:w="371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项目名称</w:t>
            </w:r>
          </w:p>
        </w:tc>
        <w:tc>
          <w:tcPr>
            <w:tcW w:w="12190" w:type="dxa"/>
            <w:gridSpan w:val="4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51320022T000007222600-阿坝州文艺创作基金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6"/>
          <w:wBefore w:w="4026" w:type="dxa"/>
          <w:wAfter w:w="285" w:type="dxa"/>
          <w:trHeight w:val="512" w:hRule="atLeast"/>
        </w:trPr>
        <w:tc>
          <w:tcPr>
            <w:tcW w:w="371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主管部门</w:t>
            </w:r>
          </w:p>
        </w:tc>
        <w:tc>
          <w:tcPr>
            <w:tcW w:w="6765" w:type="dxa"/>
            <w:gridSpan w:val="2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州文联部门</w:t>
            </w:r>
          </w:p>
        </w:tc>
        <w:tc>
          <w:tcPr>
            <w:tcW w:w="1945" w:type="dxa"/>
            <w:gridSpan w:val="1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实施单位 （盖章）</w:t>
            </w:r>
          </w:p>
        </w:tc>
        <w:tc>
          <w:tcPr>
            <w:tcW w:w="348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6"/>
          <w:wBefore w:w="4026" w:type="dxa"/>
          <w:wAfter w:w="285" w:type="dxa"/>
          <w:trHeight w:val="286" w:hRule="atLeast"/>
        </w:trPr>
        <w:tc>
          <w:tcPr>
            <w:tcW w:w="193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项目基本情况</w:t>
            </w:r>
          </w:p>
        </w:tc>
        <w:tc>
          <w:tcPr>
            <w:tcW w:w="1775" w:type="dxa"/>
            <w:gridSpan w:val="5"/>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1.项目年度目标完成情况</w:t>
            </w:r>
          </w:p>
        </w:tc>
        <w:tc>
          <w:tcPr>
            <w:tcW w:w="6765" w:type="dxa"/>
            <w:gridSpan w:val="2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项目年度目标</w:t>
            </w:r>
          </w:p>
        </w:tc>
        <w:tc>
          <w:tcPr>
            <w:tcW w:w="542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6"/>
          <w:wBefore w:w="4026" w:type="dxa"/>
          <w:wAfter w:w="285" w:type="dxa"/>
          <w:trHeight w:val="708" w:hRule="atLeast"/>
        </w:trPr>
        <w:tc>
          <w:tcPr>
            <w:tcW w:w="19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765" w:type="dxa"/>
            <w:gridSpan w:val="23"/>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宋体"/>
                <w:i w:val="0"/>
                <w:iCs w:val="0"/>
                <w:color w:val="000000"/>
                <w:sz w:val="18"/>
                <w:szCs w:val="18"/>
                <w:u w:val="none"/>
                <w:lang w:eastAsia="zh-CN"/>
              </w:rPr>
            </w:pPr>
            <w:r>
              <w:rPr>
                <w:rFonts w:eastAsia="宋体"/>
                <w:i w:val="0"/>
                <w:iCs w:val="0"/>
                <w:color w:val="000000"/>
                <w:sz w:val="18"/>
                <w:szCs w:val="18"/>
                <w:u w:val="none"/>
                <w:lang w:eastAsia="zh-CN"/>
              </w:rPr>
              <w:t>设立阿坝州文艺创作基金，用于奖励扶持文艺创作成果及文艺惠民活动</w:t>
            </w:r>
          </w:p>
        </w:tc>
        <w:tc>
          <w:tcPr>
            <w:tcW w:w="5425"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完成年度目标任务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6"/>
          <w:wBefore w:w="4026" w:type="dxa"/>
          <w:wAfter w:w="285" w:type="dxa"/>
          <w:trHeight w:val="693" w:hRule="atLeast"/>
        </w:trPr>
        <w:tc>
          <w:tcPr>
            <w:tcW w:w="19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2.项目实施内容及过程概述</w:t>
            </w:r>
          </w:p>
        </w:tc>
        <w:tc>
          <w:tcPr>
            <w:tcW w:w="12190" w:type="dxa"/>
            <w:gridSpan w:val="44"/>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宋体"/>
                <w:i w:val="0"/>
                <w:iCs w:val="0"/>
                <w:color w:val="000000"/>
                <w:sz w:val="18"/>
                <w:szCs w:val="18"/>
                <w:u w:val="none"/>
              </w:rPr>
            </w:pPr>
            <w:r>
              <w:rPr>
                <w:rFonts w:eastAsia="宋体"/>
                <w:i w:val="0"/>
                <w:iCs w:val="0"/>
                <w:color w:val="000000"/>
                <w:sz w:val="18"/>
                <w:szCs w:val="18"/>
                <w:u w:val="none"/>
                <w:lang w:eastAsia="zh-CN"/>
              </w:rPr>
              <w:t>设立阿坝州文艺创作基金，用于奖励扶持文艺创作成果及文艺惠民活动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6"/>
          <w:wBefore w:w="4026" w:type="dxa"/>
          <w:wAfter w:w="285" w:type="dxa"/>
          <w:trHeight w:val="361" w:hRule="atLeast"/>
        </w:trPr>
        <w:tc>
          <w:tcPr>
            <w:tcW w:w="193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预算执行情况（10分）</w:t>
            </w:r>
          </w:p>
        </w:tc>
        <w:tc>
          <w:tcPr>
            <w:tcW w:w="17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年度预算数（万元）</w:t>
            </w:r>
          </w:p>
        </w:tc>
        <w:tc>
          <w:tcPr>
            <w:tcW w:w="157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年初预算</w:t>
            </w:r>
          </w:p>
        </w:tc>
        <w:tc>
          <w:tcPr>
            <w:tcW w:w="2465"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调整后预算数</w:t>
            </w:r>
          </w:p>
        </w:tc>
        <w:tc>
          <w:tcPr>
            <w:tcW w:w="273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预算执行数</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预算执行率</w:t>
            </w:r>
          </w:p>
        </w:tc>
        <w:tc>
          <w:tcPr>
            <w:tcW w:w="62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权重</w:t>
            </w:r>
          </w:p>
        </w:tc>
        <w:tc>
          <w:tcPr>
            <w:tcW w:w="62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得分</w:t>
            </w:r>
          </w:p>
        </w:tc>
        <w:tc>
          <w:tcPr>
            <w:tcW w:w="308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6"/>
          <w:wBefore w:w="4026" w:type="dxa"/>
          <w:wAfter w:w="285" w:type="dxa"/>
          <w:trHeight w:val="346" w:hRule="atLeast"/>
        </w:trPr>
        <w:tc>
          <w:tcPr>
            <w:tcW w:w="19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总额</w:t>
            </w:r>
          </w:p>
        </w:tc>
        <w:tc>
          <w:tcPr>
            <w:tcW w:w="157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465"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11.67</w:t>
            </w:r>
          </w:p>
        </w:tc>
        <w:tc>
          <w:tcPr>
            <w:tcW w:w="273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11.67</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100.00%</w:t>
            </w:r>
          </w:p>
        </w:tc>
        <w:tc>
          <w:tcPr>
            <w:tcW w:w="62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2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3080" w:type="dxa"/>
            <w:gridSpan w:val="5"/>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eastAsia="simhei"/>
                <w:i/>
                <w:iCs/>
                <w:color w:val="000000"/>
                <w:sz w:val="18"/>
                <w:szCs w:val="18"/>
                <w:u w:val="none"/>
              </w:rPr>
            </w:pPr>
            <w:r>
              <w:rPr>
                <w:rFonts w:eastAsia="simhei"/>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6"/>
          <w:wBefore w:w="4026" w:type="dxa"/>
          <w:wAfter w:w="285" w:type="dxa"/>
          <w:trHeight w:val="391" w:hRule="atLeast"/>
        </w:trPr>
        <w:tc>
          <w:tcPr>
            <w:tcW w:w="19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其中：财政资金</w:t>
            </w:r>
          </w:p>
        </w:tc>
        <w:tc>
          <w:tcPr>
            <w:tcW w:w="157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465"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11.67</w:t>
            </w:r>
          </w:p>
        </w:tc>
        <w:tc>
          <w:tcPr>
            <w:tcW w:w="273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11.67</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100.00%</w:t>
            </w:r>
          </w:p>
        </w:tc>
        <w:tc>
          <w:tcPr>
            <w:tcW w:w="62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2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3080"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6"/>
          <w:wBefore w:w="4026" w:type="dxa"/>
          <w:wAfter w:w="285" w:type="dxa"/>
          <w:trHeight w:val="407" w:hRule="atLeast"/>
        </w:trPr>
        <w:tc>
          <w:tcPr>
            <w:tcW w:w="19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财政专户管理资金</w:t>
            </w:r>
          </w:p>
        </w:tc>
        <w:tc>
          <w:tcPr>
            <w:tcW w:w="157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465"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73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62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2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3080"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6"/>
          <w:wBefore w:w="4026" w:type="dxa"/>
          <w:wAfter w:w="285" w:type="dxa"/>
          <w:trHeight w:val="361" w:hRule="atLeast"/>
        </w:trPr>
        <w:tc>
          <w:tcPr>
            <w:tcW w:w="19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单位资金</w:t>
            </w:r>
          </w:p>
        </w:tc>
        <w:tc>
          <w:tcPr>
            <w:tcW w:w="157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465"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73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62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2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3080"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6"/>
          <w:wBefore w:w="4026" w:type="dxa"/>
          <w:wAfter w:w="285" w:type="dxa"/>
          <w:trHeight w:val="339" w:hRule="atLeast"/>
        </w:trPr>
        <w:tc>
          <w:tcPr>
            <w:tcW w:w="19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其他资金</w:t>
            </w:r>
          </w:p>
        </w:tc>
        <w:tc>
          <w:tcPr>
            <w:tcW w:w="157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2465"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273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62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2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3080"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6"/>
          <w:wBefore w:w="4026" w:type="dxa"/>
          <w:wAfter w:w="285" w:type="dxa"/>
          <w:trHeight w:val="452" w:hRule="atLeast"/>
        </w:trPr>
        <w:tc>
          <w:tcPr>
            <w:tcW w:w="193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绩效指标（90分）</w:t>
            </w:r>
          </w:p>
        </w:tc>
        <w:tc>
          <w:tcPr>
            <w:tcW w:w="17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一级指标</w:t>
            </w:r>
          </w:p>
        </w:tc>
        <w:tc>
          <w:tcPr>
            <w:tcW w:w="157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二级指标</w:t>
            </w:r>
          </w:p>
        </w:tc>
        <w:tc>
          <w:tcPr>
            <w:tcW w:w="2465"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三级指标</w:t>
            </w:r>
          </w:p>
        </w:tc>
        <w:tc>
          <w:tcPr>
            <w:tcW w:w="9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指标性质</w:t>
            </w:r>
          </w:p>
        </w:tc>
        <w:tc>
          <w:tcPr>
            <w:tcW w:w="122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度量单位</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完成值</w:t>
            </w:r>
          </w:p>
        </w:tc>
        <w:tc>
          <w:tcPr>
            <w:tcW w:w="62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权重</w:t>
            </w:r>
          </w:p>
        </w:tc>
        <w:tc>
          <w:tcPr>
            <w:tcW w:w="62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得分</w:t>
            </w:r>
          </w:p>
        </w:tc>
        <w:tc>
          <w:tcPr>
            <w:tcW w:w="308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6"/>
          <w:wBefore w:w="4026" w:type="dxa"/>
          <w:wAfter w:w="285" w:type="dxa"/>
          <w:trHeight w:val="339" w:hRule="atLeast"/>
        </w:trPr>
        <w:tc>
          <w:tcPr>
            <w:tcW w:w="19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57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2465"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9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22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62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62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308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6"/>
          <w:wBefore w:w="4026" w:type="dxa"/>
          <w:wAfter w:w="285" w:type="dxa"/>
          <w:trHeight w:val="286" w:hRule="atLeast"/>
        </w:trPr>
        <w:tc>
          <w:tcPr>
            <w:tcW w:w="11570" w:type="dxa"/>
            <w:gridSpan w:val="3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合计</w:t>
            </w:r>
          </w:p>
        </w:tc>
        <w:tc>
          <w:tcPr>
            <w:tcW w:w="62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w:t>
            </w:r>
          </w:p>
        </w:tc>
        <w:tc>
          <w:tcPr>
            <w:tcW w:w="62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w:t>
            </w:r>
          </w:p>
        </w:tc>
        <w:tc>
          <w:tcPr>
            <w:tcW w:w="308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6"/>
          <w:wBefore w:w="4026" w:type="dxa"/>
          <w:wAfter w:w="285" w:type="dxa"/>
          <w:trHeight w:val="603" w:hRule="atLeast"/>
        </w:trPr>
        <w:tc>
          <w:tcPr>
            <w:tcW w:w="19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评价结论</w:t>
            </w:r>
          </w:p>
        </w:tc>
        <w:tc>
          <w:tcPr>
            <w:tcW w:w="13965" w:type="dxa"/>
            <w:gridSpan w:val="4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我单位按质按量完成目标任务。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6"/>
          <w:wBefore w:w="4026" w:type="dxa"/>
          <w:wAfter w:w="285" w:type="dxa"/>
          <w:trHeight w:val="90" w:hRule="atLeast"/>
        </w:trPr>
        <w:tc>
          <w:tcPr>
            <w:tcW w:w="19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存在问题</w:t>
            </w:r>
          </w:p>
        </w:tc>
        <w:tc>
          <w:tcPr>
            <w:tcW w:w="13965" w:type="dxa"/>
            <w:gridSpan w:val="49"/>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6"/>
          <w:wBefore w:w="4026" w:type="dxa"/>
          <w:wAfter w:w="285" w:type="dxa"/>
          <w:trHeight w:val="368" w:hRule="atLeast"/>
        </w:trPr>
        <w:tc>
          <w:tcPr>
            <w:tcW w:w="19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改进措施</w:t>
            </w:r>
          </w:p>
        </w:tc>
        <w:tc>
          <w:tcPr>
            <w:tcW w:w="13965" w:type="dxa"/>
            <w:gridSpan w:val="49"/>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6"/>
          <w:wBefore w:w="4026" w:type="dxa"/>
          <w:wAfter w:w="285" w:type="dxa"/>
          <w:trHeight w:val="286" w:hRule="atLeast"/>
        </w:trPr>
        <w:tc>
          <w:tcPr>
            <w:tcW w:w="8730" w:type="dxa"/>
            <w:gridSpan w:val="2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项目负责人：王庆九</w:t>
            </w:r>
          </w:p>
        </w:tc>
        <w:tc>
          <w:tcPr>
            <w:tcW w:w="7170" w:type="dxa"/>
            <w:gridSpan w:val="2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财务负责人：刘小花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5"/>
          <w:wBefore w:w="4026" w:type="dxa"/>
          <w:wAfter w:w="270" w:type="dxa"/>
          <w:trHeight w:val="539" w:hRule="atLeast"/>
        </w:trPr>
        <w:tc>
          <w:tcPr>
            <w:tcW w:w="15915" w:type="dxa"/>
            <w:gridSpan w:val="5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黑体"/>
                <w:b/>
                <w:bCs/>
                <w:i w:val="0"/>
                <w:iCs w:val="0"/>
                <w:color w:val="000000"/>
                <w:sz w:val="30"/>
                <w:szCs w:val="30"/>
                <w:u w:val="none"/>
              </w:rPr>
            </w:pPr>
            <w:r>
              <w:rPr>
                <w:rFonts w:eastAsia="黑体"/>
                <w:b/>
                <w:bCs/>
                <w:i w:val="0"/>
                <w:iCs w:val="0"/>
                <w:color w:val="000000"/>
                <w:kern w:val="0"/>
                <w:sz w:val="30"/>
                <w:szCs w:val="30"/>
                <w:u w:val="none"/>
                <w:lang w:val="en-US" w:eastAsia="zh-CN"/>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5"/>
          <w:wBefore w:w="4026" w:type="dxa"/>
          <w:wAfter w:w="270" w:type="dxa"/>
          <w:trHeight w:val="286" w:hRule="atLeast"/>
        </w:trPr>
        <w:tc>
          <w:tcPr>
            <w:tcW w:w="371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项目名称</w:t>
            </w:r>
          </w:p>
        </w:tc>
        <w:tc>
          <w:tcPr>
            <w:tcW w:w="12205" w:type="dxa"/>
            <w:gridSpan w:val="4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51320025T000013779486-2025年浙江援建资金-"浙阿情深艺联山海"文化交流交往项目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5"/>
          <w:wBefore w:w="4026" w:type="dxa"/>
          <w:wAfter w:w="270" w:type="dxa"/>
          <w:trHeight w:val="212" w:hRule="atLeast"/>
        </w:trPr>
        <w:tc>
          <w:tcPr>
            <w:tcW w:w="371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主管部门</w:t>
            </w:r>
          </w:p>
        </w:tc>
        <w:tc>
          <w:tcPr>
            <w:tcW w:w="6765" w:type="dxa"/>
            <w:gridSpan w:val="2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州文联部门</w:t>
            </w:r>
          </w:p>
        </w:tc>
        <w:tc>
          <w:tcPr>
            <w:tcW w:w="2155" w:type="dxa"/>
            <w:gridSpan w:val="14"/>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实施单位 （盖章）</w:t>
            </w:r>
          </w:p>
        </w:tc>
        <w:tc>
          <w:tcPr>
            <w:tcW w:w="3285"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5"/>
          <w:wBefore w:w="4026" w:type="dxa"/>
          <w:wAfter w:w="270" w:type="dxa"/>
          <w:trHeight w:val="197" w:hRule="atLeast"/>
        </w:trPr>
        <w:tc>
          <w:tcPr>
            <w:tcW w:w="193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项目基本情况</w:t>
            </w:r>
          </w:p>
        </w:tc>
        <w:tc>
          <w:tcPr>
            <w:tcW w:w="1775" w:type="dxa"/>
            <w:gridSpan w:val="5"/>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1.项目年度目标完成情况</w:t>
            </w:r>
          </w:p>
        </w:tc>
        <w:tc>
          <w:tcPr>
            <w:tcW w:w="6765" w:type="dxa"/>
            <w:gridSpan w:val="2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项目年度目标</w:t>
            </w:r>
          </w:p>
        </w:tc>
        <w:tc>
          <w:tcPr>
            <w:tcW w:w="5440" w:type="dxa"/>
            <w:gridSpan w:val="2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simhei"/>
                <w:i w:val="0"/>
                <w:iCs w:val="0"/>
                <w:color w:val="000000"/>
                <w:sz w:val="15"/>
                <w:szCs w:val="15"/>
                <w:u w:val="none"/>
              </w:rPr>
            </w:pPr>
            <w:r>
              <w:rPr>
                <w:rFonts w:eastAsia="simhei"/>
                <w:i w:val="0"/>
                <w:iCs w:val="0"/>
                <w:color w:val="000000"/>
                <w:kern w:val="0"/>
                <w:sz w:val="15"/>
                <w:szCs w:val="15"/>
                <w:u w:val="none"/>
                <w:lang w:val="en-US" w:eastAsia="zh-CN"/>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5"/>
          <w:wBefore w:w="4026" w:type="dxa"/>
          <w:wAfter w:w="270" w:type="dxa"/>
          <w:trHeight w:val="908" w:hRule="atLeast"/>
        </w:trPr>
        <w:tc>
          <w:tcPr>
            <w:tcW w:w="19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18"/>
                <w:szCs w:val="21"/>
              </w:rPr>
            </w:pPr>
          </w:p>
        </w:tc>
        <w:tc>
          <w:tcPr>
            <w:tcW w:w="6765" w:type="dxa"/>
            <w:gridSpan w:val="2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开展"同写一本书""同绘一副画""同拍一部剧"系列活动,促进文艺走亲，围绕对口支援工作和建成民族地区高质量发展阿坝典范目标。州文联将以文化润藏，文艺走亲，交往交流交融，铸牢中华民族共同体意识，以文化人、以文育人，凝心聚力、培根铸魂，奋力开创新时代阿坝文艺事业繁荣发展新局面。</w:t>
            </w:r>
          </w:p>
        </w:tc>
        <w:tc>
          <w:tcPr>
            <w:tcW w:w="5440" w:type="dxa"/>
            <w:gridSpan w:val="2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5"/>
                <w:szCs w:val="15"/>
                <w:u w:val="none"/>
              </w:rPr>
            </w:pPr>
            <w:r>
              <w:rPr>
                <w:rFonts w:eastAsia="simhei"/>
                <w:i w:val="0"/>
                <w:iCs w:val="0"/>
                <w:color w:val="000000"/>
                <w:kern w:val="0"/>
                <w:sz w:val="15"/>
                <w:szCs w:val="15"/>
                <w:u w:val="none"/>
                <w:lang w:val="en-US" w:eastAsia="zh-CN"/>
              </w:rPr>
              <w:t>完成年度目标任务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5"/>
          <w:wBefore w:w="4026" w:type="dxa"/>
          <w:wAfter w:w="270" w:type="dxa"/>
          <w:trHeight w:val="374" w:hRule="atLeast"/>
        </w:trPr>
        <w:tc>
          <w:tcPr>
            <w:tcW w:w="19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2.项目实施内容及过程概述</w:t>
            </w:r>
          </w:p>
        </w:tc>
        <w:tc>
          <w:tcPr>
            <w:tcW w:w="12205" w:type="dxa"/>
            <w:gridSpan w:val="4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开展"同写一本书""同绘一副画""同拍一部剧"系列活动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5"/>
          <w:wBefore w:w="4026" w:type="dxa"/>
          <w:wAfter w:w="270" w:type="dxa"/>
          <w:trHeight w:val="246" w:hRule="atLeast"/>
        </w:trPr>
        <w:tc>
          <w:tcPr>
            <w:tcW w:w="193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预算执行情况（10分）</w:t>
            </w:r>
          </w:p>
        </w:tc>
        <w:tc>
          <w:tcPr>
            <w:tcW w:w="17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年度预算数（万元）</w:t>
            </w:r>
          </w:p>
        </w:tc>
        <w:tc>
          <w:tcPr>
            <w:tcW w:w="157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年初预算</w:t>
            </w:r>
          </w:p>
        </w:tc>
        <w:tc>
          <w:tcPr>
            <w:tcW w:w="2465"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调整后预算数</w:t>
            </w:r>
          </w:p>
        </w:tc>
        <w:tc>
          <w:tcPr>
            <w:tcW w:w="273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预算执行数</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6"/>
                <w:szCs w:val="16"/>
                <w:u w:val="none"/>
                <w:lang w:val="en-US" w:eastAsia="zh-CN"/>
              </w:rPr>
              <w:t>预算执行率</w:t>
            </w:r>
          </w:p>
        </w:tc>
        <w:tc>
          <w:tcPr>
            <w:tcW w:w="62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权重</w:t>
            </w:r>
          </w:p>
        </w:tc>
        <w:tc>
          <w:tcPr>
            <w:tcW w:w="78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得分</w:t>
            </w:r>
          </w:p>
        </w:tc>
        <w:tc>
          <w:tcPr>
            <w:tcW w:w="294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5"/>
          <w:wBefore w:w="4026" w:type="dxa"/>
          <w:wAfter w:w="270" w:type="dxa"/>
          <w:trHeight w:val="186" w:hRule="atLeast"/>
        </w:trPr>
        <w:tc>
          <w:tcPr>
            <w:tcW w:w="19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总额</w:t>
            </w:r>
          </w:p>
        </w:tc>
        <w:tc>
          <w:tcPr>
            <w:tcW w:w="157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465"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59.58</w:t>
            </w:r>
          </w:p>
        </w:tc>
        <w:tc>
          <w:tcPr>
            <w:tcW w:w="273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59.58</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100.00%</w:t>
            </w:r>
          </w:p>
        </w:tc>
        <w:tc>
          <w:tcPr>
            <w:tcW w:w="62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78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294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eastAsia="simhei"/>
                <w:i/>
                <w:iCs/>
                <w:color w:val="000000"/>
                <w:sz w:val="18"/>
                <w:szCs w:val="18"/>
                <w:u w:val="none"/>
              </w:rPr>
            </w:pPr>
            <w:r>
              <w:rPr>
                <w:rFonts w:eastAsia="simhei"/>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Before w:val="1"/>
          <w:gridAfter w:val="5"/>
          <w:wBefore w:w="4026" w:type="dxa"/>
          <w:wAfter w:w="270" w:type="dxa"/>
          <w:trHeight w:val="261" w:hRule="atLeast"/>
        </w:trPr>
        <w:tc>
          <w:tcPr>
            <w:tcW w:w="19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其中：财政资金</w:t>
            </w:r>
          </w:p>
        </w:tc>
        <w:tc>
          <w:tcPr>
            <w:tcW w:w="157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465"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59.58</w:t>
            </w:r>
          </w:p>
        </w:tc>
        <w:tc>
          <w:tcPr>
            <w:tcW w:w="273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59.58</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100.00%</w:t>
            </w:r>
          </w:p>
        </w:tc>
        <w:tc>
          <w:tcPr>
            <w:tcW w:w="62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78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294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5"/>
          <w:wBefore w:w="4026" w:type="dxa"/>
          <w:wAfter w:w="270" w:type="dxa"/>
          <w:trHeight w:val="197" w:hRule="atLeast"/>
        </w:trPr>
        <w:tc>
          <w:tcPr>
            <w:tcW w:w="19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财政专户管理资金</w:t>
            </w:r>
          </w:p>
        </w:tc>
        <w:tc>
          <w:tcPr>
            <w:tcW w:w="157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465"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73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62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78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294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5"/>
          <w:wBefore w:w="4026" w:type="dxa"/>
          <w:wAfter w:w="270" w:type="dxa"/>
          <w:trHeight w:val="171" w:hRule="atLeast"/>
        </w:trPr>
        <w:tc>
          <w:tcPr>
            <w:tcW w:w="19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单位资金</w:t>
            </w:r>
          </w:p>
        </w:tc>
        <w:tc>
          <w:tcPr>
            <w:tcW w:w="157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465"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73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62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78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294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5"/>
          <w:wBefore w:w="4026" w:type="dxa"/>
          <w:wAfter w:w="270" w:type="dxa"/>
          <w:trHeight w:val="212" w:hRule="atLeast"/>
        </w:trPr>
        <w:tc>
          <w:tcPr>
            <w:tcW w:w="19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其他资金</w:t>
            </w:r>
          </w:p>
        </w:tc>
        <w:tc>
          <w:tcPr>
            <w:tcW w:w="157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2465"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273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62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78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294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5"/>
          <w:wBefore w:w="4026" w:type="dxa"/>
          <w:wAfter w:w="270" w:type="dxa"/>
          <w:trHeight w:val="374" w:hRule="atLeast"/>
        </w:trPr>
        <w:tc>
          <w:tcPr>
            <w:tcW w:w="193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绩效指标（90分）</w:t>
            </w:r>
          </w:p>
        </w:tc>
        <w:tc>
          <w:tcPr>
            <w:tcW w:w="17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一级指标</w:t>
            </w:r>
          </w:p>
        </w:tc>
        <w:tc>
          <w:tcPr>
            <w:tcW w:w="157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二级指标</w:t>
            </w:r>
          </w:p>
        </w:tc>
        <w:tc>
          <w:tcPr>
            <w:tcW w:w="2465"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三级指标</w:t>
            </w:r>
          </w:p>
        </w:tc>
        <w:tc>
          <w:tcPr>
            <w:tcW w:w="9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指标性质</w:t>
            </w:r>
          </w:p>
        </w:tc>
        <w:tc>
          <w:tcPr>
            <w:tcW w:w="122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3"/>
                <w:szCs w:val="13"/>
                <w:u w:val="none"/>
                <w:lang w:val="en-US" w:eastAsia="zh-CN"/>
              </w:rPr>
              <w:t>度量单位</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完成值</w:t>
            </w:r>
          </w:p>
        </w:tc>
        <w:tc>
          <w:tcPr>
            <w:tcW w:w="62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权重</w:t>
            </w:r>
          </w:p>
        </w:tc>
        <w:tc>
          <w:tcPr>
            <w:tcW w:w="78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得分</w:t>
            </w:r>
          </w:p>
        </w:tc>
        <w:tc>
          <w:tcPr>
            <w:tcW w:w="294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5"/>
          <w:wBefore w:w="4026" w:type="dxa"/>
          <w:wAfter w:w="270" w:type="dxa"/>
          <w:trHeight w:val="239" w:hRule="atLeast"/>
        </w:trPr>
        <w:tc>
          <w:tcPr>
            <w:tcW w:w="19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5"/>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产出指标</w:t>
            </w:r>
          </w:p>
        </w:tc>
        <w:tc>
          <w:tcPr>
            <w:tcW w:w="157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数量指标</w:t>
            </w:r>
          </w:p>
        </w:tc>
        <w:tc>
          <w:tcPr>
            <w:tcW w:w="2465"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开展文艺交流活动数量</w:t>
            </w:r>
          </w:p>
        </w:tc>
        <w:tc>
          <w:tcPr>
            <w:tcW w:w="9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22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3</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个</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3</w:t>
            </w:r>
          </w:p>
        </w:tc>
        <w:tc>
          <w:tcPr>
            <w:tcW w:w="62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78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294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5"/>
          <w:wBefore w:w="4026" w:type="dxa"/>
          <w:wAfter w:w="270" w:type="dxa"/>
          <w:trHeight w:val="224" w:hRule="atLeast"/>
        </w:trPr>
        <w:tc>
          <w:tcPr>
            <w:tcW w:w="19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57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质量指标</w:t>
            </w:r>
          </w:p>
        </w:tc>
        <w:tc>
          <w:tcPr>
            <w:tcW w:w="2465"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活动完成率</w:t>
            </w:r>
          </w:p>
        </w:tc>
        <w:tc>
          <w:tcPr>
            <w:tcW w:w="9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22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100</w:t>
            </w:r>
          </w:p>
        </w:tc>
        <w:tc>
          <w:tcPr>
            <w:tcW w:w="62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78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294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5"/>
          <w:wBefore w:w="4026" w:type="dxa"/>
          <w:wAfter w:w="270" w:type="dxa"/>
          <w:trHeight w:val="224" w:hRule="atLeast"/>
        </w:trPr>
        <w:tc>
          <w:tcPr>
            <w:tcW w:w="19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57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时效指标</w:t>
            </w:r>
          </w:p>
        </w:tc>
        <w:tc>
          <w:tcPr>
            <w:tcW w:w="2465"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活动开展时间</w:t>
            </w:r>
          </w:p>
        </w:tc>
        <w:tc>
          <w:tcPr>
            <w:tcW w:w="9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定性</w:t>
            </w:r>
          </w:p>
        </w:tc>
        <w:tc>
          <w:tcPr>
            <w:tcW w:w="122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2025年</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2025年</w:t>
            </w:r>
          </w:p>
        </w:tc>
        <w:tc>
          <w:tcPr>
            <w:tcW w:w="62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78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294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5"/>
          <w:wBefore w:w="4026" w:type="dxa"/>
          <w:wAfter w:w="270" w:type="dxa"/>
          <w:trHeight w:val="214" w:hRule="atLeast"/>
        </w:trPr>
        <w:tc>
          <w:tcPr>
            <w:tcW w:w="19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效益指标</w:t>
            </w:r>
          </w:p>
        </w:tc>
        <w:tc>
          <w:tcPr>
            <w:tcW w:w="157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社会效益指标</w:t>
            </w:r>
          </w:p>
        </w:tc>
        <w:tc>
          <w:tcPr>
            <w:tcW w:w="2465"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有力推进文艺交往交流交融</w:t>
            </w:r>
          </w:p>
        </w:tc>
        <w:tc>
          <w:tcPr>
            <w:tcW w:w="9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定性</w:t>
            </w:r>
          </w:p>
        </w:tc>
        <w:tc>
          <w:tcPr>
            <w:tcW w:w="122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明显</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明显</w:t>
            </w:r>
          </w:p>
        </w:tc>
        <w:tc>
          <w:tcPr>
            <w:tcW w:w="62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78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294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5"/>
          <w:wBefore w:w="4026" w:type="dxa"/>
          <w:wAfter w:w="270" w:type="dxa"/>
          <w:trHeight w:val="209" w:hRule="atLeast"/>
        </w:trPr>
        <w:tc>
          <w:tcPr>
            <w:tcW w:w="19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满意度指标</w:t>
            </w:r>
          </w:p>
        </w:tc>
        <w:tc>
          <w:tcPr>
            <w:tcW w:w="157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满意度指标</w:t>
            </w:r>
          </w:p>
        </w:tc>
        <w:tc>
          <w:tcPr>
            <w:tcW w:w="2465"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浙阿两地文艺家满意度</w:t>
            </w:r>
          </w:p>
        </w:tc>
        <w:tc>
          <w:tcPr>
            <w:tcW w:w="9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22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95</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95</w:t>
            </w:r>
          </w:p>
        </w:tc>
        <w:tc>
          <w:tcPr>
            <w:tcW w:w="62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78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294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5"/>
          <w:wBefore w:w="4026" w:type="dxa"/>
          <w:wAfter w:w="270" w:type="dxa"/>
          <w:trHeight w:val="284" w:hRule="atLeast"/>
        </w:trPr>
        <w:tc>
          <w:tcPr>
            <w:tcW w:w="193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成本指标</w:t>
            </w:r>
          </w:p>
        </w:tc>
        <w:tc>
          <w:tcPr>
            <w:tcW w:w="157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经济成本指标</w:t>
            </w:r>
          </w:p>
        </w:tc>
        <w:tc>
          <w:tcPr>
            <w:tcW w:w="2465"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项目总成本</w:t>
            </w:r>
          </w:p>
        </w:tc>
        <w:tc>
          <w:tcPr>
            <w:tcW w:w="9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22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60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5"/>
                <w:szCs w:val="15"/>
                <w:u w:val="none"/>
                <w:lang w:val="en-US" w:eastAsia="zh-CN"/>
              </w:rPr>
              <w:t>万元</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59.58</w:t>
            </w:r>
          </w:p>
        </w:tc>
        <w:tc>
          <w:tcPr>
            <w:tcW w:w="62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78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19.86</w:t>
            </w:r>
          </w:p>
        </w:tc>
        <w:tc>
          <w:tcPr>
            <w:tcW w:w="294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5"/>
          <w:wBefore w:w="4026" w:type="dxa"/>
          <w:wAfter w:w="270" w:type="dxa"/>
          <w:trHeight w:val="286" w:hRule="atLeast"/>
        </w:trPr>
        <w:tc>
          <w:tcPr>
            <w:tcW w:w="11570" w:type="dxa"/>
            <w:gridSpan w:val="3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合计</w:t>
            </w:r>
          </w:p>
        </w:tc>
        <w:tc>
          <w:tcPr>
            <w:tcW w:w="62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w:t>
            </w:r>
          </w:p>
        </w:tc>
        <w:tc>
          <w:tcPr>
            <w:tcW w:w="78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99.86</w:t>
            </w:r>
          </w:p>
        </w:tc>
        <w:tc>
          <w:tcPr>
            <w:tcW w:w="294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5"/>
          <w:wBefore w:w="4026" w:type="dxa"/>
          <w:wAfter w:w="270" w:type="dxa"/>
          <w:trHeight w:val="413" w:hRule="atLeast"/>
        </w:trPr>
        <w:tc>
          <w:tcPr>
            <w:tcW w:w="19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评价结论</w:t>
            </w:r>
          </w:p>
        </w:tc>
        <w:tc>
          <w:tcPr>
            <w:tcW w:w="13980" w:type="dxa"/>
            <w:gridSpan w:val="5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我单位按质按量完成目标任务。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5"/>
          <w:wBefore w:w="4026" w:type="dxa"/>
          <w:wAfter w:w="270" w:type="dxa"/>
          <w:trHeight w:val="320" w:hRule="atLeast"/>
        </w:trPr>
        <w:tc>
          <w:tcPr>
            <w:tcW w:w="19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存在问题</w:t>
            </w:r>
          </w:p>
        </w:tc>
        <w:tc>
          <w:tcPr>
            <w:tcW w:w="13980" w:type="dxa"/>
            <w:gridSpan w:val="50"/>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5"/>
          <w:wBefore w:w="4026" w:type="dxa"/>
          <w:wAfter w:w="270" w:type="dxa"/>
          <w:trHeight w:val="260" w:hRule="atLeast"/>
        </w:trPr>
        <w:tc>
          <w:tcPr>
            <w:tcW w:w="19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改进措施</w:t>
            </w:r>
          </w:p>
        </w:tc>
        <w:tc>
          <w:tcPr>
            <w:tcW w:w="13980" w:type="dxa"/>
            <w:gridSpan w:val="50"/>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5"/>
          <w:wBefore w:w="4026" w:type="dxa"/>
          <w:wAfter w:w="270" w:type="dxa"/>
          <w:trHeight w:val="286" w:hRule="atLeast"/>
        </w:trPr>
        <w:tc>
          <w:tcPr>
            <w:tcW w:w="8730" w:type="dxa"/>
            <w:gridSpan w:val="2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项目负责人：王庆九</w:t>
            </w:r>
          </w:p>
        </w:tc>
        <w:tc>
          <w:tcPr>
            <w:tcW w:w="7185" w:type="dxa"/>
            <w:gridSpan w:val="2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财务负责人：刘小花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4"/>
          <w:wBefore w:w="4026" w:type="dxa"/>
          <w:wAfter w:w="255" w:type="dxa"/>
          <w:trHeight w:val="564" w:hRule="atLeast"/>
        </w:trPr>
        <w:tc>
          <w:tcPr>
            <w:tcW w:w="15930" w:type="dxa"/>
            <w:gridSpan w:val="5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黑体"/>
                <w:b/>
                <w:bCs/>
                <w:i w:val="0"/>
                <w:iCs w:val="0"/>
                <w:color w:val="000000"/>
                <w:sz w:val="30"/>
                <w:szCs w:val="30"/>
                <w:u w:val="none"/>
              </w:rPr>
            </w:pPr>
            <w:r>
              <w:rPr>
                <w:rFonts w:eastAsia="黑体"/>
                <w:b/>
                <w:bCs/>
                <w:i w:val="0"/>
                <w:iCs w:val="0"/>
                <w:color w:val="000000"/>
                <w:kern w:val="0"/>
                <w:sz w:val="30"/>
                <w:szCs w:val="30"/>
                <w:u w:val="none"/>
                <w:lang w:val="en-US" w:eastAsia="zh-CN"/>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4"/>
          <w:wBefore w:w="4026" w:type="dxa"/>
          <w:wAfter w:w="255" w:type="dxa"/>
          <w:trHeight w:val="286" w:hRule="atLeast"/>
        </w:trPr>
        <w:tc>
          <w:tcPr>
            <w:tcW w:w="371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项目名称</w:t>
            </w:r>
          </w:p>
        </w:tc>
        <w:tc>
          <w:tcPr>
            <w:tcW w:w="12220" w:type="dxa"/>
            <w:gridSpan w:val="4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51320025T000013989244-州级文化旅游发展专项资金--全州大中小学师生书法大赛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4"/>
          <w:wBefore w:w="4026" w:type="dxa"/>
          <w:wAfter w:w="255" w:type="dxa"/>
          <w:trHeight w:val="512" w:hRule="atLeast"/>
        </w:trPr>
        <w:tc>
          <w:tcPr>
            <w:tcW w:w="371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主管部门</w:t>
            </w:r>
          </w:p>
        </w:tc>
        <w:tc>
          <w:tcPr>
            <w:tcW w:w="6765" w:type="dxa"/>
            <w:gridSpan w:val="2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州文联部门</w:t>
            </w:r>
          </w:p>
        </w:tc>
        <w:tc>
          <w:tcPr>
            <w:tcW w:w="2065" w:type="dxa"/>
            <w:gridSpan w:val="1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实施单位 （盖章）</w:t>
            </w:r>
          </w:p>
        </w:tc>
        <w:tc>
          <w:tcPr>
            <w:tcW w:w="3390"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4"/>
          <w:wBefore w:w="4026" w:type="dxa"/>
          <w:wAfter w:w="255" w:type="dxa"/>
          <w:trHeight w:val="286" w:hRule="atLeast"/>
        </w:trPr>
        <w:tc>
          <w:tcPr>
            <w:tcW w:w="198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项目基本情况</w:t>
            </w:r>
          </w:p>
        </w:tc>
        <w:tc>
          <w:tcPr>
            <w:tcW w:w="173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1.项目年度目标完成情况</w:t>
            </w:r>
          </w:p>
        </w:tc>
        <w:tc>
          <w:tcPr>
            <w:tcW w:w="6765" w:type="dxa"/>
            <w:gridSpan w:val="2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项目年度目标</w:t>
            </w:r>
          </w:p>
        </w:tc>
        <w:tc>
          <w:tcPr>
            <w:tcW w:w="5455" w:type="dxa"/>
            <w:gridSpan w:val="2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4"/>
          <w:wBefore w:w="4026" w:type="dxa"/>
          <w:wAfter w:w="255" w:type="dxa"/>
          <w:trHeight w:val="398" w:hRule="atLeast"/>
        </w:trPr>
        <w:tc>
          <w:tcPr>
            <w:tcW w:w="198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3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765" w:type="dxa"/>
            <w:gridSpan w:val="2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全州大中小学师生书法大赛</w:t>
            </w:r>
          </w:p>
        </w:tc>
        <w:tc>
          <w:tcPr>
            <w:tcW w:w="5455" w:type="dxa"/>
            <w:gridSpan w:val="2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完成年度目标任务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4"/>
          <w:wBefore w:w="4026" w:type="dxa"/>
          <w:wAfter w:w="255" w:type="dxa"/>
          <w:trHeight w:val="419" w:hRule="atLeast"/>
        </w:trPr>
        <w:tc>
          <w:tcPr>
            <w:tcW w:w="198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3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2.项目实施内容及过程概述</w:t>
            </w:r>
          </w:p>
        </w:tc>
        <w:tc>
          <w:tcPr>
            <w:tcW w:w="12220" w:type="dxa"/>
            <w:gridSpan w:val="4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全州大中小学师生书法大赛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4"/>
          <w:wBefore w:w="4026" w:type="dxa"/>
          <w:wAfter w:w="255" w:type="dxa"/>
          <w:trHeight w:val="361" w:hRule="atLeast"/>
        </w:trPr>
        <w:tc>
          <w:tcPr>
            <w:tcW w:w="198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预算执行情况（10分）</w:t>
            </w:r>
          </w:p>
        </w:tc>
        <w:tc>
          <w:tcPr>
            <w:tcW w:w="173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年度预算数（万元）</w:t>
            </w:r>
          </w:p>
        </w:tc>
        <w:tc>
          <w:tcPr>
            <w:tcW w:w="17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年初预算</w:t>
            </w:r>
          </w:p>
        </w:tc>
        <w:tc>
          <w:tcPr>
            <w:tcW w:w="226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调整后预算数</w:t>
            </w:r>
          </w:p>
        </w:tc>
        <w:tc>
          <w:tcPr>
            <w:tcW w:w="273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预算执行数</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预算执行率</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权重</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得分</w:t>
            </w:r>
          </w:p>
        </w:tc>
        <w:tc>
          <w:tcPr>
            <w:tcW w:w="311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4"/>
          <w:wBefore w:w="4026" w:type="dxa"/>
          <w:wAfter w:w="255" w:type="dxa"/>
          <w:trHeight w:val="346" w:hRule="atLeast"/>
        </w:trPr>
        <w:tc>
          <w:tcPr>
            <w:tcW w:w="198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3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总额</w:t>
            </w:r>
          </w:p>
        </w:tc>
        <w:tc>
          <w:tcPr>
            <w:tcW w:w="17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26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7.25</w:t>
            </w:r>
          </w:p>
        </w:tc>
        <w:tc>
          <w:tcPr>
            <w:tcW w:w="273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7.25</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100.00%</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3110" w:type="dxa"/>
            <w:gridSpan w:val="7"/>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eastAsia="simhei"/>
                <w:i/>
                <w:iCs/>
                <w:color w:val="000000"/>
                <w:sz w:val="18"/>
                <w:szCs w:val="18"/>
                <w:u w:val="none"/>
              </w:rPr>
            </w:pPr>
            <w:r>
              <w:rPr>
                <w:rFonts w:eastAsia="simhei"/>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Before w:val="1"/>
          <w:gridAfter w:val="4"/>
          <w:wBefore w:w="4026" w:type="dxa"/>
          <w:wAfter w:w="255" w:type="dxa"/>
          <w:trHeight w:val="391" w:hRule="atLeast"/>
        </w:trPr>
        <w:tc>
          <w:tcPr>
            <w:tcW w:w="198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3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其中：财政资金</w:t>
            </w:r>
          </w:p>
        </w:tc>
        <w:tc>
          <w:tcPr>
            <w:tcW w:w="17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26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7.25</w:t>
            </w:r>
          </w:p>
        </w:tc>
        <w:tc>
          <w:tcPr>
            <w:tcW w:w="273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7.25</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100.00%</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3110"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4"/>
          <w:wBefore w:w="4026" w:type="dxa"/>
          <w:wAfter w:w="255" w:type="dxa"/>
          <w:trHeight w:val="407" w:hRule="atLeast"/>
        </w:trPr>
        <w:tc>
          <w:tcPr>
            <w:tcW w:w="198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3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财政专户管理资金</w:t>
            </w:r>
          </w:p>
        </w:tc>
        <w:tc>
          <w:tcPr>
            <w:tcW w:w="17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26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73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3110"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4"/>
          <w:wBefore w:w="4026" w:type="dxa"/>
          <w:wAfter w:w="255" w:type="dxa"/>
          <w:trHeight w:val="361" w:hRule="atLeast"/>
        </w:trPr>
        <w:tc>
          <w:tcPr>
            <w:tcW w:w="198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3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单位资金</w:t>
            </w:r>
          </w:p>
        </w:tc>
        <w:tc>
          <w:tcPr>
            <w:tcW w:w="17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26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73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3110"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4"/>
          <w:wBefore w:w="4026" w:type="dxa"/>
          <w:wAfter w:w="255" w:type="dxa"/>
          <w:trHeight w:val="339" w:hRule="atLeast"/>
        </w:trPr>
        <w:tc>
          <w:tcPr>
            <w:tcW w:w="198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3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其他资金</w:t>
            </w:r>
          </w:p>
        </w:tc>
        <w:tc>
          <w:tcPr>
            <w:tcW w:w="17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226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273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3110"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4"/>
          <w:wBefore w:w="4026" w:type="dxa"/>
          <w:wAfter w:w="255" w:type="dxa"/>
          <w:trHeight w:val="452" w:hRule="atLeast"/>
        </w:trPr>
        <w:tc>
          <w:tcPr>
            <w:tcW w:w="198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绩效指标（90分）</w:t>
            </w:r>
          </w:p>
        </w:tc>
        <w:tc>
          <w:tcPr>
            <w:tcW w:w="173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一级指标</w:t>
            </w:r>
          </w:p>
        </w:tc>
        <w:tc>
          <w:tcPr>
            <w:tcW w:w="17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二级指标</w:t>
            </w:r>
          </w:p>
        </w:tc>
        <w:tc>
          <w:tcPr>
            <w:tcW w:w="226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三级指标</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指标性质</w:t>
            </w:r>
          </w:p>
        </w:tc>
        <w:tc>
          <w:tcPr>
            <w:tcW w:w="1581"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度量单位</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完成值</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权重</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得分</w:t>
            </w:r>
          </w:p>
        </w:tc>
        <w:tc>
          <w:tcPr>
            <w:tcW w:w="311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4"/>
          <w:wBefore w:w="4026" w:type="dxa"/>
          <w:wAfter w:w="255" w:type="dxa"/>
          <w:trHeight w:val="339" w:hRule="atLeast"/>
        </w:trPr>
        <w:tc>
          <w:tcPr>
            <w:tcW w:w="198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3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7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226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581"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311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4"/>
          <w:wBefore w:w="4026" w:type="dxa"/>
          <w:wAfter w:w="255" w:type="dxa"/>
          <w:trHeight w:val="286" w:hRule="atLeast"/>
        </w:trPr>
        <w:tc>
          <w:tcPr>
            <w:tcW w:w="11570" w:type="dxa"/>
            <w:gridSpan w:val="3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合计</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w:t>
            </w:r>
          </w:p>
        </w:tc>
        <w:tc>
          <w:tcPr>
            <w:tcW w:w="311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4"/>
          <w:wBefore w:w="4026" w:type="dxa"/>
          <w:wAfter w:w="255" w:type="dxa"/>
          <w:trHeight w:val="603" w:hRule="atLeast"/>
        </w:trPr>
        <w:tc>
          <w:tcPr>
            <w:tcW w:w="19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评价结论</w:t>
            </w:r>
          </w:p>
        </w:tc>
        <w:tc>
          <w:tcPr>
            <w:tcW w:w="13950" w:type="dxa"/>
            <w:gridSpan w:val="5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我单位按质按量完成目标任务。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4"/>
          <w:wBefore w:w="4026" w:type="dxa"/>
          <w:wAfter w:w="255" w:type="dxa"/>
          <w:trHeight w:val="367" w:hRule="atLeast"/>
        </w:trPr>
        <w:tc>
          <w:tcPr>
            <w:tcW w:w="19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存在问题</w:t>
            </w:r>
          </w:p>
        </w:tc>
        <w:tc>
          <w:tcPr>
            <w:tcW w:w="13950" w:type="dxa"/>
            <w:gridSpan w:val="50"/>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4"/>
          <w:wBefore w:w="4026" w:type="dxa"/>
          <w:wAfter w:w="255" w:type="dxa"/>
          <w:trHeight w:val="458" w:hRule="atLeast"/>
        </w:trPr>
        <w:tc>
          <w:tcPr>
            <w:tcW w:w="19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改进措施</w:t>
            </w:r>
          </w:p>
        </w:tc>
        <w:tc>
          <w:tcPr>
            <w:tcW w:w="13950" w:type="dxa"/>
            <w:gridSpan w:val="50"/>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4"/>
          <w:wBefore w:w="4026" w:type="dxa"/>
          <w:wAfter w:w="255" w:type="dxa"/>
          <w:trHeight w:val="286" w:hRule="atLeast"/>
        </w:trPr>
        <w:tc>
          <w:tcPr>
            <w:tcW w:w="8369" w:type="dxa"/>
            <w:gridSpan w:val="2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项目负责人：王庆九</w:t>
            </w:r>
          </w:p>
        </w:tc>
        <w:tc>
          <w:tcPr>
            <w:tcW w:w="7561" w:type="dxa"/>
            <w:gridSpan w:val="3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财务负责人：刘小花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7"/>
          <w:wBefore w:w="4026" w:type="dxa"/>
          <w:wAfter w:w="286" w:type="dxa"/>
          <w:trHeight w:val="404" w:hRule="atLeast"/>
        </w:trPr>
        <w:tc>
          <w:tcPr>
            <w:tcW w:w="15899" w:type="dxa"/>
            <w:gridSpan w:val="5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黑体"/>
                <w:b/>
                <w:bCs/>
                <w:i w:val="0"/>
                <w:iCs w:val="0"/>
                <w:color w:val="000000"/>
                <w:sz w:val="30"/>
                <w:szCs w:val="30"/>
                <w:u w:val="none"/>
              </w:rPr>
            </w:pPr>
            <w:r>
              <w:rPr>
                <w:rFonts w:eastAsia="黑体"/>
                <w:b/>
                <w:bCs/>
                <w:i w:val="0"/>
                <w:iCs w:val="0"/>
                <w:color w:val="000000"/>
                <w:kern w:val="0"/>
                <w:sz w:val="28"/>
                <w:szCs w:val="28"/>
                <w:u w:val="none"/>
                <w:lang w:val="en-US" w:eastAsia="zh-CN"/>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Before w:val="1"/>
          <w:gridAfter w:val="7"/>
          <w:wBefore w:w="4026" w:type="dxa"/>
          <w:wAfter w:w="286" w:type="dxa"/>
          <w:trHeight w:val="167" w:hRule="atLeast"/>
        </w:trPr>
        <w:tc>
          <w:tcPr>
            <w:tcW w:w="3974"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项目名称</w:t>
            </w:r>
          </w:p>
        </w:tc>
        <w:tc>
          <w:tcPr>
            <w:tcW w:w="11925" w:type="dxa"/>
            <w:gridSpan w:val="4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51320021T000000050928-办刊经费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7"/>
          <w:wBefore w:w="4026" w:type="dxa"/>
          <w:wAfter w:w="286" w:type="dxa"/>
          <w:trHeight w:val="277" w:hRule="atLeast"/>
        </w:trPr>
        <w:tc>
          <w:tcPr>
            <w:tcW w:w="3974"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主管部门</w:t>
            </w:r>
          </w:p>
        </w:tc>
        <w:tc>
          <w:tcPr>
            <w:tcW w:w="6560"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州文联部门</w:t>
            </w:r>
          </w:p>
        </w:tc>
        <w:tc>
          <w:tcPr>
            <w:tcW w:w="1795" w:type="dxa"/>
            <w:gridSpan w:val="10"/>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实施单位 （盖章）</w:t>
            </w:r>
          </w:p>
        </w:tc>
        <w:tc>
          <w:tcPr>
            <w:tcW w:w="357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草地杂志社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7"/>
          <w:wBefore w:w="4026" w:type="dxa"/>
          <w:wAfter w:w="286" w:type="dxa"/>
          <w:trHeight w:val="286" w:hRule="atLeast"/>
        </w:trPr>
        <w:tc>
          <w:tcPr>
            <w:tcW w:w="1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项目基本情况</w:t>
            </w:r>
          </w:p>
        </w:tc>
        <w:tc>
          <w:tcPr>
            <w:tcW w:w="2040" w:type="dxa"/>
            <w:gridSpan w:val="9"/>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1.项目年度目标完成情况</w:t>
            </w:r>
          </w:p>
        </w:tc>
        <w:tc>
          <w:tcPr>
            <w:tcW w:w="6560"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项目年度目标</w:t>
            </w:r>
          </w:p>
        </w:tc>
        <w:tc>
          <w:tcPr>
            <w:tcW w:w="536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simhei"/>
                <w:i w:val="0"/>
                <w:iCs w:val="0"/>
                <w:color w:val="000000"/>
                <w:sz w:val="15"/>
                <w:szCs w:val="15"/>
                <w:u w:val="none"/>
              </w:rPr>
            </w:pPr>
            <w:r>
              <w:rPr>
                <w:rFonts w:eastAsia="simhei"/>
                <w:i w:val="0"/>
                <w:iCs w:val="0"/>
                <w:color w:val="000000"/>
                <w:kern w:val="0"/>
                <w:sz w:val="15"/>
                <w:szCs w:val="15"/>
                <w:u w:val="none"/>
                <w:lang w:val="en-US" w:eastAsia="zh-CN"/>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7"/>
          <w:wBefore w:w="4026" w:type="dxa"/>
          <w:wAfter w:w="286" w:type="dxa"/>
          <w:trHeight w:val="533" w:hRule="atLeast"/>
        </w:trPr>
        <w:tc>
          <w:tcPr>
            <w:tcW w:w="1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18"/>
                <w:szCs w:val="21"/>
              </w:rPr>
            </w:pPr>
          </w:p>
        </w:tc>
        <w:tc>
          <w:tcPr>
            <w:tcW w:w="2040"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18"/>
                <w:szCs w:val="21"/>
              </w:rPr>
            </w:pPr>
          </w:p>
        </w:tc>
        <w:tc>
          <w:tcPr>
            <w:tcW w:w="6560"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　刊发藏汉文小说、诗歌、散文、文学评论、报告文学等文学作品。全年出版汉文6期，藏文2期。通过刊发优秀文学作品，促进民族文化交流与传播。</w:t>
            </w:r>
          </w:p>
        </w:tc>
        <w:tc>
          <w:tcPr>
            <w:tcW w:w="5365"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5"/>
                <w:szCs w:val="15"/>
                <w:u w:val="none"/>
              </w:rPr>
            </w:pPr>
            <w:r>
              <w:rPr>
                <w:rFonts w:eastAsia="simhei"/>
                <w:i w:val="0"/>
                <w:iCs w:val="0"/>
                <w:color w:val="000000"/>
                <w:kern w:val="0"/>
                <w:sz w:val="15"/>
                <w:szCs w:val="15"/>
                <w:u w:val="none"/>
                <w:lang w:val="en-US" w:eastAsia="zh-CN"/>
              </w:rPr>
              <w:t>完成年度目标任务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7"/>
          <w:wBefore w:w="4026" w:type="dxa"/>
          <w:wAfter w:w="286" w:type="dxa"/>
          <w:trHeight w:val="449" w:hRule="atLeast"/>
        </w:trPr>
        <w:tc>
          <w:tcPr>
            <w:tcW w:w="1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18"/>
                <w:szCs w:val="21"/>
              </w:rPr>
            </w:pPr>
          </w:p>
        </w:tc>
        <w:tc>
          <w:tcPr>
            <w:tcW w:w="204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2.项目实施内容及过程概述</w:t>
            </w:r>
          </w:p>
        </w:tc>
        <w:tc>
          <w:tcPr>
            <w:tcW w:w="11925" w:type="dxa"/>
            <w:gridSpan w:val="4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全年出版《草地》汉文6期，《邦炯》藏文2期。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7"/>
          <w:wBefore w:w="4026" w:type="dxa"/>
          <w:wAfter w:w="286" w:type="dxa"/>
          <w:trHeight w:val="90" w:hRule="atLeast"/>
        </w:trPr>
        <w:tc>
          <w:tcPr>
            <w:tcW w:w="1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预算执行情况（10分）</w:t>
            </w:r>
          </w:p>
        </w:tc>
        <w:tc>
          <w:tcPr>
            <w:tcW w:w="204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年度预算数（万元）</w:t>
            </w:r>
          </w:p>
        </w:tc>
        <w:tc>
          <w:tcPr>
            <w:tcW w:w="14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年初预算</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调整后预算数</w:t>
            </w:r>
          </w:p>
        </w:tc>
        <w:tc>
          <w:tcPr>
            <w:tcW w:w="3155"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预算执行数</w:t>
            </w:r>
          </w:p>
        </w:tc>
        <w:tc>
          <w:tcPr>
            <w:tcW w:w="10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5"/>
                <w:szCs w:val="15"/>
                <w:u w:val="none"/>
                <w:lang w:val="en-US" w:eastAsia="zh-CN"/>
              </w:rPr>
              <w:t>预算执行率</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5"/>
                <w:szCs w:val="15"/>
                <w:u w:val="none"/>
                <w:lang w:val="en-US" w:eastAsia="zh-CN"/>
              </w:rPr>
              <w:t>权重</w:t>
            </w:r>
          </w:p>
        </w:tc>
        <w:tc>
          <w:tcPr>
            <w:tcW w:w="73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得分</w:t>
            </w:r>
          </w:p>
        </w:tc>
        <w:tc>
          <w:tcPr>
            <w:tcW w:w="298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7"/>
          <w:wBefore w:w="4026" w:type="dxa"/>
          <w:wAfter w:w="286" w:type="dxa"/>
          <w:trHeight w:val="346" w:hRule="atLeast"/>
        </w:trPr>
        <w:tc>
          <w:tcPr>
            <w:tcW w:w="1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4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总额</w:t>
            </w:r>
          </w:p>
        </w:tc>
        <w:tc>
          <w:tcPr>
            <w:tcW w:w="14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40.00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35.31</w:t>
            </w:r>
          </w:p>
        </w:tc>
        <w:tc>
          <w:tcPr>
            <w:tcW w:w="3155"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35.31</w:t>
            </w:r>
          </w:p>
        </w:tc>
        <w:tc>
          <w:tcPr>
            <w:tcW w:w="10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100.00%</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73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8.83</w:t>
            </w:r>
          </w:p>
        </w:tc>
        <w:tc>
          <w:tcPr>
            <w:tcW w:w="298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160" w:lineRule="exact"/>
              <w:jc w:val="left"/>
              <w:textAlignment w:val="center"/>
              <w:rPr>
                <w:rFonts w:eastAsia="simhei"/>
                <w:i/>
                <w:iCs/>
                <w:color w:val="000000"/>
                <w:sz w:val="16"/>
                <w:szCs w:val="16"/>
                <w:u w:val="none"/>
              </w:rPr>
            </w:pPr>
            <w:r>
              <w:rPr>
                <w:rFonts w:eastAsia="simhei"/>
                <w:i/>
                <w:iCs/>
                <w:color w:val="000000"/>
                <w:kern w:val="0"/>
                <w:sz w:val="16"/>
                <w:szCs w:val="16"/>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7"/>
          <w:wBefore w:w="4026" w:type="dxa"/>
          <w:wAfter w:w="286" w:type="dxa"/>
          <w:trHeight w:val="391" w:hRule="atLeast"/>
        </w:trPr>
        <w:tc>
          <w:tcPr>
            <w:tcW w:w="1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4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其中：财政资金</w:t>
            </w:r>
          </w:p>
        </w:tc>
        <w:tc>
          <w:tcPr>
            <w:tcW w:w="14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40.00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35.31</w:t>
            </w:r>
          </w:p>
        </w:tc>
        <w:tc>
          <w:tcPr>
            <w:tcW w:w="3155"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35.31</w:t>
            </w:r>
          </w:p>
        </w:tc>
        <w:tc>
          <w:tcPr>
            <w:tcW w:w="10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100.00%</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73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29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7"/>
          <w:wBefore w:w="4026" w:type="dxa"/>
          <w:wAfter w:w="286" w:type="dxa"/>
          <w:trHeight w:val="307" w:hRule="atLeast"/>
        </w:trPr>
        <w:tc>
          <w:tcPr>
            <w:tcW w:w="1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4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财政专户管理资金</w:t>
            </w:r>
          </w:p>
        </w:tc>
        <w:tc>
          <w:tcPr>
            <w:tcW w:w="14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3155"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10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73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29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7"/>
          <w:wBefore w:w="4026" w:type="dxa"/>
          <w:wAfter w:w="286" w:type="dxa"/>
          <w:trHeight w:val="156" w:hRule="atLeast"/>
        </w:trPr>
        <w:tc>
          <w:tcPr>
            <w:tcW w:w="1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4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单位资金</w:t>
            </w:r>
          </w:p>
        </w:tc>
        <w:tc>
          <w:tcPr>
            <w:tcW w:w="14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3155"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10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73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29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7"/>
          <w:wBefore w:w="4026" w:type="dxa"/>
          <w:wAfter w:w="286" w:type="dxa"/>
          <w:trHeight w:val="107" w:hRule="atLeast"/>
        </w:trPr>
        <w:tc>
          <w:tcPr>
            <w:tcW w:w="1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4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其他资金</w:t>
            </w:r>
          </w:p>
        </w:tc>
        <w:tc>
          <w:tcPr>
            <w:tcW w:w="14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c>
          <w:tcPr>
            <w:tcW w:w="3155"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c>
          <w:tcPr>
            <w:tcW w:w="10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73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29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7"/>
          <w:wBefore w:w="4026" w:type="dxa"/>
          <w:wAfter w:w="286" w:type="dxa"/>
          <w:trHeight w:val="229" w:hRule="atLeast"/>
        </w:trPr>
        <w:tc>
          <w:tcPr>
            <w:tcW w:w="19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绩效指标（90分）</w:t>
            </w:r>
          </w:p>
        </w:tc>
        <w:tc>
          <w:tcPr>
            <w:tcW w:w="204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一级指标</w:t>
            </w:r>
          </w:p>
        </w:tc>
        <w:tc>
          <w:tcPr>
            <w:tcW w:w="14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二级指标</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三级指标</w:t>
            </w:r>
          </w:p>
        </w:tc>
        <w:tc>
          <w:tcPr>
            <w:tcW w:w="106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ascii="Times New Roman" w:hAnsi="Times New Roman" w:eastAsia="宋体" w:cs="Times New Roman"/>
                <w:i w:val="0"/>
                <w:iCs w:val="0"/>
                <w:color w:val="000000"/>
                <w:kern w:val="0"/>
                <w:sz w:val="16"/>
                <w:szCs w:val="16"/>
                <w:u w:val="none"/>
                <w:lang w:val="en-US" w:eastAsia="zh-CN"/>
              </w:rPr>
              <w:t>指标性质</w:t>
            </w:r>
          </w:p>
        </w:tc>
        <w:tc>
          <w:tcPr>
            <w:tcW w:w="9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指标值</w:t>
            </w:r>
          </w:p>
        </w:tc>
        <w:tc>
          <w:tcPr>
            <w:tcW w:w="110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度量单位</w:t>
            </w:r>
          </w:p>
        </w:tc>
        <w:tc>
          <w:tcPr>
            <w:tcW w:w="10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完成值</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5"/>
                <w:szCs w:val="15"/>
                <w:u w:val="none"/>
                <w:lang w:val="en-US" w:eastAsia="zh-CN"/>
              </w:rPr>
              <w:t>权重</w:t>
            </w:r>
          </w:p>
        </w:tc>
        <w:tc>
          <w:tcPr>
            <w:tcW w:w="73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得分</w:t>
            </w:r>
          </w:p>
        </w:tc>
        <w:tc>
          <w:tcPr>
            <w:tcW w:w="298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7"/>
          <w:wBefore w:w="4026" w:type="dxa"/>
          <w:wAfter w:w="286" w:type="dxa"/>
          <w:trHeight w:val="207" w:hRule="atLeast"/>
        </w:trPr>
        <w:tc>
          <w:tcPr>
            <w:tcW w:w="1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40" w:type="dxa"/>
            <w:gridSpan w:val="9"/>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产出指标</w:t>
            </w:r>
          </w:p>
        </w:tc>
        <w:tc>
          <w:tcPr>
            <w:tcW w:w="141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数量指标</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《邦炯》出版期数</w:t>
            </w:r>
          </w:p>
        </w:tc>
        <w:tc>
          <w:tcPr>
            <w:tcW w:w="106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w:t>
            </w:r>
          </w:p>
        </w:tc>
        <w:tc>
          <w:tcPr>
            <w:tcW w:w="9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2</w:t>
            </w:r>
          </w:p>
        </w:tc>
        <w:tc>
          <w:tcPr>
            <w:tcW w:w="110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期/年</w:t>
            </w:r>
          </w:p>
        </w:tc>
        <w:tc>
          <w:tcPr>
            <w:tcW w:w="10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3"/>
                <w:szCs w:val="13"/>
                <w:u w:val="none"/>
              </w:rPr>
            </w:pPr>
            <w:r>
              <w:rPr>
                <w:rFonts w:eastAsia="微软雅黑"/>
                <w:i/>
                <w:iCs/>
                <w:color w:val="000000"/>
                <w:kern w:val="0"/>
                <w:sz w:val="13"/>
                <w:szCs w:val="13"/>
                <w:u w:val="none"/>
                <w:lang w:val="en-US" w:eastAsia="zh-CN"/>
              </w:rPr>
              <w:t>2</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10</w:t>
            </w:r>
          </w:p>
        </w:tc>
        <w:tc>
          <w:tcPr>
            <w:tcW w:w="73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10</w:t>
            </w:r>
          </w:p>
        </w:tc>
        <w:tc>
          <w:tcPr>
            <w:tcW w:w="298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3"/>
                <w:szCs w:val="13"/>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7"/>
          <w:wBefore w:w="4026" w:type="dxa"/>
          <w:wAfter w:w="286" w:type="dxa"/>
          <w:trHeight w:val="257" w:hRule="atLeast"/>
        </w:trPr>
        <w:tc>
          <w:tcPr>
            <w:tcW w:w="1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40"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18"/>
                <w:szCs w:val="21"/>
              </w:rPr>
            </w:pPr>
          </w:p>
        </w:tc>
        <w:tc>
          <w:tcPr>
            <w:tcW w:w="141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18"/>
                <w:szCs w:val="21"/>
              </w:rPr>
            </w:pP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《草地》出版期数</w:t>
            </w:r>
          </w:p>
        </w:tc>
        <w:tc>
          <w:tcPr>
            <w:tcW w:w="106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w:t>
            </w:r>
          </w:p>
        </w:tc>
        <w:tc>
          <w:tcPr>
            <w:tcW w:w="9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6</w:t>
            </w:r>
          </w:p>
        </w:tc>
        <w:tc>
          <w:tcPr>
            <w:tcW w:w="110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期/年</w:t>
            </w:r>
          </w:p>
        </w:tc>
        <w:tc>
          <w:tcPr>
            <w:tcW w:w="10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3"/>
                <w:szCs w:val="13"/>
                <w:u w:val="none"/>
              </w:rPr>
            </w:pPr>
            <w:r>
              <w:rPr>
                <w:rFonts w:eastAsia="微软雅黑"/>
                <w:i/>
                <w:iCs/>
                <w:color w:val="000000"/>
                <w:kern w:val="0"/>
                <w:sz w:val="13"/>
                <w:szCs w:val="13"/>
                <w:u w:val="none"/>
                <w:lang w:val="en-US" w:eastAsia="zh-CN"/>
              </w:rPr>
              <w:t>6</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10</w:t>
            </w:r>
          </w:p>
        </w:tc>
        <w:tc>
          <w:tcPr>
            <w:tcW w:w="73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10</w:t>
            </w:r>
          </w:p>
        </w:tc>
        <w:tc>
          <w:tcPr>
            <w:tcW w:w="298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3"/>
                <w:szCs w:val="13"/>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7"/>
          <w:wBefore w:w="4026" w:type="dxa"/>
          <w:wAfter w:w="286" w:type="dxa"/>
          <w:trHeight w:val="339" w:hRule="atLeast"/>
        </w:trPr>
        <w:tc>
          <w:tcPr>
            <w:tcW w:w="1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40"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18"/>
                <w:szCs w:val="21"/>
              </w:rPr>
            </w:pPr>
          </w:p>
        </w:tc>
        <w:tc>
          <w:tcPr>
            <w:tcW w:w="14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质量指标</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期刊出版质量优质率</w:t>
            </w:r>
          </w:p>
        </w:tc>
        <w:tc>
          <w:tcPr>
            <w:tcW w:w="106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w:t>
            </w:r>
          </w:p>
        </w:tc>
        <w:tc>
          <w:tcPr>
            <w:tcW w:w="9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90</w:t>
            </w:r>
          </w:p>
        </w:tc>
        <w:tc>
          <w:tcPr>
            <w:tcW w:w="110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w:t>
            </w:r>
          </w:p>
        </w:tc>
        <w:tc>
          <w:tcPr>
            <w:tcW w:w="10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3"/>
                <w:szCs w:val="13"/>
                <w:u w:val="none"/>
              </w:rPr>
            </w:pPr>
            <w:r>
              <w:rPr>
                <w:rFonts w:eastAsia="微软雅黑"/>
                <w:i/>
                <w:iCs/>
                <w:color w:val="000000"/>
                <w:kern w:val="0"/>
                <w:sz w:val="13"/>
                <w:szCs w:val="13"/>
                <w:u w:val="none"/>
                <w:lang w:val="en-US" w:eastAsia="zh-CN"/>
              </w:rPr>
              <w:t>90</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10</w:t>
            </w:r>
          </w:p>
        </w:tc>
        <w:tc>
          <w:tcPr>
            <w:tcW w:w="73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10</w:t>
            </w:r>
          </w:p>
        </w:tc>
        <w:tc>
          <w:tcPr>
            <w:tcW w:w="298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3"/>
                <w:szCs w:val="13"/>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7"/>
          <w:wBefore w:w="4026" w:type="dxa"/>
          <w:wAfter w:w="286" w:type="dxa"/>
          <w:trHeight w:val="227" w:hRule="atLeast"/>
        </w:trPr>
        <w:tc>
          <w:tcPr>
            <w:tcW w:w="1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40"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18"/>
                <w:szCs w:val="21"/>
              </w:rPr>
            </w:pPr>
          </w:p>
        </w:tc>
        <w:tc>
          <w:tcPr>
            <w:tcW w:w="14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时效指标</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期刊出版完成时间</w:t>
            </w:r>
          </w:p>
        </w:tc>
        <w:tc>
          <w:tcPr>
            <w:tcW w:w="106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定性</w:t>
            </w:r>
          </w:p>
        </w:tc>
        <w:tc>
          <w:tcPr>
            <w:tcW w:w="9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当年年底</w:t>
            </w:r>
          </w:p>
        </w:tc>
        <w:tc>
          <w:tcPr>
            <w:tcW w:w="110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5"/>
                <w:szCs w:val="15"/>
                <w:u w:val="none"/>
              </w:rPr>
            </w:pPr>
          </w:p>
        </w:tc>
        <w:tc>
          <w:tcPr>
            <w:tcW w:w="10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3"/>
                <w:szCs w:val="13"/>
                <w:u w:val="none"/>
              </w:rPr>
            </w:pPr>
            <w:r>
              <w:rPr>
                <w:rFonts w:eastAsia="微软雅黑"/>
                <w:i/>
                <w:iCs/>
                <w:color w:val="000000"/>
                <w:kern w:val="0"/>
                <w:sz w:val="13"/>
                <w:szCs w:val="13"/>
                <w:u w:val="none"/>
                <w:lang w:val="en-US" w:eastAsia="zh-CN"/>
              </w:rPr>
              <w:t>完成出版</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10</w:t>
            </w:r>
          </w:p>
        </w:tc>
        <w:tc>
          <w:tcPr>
            <w:tcW w:w="73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10</w:t>
            </w:r>
          </w:p>
        </w:tc>
        <w:tc>
          <w:tcPr>
            <w:tcW w:w="298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3"/>
                <w:szCs w:val="13"/>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7"/>
          <w:wBefore w:w="4026" w:type="dxa"/>
          <w:wAfter w:w="286" w:type="dxa"/>
          <w:trHeight w:val="404" w:hRule="atLeast"/>
        </w:trPr>
        <w:tc>
          <w:tcPr>
            <w:tcW w:w="1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4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效益指标</w:t>
            </w:r>
          </w:p>
        </w:tc>
        <w:tc>
          <w:tcPr>
            <w:tcW w:w="14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社会效益指标</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文化宣传和文化贡献</w:t>
            </w:r>
          </w:p>
        </w:tc>
        <w:tc>
          <w:tcPr>
            <w:tcW w:w="106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定性</w:t>
            </w:r>
          </w:p>
        </w:tc>
        <w:tc>
          <w:tcPr>
            <w:tcW w:w="9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1"/>
                <w:szCs w:val="11"/>
                <w:u w:val="none"/>
              </w:rPr>
            </w:pPr>
            <w:r>
              <w:rPr>
                <w:rFonts w:eastAsia="宋体"/>
                <w:i w:val="0"/>
                <w:iCs w:val="0"/>
                <w:color w:val="000000"/>
                <w:kern w:val="0"/>
                <w:sz w:val="11"/>
                <w:szCs w:val="11"/>
                <w:u w:val="none"/>
                <w:lang w:val="en-US" w:eastAsia="zh-CN"/>
              </w:rPr>
              <w:t>促进民族文化交流与传播</w:t>
            </w:r>
          </w:p>
        </w:tc>
        <w:tc>
          <w:tcPr>
            <w:tcW w:w="110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1"/>
                <w:szCs w:val="11"/>
                <w:u w:val="none"/>
              </w:rPr>
            </w:pPr>
          </w:p>
        </w:tc>
        <w:tc>
          <w:tcPr>
            <w:tcW w:w="10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0"/>
                <w:szCs w:val="10"/>
                <w:u w:val="none"/>
              </w:rPr>
            </w:pPr>
            <w:r>
              <w:rPr>
                <w:rFonts w:eastAsia="微软雅黑"/>
                <w:i/>
                <w:iCs/>
                <w:color w:val="000000"/>
                <w:kern w:val="0"/>
                <w:sz w:val="10"/>
                <w:szCs w:val="10"/>
                <w:u w:val="none"/>
                <w:lang w:val="en-US" w:eastAsia="zh-CN"/>
              </w:rPr>
              <w:t>有效促进民族文化交流与传播</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73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298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7"/>
          <w:wBefore w:w="4026" w:type="dxa"/>
          <w:wAfter w:w="286" w:type="dxa"/>
          <w:trHeight w:val="284" w:hRule="atLeast"/>
        </w:trPr>
        <w:tc>
          <w:tcPr>
            <w:tcW w:w="1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4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满意度指标</w:t>
            </w:r>
          </w:p>
        </w:tc>
        <w:tc>
          <w:tcPr>
            <w:tcW w:w="14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3"/>
                <w:szCs w:val="13"/>
                <w:u w:val="none"/>
              </w:rPr>
            </w:pPr>
            <w:r>
              <w:rPr>
                <w:rFonts w:eastAsia="宋体"/>
                <w:i w:val="0"/>
                <w:iCs w:val="0"/>
                <w:color w:val="000000"/>
                <w:kern w:val="0"/>
                <w:sz w:val="13"/>
                <w:szCs w:val="13"/>
                <w:u w:val="none"/>
                <w:lang w:val="en-US" w:eastAsia="zh-CN"/>
              </w:rPr>
              <w:t>服务对象满意度指标</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3"/>
                <w:szCs w:val="13"/>
                <w:u w:val="none"/>
              </w:rPr>
            </w:pPr>
            <w:r>
              <w:rPr>
                <w:rFonts w:eastAsia="宋体"/>
                <w:i w:val="0"/>
                <w:iCs w:val="0"/>
                <w:color w:val="000000"/>
                <w:kern w:val="0"/>
                <w:sz w:val="13"/>
                <w:szCs w:val="13"/>
                <w:u w:val="none"/>
                <w:lang w:val="en-US" w:eastAsia="zh-CN"/>
              </w:rPr>
              <w:t>读者对期刊出版质量满意度</w:t>
            </w:r>
          </w:p>
        </w:tc>
        <w:tc>
          <w:tcPr>
            <w:tcW w:w="106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9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85</w:t>
            </w:r>
          </w:p>
        </w:tc>
        <w:tc>
          <w:tcPr>
            <w:tcW w:w="110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0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85</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73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298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7"/>
          <w:wBefore w:w="4026" w:type="dxa"/>
          <w:wAfter w:w="286" w:type="dxa"/>
          <w:trHeight w:val="339" w:hRule="atLeast"/>
        </w:trPr>
        <w:tc>
          <w:tcPr>
            <w:tcW w:w="19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4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成本指标</w:t>
            </w:r>
          </w:p>
        </w:tc>
        <w:tc>
          <w:tcPr>
            <w:tcW w:w="141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经济成本指标</w:t>
            </w:r>
          </w:p>
        </w:tc>
        <w:tc>
          <w:tcPr>
            <w:tcW w:w="198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《草地》出版经费金额</w:t>
            </w:r>
          </w:p>
        </w:tc>
        <w:tc>
          <w:tcPr>
            <w:tcW w:w="106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9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25</w:t>
            </w:r>
          </w:p>
        </w:tc>
        <w:tc>
          <w:tcPr>
            <w:tcW w:w="110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万元</w:t>
            </w:r>
          </w:p>
        </w:tc>
        <w:tc>
          <w:tcPr>
            <w:tcW w:w="10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25</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73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298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7"/>
          <w:wBefore w:w="4026" w:type="dxa"/>
          <w:wAfter w:w="286" w:type="dxa"/>
          <w:trHeight w:val="152" w:hRule="atLeast"/>
        </w:trPr>
        <w:tc>
          <w:tcPr>
            <w:tcW w:w="11622" w:type="dxa"/>
            <w:gridSpan w:val="3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合计</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w:t>
            </w:r>
          </w:p>
        </w:tc>
        <w:tc>
          <w:tcPr>
            <w:tcW w:w="73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98.83</w:t>
            </w:r>
          </w:p>
        </w:tc>
        <w:tc>
          <w:tcPr>
            <w:tcW w:w="298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7"/>
          <w:wBefore w:w="4026" w:type="dxa"/>
          <w:wAfter w:w="286" w:type="dxa"/>
          <w:trHeight w:val="152" w:hRule="atLeast"/>
        </w:trPr>
        <w:tc>
          <w:tcPr>
            <w:tcW w:w="19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评价结论</w:t>
            </w:r>
          </w:p>
        </w:tc>
        <w:tc>
          <w:tcPr>
            <w:tcW w:w="13965" w:type="dxa"/>
            <w:gridSpan w:val="4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我单位按质按量完成目标任务。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7"/>
          <w:wBefore w:w="4026" w:type="dxa"/>
          <w:wAfter w:w="286" w:type="dxa"/>
          <w:trHeight w:val="152" w:hRule="atLeast"/>
        </w:trPr>
        <w:tc>
          <w:tcPr>
            <w:tcW w:w="19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存在问题</w:t>
            </w:r>
          </w:p>
        </w:tc>
        <w:tc>
          <w:tcPr>
            <w:tcW w:w="13965" w:type="dxa"/>
            <w:gridSpan w:val="49"/>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7"/>
          <w:wBefore w:w="4026" w:type="dxa"/>
          <w:wAfter w:w="286" w:type="dxa"/>
          <w:trHeight w:val="201" w:hRule="atLeast"/>
        </w:trPr>
        <w:tc>
          <w:tcPr>
            <w:tcW w:w="193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改进措施</w:t>
            </w:r>
          </w:p>
        </w:tc>
        <w:tc>
          <w:tcPr>
            <w:tcW w:w="13965" w:type="dxa"/>
            <w:gridSpan w:val="49"/>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7"/>
          <w:wBefore w:w="4026" w:type="dxa"/>
          <w:wAfter w:w="286" w:type="dxa"/>
          <w:trHeight w:val="177" w:hRule="atLeast"/>
        </w:trPr>
        <w:tc>
          <w:tcPr>
            <w:tcW w:w="8444" w:type="dxa"/>
            <w:gridSpan w:val="2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项目负责人：蓝士开</w:t>
            </w:r>
          </w:p>
        </w:tc>
        <w:tc>
          <w:tcPr>
            <w:tcW w:w="7455" w:type="dxa"/>
            <w:gridSpan w:val="2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财务负责人：蓝士开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3"/>
          <w:wBefore w:w="4026" w:type="dxa"/>
          <w:wAfter w:w="241" w:type="dxa"/>
          <w:trHeight w:val="389" w:hRule="atLeast"/>
        </w:trPr>
        <w:tc>
          <w:tcPr>
            <w:tcW w:w="15944" w:type="dxa"/>
            <w:gridSpan w:val="5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黑体"/>
                <w:b/>
                <w:bCs/>
                <w:i w:val="0"/>
                <w:iCs w:val="0"/>
                <w:color w:val="000000"/>
                <w:sz w:val="30"/>
                <w:szCs w:val="30"/>
                <w:u w:val="none"/>
              </w:rPr>
            </w:pPr>
            <w:r>
              <w:rPr>
                <w:rFonts w:eastAsia="黑体"/>
                <w:b/>
                <w:bCs/>
                <w:i w:val="0"/>
                <w:iCs w:val="0"/>
                <w:color w:val="000000"/>
                <w:kern w:val="0"/>
                <w:sz w:val="30"/>
                <w:szCs w:val="30"/>
                <w:u w:val="none"/>
                <w:lang w:val="en-US" w:eastAsia="zh-CN"/>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3"/>
          <w:wBefore w:w="4026" w:type="dxa"/>
          <w:wAfter w:w="241" w:type="dxa"/>
          <w:trHeight w:val="286" w:hRule="atLeast"/>
        </w:trPr>
        <w:tc>
          <w:tcPr>
            <w:tcW w:w="3824"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项目名称</w:t>
            </w:r>
          </w:p>
        </w:tc>
        <w:tc>
          <w:tcPr>
            <w:tcW w:w="12120" w:type="dxa"/>
            <w:gridSpan w:val="4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51320021T000000050940-创作经费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3"/>
          <w:wBefore w:w="4026" w:type="dxa"/>
          <w:wAfter w:w="241" w:type="dxa"/>
          <w:trHeight w:val="349" w:hRule="atLeast"/>
        </w:trPr>
        <w:tc>
          <w:tcPr>
            <w:tcW w:w="3824"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主管部门</w:t>
            </w:r>
          </w:p>
        </w:tc>
        <w:tc>
          <w:tcPr>
            <w:tcW w:w="6710" w:type="dxa"/>
            <w:gridSpan w:val="2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州文联部门</w:t>
            </w:r>
          </w:p>
        </w:tc>
        <w:tc>
          <w:tcPr>
            <w:tcW w:w="1720" w:type="dxa"/>
            <w:gridSpan w:val="9"/>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实施单位 （盖章）</w:t>
            </w:r>
          </w:p>
        </w:tc>
        <w:tc>
          <w:tcPr>
            <w:tcW w:w="3690" w:type="dxa"/>
            <w:gridSpan w:val="1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草地杂志社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3"/>
          <w:wBefore w:w="4026" w:type="dxa"/>
          <w:wAfter w:w="241" w:type="dxa"/>
          <w:trHeight w:val="286" w:hRule="atLeast"/>
        </w:trPr>
        <w:tc>
          <w:tcPr>
            <w:tcW w:w="2024" w:type="dxa"/>
            <w:gridSpan w:val="5"/>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项目基本情况</w:t>
            </w:r>
          </w:p>
        </w:tc>
        <w:tc>
          <w:tcPr>
            <w:tcW w:w="180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1.项目年度目标完成情况</w:t>
            </w:r>
          </w:p>
        </w:tc>
        <w:tc>
          <w:tcPr>
            <w:tcW w:w="6710" w:type="dxa"/>
            <w:gridSpan w:val="2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项目年度目标</w:t>
            </w:r>
          </w:p>
        </w:tc>
        <w:tc>
          <w:tcPr>
            <w:tcW w:w="5410" w:type="dxa"/>
            <w:gridSpan w:val="2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3"/>
          <w:wBefore w:w="4026" w:type="dxa"/>
          <w:wAfter w:w="241" w:type="dxa"/>
          <w:trHeight w:val="398" w:hRule="atLeast"/>
        </w:trPr>
        <w:tc>
          <w:tcPr>
            <w:tcW w:w="2024"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80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710" w:type="dxa"/>
            <w:gridSpan w:val="2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　开展各种文学采风、交流活动，总结创作经验；组织创作；力求出作品、出人才</w:t>
            </w:r>
          </w:p>
        </w:tc>
        <w:tc>
          <w:tcPr>
            <w:tcW w:w="5410" w:type="dxa"/>
            <w:gridSpan w:val="2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完成年度目标任务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3"/>
          <w:wBefore w:w="4026" w:type="dxa"/>
          <w:wAfter w:w="241" w:type="dxa"/>
          <w:trHeight w:val="329" w:hRule="atLeast"/>
        </w:trPr>
        <w:tc>
          <w:tcPr>
            <w:tcW w:w="2024"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2.项目实施内容及过程概述</w:t>
            </w:r>
          </w:p>
        </w:tc>
        <w:tc>
          <w:tcPr>
            <w:tcW w:w="12120" w:type="dxa"/>
            <w:gridSpan w:val="4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开展各种文学采风、交流活动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3"/>
          <w:wBefore w:w="4026" w:type="dxa"/>
          <w:wAfter w:w="241" w:type="dxa"/>
          <w:trHeight w:val="182" w:hRule="atLeast"/>
        </w:trPr>
        <w:tc>
          <w:tcPr>
            <w:tcW w:w="2024" w:type="dxa"/>
            <w:gridSpan w:val="5"/>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预算执行情况（10分）</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年度预算数（万元）</w:t>
            </w:r>
          </w:p>
        </w:tc>
        <w:tc>
          <w:tcPr>
            <w:tcW w:w="156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年初预算</w:t>
            </w:r>
          </w:p>
        </w:tc>
        <w:tc>
          <w:tcPr>
            <w:tcW w:w="203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调整后预算数</w:t>
            </w:r>
          </w:p>
        </w:tc>
        <w:tc>
          <w:tcPr>
            <w:tcW w:w="3110" w:type="dxa"/>
            <w:gridSpan w:val="1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预算执行数</w:t>
            </w:r>
          </w:p>
        </w:tc>
        <w:tc>
          <w:tcPr>
            <w:tcW w:w="10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预算执行率</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权重</w:t>
            </w:r>
          </w:p>
        </w:tc>
        <w:tc>
          <w:tcPr>
            <w:tcW w:w="73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得分</w:t>
            </w:r>
          </w:p>
        </w:tc>
        <w:tc>
          <w:tcPr>
            <w:tcW w:w="303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3"/>
          <w:wBefore w:w="4026" w:type="dxa"/>
          <w:wAfter w:w="241" w:type="dxa"/>
          <w:trHeight w:val="231" w:hRule="atLeast"/>
        </w:trPr>
        <w:tc>
          <w:tcPr>
            <w:tcW w:w="2024"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总额</w:t>
            </w:r>
          </w:p>
        </w:tc>
        <w:tc>
          <w:tcPr>
            <w:tcW w:w="156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5.00</w:t>
            </w:r>
          </w:p>
        </w:tc>
        <w:tc>
          <w:tcPr>
            <w:tcW w:w="203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4.60</w:t>
            </w:r>
          </w:p>
        </w:tc>
        <w:tc>
          <w:tcPr>
            <w:tcW w:w="3110" w:type="dxa"/>
            <w:gridSpan w:val="1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4.60</w:t>
            </w:r>
          </w:p>
        </w:tc>
        <w:tc>
          <w:tcPr>
            <w:tcW w:w="10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100.00%</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73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9.2</w:t>
            </w:r>
          </w:p>
        </w:tc>
        <w:tc>
          <w:tcPr>
            <w:tcW w:w="3030" w:type="dxa"/>
            <w:gridSpan w:val="7"/>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160" w:lineRule="exact"/>
              <w:jc w:val="left"/>
              <w:textAlignment w:val="center"/>
              <w:rPr>
                <w:rFonts w:eastAsia="simhei"/>
                <w:i/>
                <w:iCs/>
                <w:color w:val="000000"/>
                <w:sz w:val="16"/>
                <w:szCs w:val="16"/>
                <w:u w:val="none"/>
              </w:rPr>
            </w:pPr>
            <w:r>
              <w:rPr>
                <w:rFonts w:eastAsia="simhei"/>
                <w:i/>
                <w:iCs/>
                <w:color w:val="000000"/>
                <w:kern w:val="0"/>
                <w:sz w:val="16"/>
                <w:szCs w:val="16"/>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Before w:val="1"/>
          <w:gridAfter w:val="3"/>
          <w:wBefore w:w="4026" w:type="dxa"/>
          <w:wAfter w:w="241" w:type="dxa"/>
          <w:trHeight w:val="261" w:hRule="atLeast"/>
        </w:trPr>
        <w:tc>
          <w:tcPr>
            <w:tcW w:w="2024"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其中：财政资金</w:t>
            </w:r>
          </w:p>
        </w:tc>
        <w:tc>
          <w:tcPr>
            <w:tcW w:w="156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5.00</w:t>
            </w:r>
          </w:p>
        </w:tc>
        <w:tc>
          <w:tcPr>
            <w:tcW w:w="203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4.60</w:t>
            </w:r>
          </w:p>
        </w:tc>
        <w:tc>
          <w:tcPr>
            <w:tcW w:w="3110" w:type="dxa"/>
            <w:gridSpan w:val="1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4.60</w:t>
            </w:r>
          </w:p>
        </w:tc>
        <w:tc>
          <w:tcPr>
            <w:tcW w:w="10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100.00%</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73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3030"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3"/>
          <w:wBefore w:w="4026" w:type="dxa"/>
          <w:wAfter w:w="241" w:type="dxa"/>
          <w:trHeight w:val="232" w:hRule="atLeast"/>
        </w:trPr>
        <w:tc>
          <w:tcPr>
            <w:tcW w:w="2024"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财政专户管理资金</w:t>
            </w:r>
          </w:p>
        </w:tc>
        <w:tc>
          <w:tcPr>
            <w:tcW w:w="156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203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3110" w:type="dxa"/>
            <w:gridSpan w:val="1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10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73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3030"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3"/>
          <w:wBefore w:w="4026" w:type="dxa"/>
          <w:wAfter w:w="241" w:type="dxa"/>
          <w:trHeight w:val="122" w:hRule="atLeast"/>
        </w:trPr>
        <w:tc>
          <w:tcPr>
            <w:tcW w:w="2024"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单位资金</w:t>
            </w:r>
          </w:p>
        </w:tc>
        <w:tc>
          <w:tcPr>
            <w:tcW w:w="156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203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3110" w:type="dxa"/>
            <w:gridSpan w:val="1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10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73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3030"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3"/>
          <w:wBefore w:w="4026" w:type="dxa"/>
          <w:wAfter w:w="241" w:type="dxa"/>
          <w:trHeight w:val="104" w:hRule="atLeast"/>
        </w:trPr>
        <w:tc>
          <w:tcPr>
            <w:tcW w:w="2024"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其他资金</w:t>
            </w:r>
          </w:p>
        </w:tc>
        <w:tc>
          <w:tcPr>
            <w:tcW w:w="156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c>
          <w:tcPr>
            <w:tcW w:w="203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c>
          <w:tcPr>
            <w:tcW w:w="3110" w:type="dxa"/>
            <w:gridSpan w:val="1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c>
          <w:tcPr>
            <w:tcW w:w="10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73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3030" w:type="dxa"/>
            <w:gridSpan w:val="7"/>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3"/>
          <w:wBefore w:w="4026" w:type="dxa"/>
          <w:wAfter w:w="241" w:type="dxa"/>
          <w:trHeight w:val="337" w:hRule="atLeast"/>
        </w:trPr>
        <w:tc>
          <w:tcPr>
            <w:tcW w:w="2024" w:type="dxa"/>
            <w:gridSpan w:val="5"/>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绩效指标（90分）</w:t>
            </w: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一级指标</w:t>
            </w:r>
          </w:p>
        </w:tc>
        <w:tc>
          <w:tcPr>
            <w:tcW w:w="156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二级指标</w:t>
            </w:r>
          </w:p>
        </w:tc>
        <w:tc>
          <w:tcPr>
            <w:tcW w:w="203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三级指标</w:t>
            </w:r>
          </w:p>
        </w:tc>
        <w:tc>
          <w:tcPr>
            <w:tcW w:w="94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指标性质</w:t>
            </w:r>
          </w:p>
        </w:tc>
        <w:tc>
          <w:tcPr>
            <w:tcW w:w="1409"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指标值</w:t>
            </w:r>
          </w:p>
        </w:tc>
        <w:tc>
          <w:tcPr>
            <w:tcW w:w="871"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3"/>
                <w:szCs w:val="13"/>
                <w:u w:val="none"/>
              </w:rPr>
            </w:pPr>
            <w:r>
              <w:rPr>
                <w:rFonts w:eastAsia="宋体"/>
                <w:i w:val="0"/>
                <w:iCs w:val="0"/>
                <w:color w:val="000000"/>
                <w:kern w:val="0"/>
                <w:sz w:val="13"/>
                <w:szCs w:val="13"/>
                <w:u w:val="none"/>
                <w:lang w:val="en-US" w:eastAsia="zh-CN"/>
              </w:rPr>
              <w:t>度量单位</w:t>
            </w:r>
          </w:p>
        </w:tc>
        <w:tc>
          <w:tcPr>
            <w:tcW w:w="97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完成值</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5"/>
                <w:szCs w:val="15"/>
                <w:u w:val="none"/>
                <w:lang w:val="en-US" w:eastAsia="zh-CN"/>
              </w:rPr>
              <w:t>权重</w:t>
            </w:r>
          </w:p>
        </w:tc>
        <w:tc>
          <w:tcPr>
            <w:tcW w:w="73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得分</w:t>
            </w:r>
          </w:p>
        </w:tc>
        <w:tc>
          <w:tcPr>
            <w:tcW w:w="303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3"/>
          <w:wBefore w:w="4026" w:type="dxa"/>
          <w:wAfter w:w="241" w:type="dxa"/>
          <w:trHeight w:val="267" w:hRule="atLeast"/>
        </w:trPr>
        <w:tc>
          <w:tcPr>
            <w:tcW w:w="2024"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80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产出指标</w:t>
            </w:r>
          </w:p>
        </w:tc>
        <w:tc>
          <w:tcPr>
            <w:tcW w:w="156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数量指标</w:t>
            </w:r>
          </w:p>
        </w:tc>
        <w:tc>
          <w:tcPr>
            <w:tcW w:w="203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刊物上刊发作品数</w:t>
            </w:r>
          </w:p>
        </w:tc>
        <w:tc>
          <w:tcPr>
            <w:tcW w:w="94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409"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6</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篇（部）</w:t>
            </w:r>
          </w:p>
        </w:tc>
        <w:tc>
          <w:tcPr>
            <w:tcW w:w="10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6</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73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303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3"/>
          <w:wBefore w:w="4026" w:type="dxa"/>
          <w:wAfter w:w="241" w:type="dxa"/>
          <w:trHeight w:val="329" w:hRule="atLeast"/>
        </w:trPr>
        <w:tc>
          <w:tcPr>
            <w:tcW w:w="2024"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80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568" w:type="dxa"/>
            <w:gridSpan w:val="5"/>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质量指标</w:t>
            </w:r>
          </w:p>
        </w:tc>
        <w:tc>
          <w:tcPr>
            <w:tcW w:w="203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5"/>
                <w:szCs w:val="15"/>
                <w:u w:val="none"/>
                <w:lang w:val="en-US" w:eastAsia="zh-CN"/>
              </w:rPr>
              <w:t>刊发作品获得文学奖项数目</w:t>
            </w:r>
          </w:p>
        </w:tc>
        <w:tc>
          <w:tcPr>
            <w:tcW w:w="94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409"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2</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人/年</w:t>
            </w:r>
          </w:p>
        </w:tc>
        <w:tc>
          <w:tcPr>
            <w:tcW w:w="10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2</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73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303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3"/>
          <w:wBefore w:w="4026" w:type="dxa"/>
          <w:wAfter w:w="241" w:type="dxa"/>
          <w:trHeight w:val="479" w:hRule="atLeast"/>
        </w:trPr>
        <w:tc>
          <w:tcPr>
            <w:tcW w:w="2024"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80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568"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203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提升作家创作能力</w:t>
            </w:r>
          </w:p>
        </w:tc>
        <w:tc>
          <w:tcPr>
            <w:tcW w:w="94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定性</w:t>
            </w:r>
          </w:p>
        </w:tc>
        <w:tc>
          <w:tcPr>
            <w:tcW w:w="1409"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作家创作作品数较上年增加10%</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6"/>
                <w:szCs w:val="16"/>
                <w:u w:val="none"/>
              </w:rPr>
            </w:pPr>
          </w:p>
        </w:tc>
        <w:tc>
          <w:tcPr>
            <w:tcW w:w="10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作品数较上年增加</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73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303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3"/>
          <w:wBefore w:w="4026" w:type="dxa"/>
          <w:wAfter w:w="241" w:type="dxa"/>
          <w:trHeight w:val="404" w:hRule="atLeast"/>
        </w:trPr>
        <w:tc>
          <w:tcPr>
            <w:tcW w:w="2024"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80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56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时效指标</w:t>
            </w:r>
          </w:p>
        </w:tc>
        <w:tc>
          <w:tcPr>
            <w:tcW w:w="203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作品完成时间</w:t>
            </w:r>
          </w:p>
        </w:tc>
        <w:tc>
          <w:tcPr>
            <w:tcW w:w="94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定性</w:t>
            </w:r>
          </w:p>
        </w:tc>
        <w:tc>
          <w:tcPr>
            <w:tcW w:w="1409"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3"/>
                <w:szCs w:val="13"/>
                <w:u w:val="none"/>
                <w:lang w:val="en-US" w:eastAsia="zh-CN"/>
              </w:rPr>
              <w:t>在计划时间内完成</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6"/>
                <w:szCs w:val="16"/>
                <w:u w:val="none"/>
              </w:rPr>
            </w:pPr>
          </w:p>
        </w:tc>
        <w:tc>
          <w:tcPr>
            <w:tcW w:w="10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已完成</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73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303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3"/>
          <w:wBefore w:w="4026" w:type="dxa"/>
          <w:wAfter w:w="241" w:type="dxa"/>
          <w:trHeight w:val="339" w:hRule="atLeast"/>
        </w:trPr>
        <w:tc>
          <w:tcPr>
            <w:tcW w:w="2024"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效益指标</w:t>
            </w:r>
          </w:p>
        </w:tc>
        <w:tc>
          <w:tcPr>
            <w:tcW w:w="156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社会效益指标</w:t>
            </w:r>
          </w:p>
        </w:tc>
        <w:tc>
          <w:tcPr>
            <w:tcW w:w="203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培养年轻作家出作品、</w:t>
            </w:r>
          </w:p>
        </w:tc>
        <w:tc>
          <w:tcPr>
            <w:tcW w:w="94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定性</w:t>
            </w:r>
          </w:p>
        </w:tc>
        <w:tc>
          <w:tcPr>
            <w:tcW w:w="1409"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好、一般、差</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6"/>
                <w:szCs w:val="16"/>
                <w:u w:val="none"/>
              </w:rPr>
            </w:pPr>
          </w:p>
        </w:tc>
        <w:tc>
          <w:tcPr>
            <w:tcW w:w="10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好</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20</w:t>
            </w:r>
          </w:p>
        </w:tc>
        <w:tc>
          <w:tcPr>
            <w:tcW w:w="73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20</w:t>
            </w:r>
          </w:p>
        </w:tc>
        <w:tc>
          <w:tcPr>
            <w:tcW w:w="303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3"/>
          <w:wBefore w:w="4026" w:type="dxa"/>
          <w:wAfter w:w="241" w:type="dxa"/>
          <w:trHeight w:val="254" w:hRule="atLeast"/>
        </w:trPr>
        <w:tc>
          <w:tcPr>
            <w:tcW w:w="2024"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满意度指标</w:t>
            </w:r>
          </w:p>
        </w:tc>
        <w:tc>
          <w:tcPr>
            <w:tcW w:w="156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5"/>
                <w:szCs w:val="15"/>
                <w:u w:val="none"/>
                <w:lang w:val="en-US" w:eastAsia="zh-CN"/>
              </w:rPr>
              <w:t>服务对象满意度指标</w:t>
            </w:r>
          </w:p>
        </w:tc>
        <w:tc>
          <w:tcPr>
            <w:tcW w:w="203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对刊物出版满意度</w:t>
            </w:r>
          </w:p>
        </w:tc>
        <w:tc>
          <w:tcPr>
            <w:tcW w:w="94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409"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95</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0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95</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73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303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3"/>
          <w:wBefore w:w="4026" w:type="dxa"/>
          <w:wAfter w:w="241" w:type="dxa"/>
          <w:trHeight w:val="339" w:hRule="atLeast"/>
        </w:trPr>
        <w:tc>
          <w:tcPr>
            <w:tcW w:w="2024"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80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成本指标</w:t>
            </w:r>
          </w:p>
        </w:tc>
        <w:tc>
          <w:tcPr>
            <w:tcW w:w="156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经济成本指标</w:t>
            </w:r>
          </w:p>
        </w:tc>
        <w:tc>
          <w:tcPr>
            <w:tcW w:w="203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创作采风活动经费</w:t>
            </w:r>
          </w:p>
        </w:tc>
        <w:tc>
          <w:tcPr>
            <w:tcW w:w="94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409"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5</w:t>
            </w:r>
          </w:p>
        </w:tc>
        <w:tc>
          <w:tcPr>
            <w:tcW w:w="7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万元</w:t>
            </w:r>
          </w:p>
        </w:tc>
        <w:tc>
          <w:tcPr>
            <w:tcW w:w="10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4.6</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20</w:t>
            </w:r>
          </w:p>
        </w:tc>
        <w:tc>
          <w:tcPr>
            <w:tcW w:w="73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18.4</w:t>
            </w:r>
          </w:p>
        </w:tc>
        <w:tc>
          <w:tcPr>
            <w:tcW w:w="303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3"/>
          <w:wBefore w:w="4026" w:type="dxa"/>
          <w:wAfter w:w="241" w:type="dxa"/>
          <w:trHeight w:val="286" w:hRule="atLeast"/>
        </w:trPr>
        <w:tc>
          <w:tcPr>
            <w:tcW w:w="11622" w:type="dxa"/>
            <w:gridSpan w:val="3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合计</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w:t>
            </w:r>
          </w:p>
        </w:tc>
        <w:tc>
          <w:tcPr>
            <w:tcW w:w="73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97.6</w:t>
            </w:r>
          </w:p>
        </w:tc>
        <w:tc>
          <w:tcPr>
            <w:tcW w:w="303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3"/>
          <w:wBefore w:w="4026" w:type="dxa"/>
          <w:wAfter w:w="241" w:type="dxa"/>
          <w:trHeight w:val="90" w:hRule="atLeast"/>
        </w:trPr>
        <w:tc>
          <w:tcPr>
            <w:tcW w:w="202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评价结论</w:t>
            </w:r>
          </w:p>
        </w:tc>
        <w:tc>
          <w:tcPr>
            <w:tcW w:w="13920" w:type="dxa"/>
            <w:gridSpan w:val="5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我单位按质按量完成目标任务。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3"/>
          <w:wBefore w:w="4026" w:type="dxa"/>
          <w:wAfter w:w="241" w:type="dxa"/>
          <w:trHeight w:val="137" w:hRule="atLeast"/>
        </w:trPr>
        <w:tc>
          <w:tcPr>
            <w:tcW w:w="202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存在问题</w:t>
            </w:r>
          </w:p>
        </w:tc>
        <w:tc>
          <w:tcPr>
            <w:tcW w:w="13920" w:type="dxa"/>
            <w:gridSpan w:val="50"/>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3"/>
          <w:wBefore w:w="4026" w:type="dxa"/>
          <w:wAfter w:w="241" w:type="dxa"/>
          <w:trHeight w:val="152" w:hRule="atLeast"/>
        </w:trPr>
        <w:tc>
          <w:tcPr>
            <w:tcW w:w="202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改进措施</w:t>
            </w:r>
          </w:p>
        </w:tc>
        <w:tc>
          <w:tcPr>
            <w:tcW w:w="13920" w:type="dxa"/>
            <w:gridSpan w:val="50"/>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3"/>
          <w:wBefore w:w="4026" w:type="dxa"/>
          <w:wAfter w:w="241" w:type="dxa"/>
          <w:trHeight w:val="117" w:hRule="atLeast"/>
        </w:trPr>
        <w:tc>
          <w:tcPr>
            <w:tcW w:w="8369" w:type="dxa"/>
            <w:gridSpan w:val="2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项目负责人：蓝士开</w:t>
            </w:r>
          </w:p>
        </w:tc>
        <w:tc>
          <w:tcPr>
            <w:tcW w:w="7575" w:type="dxa"/>
            <w:gridSpan w:val="3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财务负责人：蓝士开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4026" w:type="dxa"/>
          <w:wAfter w:w="226" w:type="dxa"/>
          <w:trHeight w:val="479" w:hRule="atLeast"/>
        </w:trPr>
        <w:tc>
          <w:tcPr>
            <w:tcW w:w="15959" w:type="dxa"/>
            <w:gridSpan w:val="5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黑体"/>
                <w:b/>
                <w:bCs/>
                <w:i w:val="0"/>
                <w:iCs w:val="0"/>
                <w:color w:val="000000"/>
                <w:sz w:val="30"/>
                <w:szCs w:val="30"/>
                <w:u w:val="none"/>
              </w:rPr>
            </w:pPr>
            <w:r>
              <w:rPr>
                <w:rFonts w:eastAsia="黑体"/>
                <w:b/>
                <w:bCs/>
                <w:i w:val="0"/>
                <w:iCs w:val="0"/>
                <w:color w:val="000000"/>
                <w:kern w:val="0"/>
                <w:sz w:val="30"/>
                <w:szCs w:val="30"/>
                <w:u w:val="none"/>
                <w:lang w:val="en-US" w:eastAsia="zh-CN"/>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Before w:val="1"/>
          <w:gridAfter w:val="2"/>
          <w:wBefore w:w="4026" w:type="dxa"/>
          <w:wAfter w:w="226" w:type="dxa"/>
          <w:trHeight w:val="286" w:hRule="atLeast"/>
        </w:trPr>
        <w:tc>
          <w:tcPr>
            <w:tcW w:w="371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项目名称</w:t>
            </w:r>
          </w:p>
        </w:tc>
        <w:tc>
          <w:tcPr>
            <w:tcW w:w="12249" w:type="dxa"/>
            <w:gridSpan w:val="4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51320025T000012480800-州级离休干部困难补助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4026" w:type="dxa"/>
          <w:wAfter w:w="226" w:type="dxa"/>
          <w:trHeight w:val="289" w:hRule="atLeast"/>
        </w:trPr>
        <w:tc>
          <w:tcPr>
            <w:tcW w:w="371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主管部门</w:t>
            </w:r>
          </w:p>
        </w:tc>
        <w:tc>
          <w:tcPr>
            <w:tcW w:w="6765" w:type="dxa"/>
            <w:gridSpan w:val="2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州文联部门</w:t>
            </w:r>
          </w:p>
        </w:tc>
        <w:tc>
          <w:tcPr>
            <w:tcW w:w="1655" w:type="dxa"/>
            <w:gridSpan w:val="7"/>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实施单位 （盖章）</w:t>
            </w:r>
          </w:p>
        </w:tc>
        <w:tc>
          <w:tcPr>
            <w:tcW w:w="3829"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草地杂志社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2"/>
          <w:wBefore w:w="4026" w:type="dxa"/>
          <w:wAfter w:w="226" w:type="dxa"/>
          <w:trHeight w:val="286" w:hRule="atLeast"/>
        </w:trPr>
        <w:tc>
          <w:tcPr>
            <w:tcW w:w="2054" w:type="dxa"/>
            <w:gridSpan w:val="6"/>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项目基本情况</w:t>
            </w:r>
          </w:p>
        </w:tc>
        <w:tc>
          <w:tcPr>
            <w:tcW w:w="165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1.项目年度目标完成情况</w:t>
            </w:r>
          </w:p>
        </w:tc>
        <w:tc>
          <w:tcPr>
            <w:tcW w:w="6765" w:type="dxa"/>
            <w:gridSpan w:val="2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项目年度目标</w:t>
            </w:r>
          </w:p>
        </w:tc>
        <w:tc>
          <w:tcPr>
            <w:tcW w:w="5484" w:type="dxa"/>
            <w:gridSpan w:val="2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4026" w:type="dxa"/>
          <w:wAfter w:w="226" w:type="dxa"/>
          <w:trHeight w:val="449" w:hRule="atLeast"/>
        </w:trPr>
        <w:tc>
          <w:tcPr>
            <w:tcW w:w="2054"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6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765" w:type="dxa"/>
            <w:gridSpan w:val="2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为1名建国初期参加革命工作退休干部提供每月1520元，通过困难补助提高退休干部生活水平，持续保障其基本生活需求。</w:t>
            </w:r>
          </w:p>
        </w:tc>
        <w:tc>
          <w:tcPr>
            <w:tcW w:w="5484" w:type="dxa"/>
            <w:gridSpan w:val="2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完成年度目标任务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2"/>
          <w:wBefore w:w="4026" w:type="dxa"/>
          <w:wAfter w:w="226" w:type="dxa"/>
          <w:trHeight w:val="434" w:hRule="atLeast"/>
        </w:trPr>
        <w:tc>
          <w:tcPr>
            <w:tcW w:w="2054"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6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2.项目实施内容及过程概述</w:t>
            </w:r>
          </w:p>
        </w:tc>
        <w:tc>
          <w:tcPr>
            <w:tcW w:w="12249" w:type="dxa"/>
            <w:gridSpan w:val="4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建国初期参加革命工作退休干部困难补助发放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2"/>
          <w:wBefore w:w="4026" w:type="dxa"/>
          <w:wAfter w:w="226" w:type="dxa"/>
          <w:trHeight w:val="231" w:hRule="atLeast"/>
        </w:trPr>
        <w:tc>
          <w:tcPr>
            <w:tcW w:w="2054" w:type="dxa"/>
            <w:gridSpan w:val="6"/>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预算执行情况（10分）</w:t>
            </w:r>
          </w:p>
        </w:tc>
        <w:tc>
          <w:tcPr>
            <w:tcW w:w="16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年度预算数（万元）</w:t>
            </w:r>
          </w:p>
        </w:tc>
        <w:tc>
          <w:tcPr>
            <w:tcW w:w="17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年初预算</w:t>
            </w:r>
          </w:p>
        </w:tc>
        <w:tc>
          <w:tcPr>
            <w:tcW w:w="226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调整后预算数</w:t>
            </w:r>
          </w:p>
        </w:tc>
        <w:tc>
          <w:tcPr>
            <w:tcW w:w="273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预算执行数</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预算执行率</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权重</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得分</w:t>
            </w:r>
          </w:p>
        </w:tc>
        <w:tc>
          <w:tcPr>
            <w:tcW w:w="3139"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2"/>
          <w:wBefore w:w="4026" w:type="dxa"/>
          <w:wAfter w:w="226" w:type="dxa"/>
          <w:trHeight w:val="216" w:hRule="atLeast"/>
        </w:trPr>
        <w:tc>
          <w:tcPr>
            <w:tcW w:w="2054"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6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总额</w:t>
            </w:r>
          </w:p>
        </w:tc>
        <w:tc>
          <w:tcPr>
            <w:tcW w:w="17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2.20</w:t>
            </w:r>
          </w:p>
        </w:tc>
        <w:tc>
          <w:tcPr>
            <w:tcW w:w="226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1.87</w:t>
            </w:r>
          </w:p>
        </w:tc>
        <w:tc>
          <w:tcPr>
            <w:tcW w:w="273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1.87</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100.00%</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8.5</w:t>
            </w:r>
          </w:p>
        </w:tc>
        <w:tc>
          <w:tcPr>
            <w:tcW w:w="3139" w:type="dxa"/>
            <w:gridSpan w:val="9"/>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160" w:lineRule="exact"/>
              <w:jc w:val="left"/>
              <w:textAlignment w:val="center"/>
              <w:rPr>
                <w:rFonts w:eastAsia="simhei"/>
                <w:i/>
                <w:iCs/>
                <w:color w:val="000000"/>
                <w:sz w:val="18"/>
                <w:szCs w:val="18"/>
                <w:u w:val="none"/>
              </w:rPr>
            </w:pPr>
            <w:r>
              <w:rPr>
                <w:rFonts w:eastAsia="simhei"/>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gridAfter w:val="2"/>
          <w:wBefore w:w="4026" w:type="dxa"/>
          <w:wAfter w:w="226" w:type="dxa"/>
          <w:trHeight w:val="216" w:hRule="atLeast"/>
        </w:trPr>
        <w:tc>
          <w:tcPr>
            <w:tcW w:w="2054"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6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其中：财政资金</w:t>
            </w:r>
          </w:p>
        </w:tc>
        <w:tc>
          <w:tcPr>
            <w:tcW w:w="17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2.20</w:t>
            </w:r>
          </w:p>
        </w:tc>
        <w:tc>
          <w:tcPr>
            <w:tcW w:w="226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1.87</w:t>
            </w:r>
          </w:p>
        </w:tc>
        <w:tc>
          <w:tcPr>
            <w:tcW w:w="273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1.87</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100.00%</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3139"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2"/>
          <w:wBefore w:w="4026" w:type="dxa"/>
          <w:wAfter w:w="226" w:type="dxa"/>
          <w:trHeight w:val="292" w:hRule="atLeast"/>
        </w:trPr>
        <w:tc>
          <w:tcPr>
            <w:tcW w:w="2054"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6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财政专户管理资金</w:t>
            </w:r>
          </w:p>
        </w:tc>
        <w:tc>
          <w:tcPr>
            <w:tcW w:w="17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26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73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3139"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4026" w:type="dxa"/>
          <w:wAfter w:w="226" w:type="dxa"/>
          <w:trHeight w:val="171" w:hRule="atLeast"/>
        </w:trPr>
        <w:tc>
          <w:tcPr>
            <w:tcW w:w="2054"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6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单位资金</w:t>
            </w:r>
          </w:p>
        </w:tc>
        <w:tc>
          <w:tcPr>
            <w:tcW w:w="17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26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73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3139"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2"/>
          <w:wBefore w:w="4026" w:type="dxa"/>
          <w:wAfter w:w="226" w:type="dxa"/>
          <w:trHeight w:val="90" w:hRule="atLeast"/>
        </w:trPr>
        <w:tc>
          <w:tcPr>
            <w:tcW w:w="2054"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6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其他资金</w:t>
            </w:r>
          </w:p>
        </w:tc>
        <w:tc>
          <w:tcPr>
            <w:tcW w:w="17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226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273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3139" w:type="dxa"/>
            <w:gridSpan w:val="9"/>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4026" w:type="dxa"/>
          <w:wAfter w:w="226" w:type="dxa"/>
          <w:trHeight w:val="452" w:hRule="atLeast"/>
        </w:trPr>
        <w:tc>
          <w:tcPr>
            <w:tcW w:w="2054" w:type="dxa"/>
            <w:gridSpan w:val="6"/>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绩效指标（90分）</w:t>
            </w:r>
          </w:p>
        </w:tc>
        <w:tc>
          <w:tcPr>
            <w:tcW w:w="16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一级指标</w:t>
            </w:r>
          </w:p>
        </w:tc>
        <w:tc>
          <w:tcPr>
            <w:tcW w:w="17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二级指标</w:t>
            </w:r>
          </w:p>
        </w:tc>
        <w:tc>
          <w:tcPr>
            <w:tcW w:w="226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三级指标</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指标性质</w:t>
            </w:r>
          </w:p>
        </w:tc>
        <w:tc>
          <w:tcPr>
            <w:tcW w:w="1581"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eastAsia="宋体"/>
                <w:i w:val="0"/>
                <w:iCs w:val="0"/>
                <w:color w:val="000000"/>
                <w:sz w:val="18"/>
                <w:szCs w:val="18"/>
                <w:u w:val="none"/>
              </w:rPr>
            </w:pPr>
            <w:r>
              <w:rPr>
                <w:rFonts w:eastAsia="宋体"/>
                <w:i w:val="0"/>
                <w:iCs w:val="0"/>
                <w:color w:val="000000"/>
                <w:kern w:val="0"/>
                <w:sz w:val="15"/>
                <w:szCs w:val="15"/>
                <w:u w:val="none"/>
                <w:lang w:val="en-US" w:eastAsia="zh-CN"/>
              </w:rPr>
              <w:t>度量单位</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完成值</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权重</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得分</w:t>
            </w:r>
          </w:p>
        </w:tc>
        <w:tc>
          <w:tcPr>
            <w:tcW w:w="3139"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2"/>
          <w:wBefore w:w="4026" w:type="dxa"/>
          <w:wAfter w:w="226" w:type="dxa"/>
          <w:trHeight w:val="339" w:hRule="atLeast"/>
        </w:trPr>
        <w:tc>
          <w:tcPr>
            <w:tcW w:w="2054"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65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产出指标</w:t>
            </w:r>
          </w:p>
        </w:tc>
        <w:tc>
          <w:tcPr>
            <w:tcW w:w="17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数量指标</w:t>
            </w:r>
          </w:p>
        </w:tc>
        <w:tc>
          <w:tcPr>
            <w:tcW w:w="226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发放对象人数</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581"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5"/>
                <w:szCs w:val="15"/>
                <w:u w:val="none"/>
                <w:lang w:val="en-US" w:eastAsia="zh-CN"/>
              </w:rPr>
              <w:t>人数</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1</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3139"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4026" w:type="dxa"/>
          <w:wAfter w:w="226" w:type="dxa"/>
          <w:trHeight w:val="339" w:hRule="atLeast"/>
        </w:trPr>
        <w:tc>
          <w:tcPr>
            <w:tcW w:w="2054"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6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质量指标</w:t>
            </w:r>
          </w:p>
        </w:tc>
        <w:tc>
          <w:tcPr>
            <w:tcW w:w="226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人员信息准确率</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581"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100</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3139"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2"/>
          <w:wBefore w:w="4026" w:type="dxa"/>
          <w:wAfter w:w="226" w:type="dxa"/>
          <w:trHeight w:val="339" w:hRule="atLeast"/>
        </w:trPr>
        <w:tc>
          <w:tcPr>
            <w:tcW w:w="2054"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6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时效指标</w:t>
            </w:r>
          </w:p>
        </w:tc>
        <w:tc>
          <w:tcPr>
            <w:tcW w:w="226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补助金发放及时性</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定性</w:t>
            </w:r>
          </w:p>
        </w:tc>
        <w:tc>
          <w:tcPr>
            <w:tcW w:w="1581"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每月按时发放</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按时发放</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3139"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4026" w:type="dxa"/>
          <w:wAfter w:w="226" w:type="dxa"/>
          <w:trHeight w:val="239" w:hRule="atLeast"/>
        </w:trPr>
        <w:tc>
          <w:tcPr>
            <w:tcW w:w="2054"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65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效益指标</w:t>
            </w:r>
          </w:p>
        </w:tc>
        <w:tc>
          <w:tcPr>
            <w:tcW w:w="17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社会效益指标</w:t>
            </w:r>
          </w:p>
        </w:tc>
        <w:tc>
          <w:tcPr>
            <w:tcW w:w="226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提高困难职工生活水平</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定性</w:t>
            </w:r>
          </w:p>
        </w:tc>
        <w:tc>
          <w:tcPr>
            <w:tcW w:w="1581"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6"/>
                <w:szCs w:val="16"/>
                <w:u w:val="none"/>
                <w:lang w:val="en-US" w:eastAsia="zh-CN"/>
              </w:rPr>
              <w:t>生活水平明显提升</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明显提升</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3139"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2"/>
          <w:wBefore w:w="4026" w:type="dxa"/>
          <w:wAfter w:w="226" w:type="dxa"/>
          <w:trHeight w:val="224" w:hRule="atLeast"/>
        </w:trPr>
        <w:tc>
          <w:tcPr>
            <w:tcW w:w="2054"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6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可持续影响指标</w:t>
            </w:r>
          </w:p>
        </w:tc>
        <w:tc>
          <w:tcPr>
            <w:tcW w:w="226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保障困难职工生活</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定性</w:t>
            </w:r>
          </w:p>
        </w:tc>
        <w:tc>
          <w:tcPr>
            <w:tcW w:w="1581"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6"/>
                <w:szCs w:val="16"/>
                <w:u w:val="none"/>
                <w:lang w:val="en-US" w:eastAsia="zh-CN"/>
              </w:rPr>
              <w:t>保障困难职工生活</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有效保障</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3139"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4026" w:type="dxa"/>
          <w:wAfter w:w="226" w:type="dxa"/>
          <w:trHeight w:val="247" w:hRule="atLeast"/>
        </w:trPr>
        <w:tc>
          <w:tcPr>
            <w:tcW w:w="2054"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6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满意度指标</w:t>
            </w:r>
          </w:p>
        </w:tc>
        <w:tc>
          <w:tcPr>
            <w:tcW w:w="17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服务对象满意度指标</w:t>
            </w:r>
          </w:p>
        </w:tc>
        <w:tc>
          <w:tcPr>
            <w:tcW w:w="226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保障对象满意度</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581"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100</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3139"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2"/>
          <w:wBefore w:w="4026" w:type="dxa"/>
          <w:wAfter w:w="226" w:type="dxa"/>
          <w:trHeight w:val="90" w:hRule="atLeast"/>
        </w:trPr>
        <w:tc>
          <w:tcPr>
            <w:tcW w:w="2054"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6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成本指标</w:t>
            </w:r>
          </w:p>
        </w:tc>
        <w:tc>
          <w:tcPr>
            <w:tcW w:w="17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经济成本指标</w:t>
            </w:r>
          </w:p>
        </w:tc>
        <w:tc>
          <w:tcPr>
            <w:tcW w:w="226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困难补助资金支出金额</w:t>
            </w:r>
          </w:p>
        </w:tc>
        <w:tc>
          <w:tcPr>
            <w:tcW w:w="6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581"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1520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3"/>
                <w:szCs w:val="13"/>
                <w:u w:val="none"/>
                <w:lang w:val="en-US" w:eastAsia="zh-CN"/>
              </w:rPr>
              <w:t>元/月</w:t>
            </w:r>
          </w:p>
        </w:tc>
        <w:tc>
          <w:tcPr>
            <w:tcW w:w="10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1520</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3139"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4026" w:type="dxa"/>
          <w:wAfter w:w="226" w:type="dxa"/>
          <w:trHeight w:val="286" w:hRule="atLeast"/>
        </w:trPr>
        <w:tc>
          <w:tcPr>
            <w:tcW w:w="11570" w:type="dxa"/>
            <w:gridSpan w:val="3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合计</w:t>
            </w:r>
          </w:p>
        </w:tc>
        <w:tc>
          <w:tcPr>
            <w:tcW w:w="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w:t>
            </w:r>
          </w:p>
        </w:tc>
        <w:tc>
          <w:tcPr>
            <w:tcW w:w="69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98.5</w:t>
            </w:r>
          </w:p>
        </w:tc>
        <w:tc>
          <w:tcPr>
            <w:tcW w:w="3139"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2"/>
          <w:wBefore w:w="4026" w:type="dxa"/>
          <w:wAfter w:w="226" w:type="dxa"/>
          <w:trHeight w:val="173" w:hRule="atLeast"/>
        </w:trPr>
        <w:tc>
          <w:tcPr>
            <w:tcW w:w="205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评价结论</w:t>
            </w:r>
          </w:p>
        </w:tc>
        <w:tc>
          <w:tcPr>
            <w:tcW w:w="13905" w:type="dxa"/>
            <w:gridSpan w:val="5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我单位按质按量完成目标任务。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4026" w:type="dxa"/>
          <w:wAfter w:w="226" w:type="dxa"/>
          <w:trHeight w:val="90" w:hRule="atLeast"/>
        </w:trPr>
        <w:tc>
          <w:tcPr>
            <w:tcW w:w="205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存在问题</w:t>
            </w:r>
          </w:p>
        </w:tc>
        <w:tc>
          <w:tcPr>
            <w:tcW w:w="13905" w:type="dxa"/>
            <w:gridSpan w:val="50"/>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Before w:val="1"/>
          <w:gridAfter w:val="2"/>
          <w:wBefore w:w="4026" w:type="dxa"/>
          <w:wAfter w:w="226" w:type="dxa"/>
          <w:trHeight w:val="201" w:hRule="atLeast"/>
        </w:trPr>
        <w:tc>
          <w:tcPr>
            <w:tcW w:w="205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改进措施</w:t>
            </w:r>
          </w:p>
        </w:tc>
        <w:tc>
          <w:tcPr>
            <w:tcW w:w="13905" w:type="dxa"/>
            <w:gridSpan w:val="50"/>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2"/>
          <w:wBefore w:w="4026" w:type="dxa"/>
          <w:wAfter w:w="226" w:type="dxa"/>
          <w:trHeight w:val="286" w:hRule="atLeast"/>
        </w:trPr>
        <w:tc>
          <w:tcPr>
            <w:tcW w:w="8369" w:type="dxa"/>
            <w:gridSpan w:val="2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项目负责人：苟丽莎</w:t>
            </w:r>
          </w:p>
        </w:tc>
        <w:tc>
          <w:tcPr>
            <w:tcW w:w="7590" w:type="dxa"/>
            <w:gridSpan w:val="3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财务负责人：蓝士开</w:t>
            </w:r>
          </w:p>
        </w:tc>
      </w:tr>
    </w:tbl>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黑体"/>
          <w:color w:val="auto"/>
          <w:sz w:val="44"/>
          <w:szCs w:val="44"/>
          <w:highlight w:val="none"/>
        </w:rPr>
        <w:sectPr>
          <w:pgSz w:w="16838" w:h="11906" w:orient="landscape"/>
          <w:pgMar w:top="1083" w:right="1083" w:bottom="1083" w:left="1083" w:header="851" w:footer="992" w:gutter="0"/>
          <w:pgNumType w:fmt="numberInDash"/>
          <w:cols w:space="0" w:num="1"/>
          <w:rtlGutter w:val="0"/>
          <w:docGrid w:type="lines" w:linePitch="312" w:charSpace="0"/>
        </w:sectPr>
      </w:pPr>
      <w:bookmarkStart w:id="56" w:name="_Toc15396618"/>
    </w:p>
    <w:p>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53"/>
      <w:bookmarkEnd w:id="56"/>
      <w:bookmarkStart w:id="57"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7"/>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0"/>
      <w:r>
        <w:rPr>
          <w:rFonts w:hint="eastAsia" w:ascii="Times New Roman" w:hAnsi="Times New Roman" w:eastAsia="仿宋_GB2312" w:cs="仿宋_GB2312"/>
          <w:color w:val="auto"/>
          <w:sz w:val="32"/>
          <w:szCs w:val="32"/>
          <w:highlight w:val="none"/>
        </w:rPr>
        <w:t>二、收入决算表</w:t>
      </w:r>
      <w:bookmarkEnd w:id="58"/>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1"/>
      <w:r>
        <w:rPr>
          <w:rFonts w:hint="eastAsia" w:ascii="Times New Roman" w:hAnsi="Times New Roman" w:eastAsia="仿宋_GB2312" w:cs="仿宋_GB2312"/>
          <w:color w:val="auto"/>
          <w:sz w:val="32"/>
          <w:szCs w:val="32"/>
          <w:highlight w:val="none"/>
        </w:rPr>
        <w:t>三、支出决算表</w:t>
      </w:r>
      <w:bookmarkEnd w:id="5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2"/>
      <w:r>
        <w:rPr>
          <w:rFonts w:hint="eastAsia" w:ascii="Times New Roman" w:hAnsi="Times New Roman" w:eastAsia="仿宋_GB2312" w:cs="仿宋_GB2312"/>
          <w:color w:val="auto"/>
          <w:sz w:val="32"/>
          <w:szCs w:val="32"/>
          <w:highlight w:val="none"/>
        </w:rPr>
        <w:t>四、财政拨款收入支出决算总表</w:t>
      </w:r>
      <w:bookmarkEnd w:id="60"/>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3"/>
      <w:r>
        <w:rPr>
          <w:rFonts w:hint="eastAsia" w:ascii="Times New Roman" w:hAnsi="Times New Roman" w:eastAsia="仿宋_GB2312" w:cs="仿宋_GB2312"/>
          <w:color w:val="auto"/>
          <w:sz w:val="32"/>
          <w:szCs w:val="32"/>
          <w:highlight w:val="none"/>
        </w:rPr>
        <w:t>五、财政拨款支出决算明细表</w:t>
      </w:r>
      <w:bookmarkEnd w:id="61"/>
      <w:bookmarkStart w:id="62" w:name="_Toc1539662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2"/>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5"/>
      <w:r>
        <w:rPr>
          <w:rFonts w:hint="eastAsia" w:ascii="Times New Roman" w:hAnsi="Times New Roman" w:eastAsia="仿宋_GB2312" w:cs="仿宋_GB2312"/>
          <w:color w:val="auto"/>
          <w:sz w:val="32"/>
          <w:szCs w:val="32"/>
          <w:highlight w:val="none"/>
        </w:rPr>
        <w:t>七、一般公共预算财政拨款支出决算明细表</w:t>
      </w:r>
      <w:bookmarkEnd w:id="63"/>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6"/>
      <w:r>
        <w:rPr>
          <w:rFonts w:hint="eastAsia" w:ascii="Times New Roman" w:hAnsi="Times New Roman" w:eastAsia="仿宋_GB2312" w:cs="仿宋_GB2312"/>
          <w:color w:val="auto"/>
          <w:sz w:val="32"/>
          <w:szCs w:val="32"/>
          <w:highlight w:val="none"/>
        </w:rPr>
        <w:t>八、一般公共预算财政拨款基本支出决算表</w:t>
      </w:r>
      <w:bookmarkEnd w:id="6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7"/>
      <w:r>
        <w:rPr>
          <w:rFonts w:hint="eastAsia" w:ascii="Times New Roman" w:hAnsi="Times New Roman" w:eastAsia="仿宋_GB2312" w:cs="仿宋_GB2312"/>
          <w:color w:val="auto"/>
          <w:sz w:val="32"/>
          <w:szCs w:val="32"/>
          <w:highlight w:val="none"/>
        </w:rPr>
        <w:t>九、一般公共预算财政拨款项目支出决算表</w:t>
      </w:r>
      <w:bookmarkEnd w:id="65"/>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8"/>
      <w:r>
        <w:rPr>
          <w:rFonts w:hint="eastAsia" w:ascii="Times New Roman" w:hAnsi="Times New Roman" w:eastAsia="仿宋_GB2312" w:cs="仿宋_GB2312"/>
          <w:color w:val="auto"/>
          <w:sz w:val="32"/>
          <w:szCs w:val="32"/>
          <w:highlight w:val="none"/>
        </w:rPr>
        <w:t>十、</w:t>
      </w:r>
      <w:bookmarkEnd w:id="66"/>
      <w:r>
        <w:rPr>
          <w:rFonts w:hint="eastAsia" w:ascii="Times New Roman" w:hAnsi="Times New Roman" w:eastAsia="仿宋_GB2312" w:cs="仿宋_GB2312"/>
          <w:color w:val="auto"/>
          <w:sz w:val="32"/>
          <w:szCs w:val="32"/>
          <w:highlight w:val="none"/>
        </w:rPr>
        <w:t>政府性基金预算财政拨款收入支出决算表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9"/>
      <w:r>
        <w:rPr>
          <w:rFonts w:hint="eastAsia" w:ascii="Times New Roman" w:hAnsi="Times New Roman" w:eastAsia="仿宋_GB2312" w:cs="仿宋_GB2312"/>
          <w:color w:val="auto"/>
          <w:sz w:val="32"/>
          <w:szCs w:val="32"/>
          <w:highlight w:val="none"/>
        </w:rPr>
        <w:t>十一、</w:t>
      </w:r>
      <w:bookmarkEnd w:id="67"/>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30"/>
      <w:r>
        <w:rPr>
          <w:rFonts w:hint="eastAsia" w:ascii="Times New Roman" w:hAnsi="Times New Roman" w:eastAsia="仿宋_GB2312" w:cs="仿宋_GB2312"/>
          <w:color w:val="auto"/>
          <w:sz w:val="32"/>
          <w:szCs w:val="32"/>
          <w:highlight w:val="none"/>
        </w:rPr>
        <w:t>十二、</w:t>
      </w:r>
      <w:bookmarkEnd w:id="68"/>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9" w:name="_Toc15396631"/>
      <w:r>
        <w:rPr>
          <w:rFonts w:hint="eastAsia" w:ascii="Times New Roman" w:hAnsi="Times New Roman" w:eastAsia="仿宋_GB2312" w:cs="仿宋_GB2312"/>
          <w:color w:val="auto"/>
          <w:sz w:val="32"/>
          <w:szCs w:val="32"/>
          <w:highlight w:val="none"/>
        </w:rPr>
        <w:t>十三、</w:t>
      </w:r>
      <w:bookmarkEnd w:id="69"/>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pgSz w:w="11906" w:h="16838"/>
      <w:pgMar w:top="1083" w:right="1083" w:bottom="1083" w:left="1083"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A00002BF" w:usb1="38CF7CFA" w:usb2="00082016" w:usb3="00000000" w:csb0="00040001" w:csb1="00000000"/>
  </w:font>
  <w:font w:name="??">
    <w:altName w:val="华文中宋"/>
    <w:panose1 w:val="00000000000000000000"/>
    <w:charset w:val="00"/>
    <w:family w:val="roman"/>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script"/>
    <w:pitch w:val="default"/>
    <w:sig w:usb0="A00002BF" w:usb1="184F6CFA"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simhei">
    <w:altName w:val="DejaVu Sans"/>
    <w:panose1 w:val="00000000000000000000"/>
    <w:charset w:val="00"/>
    <w:family w:val="auto"/>
    <w:pitch w:val="default"/>
    <w:sig w:usb0="00000000" w:usb1="00000000" w:usb2="00000000" w:usb3="00000000" w:csb0="00000000" w:csb1="00000000"/>
  </w:font>
  <w:font w:name="微软雅黑">
    <w:altName w:val="方正黑体_GBK"/>
    <w:panose1 w:val="00000000000000000000"/>
    <w:charset w:val="00"/>
    <w:family w:val="auto"/>
    <w:pitch w:val="default"/>
    <w:sig w:usb0="00000000" w:usb1="00000000" w:usb2="00000000" w:usb3="00000000" w:csb0="00000000" w:csb1="00000000"/>
  </w:font>
  <w:font w:name="Microsoft Himalaya">
    <w:altName w:val="华文中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pqK+VMQIAAGM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qaivlTECAABjBAAADgAAAAAAAAABACAAAAA1&#10;AQAAZHJzL2Uyb0RvYy54bWxQSwUGAAAAAAYABgBZAQAA2A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EC4A35"/>
    <w:multiLevelType w:val="singleLevel"/>
    <w:tmpl w:val="AFEC4A35"/>
    <w:lvl w:ilvl="0" w:tentative="0">
      <w:start w:val="1"/>
      <w:numFmt w:val="chineseCounting"/>
      <w:suff w:val="nothing"/>
      <w:lvlText w:val="%1、"/>
      <w:lvlJc w:val="left"/>
      <w:rPr>
        <w:rFonts w:hint="eastAsia"/>
      </w:rPr>
    </w:lvl>
  </w:abstractNum>
  <w:abstractNum w:abstractNumId="1">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7BF5B2"/>
    <w:rsid w:val="16BB723D"/>
    <w:rsid w:val="186504BB"/>
    <w:rsid w:val="1938089F"/>
    <w:rsid w:val="19A445FC"/>
    <w:rsid w:val="1B7D550C"/>
    <w:rsid w:val="1BE8440E"/>
    <w:rsid w:val="1BF515A0"/>
    <w:rsid w:val="1D155CEE"/>
    <w:rsid w:val="1E740ACF"/>
    <w:rsid w:val="1F62156A"/>
    <w:rsid w:val="1FF35744"/>
    <w:rsid w:val="1FF6BC77"/>
    <w:rsid w:val="21962A9E"/>
    <w:rsid w:val="21AE7C77"/>
    <w:rsid w:val="22BC3C41"/>
    <w:rsid w:val="23860B96"/>
    <w:rsid w:val="240371BF"/>
    <w:rsid w:val="260F557C"/>
    <w:rsid w:val="27FA8A26"/>
    <w:rsid w:val="281408E2"/>
    <w:rsid w:val="29FD04D3"/>
    <w:rsid w:val="2BFF7BC6"/>
    <w:rsid w:val="2C8A61B5"/>
    <w:rsid w:val="2D2E01CF"/>
    <w:rsid w:val="2DF04E50"/>
    <w:rsid w:val="2E9545B0"/>
    <w:rsid w:val="2F040D46"/>
    <w:rsid w:val="2FAE5751"/>
    <w:rsid w:val="2FB1A395"/>
    <w:rsid w:val="2FBFDA27"/>
    <w:rsid w:val="2FD9A7D8"/>
    <w:rsid w:val="319F7F4E"/>
    <w:rsid w:val="321B2544"/>
    <w:rsid w:val="3304709D"/>
    <w:rsid w:val="34281836"/>
    <w:rsid w:val="349D6851"/>
    <w:rsid w:val="35BA6CAF"/>
    <w:rsid w:val="364D14C1"/>
    <w:rsid w:val="36AA5135"/>
    <w:rsid w:val="36BE0DA7"/>
    <w:rsid w:val="36F76B1C"/>
    <w:rsid w:val="376B6AA6"/>
    <w:rsid w:val="376D39B2"/>
    <w:rsid w:val="37E16F03"/>
    <w:rsid w:val="37F53A3B"/>
    <w:rsid w:val="389B6C89"/>
    <w:rsid w:val="38D469F0"/>
    <w:rsid w:val="39627CCD"/>
    <w:rsid w:val="397BAF1F"/>
    <w:rsid w:val="3AB79AF3"/>
    <w:rsid w:val="3B7EF35A"/>
    <w:rsid w:val="3B9FDB6C"/>
    <w:rsid w:val="3BF5BC2F"/>
    <w:rsid w:val="3CEBA265"/>
    <w:rsid w:val="3D7EDC0D"/>
    <w:rsid w:val="3D98207C"/>
    <w:rsid w:val="3D9B0D99"/>
    <w:rsid w:val="3DD433D4"/>
    <w:rsid w:val="3DEE7CF3"/>
    <w:rsid w:val="3DF02244"/>
    <w:rsid w:val="3E78745D"/>
    <w:rsid w:val="3F3FC79F"/>
    <w:rsid w:val="3F7DA1EA"/>
    <w:rsid w:val="3FB74E8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8B22F4"/>
    <w:rsid w:val="4FE9BD67"/>
    <w:rsid w:val="4FFB052F"/>
    <w:rsid w:val="53083A92"/>
    <w:rsid w:val="537E6D0A"/>
    <w:rsid w:val="53AF27A2"/>
    <w:rsid w:val="53F74C96"/>
    <w:rsid w:val="56E47B74"/>
    <w:rsid w:val="56F7AD60"/>
    <w:rsid w:val="57BD3DD4"/>
    <w:rsid w:val="57FF0FCA"/>
    <w:rsid w:val="5AF92295"/>
    <w:rsid w:val="5BDD79E6"/>
    <w:rsid w:val="5BF561CA"/>
    <w:rsid w:val="5BFF5DFC"/>
    <w:rsid w:val="5CD71FC4"/>
    <w:rsid w:val="5D1F11B5"/>
    <w:rsid w:val="5DAE1B18"/>
    <w:rsid w:val="5DE7D9E5"/>
    <w:rsid w:val="5ECEC941"/>
    <w:rsid w:val="5F493CB7"/>
    <w:rsid w:val="5F96B7F4"/>
    <w:rsid w:val="5FBF9FF3"/>
    <w:rsid w:val="5FCD4E2C"/>
    <w:rsid w:val="5FD15F49"/>
    <w:rsid w:val="5FE676C8"/>
    <w:rsid w:val="5FEF394A"/>
    <w:rsid w:val="5FF67715"/>
    <w:rsid w:val="62BF3928"/>
    <w:rsid w:val="647F5392"/>
    <w:rsid w:val="656FC0BB"/>
    <w:rsid w:val="664B1D71"/>
    <w:rsid w:val="67AA3209"/>
    <w:rsid w:val="681C4F0D"/>
    <w:rsid w:val="69046D0F"/>
    <w:rsid w:val="698D0931"/>
    <w:rsid w:val="6A993CED"/>
    <w:rsid w:val="6B053271"/>
    <w:rsid w:val="6BCE6674"/>
    <w:rsid w:val="6C4A05C8"/>
    <w:rsid w:val="6C8742B8"/>
    <w:rsid w:val="6C8A170F"/>
    <w:rsid w:val="6CB54609"/>
    <w:rsid w:val="6D577581"/>
    <w:rsid w:val="6DBF5E93"/>
    <w:rsid w:val="6DFF077E"/>
    <w:rsid w:val="6E7E096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5E626F3"/>
    <w:rsid w:val="75ED70CD"/>
    <w:rsid w:val="76E3355F"/>
    <w:rsid w:val="76FF5125"/>
    <w:rsid w:val="776F6FFA"/>
    <w:rsid w:val="778769C8"/>
    <w:rsid w:val="77DC22F5"/>
    <w:rsid w:val="77FFA3C3"/>
    <w:rsid w:val="79086DAD"/>
    <w:rsid w:val="79974F09"/>
    <w:rsid w:val="79C7BD08"/>
    <w:rsid w:val="79D7FD79"/>
    <w:rsid w:val="79E74284"/>
    <w:rsid w:val="79EE5BA4"/>
    <w:rsid w:val="7A894339"/>
    <w:rsid w:val="7AC2CCCB"/>
    <w:rsid w:val="7AF50CB7"/>
    <w:rsid w:val="7AFF7572"/>
    <w:rsid w:val="7B452F21"/>
    <w:rsid w:val="7B6C7DFB"/>
    <w:rsid w:val="7BB63C62"/>
    <w:rsid w:val="7BBFBED0"/>
    <w:rsid w:val="7BBFF811"/>
    <w:rsid w:val="7BC3E394"/>
    <w:rsid w:val="7C1F3737"/>
    <w:rsid w:val="7CBFC87B"/>
    <w:rsid w:val="7CFE0F48"/>
    <w:rsid w:val="7D7EC23E"/>
    <w:rsid w:val="7D916348"/>
    <w:rsid w:val="7DDEBBB1"/>
    <w:rsid w:val="7E8ADEBF"/>
    <w:rsid w:val="7EEF11D3"/>
    <w:rsid w:val="7F0971A6"/>
    <w:rsid w:val="7F3F679B"/>
    <w:rsid w:val="7F4FC4EF"/>
    <w:rsid w:val="7F5E4D54"/>
    <w:rsid w:val="7F6E0135"/>
    <w:rsid w:val="7F954DBA"/>
    <w:rsid w:val="7FA30C79"/>
    <w:rsid w:val="7FAF8ABF"/>
    <w:rsid w:val="7FB7269E"/>
    <w:rsid w:val="7FC96657"/>
    <w:rsid w:val="7FDA9588"/>
    <w:rsid w:val="7FDF220F"/>
    <w:rsid w:val="7FEDC5F7"/>
    <w:rsid w:val="7FEDD9DE"/>
    <w:rsid w:val="7FEFBA64"/>
    <w:rsid w:val="7FF5890D"/>
    <w:rsid w:val="7FF93490"/>
    <w:rsid w:val="7FFD1DFC"/>
    <w:rsid w:val="8BBF1C18"/>
    <w:rsid w:val="993BF4EE"/>
    <w:rsid w:val="99FF2014"/>
    <w:rsid w:val="9EFFFA57"/>
    <w:rsid w:val="A3B32915"/>
    <w:rsid w:val="A6DD0D7F"/>
    <w:rsid w:val="ABEF7D33"/>
    <w:rsid w:val="AD9D865E"/>
    <w:rsid w:val="ADC6F725"/>
    <w:rsid w:val="B27F9A3D"/>
    <w:rsid w:val="B6ABDC2E"/>
    <w:rsid w:val="B6FD31ED"/>
    <w:rsid w:val="B7CF06AB"/>
    <w:rsid w:val="B7CFA926"/>
    <w:rsid w:val="B7F8786B"/>
    <w:rsid w:val="BA05D92E"/>
    <w:rsid w:val="BABB6AA1"/>
    <w:rsid w:val="BB2F4199"/>
    <w:rsid w:val="BD079C78"/>
    <w:rsid w:val="BD733540"/>
    <w:rsid w:val="BDFEE377"/>
    <w:rsid w:val="BF3735D5"/>
    <w:rsid w:val="BF7F09AC"/>
    <w:rsid w:val="BFA6788B"/>
    <w:rsid w:val="BFB36CF1"/>
    <w:rsid w:val="BFD475C3"/>
    <w:rsid w:val="BFDE5EA6"/>
    <w:rsid w:val="BFEA4EC9"/>
    <w:rsid w:val="CF6FC6F3"/>
    <w:rsid w:val="CFD3D3D7"/>
    <w:rsid w:val="CFDF1009"/>
    <w:rsid w:val="CFFDFA11"/>
    <w:rsid w:val="D7D7B16A"/>
    <w:rsid w:val="D7FC4E30"/>
    <w:rsid w:val="D8D6DB89"/>
    <w:rsid w:val="DB6F4CAB"/>
    <w:rsid w:val="DB777682"/>
    <w:rsid w:val="DBA9CE6E"/>
    <w:rsid w:val="DD1FB521"/>
    <w:rsid w:val="DE58C7EA"/>
    <w:rsid w:val="DEFBFEAE"/>
    <w:rsid w:val="DF1F3B80"/>
    <w:rsid w:val="DF6F9789"/>
    <w:rsid w:val="DFFEFD6E"/>
    <w:rsid w:val="DFFFA9E8"/>
    <w:rsid w:val="E22E8A68"/>
    <w:rsid w:val="E5F4E9DC"/>
    <w:rsid w:val="E70FE695"/>
    <w:rsid w:val="E7C6AAB1"/>
    <w:rsid w:val="ECFED1BC"/>
    <w:rsid w:val="ED1D69BB"/>
    <w:rsid w:val="ED7FD312"/>
    <w:rsid w:val="EDC78CB8"/>
    <w:rsid w:val="EEEDC6AB"/>
    <w:rsid w:val="EF53993F"/>
    <w:rsid w:val="EF6FD633"/>
    <w:rsid w:val="EFBFB2F4"/>
    <w:rsid w:val="EFBFFA21"/>
    <w:rsid w:val="F2BEBCB8"/>
    <w:rsid w:val="F36FB518"/>
    <w:rsid w:val="F3DE1A04"/>
    <w:rsid w:val="F3F722E5"/>
    <w:rsid w:val="F6DFE0D9"/>
    <w:rsid w:val="F6FEFD48"/>
    <w:rsid w:val="F7FFAC01"/>
    <w:rsid w:val="F9AF3F98"/>
    <w:rsid w:val="F9D5408B"/>
    <w:rsid w:val="FA5F1E70"/>
    <w:rsid w:val="FA5FDB97"/>
    <w:rsid w:val="FB7F486A"/>
    <w:rsid w:val="FBFF5B2E"/>
    <w:rsid w:val="FD7FFE2B"/>
    <w:rsid w:val="FDEE196B"/>
    <w:rsid w:val="FDF53CD8"/>
    <w:rsid w:val="FDFE6575"/>
    <w:rsid w:val="FEDFDDC2"/>
    <w:rsid w:val="FEED32F6"/>
    <w:rsid w:val="FEF781DD"/>
    <w:rsid w:val="FEFFB5F5"/>
    <w:rsid w:val="FF373426"/>
    <w:rsid w:val="FF3F7E3F"/>
    <w:rsid w:val="FF7F5C44"/>
    <w:rsid w:val="FFBA12D7"/>
    <w:rsid w:val="FFDFFAEE"/>
    <w:rsid w:val="FFE6CDCC"/>
    <w:rsid w:val="FFF9B57B"/>
    <w:rsid w:val="FFFD61D9"/>
    <w:rsid w:val="FFFD8F59"/>
    <w:rsid w:val="FFFF2BB1"/>
    <w:rsid w:val="FFFF62AA"/>
    <w:rsid w:val="FFFF9B89"/>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24037;&#20316;&#31807;1"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24037;&#20316;&#31807;2"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24037;&#20316;&#31807;2"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24037;&#20316;&#31807;3"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
        <c:rich>
          <a:bodyPr/>
          <a:lstStyle/>
          <a:p>
            <a:pPr>
              <a:defRPr/>
            </a:pPr>
          </a:p>
        </c:rich>
      </c:tx>
    </c:title>
    <c:autoTitleDeleted val="0"/>
    <c:plotArea>
      <c:layout/>
      <c:barChart>
        <c:barDir val="col"/>
        <c:grouping val="clustered"/>
        <c:varyColors val="0"/>
        <c:ser>
          <c:idx val="0"/>
          <c:order val="0"/>
          <c:tx>
            <c:strRef>
              <c:f>[工作簿1]Sheet1!$D$11</c:f>
              <c:strCache>
                <c:ptCount val="1"/>
                <c:pt idx="0">
                  <c:v>2025年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[工作簿1]Sheet1!$E$10:$F$10</c:f>
              <c:strCache>
                <c:ptCount val="2"/>
                <c:pt idx="0" c:formatCode="@">
                  <c:v>收入</c:v>
                </c:pt>
                <c:pt idx="1" c:formatCode="@">
                  <c:v>支出</c:v>
                </c:pt>
              </c:strCache>
            </c:strRef>
          </c:cat>
          <c:val>
            <c:numRef>
              <c:f>[工作簿1]Sheet1!$E$11:$F$11</c:f>
              <c:numCache>
                <c:formatCode>@</c:formatCode>
                <c:ptCount val="2"/>
                <c:pt idx="0">
                  <c:v>872.14</c:v>
                </c:pt>
                <c:pt idx="1">
                  <c:v>872.14</c:v>
                </c:pt>
              </c:numCache>
            </c:numRef>
          </c:val>
        </c:ser>
        <c:ser>
          <c:idx val="1"/>
          <c:order val="1"/>
          <c:tx>
            <c:strRef>
              <c:f>[工作簿1]Sheet1!$D$12</c:f>
              <c:strCache>
                <c:ptCount val="1"/>
                <c:pt idx="0">
                  <c:v>2024年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[工作簿1]Sheet1!$E$10:$F$10</c:f>
              <c:strCache>
                <c:ptCount val="2"/>
                <c:pt idx="0" c:formatCode="@">
                  <c:v>收入</c:v>
                </c:pt>
                <c:pt idx="1" c:formatCode="@">
                  <c:v>支出</c:v>
                </c:pt>
              </c:strCache>
            </c:strRef>
          </c:cat>
          <c:val>
            <c:numRef>
              <c:f>[工作簿1]Sheet1!$E$12:$F$12</c:f>
              <c:numCache>
                <c:formatCode>@</c:formatCode>
                <c:ptCount val="2"/>
                <c:pt idx="0">
                  <c:v>812.19</c:v>
                </c:pt>
                <c:pt idx="1">
                  <c:v>812.19</c:v>
                </c:pt>
              </c:numCache>
            </c:numRef>
          </c:val>
        </c:ser>
        <c:dLbls>
          <c:showLegendKey val="0"/>
          <c:showVal val="1"/>
          <c:showCatName val="0"/>
          <c:showSerName val="0"/>
          <c:showPercent val="0"/>
          <c:showBubbleSize val="0"/>
        </c:dLbls>
        <c:gapWidth val="219"/>
        <c:overlap val="-27"/>
        <c:axId val="744063085"/>
        <c:axId val="477908327"/>
      </c:barChart>
      <c:catAx>
        <c:axId val="744063085"/>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7908327"/>
        <c:crosses val="autoZero"/>
        <c:auto val="1"/>
        <c:lblAlgn val="ctr"/>
        <c:lblOffset val="100"/>
        <c:noMultiLvlLbl val="0"/>
      </c:catAx>
      <c:valAx>
        <c:axId val="477908327"/>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406308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列1</c:v>
                </c:pt>
              </c:strCache>
            </c:strRef>
          </c:tx>
          <c:spPr/>
          <c:explosion val="0"/>
          <c:dPt>
            <c:idx val="0"/>
            <c:bubble3D val="0"/>
            <c:spPr>
              <a:solidFill>
                <a:schemeClr val="accent1"/>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一般公共预算财政拨款收入</c:v>
                </c:pt>
              </c:strCache>
            </c:strRef>
          </c:cat>
          <c:val>
            <c:numRef>
              <c:f>Sheet1!$B$2</c:f>
              <c:numCache>
                <c:formatCode>General</c:formatCode>
                <c:ptCount val="1"/>
                <c:pt idx="0">
                  <c:v>812.19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manualLayout>
          <c:xMode val="edge"/>
          <c:yMode val="edge"/>
          <c:x val="0.350365431465573"/>
          <c:y val="0.10889973713856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[工作簿1]Sheet1!$D$10:$E$11</c:f>
              <c:multiLvlStrCache>
                <c:ptCount val="2"/>
                <c:lvl>
                  <c:pt idx="0">
                    <c:v>574.37万元</c:v>
                  </c:pt>
                  <c:pt idx="1">
                    <c:v>297.77万元</c:v>
                  </c:pt>
                </c:lvl>
                <c:lvl>
                  <c:pt idx="0">
                    <c:v>基本支出</c:v>
                  </c:pt>
                  <c:pt idx="1" c:formatCode="0.00%">
                    <c:v>项目支出</c:v>
                  </c:pt>
                </c:lvl>
              </c:multiLvlStrCache>
            </c:multiLvlStrRef>
          </c:cat>
          <c:val>
            <c:numRef>
              <c:f>[工作簿1]Sheet1!$F$10:$F$11</c:f>
              <c:numCache>
                <c:formatCode>0.00%</c:formatCode>
                <c:ptCount val="2"/>
                <c:pt idx="0">
                  <c:v>0.6586</c:v>
                </c:pt>
                <c:pt idx="1">
                  <c:v>0.3414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[工作簿1]Sheet1!$D$11</c:f>
              <c:strCache>
                <c:ptCount val="1"/>
                <c:pt idx="0">
                  <c:v>2025年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[工作簿1]Sheet1!$E$10:$F$10</c:f>
              <c:strCache>
                <c:ptCount val="2"/>
                <c:pt idx="0" c:formatCode="@">
                  <c:v>收入</c:v>
                </c:pt>
                <c:pt idx="1" c:formatCode="@">
                  <c:v>支出</c:v>
                </c:pt>
              </c:strCache>
            </c:strRef>
          </c:cat>
          <c:val>
            <c:numRef>
              <c:f>[工作簿1]Sheet1!$E$11:$F$11</c:f>
              <c:numCache>
                <c:formatCode>@</c:formatCode>
                <c:ptCount val="2"/>
                <c:pt idx="0">
                  <c:v>872.14</c:v>
                </c:pt>
                <c:pt idx="1">
                  <c:v>872.14</c:v>
                </c:pt>
              </c:numCache>
            </c:numRef>
          </c:val>
        </c:ser>
        <c:ser>
          <c:idx val="1"/>
          <c:order val="1"/>
          <c:tx>
            <c:strRef>
              <c:f>[工作簿1]Sheet1!$D$12</c:f>
              <c:strCache>
                <c:ptCount val="1"/>
                <c:pt idx="0">
                  <c:v>2024年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[工作簿1]Sheet1!$E$10:$F$10</c:f>
              <c:strCache>
                <c:ptCount val="2"/>
                <c:pt idx="0" c:formatCode="@">
                  <c:v>收入</c:v>
                </c:pt>
                <c:pt idx="1" c:formatCode="@">
                  <c:v>支出</c:v>
                </c:pt>
              </c:strCache>
            </c:strRef>
          </c:cat>
          <c:val>
            <c:numRef>
              <c:f>[工作簿1]Sheet1!$E$12:$F$12</c:f>
              <c:numCache>
                <c:formatCode>@</c:formatCode>
                <c:ptCount val="2"/>
                <c:pt idx="0">
                  <c:v>812.19</c:v>
                </c:pt>
                <c:pt idx="1">
                  <c:v>812.19</c:v>
                </c:pt>
              </c:numCache>
            </c:numRef>
          </c:val>
        </c:ser>
        <c:dLbls>
          <c:showLegendKey val="0"/>
          <c:showVal val="1"/>
          <c:showCatName val="0"/>
          <c:showSerName val="0"/>
          <c:showPercent val="0"/>
          <c:showBubbleSize val="0"/>
        </c:dLbls>
        <c:gapWidth val="219"/>
        <c:overlap val="-27"/>
        <c:axId val="744063085"/>
        <c:axId val="477908327"/>
      </c:barChart>
      <c:catAx>
        <c:axId val="74406308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7908327"/>
        <c:crosses val="autoZero"/>
        <c:auto val="1"/>
        <c:lblAlgn val="ctr"/>
        <c:lblOffset val="100"/>
        <c:noMultiLvlLbl val="0"/>
      </c:catAx>
      <c:valAx>
        <c:axId val="477908327"/>
        <c:scaling>
          <c:orientation val="minMax"/>
        </c:scaling>
        <c:delete val="0"/>
        <c:axPos val="l"/>
        <c:majorGridlines>
          <c:spPr>
            <a:ln w="9525" cap="flat" cmpd="sng" algn="ctr">
              <a:solidFill>
                <a:schemeClr val="tx1">
                  <a:lumMod val="15000"/>
                  <a:lumOff val="85000"/>
                </a:schemeClr>
              </a:solidFill>
              <a:round/>
            </a:ln>
            <a:effectLst/>
          </c:spPr>
        </c:majorGridlines>
        <c:numFmt formatCode="@"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406308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[工作簿2]Sheet1!$G$7:$G$8</c:f>
              <c:strCache>
                <c:ptCount val="2"/>
                <c:pt idx="0" c:formatCode="@">
                  <c:v>2024年支出</c:v>
                </c:pt>
                <c:pt idx="1" c:formatCode="@">
                  <c:v>2025年支出</c:v>
                </c:pt>
              </c:strCache>
            </c:strRef>
          </c:cat>
          <c:val>
            <c:numRef>
              <c:f>[工作簿2]Sheet1!$H$7:$H$8</c:f>
              <c:numCache>
                <c:formatCode>@</c:formatCode>
                <c:ptCount val="2"/>
                <c:pt idx="0">
                  <c:v>812.19</c:v>
                </c:pt>
                <c:pt idx="1">
                  <c:v>872.14</c:v>
                </c:pt>
              </c:numCache>
            </c:numRef>
          </c:val>
        </c:ser>
        <c:dLbls>
          <c:showLegendKey val="0"/>
          <c:showVal val="1"/>
          <c:showCatName val="0"/>
          <c:showSerName val="0"/>
          <c:showPercent val="0"/>
          <c:showBubbleSize val="0"/>
        </c:dLbls>
        <c:gapWidth val="219"/>
        <c:overlap val="-27"/>
        <c:axId val="297703717"/>
        <c:axId val="532187161"/>
      </c:barChart>
      <c:catAx>
        <c:axId val="29770371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2187161"/>
        <c:crosses val="autoZero"/>
        <c:auto val="1"/>
        <c:lblAlgn val="ctr"/>
        <c:lblOffset val="100"/>
        <c:noMultiLvlLbl val="0"/>
      </c:catAx>
      <c:valAx>
        <c:axId val="532187161"/>
        <c:scaling>
          <c:orientation val="minMax"/>
        </c:scaling>
        <c:delete val="0"/>
        <c:axPos val="l"/>
        <c:majorGridlines>
          <c:spPr>
            <a:ln w="9525" cap="flat" cmpd="sng" algn="ctr">
              <a:solidFill>
                <a:schemeClr val="tx1">
                  <a:lumMod val="15000"/>
                  <a:lumOff val="85000"/>
                </a:schemeClr>
              </a:solidFill>
              <a:round/>
            </a:ln>
            <a:effectLst/>
          </c:spPr>
        </c:majorGridlines>
        <c:numFmt formatCode="@"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770371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2"/>
              <c:layout>
                <c:manualLayout>
                  <c:x val="-0.0221205180144042"/>
                  <c:y val="0.01863539867767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[工作簿2]Sheet1!$G$14:$G$17</c:f>
              <c:strCache>
                <c:ptCount val="4"/>
                <c:pt idx="0">
                  <c:v>文化旅游体育与传媒支出</c:v>
                </c:pt>
                <c:pt idx="1">
                  <c:v>社会保障和就业支出</c:v>
                </c:pt>
                <c:pt idx="2">
                  <c:v>卫生健康支出</c:v>
                </c:pt>
                <c:pt idx="3">
                  <c:v>住房保障支出</c:v>
                </c:pt>
              </c:strCache>
            </c:strRef>
          </c:cat>
          <c:val>
            <c:numRef>
              <c:f>[工作簿2]Sheet1!$H$14:$H$17</c:f>
              <c:numCache>
                <c:formatCode>0.00%</c:formatCode>
                <c:ptCount val="4"/>
                <c:pt idx="0">
                  <c:v>0.8471</c:v>
                </c:pt>
                <c:pt idx="1">
                  <c:v>0.0797</c:v>
                </c:pt>
                <c:pt idx="2">
                  <c:v>0.0302</c:v>
                </c:pt>
                <c:pt idx="3">
                  <c:v>0.043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财政拨款“三公”经费支出结构</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0166666666666667"/>
                  <c:y val="0.0069444444444444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93363751242887"/>
                  <c:y val="0.015315732172358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[工作簿3]Sheet1!$E$11:$E$13</c:f>
              <c:strCache>
                <c:ptCount val="3"/>
                <c:pt idx="0">
                  <c:v>因公出国（境）费支出</c:v>
                </c:pt>
                <c:pt idx="1">
                  <c:v>公务用车购置及运行维护费支出</c:v>
                </c:pt>
                <c:pt idx="2">
                  <c:v>公务接待费支出</c:v>
                </c:pt>
              </c:strCache>
            </c:strRef>
          </c:cat>
          <c:val>
            <c:numRef>
              <c:f>[工作簿3]Sheet1!$F$11:$F$13</c:f>
              <c:numCache>
                <c:formatCode>0%</c:formatCode>
                <c:ptCount val="3"/>
                <c:pt idx="0">
                  <c:v>0</c:v>
                </c:pt>
                <c:pt idx="1" c:formatCode="0.00%">
                  <c:v>0.9674</c:v>
                </c:pt>
                <c:pt idx="2" c:formatCode="0.00%">
                  <c:v>0.0326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24</Pages>
  <Words>1299</Words>
  <Characters>7410</Characters>
  <Lines>61</Lines>
  <Paragraphs>17</Paragraphs>
  <TotalTime>1</TotalTime>
  <ScaleCrop>false</ScaleCrop>
  <LinksUpToDate>false</LinksUpToDate>
  <CharactersWithSpaces>8692</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2020-08-10T17:49:00Z</dcterms:created>
  <dc:creator>曹颖</dc:creator>
  <cp:lastModifiedBy>小虾米</cp:lastModifiedBy>
  <cp:lastPrinted>2026-08-05T09:27:00Z</cp:lastPrinted>
  <dcterms:modified xsi:type="dcterms:W3CDTF">2026-09-17T08:51:52Z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3BF536824C220DA3E40E8B68BA118B1C_42</vt:lpwstr>
  </property>
  <property fmtid="{D5CDD505-2E9C-101B-9397-08002B2CF9AE}" pid="4" name="KSOTemplateDocerSaveRecord">
    <vt:lpwstr>eyJoZGlkIjoiZjViMDk3OGYyYmM3ZWZmYmY0Yjk0YzZhMzU1Mjg3NjQifQ==</vt:lpwstr>
  </property>
</Properties>
</file>