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76D1B">
      <w:pPr>
        <w:pStyle w:val="20"/>
      </w:pPr>
      <w:bookmarkStart w:id="0" w:name="_Toc15306267"/>
    </w:p>
    <w:p w14:paraId="75256E76">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77425"/>
      <w:bookmarkStart w:id="2" w:name="_Toc15377193"/>
      <w:bookmarkStart w:id="3" w:name="_Toc15378441"/>
      <w:bookmarkStart w:id="4" w:name="_Toc15396597"/>
      <w:bookmarkStart w:id="5" w:name="_Toc15396475"/>
      <w:r>
        <w:rPr>
          <w:rFonts w:ascii="黑体" w:hAnsi="黑体" w:eastAsia="黑体"/>
          <w:color w:val="000000"/>
          <w:sz w:val="72"/>
          <w:szCs w:val="72"/>
        </w:rPr>
        <w:t>20</w:t>
      </w:r>
      <w:r>
        <w:rPr>
          <w:rFonts w:hint="eastAsia" w:ascii="黑体" w:hAnsi="黑体" w:eastAsia="黑体"/>
          <w:color w:val="000000"/>
          <w:sz w:val="72"/>
          <w:szCs w:val="72"/>
        </w:rPr>
        <w:t>20</w:t>
      </w:r>
      <w:r>
        <w:rPr>
          <w:rFonts w:hint="eastAsia" w:ascii="方正小标宋简体" w:hAnsi="宋体" w:eastAsia="方正小标宋简体"/>
          <w:color w:val="000000"/>
          <w:sz w:val="72"/>
          <w:szCs w:val="72"/>
        </w:rPr>
        <w:t>年度</w:t>
      </w:r>
      <w:bookmarkEnd w:id="1"/>
      <w:bookmarkEnd w:id="2"/>
      <w:bookmarkEnd w:id="3"/>
      <w:bookmarkEnd w:id="4"/>
      <w:bookmarkEnd w:id="5"/>
    </w:p>
    <w:p w14:paraId="7933DFCD">
      <w:pPr>
        <w:adjustRightInd w:val="0"/>
        <w:snapToGrid w:val="0"/>
        <w:spacing w:line="360" w:lineRule="auto"/>
        <w:jc w:val="center"/>
        <w:outlineLvl w:val="0"/>
        <w:rPr>
          <w:rFonts w:ascii="方正小标宋简体" w:hAnsi="宋体" w:eastAsia="方正小标宋简体"/>
          <w:color w:val="000000"/>
          <w:sz w:val="72"/>
          <w:szCs w:val="72"/>
        </w:rPr>
      </w:pPr>
      <w:bookmarkStart w:id="6" w:name="_Toc15377194"/>
      <w:bookmarkStart w:id="7" w:name="_Toc15396476"/>
      <w:bookmarkStart w:id="8" w:name="_Toc15396598"/>
      <w:bookmarkStart w:id="9" w:name="_Toc15377426"/>
      <w:bookmarkStart w:id="10" w:name="_Toc15378442"/>
      <w:r>
        <w:rPr>
          <w:rFonts w:hint="eastAsia" w:ascii="方正小标宋简体" w:hAnsi="宋体" w:eastAsia="方正小标宋简体"/>
          <w:color w:val="000000"/>
          <w:sz w:val="72"/>
          <w:szCs w:val="72"/>
        </w:rPr>
        <w:t>四川省阿坝州</w:t>
      </w:r>
      <w:bookmarkEnd w:id="0"/>
      <w:bookmarkStart w:id="11" w:name="_Toc15306268"/>
      <w:r>
        <w:rPr>
          <w:rFonts w:hint="eastAsia" w:ascii="方正小标宋简体" w:hAnsi="宋体" w:eastAsia="方正小标宋简体"/>
          <w:color w:val="000000"/>
          <w:sz w:val="72"/>
          <w:szCs w:val="72"/>
        </w:rPr>
        <w:t>总工会部门决算</w:t>
      </w:r>
      <w:bookmarkEnd w:id="6"/>
      <w:bookmarkEnd w:id="7"/>
      <w:bookmarkEnd w:id="8"/>
      <w:bookmarkEnd w:id="9"/>
      <w:bookmarkEnd w:id="10"/>
      <w:bookmarkEnd w:id="11"/>
      <w:r>
        <w:rPr>
          <w:rFonts w:hint="eastAsia" w:ascii="方正小标宋简体" w:hAnsi="宋体" w:eastAsia="方正小标宋简体"/>
          <w:color w:val="000000"/>
          <w:sz w:val="72"/>
          <w:szCs w:val="72"/>
        </w:rPr>
        <w:t>公开</w:t>
      </w:r>
    </w:p>
    <w:p w14:paraId="2A3E2FF0">
      <w:pPr>
        <w:widowControl/>
        <w:jc w:val="center"/>
        <w:rPr>
          <w:rFonts w:ascii="方正小标宋简体" w:hAnsi="宋体" w:eastAsia="方正小标宋简体"/>
          <w:color w:val="000000"/>
          <w:sz w:val="36"/>
          <w:szCs w:val="36"/>
        </w:rPr>
      </w:pPr>
    </w:p>
    <w:p w14:paraId="598B21A3">
      <w:pPr>
        <w:widowControl/>
        <w:jc w:val="center"/>
        <w:rPr>
          <w:rFonts w:ascii="方正小标宋简体" w:hAnsi="宋体" w:eastAsia="方正小标宋简体"/>
          <w:color w:val="000000"/>
          <w:sz w:val="36"/>
          <w:szCs w:val="36"/>
        </w:rPr>
      </w:pPr>
    </w:p>
    <w:p w14:paraId="66B718EB">
      <w:pPr>
        <w:widowControl/>
        <w:jc w:val="center"/>
        <w:rPr>
          <w:rFonts w:ascii="方正小标宋简体" w:hAnsi="宋体" w:eastAsia="方正小标宋简体"/>
          <w:color w:val="000000"/>
          <w:sz w:val="36"/>
          <w:szCs w:val="36"/>
        </w:rPr>
      </w:pPr>
    </w:p>
    <w:p w14:paraId="6B329E0C">
      <w:pPr>
        <w:widowControl/>
        <w:jc w:val="center"/>
        <w:rPr>
          <w:rFonts w:ascii="方正小标宋简体" w:hAnsi="宋体" w:eastAsia="方正小标宋简体"/>
          <w:color w:val="000000"/>
          <w:sz w:val="36"/>
          <w:szCs w:val="36"/>
        </w:rPr>
      </w:pPr>
    </w:p>
    <w:p w14:paraId="64842DB3">
      <w:pPr>
        <w:widowControl/>
        <w:tabs>
          <w:tab w:val="left" w:pos="675"/>
        </w:tabs>
        <w:ind w:firstLine="420" w:firstLineChars="150"/>
        <w:rPr>
          <w:rFonts w:ascii="方正小标宋简体" w:hAnsi="宋体" w:eastAsia="方正小标宋简体"/>
          <w:sz w:val="28"/>
          <w:szCs w:val="28"/>
        </w:rPr>
      </w:pPr>
      <w:r>
        <w:rPr>
          <w:rFonts w:hint="eastAsia" w:ascii="方正小标宋简体" w:hAnsi="宋体" w:eastAsia="方正小标宋简体"/>
          <w:sz w:val="28"/>
          <w:szCs w:val="28"/>
        </w:rPr>
        <w:t>保密审查情况：已审查，内容审定</w:t>
      </w:r>
    </w:p>
    <w:p w14:paraId="20187375">
      <w:pPr>
        <w:widowControl/>
        <w:rPr>
          <w:rFonts w:hint="eastAsia" w:ascii="方正小标宋简体" w:eastAsia="方正小标宋简体" w:hAnsiTheme="majorEastAsia"/>
          <w:sz w:val="28"/>
          <w:szCs w:val="28"/>
        </w:rPr>
      </w:pPr>
      <w:r>
        <w:rPr>
          <w:rFonts w:hint="eastAsia"/>
          <w:sz w:val="28"/>
          <w:szCs w:val="28"/>
        </w:rPr>
        <w:t xml:space="preserve">  </w:t>
      </w:r>
      <w:r>
        <w:rPr>
          <w:rFonts w:hint="eastAsia" w:ascii="方正小标宋简体" w:eastAsia="方正小标宋简体" w:hAnsiTheme="majorEastAsia"/>
          <w:sz w:val="28"/>
          <w:szCs w:val="28"/>
        </w:rPr>
        <w:t>部门主要负责人审签情况：已审签，同意对外公开</w:t>
      </w:r>
    </w:p>
    <w:p w14:paraId="7A18D011">
      <w:pPr>
        <w:widowControl/>
        <w:rPr>
          <w:rFonts w:hint="eastAsia" w:ascii="方正小标宋简体" w:eastAsia="方正小标宋简体" w:hAnsiTheme="majorEastAsia"/>
          <w:sz w:val="28"/>
          <w:szCs w:val="28"/>
        </w:rPr>
      </w:pPr>
    </w:p>
    <w:p w14:paraId="077B52F8">
      <w:pPr>
        <w:widowControl/>
        <w:rPr>
          <w:rFonts w:hint="eastAsia" w:ascii="方正小标宋简体" w:eastAsia="方正小标宋简体" w:hAnsiTheme="majorEastAsia"/>
          <w:sz w:val="28"/>
          <w:szCs w:val="28"/>
        </w:rPr>
      </w:pPr>
    </w:p>
    <w:p w14:paraId="2B54E006">
      <w:pPr>
        <w:widowControl/>
        <w:jc w:val="center"/>
      </w:pPr>
      <w:r>
        <w:rPr>
          <w:rFonts w:hint="eastAsia"/>
        </w:rPr>
        <w:t>公开时间：2021年</w:t>
      </w:r>
      <w:r>
        <w:t>9</w:t>
      </w:r>
      <w:r>
        <w:rPr>
          <w:rFonts w:hint="eastAsia"/>
        </w:rPr>
        <w:t>月</w:t>
      </w:r>
      <w:r>
        <w:rPr>
          <w:rFonts w:hint="eastAsia"/>
          <w:lang w:val="en-US" w:eastAsia="zh-CN"/>
        </w:rPr>
        <w:t>23</w:t>
      </w:r>
      <w:r>
        <w:rPr>
          <w:rFonts w:hint="eastAsia"/>
        </w:rPr>
        <w:t>日</w:t>
      </w:r>
    </w:p>
    <w:p w14:paraId="0B199A27">
      <w:pPr>
        <w:widowControl/>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245BBF0D">
      <w:pPr>
        <w:widowControl/>
        <w:jc w:val="center"/>
      </w:pPr>
      <w:r>
        <w:rPr>
          <w:rFonts w:ascii="黑体" w:hAnsi="黑体" w:eastAsia="黑体"/>
          <w:color w:val="000000"/>
          <w:sz w:val="48"/>
          <w:szCs w:val="48"/>
        </w:rPr>
        <w:fldChar w:fldCharType="begin"/>
      </w:r>
      <w:r>
        <w:rPr>
          <w:rFonts w:ascii="黑体" w:hAnsi="黑体" w:eastAsia="黑体"/>
          <w:color w:val="000000"/>
          <w:sz w:val="48"/>
          <w:szCs w:val="48"/>
        </w:rPr>
        <w:instrText xml:space="preserve"> TOC \o "1-2" \h \z \u </w:instrText>
      </w:r>
      <w:r>
        <w:rPr>
          <w:rFonts w:ascii="黑体" w:hAnsi="黑体" w:eastAsia="黑体"/>
          <w:color w:val="000000"/>
          <w:sz w:val="48"/>
          <w:szCs w:val="48"/>
        </w:rPr>
        <w:fldChar w:fldCharType="separate"/>
      </w:r>
    </w:p>
    <w:p w14:paraId="6CAB2BD2"/>
    <w:p w14:paraId="67C874F8">
      <w:pPr>
        <w:pStyle w:val="12"/>
        <w:jc w:val="both"/>
        <w:rPr>
          <w:rFonts w:cstheme="minorBidi"/>
        </w:rPr>
      </w:pPr>
      <w:r>
        <w:fldChar w:fldCharType="begin"/>
      </w:r>
      <w:r>
        <w:instrText xml:space="preserve"> HYPERLINK \l "_Toc15396599" </w:instrText>
      </w:r>
      <w:r>
        <w:fldChar w:fldCharType="separate"/>
      </w:r>
      <w:r>
        <w:rPr>
          <w:rStyle w:val="19"/>
          <w:rFonts w:hint="eastAsia"/>
        </w:rPr>
        <w:t>第一部分</w:t>
      </w:r>
      <w:r>
        <w:rPr>
          <w:rStyle w:val="19"/>
        </w:rPr>
        <w:t xml:space="preserve"> </w:t>
      </w:r>
      <w:r>
        <w:rPr>
          <w:rStyle w:val="19"/>
          <w:rFonts w:hint="eastAsia"/>
        </w:rPr>
        <w:t>部门概况</w:t>
      </w:r>
      <w:r>
        <w:rPr>
          <w:rStyle w:val="19"/>
          <w:rFonts w:hint="eastAsia"/>
        </w:rPr>
        <w:fldChar w:fldCharType="end"/>
      </w:r>
    </w:p>
    <w:p w14:paraId="556077DF">
      <w:pPr>
        <w:pStyle w:val="13"/>
        <w:rPr>
          <w:rFonts w:ascii="仿宋" w:hAnsi="仿宋" w:eastAsia="仿宋" w:cstheme="minorBidi"/>
          <w:sz w:val="28"/>
          <w:szCs w:val="28"/>
        </w:rPr>
      </w:pPr>
      <w:r>
        <w:fldChar w:fldCharType="begin"/>
      </w:r>
      <w:r>
        <w:instrText xml:space="preserve"> HYPERLINK \l "_Toc15396600" </w:instrText>
      </w:r>
      <w:r>
        <w:fldChar w:fldCharType="separate"/>
      </w:r>
      <w:r>
        <w:rPr>
          <w:rStyle w:val="19"/>
          <w:rFonts w:hint="eastAsia" w:ascii="仿宋" w:hAnsi="仿宋" w:eastAsia="仿宋"/>
          <w:sz w:val="28"/>
          <w:szCs w:val="28"/>
        </w:rPr>
        <w:t>一、基本职能及主要工作</w:t>
      </w:r>
      <w:r>
        <w:rPr>
          <w:rStyle w:val="19"/>
          <w:rFonts w:hint="eastAsia" w:ascii="仿宋" w:hAnsi="仿宋" w:eastAsia="仿宋"/>
          <w:sz w:val="28"/>
          <w:szCs w:val="28"/>
        </w:rPr>
        <w:fldChar w:fldCharType="end"/>
      </w:r>
    </w:p>
    <w:p w14:paraId="345625C0">
      <w:pPr>
        <w:pStyle w:val="13"/>
        <w:rPr>
          <w:rFonts w:ascii="仿宋" w:hAnsi="仿宋" w:eastAsia="仿宋" w:cstheme="minorBidi"/>
          <w:sz w:val="28"/>
          <w:szCs w:val="28"/>
        </w:rPr>
      </w:pPr>
      <w:r>
        <w:fldChar w:fldCharType="begin"/>
      </w:r>
      <w:r>
        <w:instrText xml:space="preserve"> HYPERLINK \l "_Toc15396601" </w:instrText>
      </w:r>
      <w:r>
        <w:fldChar w:fldCharType="separate"/>
      </w:r>
      <w:r>
        <w:rPr>
          <w:rStyle w:val="19"/>
          <w:rFonts w:hint="eastAsia" w:ascii="仿宋" w:hAnsi="仿宋" w:eastAsia="仿宋"/>
          <w:sz w:val="28"/>
          <w:szCs w:val="28"/>
        </w:rPr>
        <w:t>二、机构设置</w:t>
      </w:r>
      <w:r>
        <w:rPr>
          <w:rStyle w:val="19"/>
          <w:rFonts w:hint="eastAsia" w:ascii="仿宋" w:hAnsi="仿宋" w:eastAsia="仿宋"/>
          <w:sz w:val="28"/>
          <w:szCs w:val="28"/>
        </w:rPr>
        <w:fldChar w:fldCharType="end"/>
      </w:r>
    </w:p>
    <w:p w14:paraId="30DB6250">
      <w:pPr>
        <w:pStyle w:val="12"/>
        <w:jc w:val="both"/>
      </w:pPr>
      <w:r>
        <w:fldChar w:fldCharType="begin"/>
      </w:r>
      <w:r>
        <w:instrText xml:space="preserve"> HYPERLINK \l "_Toc15396602" </w:instrText>
      </w:r>
      <w:r>
        <w:fldChar w:fldCharType="separate"/>
      </w:r>
      <w:r>
        <w:rPr>
          <w:rStyle w:val="19"/>
          <w:rFonts w:hint="eastAsia"/>
        </w:rPr>
        <w:t>第二部分</w:t>
      </w:r>
      <w:r>
        <w:rPr>
          <w:rStyle w:val="19"/>
        </w:rPr>
        <w:t xml:space="preserve"> 20</w:t>
      </w:r>
      <w:r>
        <w:rPr>
          <w:rStyle w:val="19"/>
          <w:rFonts w:hint="eastAsia"/>
        </w:rPr>
        <w:t>20年度部门决算情况说明</w:t>
      </w:r>
      <w:r>
        <w:rPr>
          <w:rStyle w:val="19"/>
          <w:rFonts w:hint="eastAsia"/>
        </w:rPr>
        <w:fldChar w:fldCharType="end"/>
      </w:r>
    </w:p>
    <w:p w14:paraId="64ECA7A4">
      <w:pPr>
        <w:pStyle w:val="13"/>
        <w:rPr>
          <w:rFonts w:ascii="仿宋" w:hAnsi="仿宋" w:eastAsia="仿宋" w:cstheme="minorBidi"/>
          <w:sz w:val="28"/>
          <w:szCs w:val="28"/>
        </w:rPr>
      </w:pPr>
      <w:r>
        <w:fldChar w:fldCharType="begin"/>
      </w:r>
      <w:r>
        <w:instrText xml:space="preserve"> HYPERLINK \l "_Toc15396603" </w:instrText>
      </w:r>
      <w:r>
        <w:fldChar w:fldCharType="separate"/>
      </w:r>
      <w:r>
        <w:rPr>
          <w:rStyle w:val="19"/>
          <w:rFonts w:hint="eastAsia" w:ascii="仿宋" w:hAnsi="仿宋" w:eastAsia="仿宋" w:cstheme="majorBidi"/>
          <w:bCs/>
          <w:sz w:val="28"/>
          <w:szCs w:val="28"/>
        </w:rPr>
        <w:t>一、</w:t>
      </w:r>
      <w:r>
        <w:rPr>
          <w:rStyle w:val="19"/>
          <w:rFonts w:hint="eastAsia" w:ascii="仿宋" w:hAnsi="仿宋" w:eastAsia="仿宋"/>
          <w:sz w:val="28"/>
          <w:szCs w:val="28"/>
        </w:rPr>
        <w:t>收</w:t>
      </w:r>
      <w:r>
        <w:rPr>
          <w:rStyle w:val="19"/>
          <w:rFonts w:hint="eastAsia" w:ascii="仿宋" w:hAnsi="仿宋" w:eastAsia="仿宋" w:cstheme="majorBidi"/>
          <w:bCs/>
          <w:sz w:val="28"/>
          <w:szCs w:val="28"/>
        </w:rPr>
        <w:t>入支出决算总体情况说明</w:t>
      </w:r>
      <w:r>
        <w:rPr>
          <w:rStyle w:val="19"/>
          <w:rFonts w:hint="eastAsia" w:ascii="仿宋" w:hAnsi="仿宋" w:eastAsia="仿宋" w:cstheme="majorBidi"/>
          <w:bCs/>
          <w:sz w:val="28"/>
          <w:szCs w:val="28"/>
        </w:rPr>
        <w:fldChar w:fldCharType="end"/>
      </w:r>
    </w:p>
    <w:p w14:paraId="1B86446A">
      <w:pPr>
        <w:pStyle w:val="13"/>
        <w:rPr>
          <w:rFonts w:ascii="仿宋" w:hAnsi="仿宋" w:eastAsia="仿宋" w:cstheme="minorBidi"/>
          <w:sz w:val="28"/>
          <w:szCs w:val="28"/>
        </w:rPr>
      </w:pPr>
      <w:r>
        <w:fldChar w:fldCharType="begin"/>
      </w:r>
      <w:r>
        <w:instrText xml:space="preserve"> HYPERLINK \l "_Toc15396604" </w:instrText>
      </w:r>
      <w:r>
        <w:fldChar w:fldCharType="separate"/>
      </w:r>
      <w:r>
        <w:rPr>
          <w:rStyle w:val="19"/>
          <w:rFonts w:hint="eastAsia" w:ascii="仿宋" w:hAnsi="仿宋" w:eastAsia="仿宋" w:cstheme="majorBidi"/>
          <w:bCs/>
          <w:sz w:val="28"/>
          <w:szCs w:val="28"/>
        </w:rPr>
        <w:t>二、</w:t>
      </w:r>
      <w:r>
        <w:rPr>
          <w:rStyle w:val="19"/>
          <w:rFonts w:hint="eastAsia" w:ascii="仿宋" w:hAnsi="仿宋" w:eastAsia="仿宋"/>
          <w:sz w:val="28"/>
          <w:szCs w:val="28"/>
        </w:rPr>
        <w:t>收</w:t>
      </w:r>
      <w:r>
        <w:rPr>
          <w:rStyle w:val="19"/>
          <w:rFonts w:hint="eastAsia" w:ascii="仿宋" w:hAnsi="仿宋" w:eastAsia="仿宋" w:cstheme="majorBidi"/>
          <w:bCs/>
          <w:sz w:val="28"/>
          <w:szCs w:val="28"/>
        </w:rPr>
        <w:t>入决算情况说明</w:t>
      </w:r>
      <w:r>
        <w:rPr>
          <w:rStyle w:val="19"/>
          <w:rFonts w:hint="eastAsia" w:ascii="仿宋" w:hAnsi="仿宋" w:eastAsia="仿宋" w:cstheme="majorBidi"/>
          <w:bCs/>
          <w:sz w:val="28"/>
          <w:szCs w:val="28"/>
        </w:rPr>
        <w:fldChar w:fldCharType="end"/>
      </w:r>
    </w:p>
    <w:p w14:paraId="5197C5CD">
      <w:pPr>
        <w:pStyle w:val="13"/>
        <w:rPr>
          <w:rFonts w:ascii="仿宋" w:hAnsi="仿宋" w:eastAsia="仿宋" w:cstheme="minorBidi"/>
          <w:sz w:val="28"/>
          <w:szCs w:val="28"/>
        </w:rPr>
      </w:pPr>
      <w:r>
        <w:fldChar w:fldCharType="begin"/>
      </w:r>
      <w:r>
        <w:instrText xml:space="preserve"> HYPERLINK \l "_Toc15396605" </w:instrText>
      </w:r>
      <w:r>
        <w:fldChar w:fldCharType="separate"/>
      </w:r>
      <w:r>
        <w:rPr>
          <w:rStyle w:val="19"/>
          <w:rFonts w:hint="eastAsia" w:ascii="仿宋" w:hAnsi="仿宋" w:eastAsia="仿宋" w:cstheme="majorBidi"/>
          <w:bCs/>
          <w:sz w:val="28"/>
          <w:szCs w:val="28"/>
        </w:rPr>
        <w:t>三、</w:t>
      </w:r>
      <w:r>
        <w:rPr>
          <w:rStyle w:val="19"/>
          <w:rFonts w:hint="eastAsia" w:ascii="仿宋" w:hAnsi="仿宋" w:eastAsia="仿宋"/>
          <w:sz w:val="28"/>
          <w:szCs w:val="28"/>
        </w:rPr>
        <w:t>支</w:t>
      </w:r>
      <w:r>
        <w:rPr>
          <w:rStyle w:val="19"/>
          <w:rFonts w:hint="eastAsia" w:ascii="仿宋" w:hAnsi="仿宋" w:eastAsia="仿宋" w:cstheme="majorBidi"/>
          <w:bCs/>
          <w:sz w:val="28"/>
          <w:szCs w:val="28"/>
        </w:rPr>
        <w:t>出决算情况说明</w:t>
      </w:r>
      <w:r>
        <w:rPr>
          <w:rStyle w:val="19"/>
          <w:rFonts w:hint="eastAsia" w:ascii="仿宋" w:hAnsi="仿宋" w:eastAsia="仿宋" w:cstheme="majorBidi"/>
          <w:bCs/>
          <w:sz w:val="28"/>
          <w:szCs w:val="28"/>
        </w:rPr>
        <w:fldChar w:fldCharType="end"/>
      </w:r>
    </w:p>
    <w:p w14:paraId="5C0248DD">
      <w:pPr>
        <w:pStyle w:val="13"/>
        <w:rPr>
          <w:rFonts w:ascii="仿宋" w:hAnsi="仿宋" w:eastAsia="仿宋" w:cstheme="minorBidi"/>
          <w:sz w:val="28"/>
          <w:szCs w:val="28"/>
        </w:rPr>
      </w:pPr>
      <w:r>
        <w:fldChar w:fldCharType="begin"/>
      </w:r>
      <w:r>
        <w:instrText xml:space="preserve"> HYPERLINK \l "_Toc15396606" </w:instrText>
      </w:r>
      <w:r>
        <w:fldChar w:fldCharType="separate"/>
      </w:r>
      <w:r>
        <w:rPr>
          <w:rStyle w:val="19"/>
          <w:rFonts w:hint="eastAsia" w:ascii="仿宋" w:hAnsi="仿宋" w:eastAsia="仿宋"/>
          <w:sz w:val="28"/>
          <w:szCs w:val="28"/>
        </w:rPr>
        <w:t>四、财</w:t>
      </w:r>
      <w:r>
        <w:rPr>
          <w:rStyle w:val="19"/>
          <w:rFonts w:hint="eastAsia" w:ascii="仿宋" w:hAnsi="仿宋" w:eastAsia="仿宋" w:cstheme="majorBidi"/>
          <w:bCs/>
          <w:sz w:val="28"/>
          <w:szCs w:val="28"/>
        </w:rPr>
        <w:t>政拨款收入支出决算总体情况说明</w:t>
      </w:r>
      <w:r>
        <w:rPr>
          <w:rStyle w:val="19"/>
          <w:rFonts w:hint="eastAsia" w:ascii="仿宋" w:hAnsi="仿宋" w:eastAsia="仿宋" w:cstheme="majorBidi"/>
          <w:bCs/>
          <w:sz w:val="28"/>
          <w:szCs w:val="28"/>
        </w:rPr>
        <w:fldChar w:fldCharType="end"/>
      </w:r>
    </w:p>
    <w:p w14:paraId="6B70E506">
      <w:pPr>
        <w:pStyle w:val="13"/>
        <w:rPr>
          <w:rFonts w:ascii="仿宋" w:hAnsi="仿宋" w:eastAsia="仿宋" w:cstheme="minorBidi"/>
          <w:sz w:val="28"/>
          <w:szCs w:val="28"/>
        </w:rPr>
      </w:pPr>
      <w:r>
        <w:fldChar w:fldCharType="begin"/>
      </w:r>
      <w:r>
        <w:instrText xml:space="preserve"> HYPERLINK \l "_Toc15396607" </w:instrText>
      </w:r>
      <w:r>
        <w:fldChar w:fldCharType="separate"/>
      </w:r>
      <w:r>
        <w:rPr>
          <w:rStyle w:val="19"/>
          <w:rFonts w:hint="eastAsia" w:ascii="仿宋" w:hAnsi="仿宋" w:eastAsia="仿宋"/>
          <w:sz w:val="28"/>
          <w:szCs w:val="28"/>
        </w:rPr>
        <w:t>五、一</w:t>
      </w:r>
      <w:r>
        <w:rPr>
          <w:rStyle w:val="19"/>
          <w:rFonts w:hint="eastAsia" w:ascii="仿宋" w:hAnsi="仿宋" w:eastAsia="仿宋" w:cstheme="majorBidi"/>
          <w:bCs/>
          <w:sz w:val="28"/>
          <w:szCs w:val="28"/>
        </w:rPr>
        <w:t>般公共预算财政拨款支出决算情况说明</w:t>
      </w:r>
      <w:r>
        <w:rPr>
          <w:rStyle w:val="19"/>
          <w:rFonts w:hint="eastAsia" w:ascii="仿宋" w:hAnsi="仿宋" w:eastAsia="仿宋" w:cstheme="majorBidi"/>
          <w:bCs/>
          <w:sz w:val="28"/>
          <w:szCs w:val="28"/>
        </w:rPr>
        <w:fldChar w:fldCharType="end"/>
      </w:r>
    </w:p>
    <w:p w14:paraId="51B899CB">
      <w:pPr>
        <w:pStyle w:val="13"/>
        <w:rPr>
          <w:rFonts w:ascii="仿宋" w:hAnsi="仿宋" w:eastAsia="仿宋" w:cstheme="minorBidi"/>
          <w:sz w:val="28"/>
          <w:szCs w:val="28"/>
        </w:rPr>
      </w:pPr>
      <w:r>
        <w:fldChar w:fldCharType="begin"/>
      </w:r>
      <w:r>
        <w:instrText xml:space="preserve"> HYPERLINK \l "_Toc15396608" </w:instrText>
      </w:r>
      <w:r>
        <w:fldChar w:fldCharType="separate"/>
      </w:r>
      <w:r>
        <w:rPr>
          <w:rStyle w:val="19"/>
          <w:rFonts w:hint="eastAsia" w:ascii="仿宋" w:hAnsi="仿宋" w:eastAsia="仿宋"/>
          <w:sz w:val="28"/>
          <w:szCs w:val="28"/>
        </w:rPr>
        <w:t>六、一</w:t>
      </w:r>
      <w:r>
        <w:rPr>
          <w:rStyle w:val="19"/>
          <w:rFonts w:hint="eastAsia" w:ascii="仿宋" w:hAnsi="仿宋" w:eastAsia="仿宋" w:cstheme="majorBidi"/>
          <w:bCs/>
          <w:sz w:val="28"/>
          <w:szCs w:val="28"/>
        </w:rPr>
        <w:t>般公共预算财政拨款基本支出决算情况说明</w:t>
      </w:r>
      <w:r>
        <w:rPr>
          <w:rStyle w:val="19"/>
          <w:rFonts w:hint="eastAsia" w:ascii="仿宋" w:hAnsi="仿宋" w:eastAsia="仿宋" w:cstheme="majorBidi"/>
          <w:bCs/>
          <w:sz w:val="28"/>
          <w:szCs w:val="28"/>
        </w:rPr>
        <w:fldChar w:fldCharType="end"/>
      </w:r>
    </w:p>
    <w:p w14:paraId="7083AA9E">
      <w:pPr>
        <w:pStyle w:val="13"/>
        <w:rPr>
          <w:rFonts w:ascii="仿宋" w:hAnsi="仿宋" w:eastAsia="仿宋" w:cstheme="minorBidi"/>
          <w:sz w:val="28"/>
          <w:szCs w:val="28"/>
        </w:rPr>
      </w:pPr>
      <w:r>
        <w:fldChar w:fldCharType="begin"/>
      </w:r>
      <w:r>
        <w:instrText xml:space="preserve"> HYPERLINK \l "_Toc15396609" </w:instrText>
      </w:r>
      <w:r>
        <w:fldChar w:fldCharType="separate"/>
      </w:r>
      <w:r>
        <w:rPr>
          <w:rStyle w:val="19"/>
          <w:rFonts w:hint="eastAsia" w:ascii="仿宋" w:hAnsi="仿宋" w:eastAsia="仿宋"/>
          <w:sz w:val="28"/>
          <w:szCs w:val="28"/>
        </w:rPr>
        <w:t>七、</w:t>
      </w:r>
      <w:r>
        <w:rPr>
          <w:rStyle w:val="19"/>
          <w:rFonts w:ascii="仿宋" w:hAnsi="仿宋" w:eastAsia="仿宋"/>
          <w:sz w:val="28"/>
          <w:szCs w:val="28"/>
        </w:rPr>
        <w:t>“</w:t>
      </w:r>
      <w:r>
        <w:rPr>
          <w:rStyle w:val="19"/>
          <w:rFonts w:hint="eastAsia" w:ascii="仿宋" w:hAnsi="仿宋" w:eastAsia="仿宋" w:cstheme="majorBidi"/>
          <w:bCs/>
          <w:sz w:val="28"/>
          <w:szCs w:val="28"/>
        </w:rPr>
        <w:t>三公”经费财政拨款支出决算情况说明</w:t>
      </w:r>
      <w:r>
        <w:rPr>
          <w:rStyle w:val="19"/>
          <w:rFonts w:hint="eastAsia" w:ascii="仿宋" w:hAnsi="仿宋" w:eastAsia="仿宋" w:cstheme="majorBidi"/>
          <w:bCs/>
          <w:sz w:val="28"/>
          <w:szCs w:val="28"/>
        </w:rPr>
        <w:fldChar w:fldCharType="end"/>
      </w:r>
    </w:p>
    <w:p w14:paraId="6F079BF5">
      <w:pPr>
        <w:pStyle w:val="13"/>
        <w:rPr>
          <w:rFonts w:ascii="仿宋" w:hAnsi="仿宋" w:eastAsia="仿宋" w:cstheme="minorBidi"/>
          <w:sz w:val="28"/>
          <w:szCs w:val="28"/>
        </w:rPr>
      </w:pPr>
      <w:r>
        <w:fldChar w:fldCharType="begin"/>
      </w:r>
      <w:r>
        <w:instrText xml:space="preserve"> HYPERLINK \l "_Toc15396610" </w:instrText>
      </w:r>
      <w:r>
        <w:fldChar w:fldCharType="separate"/>
      </w:r>
      <w:r>
        <w:rPr>
          <w:rStyle w:val="19"/>
          <w:rFonts w:hint="eastAsia" w:ascii="仿宋" w:hAnsi="仿宋" w:eastAsia="仿宋"/>
          <w:sz w:val="28"/>
          <w:szCs w:val="28"/>
        </w:rPr>
        <w:t>八、</w:t>
      </w:r>
      <w:r>
        <w:rPr>
          <w:rStyle w:val="19"/>
          <w:rFonts w:hint="eastAsia" w:ascii="仿宋" w:hAnsi="仿宋" w:eastAsia="仿宋" w:cstheme="majorBidi"/>
          <w:bCs/>
          <w:sz w:val="28"/>
          <w:szCs w:val="28"/>
        </w:rPr>
        <w:t>政府性基金预算支出决算情况说明</w:t>
      </w:r>
      <w:r>
        <w:rPr>
          <w:rStyle w:val="19"/>
          <w:rFonts w:hint="eastAsia" w:ascii="仿宋" w:hAnsi="仿宋" w:eastAsia="仿宋" w:cstheme="majorBidi"/>
          <w:bCs/>
          <w:sz w:val="28"/>
          <w:szCs w:val="28"/>
        </w:rPr>
        <w:fldChar w:fldCharType="end"/>
      </w:r>
    </w:p>
    <w:p w14:paraId="01F7BBC4">
      <w:pPr>
        <w:pStyle w:val="13"/>
        <w:rPr>
          <w:rFonts w:ascii="仿宋" w:hAnsi="仿宋" w:eastAsia="仿宋" w:cstheme="minorBidi"/>
          <w:sz w:val="28"/>
          <w:szCs w:val="28"/>
        </w:rPr>
      </w:pPr>
      <w:r>
        <w:fldChar w:fldCharType="begin"/>
      </w:r>
      <w:r>
        <w:instrText xml:space="preserve"> HYPERLINK \l "_Toc15396611" </w:instrText>
      </w:r>
      <w:r>
        <w:fldChar w:fldCharType="separate"/>
      </w:r>
      <w:r>
        <w:rPr>
          <w:rStyle w:val="19"/>
          <w:rFonts w:hint="eastAsia" w:ascii="仿宋" w:hAnsi="仿宋" w:eastAsia="仿宋" w:cstheme="majorBidi"/>
          <w:bCs/>
          <w:sz w:val="28"/>
          <w:szCs w:val="28"/>
        </w:rPr>
        <w:t>九、</w:t>
      </w:r>
      <w:r>
        <w:rPr>
          <w:rStyle w:val="19"/>
          <w:rFonts w:hint="eastAsia" w:ascii="仿宋" w:hAnsi="仿宋" w:eastAsia="仿宋"/>
          <w:sz w:val="28"/>
          <w:szCs w:val="28"/>
        </w:rPr>
        <w:t xml:space="preserve"> 国</w:t>
      </w:r>
      <w:r>
        <w:rPr>
          <w:rStyle w:val="19"/>
          <w:rFonts w:hint="eastAsia" w:ascii="仿宋" w:hAnsi="仿宋" w:eastAsia="仿宋" w:cstheme="majorBidi"/>
          <w:bCs/>
          <w:sz w:val="28"/>
          <w:szCs w:val="28"/>
        </w:rPr>
        <w:t>有资本经营预算支出决算情况说明</w:t>
      </w:r>
      <w:r>
        <w:rPr>
          <w:rStyle w:val="19"/>
          <w:rFonts w:hint="eastAsia" w:ascii="仿宋" w:hAnsi="仿宋" w:eastAsia="仿宋" w:cstheme="majorBidi"/>
          <w:bCs/>
          <w:sz w:val="28"/>
          <w:szCs w:val="28"/>
        </w:rPr>
        <w:fldChar w:fldCharType="end"/>
      </w:r>
    </w:p>
    <w:p w14:paraId="477A1590">
      <w:pPr>
        <w:pStyle w:val="13"/>
        <w:rPr>
          <w:rFonts w:ascii="仿宋" w:hAnsi="仿宋" w:eastAsia="仿宋" w:cstheme="minorBidi"/>
          <w:sz w:val="28"/>
          <w:szCs w:val="28"/>
        </w:rPr>
      </w:pPr>
      <w:r>
        <w:fldChar w:fldCharType="begin"/>
      </w:r>
      <w:r>
        <w:instrText xml:space="preserve"> HYPERLINK \l "_Toc15396612" </w:instrText>
      </w:r>
      <w:r>
        <w:fldChar w:fldCharType="separate"/>
      </w:r>
      <w:r>
        <w:rPr>
          <w:rStyle w:val="19"/>
          <w:rFonts w:hint="eastAsia" w:ascii="仿宋" w:hAnsi="仿宋" w:eastAsia="仿宋"/>
          <w:sz w:val="28"/>
          <w:szCs w:val="28"/>
        </w:rPr>
        <w:t>十</w:t>
      </w:r>
      <w:r>
        <w:rPr>
          <w:rStyle w:val="19"/>
          <w:rFonts w:hint="eastAsia" w:ascii="仿宋" w:hAnsi="仿宋" w:eastAsia="仿宋" w:cstheme="majorBidi"/>
          <w:bCs/>
          <w:sz w:val="28"/>
          <w:szCs w:val="28"/>
        </w:rPr>
        <w:t>一、其他重要事项的情况说明</w:t>
      </w:r>
      <w:r>
        <w:rPr>
          <w:rStyle w:val="19"/>
          <w:rFonts w:hint="eastAsia" w:ascii="仿宋" w:hAnsi="仿宋" w:eastAsia="仿宋" w:cstheme="majorBidi"/>
          <w:bCs/>
          <w:sz w:val="28"/>
          <w:szCs w:val="28"/>
        </w:rPr>
        <w:fldChar w:fldCharType="end"/>
      </w:r>
    </w:p>
    <w:p w14:paraId="321A1790">
      <w:pPr>
        <w:pStyle w:val="12"/>
        <w:jc w:val="both"/>
        <w:rPr>
          <w:rFonts w:cstheme="minorBidi"/>
        </w:rPr>
      </w:pPr>
      <w:r>
        <w:fldChar w:fldCharType="begin"/>
      </w:r>
      <w:r>
        <w:instrText xml:space="preserve"> HYPERLINK \l "_Toc15396613" </w:instrText>
      </w:r>
      <w:r>
        <w:fldChar w:fldCharType="separate"/>
      </w:r>
      <w:r>
        <w:rPr>
          <w:rStyle w:val="19"/>
          <w:rFonts w:hint="eastAsia"/>
          <w:bCs/>
          <w:kern w:val="44"/>
        </w:rPr>
        <w:t>第三部分</w:t>
      </w:r>
      <w:r>
        <w:rPr>
          <w:rStyle w:val="19"/>
          <w:rFonts w:hint="eastAsia"/>
        </w:rPr>
        <w:t xml:space="preserve"> 名</w:t>
      </w:r>
      <w:r>
        <w:rPr>
          <w:rStyle w:val="19"/>
          <w:rFonts w:hint="eastAsia"/>
          <w:bCs/>
          <w:kern w:val="44"/>
        </w:rPr>
        <w:t>词解释</w:t>
      </w:r>
      <w:r>
        <w:rPr>
          <w:rStyle w:val="19"/>
          <w:rFonts w:hint="eastAsia"/>
          <w:bCs/>
          <w:kern w:val="44"/>
        </w:rPr>
        <w:fldChar w:fldCharType="end"/>
      </w:r>
    </w:p>
    <w:p w14:paraId="121F98F3">
      <w:pPr>
        <w:pStyle w:val="12"/>
        <w:jc w:val="both"/>
        <w:rPr>
          <w:rFonts w:cstheme="minorBidi"/>
        </w:rPr>
      </w:pPr>
      <w:r>
        <w:fldChar w:fldCharType="begin"/>
      </w:r>
      <w:r>
        <w:instrText xml:space="preserve"> HYPERLINK \l "_Toc15396614" </w:instrText>
      </w:r>
      <w:r>
        <w:fldChar w:fldCharType="separate"/>
      </w:r>
      <w:r>
        <w:rPr>
          <w:rStyle w:val="19"/>
          <w:rFonts w:hint="eastAsia"/>
        </w:rPr>
        <w:t>第</w:t>
      </w:r>
      <w:r>
        <w:rPr>
          <w:rStyle w:val="19"/>
          <w:rFonts w:hint="eastAsia"/>
          <w:bCs/>
          <w:kern w:val="44"/>
        </w:rPr>
        <w:t>四部分</w:t>
      </w:r>
      <w:r>
        <w:rPr>
          <w:rStyle w:val="19"/>
          <w:bCs/>
          <w:kern w:val="44"/>
        </w:rPr>
        <w:t xml:space="preserve"> </w:t>
      </w:r>
      <w:r>
        <w:rPr>
          <w:rStyle w:val="19"/>
          <w:rFonts w:hint="eastAsia"/>
          <w:bCs/>
          <w:kern w:val="44"/>
        </w:rPr>
        <w:t>附件</w:t>
      </w:r>
      <w:r>
        <w:rPr>
          <w:rStyle w:val="19"/>
          <w:rFonts w:hint="eastAsia"/>
          <w:bCs/>
          <w:kern w:val="44"/>
        </w:rPr>
        <w:fldChar w:fldCharType="end"/>
      </w:r>
    </w:p>
    <w:p w14:paraId="2B8652C1">
      <w:pPr>
        <w:pStyle w:val="13"/>
        <w:rPr>
          <w:rFonts w:ascii="仿宋" w:hAnsi="仿宋" w:eastAsia="仿宋" w:cstheme="minorBidi"/>
          <w:sz w:val="28"/>
          <w:szCs w:val="28"/>
        </w:rPr>
      </w:pPr>
      <w:r>
        <w:fldChar w:fldCharType="begin"/>
      </w:r>
      <w:r>
        <w:instrText xml:space="preserve"> HYPERLINK \l "_Toc15396615" </w:instrText>
      </w:r>
      <w:r>
        <w:fldChar w:fldCharType="separate"/>
      </w:r>
      <w:r>
        <w:rPr>
          <w:rStyle w:val="19"/>
          <w:rFonts w:hint="eastAsia" w:ascii="仿宋" w:hAnsi="仿宋" w:eastAsia="仿宋"/>
          <w:kern w:val="44"/>
          <w:sz w:val="28"/>
          <w:szCs w:val="28"/>
        </w:rPr>
        <w:t>附件</w:t>
      </w:r>
      <w:r>
        <w:rPr>
          <w:rStyle w:val="19"/>
          <w:rFonts w:ascii="仿宋" w:hAnsi="仿宋" w:eastAsia="仿宋"/>
          <w:kern w:val="44"/>
          <w:sz w:val="28"/>
          <w:szCs w:val="28"/>
        </w:rPr>
        <w:t>1</w:t>
      </w:r>
      <w:r>
        <w:rPr>
          <w:rStyle w:val="19"/>
          <w:rFonts w:ascii="仿宋" w:hAnsi="仿宋" w:eastAsia="仿宋"/>
          <w:kern w:val="44"/>
          <w:sz w:val="28"/>
          <w:szCs w:val="28"/>
        </w:rPr>
        <w:fldChar w:fldCharType="end"/>
      </w:r>
    </w:p>
    <w:p w14:paraId="3341A5F3">
      <w:pPr>
        <w:pStyle w:val="12"/>
        <w:jc w:val="both"/>
        <w:rPr>
          <w:rFonts w:cstheme="minorBidi"/>
        </w:rPr>
      </w:pPr>
      <w:r>
        <w:fldChar w:fldCharType="begin"/>
      </w:r>
      <w:r>
        <w:instrText xml:space="preserve"> HYPERLINK \l "_Toc15396618" </w:instrText>
      </w:r>
      <w:r>
        <w:fldChar w:fldCharType="separate"/>
      </w:r>
      <w:r>
        <w:rPr>
          <w:rStyle w:val="19"/>
          <w:rFonts w:hint="eastAsia"/>
        </w:rPr>
        <w:t>第</w:t>
      </w:r>
      <w:r>
        <w:rPr>
          <w:rStyle w:val="19"/>
          <w:rFonts w:hint="eastAsia"/>
          <w:bCs/>
          <w:kern w:val="44"/>
        </w:rPr>
        <w:t>五部分</w:t>
      </w:r>
      <w:r>
        <w:rPr>
          <w:rStyle w:val="19"/>
          <w:bCs/>
          <w:kern w:val="44"/>
        </w:rPr>
        <w:t xml:space="preserve"> </w:t>
      </w:r>
      <w:r>
        <w:rPr>
          <w:rStyle w:val="19"/>
          <w:rFonts w:hint="eastAsia"/>
          <w:bCs/>
          <w:kern w:val="44"/>
        </w:rPr>
        <w:t>附表</w:t>
      </w:r>
      <w:r>
        <w:rPr>
          <w:rStyle w:val="19"/>
          <w:rFonts w:hint="eastAsia"/>
          <w:bCs/>
          <w:kern w:val="44"/>
        </w:rPr>
        <w:fldChar w:fldCharType="end"/>
      </w:r>
    </w:p>
    <w:p w14:paraId="69067DC1">
      <w:pPr>
        <w:pStyle w:val="13"/>
        <w:rPr>
          <w:rFonts w:ascii="仿宋" w:hAnsi="仿宋" w:eastAsia="仿宋" w:cstheme="minorBidi"/>
          <w:sz w:val="28"/>
          <w:szCs w:val="28"/>
        </w:rPr>
      </w:pPr>
      <w:r>
        <w:rPr>
          <w:rFonts w:hint="eastAsia" w:ascii="仿宋" w:hAnsi="仿宋" w:eastAsia="仿宋"/>
          <w:sz w:val="28"/>
          <w:szCs w:val="28"/>
        </w:rPr>
        <w:t>一、</w:t>
      </w:r>
      <w:r>
        <w:fldChar w:fldCharType="begin"/>
      </w:r>
      <w:r>
        <w:instrText xml:space="preserve"> HYPERLINK \l "_Toc15396619" </w:instrText>
      </w:r>
      <w:r>
        <w:fldChar w:fldCharType="separate"/>
      </w:r>
      <w:r>
        <w:rPr>
          <w:rStyle w:val="19"/>
          <w:rFonts w:hint="eastAsia" w:ascii="仿宋" w:hAnsi="仿宋" w:eastAsia="仿宋"/>
          <w:sz w:val="28"/>
          <w:szCs w:val="28"/>
        </w:rPr>
        <w:t>收入支出决算总表</w:t>
      </w:r>
      <w:r>
        <w:rPr>
          <w:rStyle w:val="19"/>
          <w:rFonts w:hint="eastAsia" w:ascii="仿宋" w:hAnsi="仿宋" w:eastAsia="仿宋"/>
          <w:sz w:val="28"/>
          <w:szCs w:val="28"/>
        </w:rPr>
        <w:fldChar w:fldCharType="end"/>
      </w:r>
    </w:p>
    <w:p w14:paraId="7AF68B83">
      <w:pPr>
        <w:pStyle w:val="13"/>
        <w:rPr>
          <w:rFonts w:ascii="仿宋" w:hAnsi="仿宋" w:eastAsia="仿宋" w:cstheme="minorBidi"/>
          <w:sz w:val="28"/>
          <w:szCs w:val="28"/>
        </w:rPr>
      </w:pPr>
      <w:r>
        <w:rPr>
          <w:rFonts w:hint="eastAsia" w:ascii="仿宋" w:hAnsi="仿宋" w:eastAsia="仿宋"/>
          <w:sz w:val="28"/>
          <w:szCs w:val="28"/>
        </w:rPr>
        <w:t>二、</w:t>
      </w:r>
      <w:r>
        <w:fldChar w:fldCharType="begin"/>
      </w:r>
      <w:r>
        <w:instrText xml:space="preserve"> HYPERLINK \l "_Toc15396620" </w:instrText>
      </w:r>
      <w:r>
        <w:fldChar w:fldCharType="separate"/>
      </w:r>
      <w:r>
        <w:rPr>
          <w:rStyle w:val="19"/>
          <w:rFonts w:hint="eastAsia" w:ascii="仿宋" w:hAnsi="仿宋" w:eastAsia="仿宋"/>
          <w:sz w:val="28"/>
          <w:szCs w:val="28"/>
        </w:rPr>
        <w:t>收入总表</w:t>
      </w:r>
      <w:r>
        <w:rPr>
          <w:rStyle w:val="19"/>
          <w:rFonts w:hint="eastAsia" w:ascii="仿宋" w:hAnsi="仿宋" w:eastAsia="仿宋"/>
          <w:sz w:val="28"/>
          <w:szCs w:val="28"/>
        </w:rPr>
        <w:fldChar w:fldCharType="end"/>
      </w:r>
    </w:p>
    <w:p w14:paraId="60DEDB94">
      <w:pPr>
        <w:pStyle w:val="13"/>
        <w:rPr>
          <w:rFonts w:ascii="仿宋" w:hAnsi="仿宋" w:eastAsia="仿宋" w:cstheme="minorBidi"/>
          <w:sz w:val="28"/>
          <w:szCs w:val="28"/>
        </w:rPr>
      </w:pPr>
      <w:r>
        <w:rPr>
          <w:rFonts w:hint="eastAsia" w:ascii="仿宋" w:hAnsi="仿宋" w:eastAsia="仿宋"/>
          <w:sz w:val="28"/>
          <w:szCs w:val="28"/>
        </w:rPr>
        <w:t>三、</w:t>
      </w:r>
      <w:r>
        <w:fldChar w:fldCharType="begin"/>
      </w:r>
      <w:r>
        <w:instrText xml:space="preserve"> HYPERLINK \l "_Toc15396621" </w:instrText>
      </w:r>
      <w:r>
        <w:fldChar w:fldCharType="separate"/>
      </w:r>
      <w:r>
        <w:rPr>
          <w:rStyle w:val="19"/>
          <w:rFonts w:hint="eastAsia" w:ascii="仿宋" w:hAnsi="仿宋" w:eastAsia="仿宋"/>
          <w:sz w:val="28"/>
          <w:szCs w:val="28"/>
        </w:rPr>
        <w:t>支出总表</w:t>
      </w:r>
      <w:r>
        <w:rPr>
          <w:rStyle w:val="19"/>
          <w:rFonts w:hint="eastAsia" w:ascii="仿宋" w:hAnsi="仿宋" w:eastAsia="仿宋"/>
          <w:sz w:val="28"/>
          <w:szCs w:val="28"/>
        </w:rPr>
        <w:fldChar w:fldCharType="end"/>
      </w:r>
    </w:p>
    <w:p w14:paraId="6C427498">
      <w:pPr>
        <w:pStyle w:val="13"/>
        <w:rPr>
          <w:rFonts w:ascii="仿宋" w:hAnsi="仿宋" w:eastAsia="仿宋" w:cstheme="minorBidi"/>
          <w:sz w:val="28"/>
          <w:szCs w:val="28"/>
        </w:rPr>
      </w:pPr>
      <w:r>
        <w:rPr>
          <w:rFonts w:hint="eastAsia" w:ascii="仿宋" w:hAnsi="仿宋" w:eastAsia="仿宋"/>
          <w:sz w:val="28"/>
          <w:szCs w:val="28"/>
        </w:rPr>
        <w:t>四、</w:t>
      </w:r>
      <w:r>
        <w:fldChar w:fldCharType="begin"/>
      </w:r>
      <w:r>
        <w:instrText xml:space="preserve"> HYPERLINK \l "_Toc15396622" </w:instrText>
      </w:r>
      <w:r>
        <w:fldChar w:fldCharType="separate"/>
      </w:r>
      <w:r>
        <w:rPr>
          <w:rStyle w:val="19"/>
          <w:rFonts w:hint="eastAsia" w:ascii="仿宋" w:hAnsi="仿宋" w:eastAsia="仿宋"/>
          <w:sz w:val="28"/>
          <w:szCs w:val="28"/>
        </w:rPr>
        <w:t>财政拨款收入支出决算总表</w:t>
      </w:r>
      <w:r>
        <w:rPr>
          <w:rStyle w:val="19"/>
          <w:rFonts w:hint="eastAsia" w:ascii="仿宋" w:hAnsi="仿宋" w:eastAsia="仿宋"/>
          <w:sz w:val="28"/>
          <w:szCs w:val="28"/>
        </w:rPr>
        <w:fldChar w:fldCharType="end"/>
      </w:r>
    </w:p>
    <w:p w14:paraId="2D420D26">
      <w:pPr>
        <w:pStyle w:val="13"/>
        <w:rPr>
          <w:rFonts w:ascii="仿宋" w:hAnsi="仿宋" w:eastAsia="仿宋"/>
          <w:sz w:val="28"/>
          <w:szCs w:val="28"/>
        </w:rPr>
      </w:pPr>
      <w:r>
        <w:rPr>
          <w:rFonts w:hint="eastAsia" w:ascii="仿宋" w:hAnsi="仿宋" w:eastAsia="仿宋"/>
          <w:sz w:val="28"/>
          <w:szCs w:val="28"/>
        </w:rPr>
        <w:t>五、</w:t>
      </w:r>
      <w:r>
        <w:fldChar w:fldCharType="begin"/>
      </w:r>
      <w:r>
        <w:instrText xml:space="preserve"> HYPERLINK \l "_Toc15396623" </w:instrText>
      </w:r>
      <w:r>
        <w:fldChar w:fldCharType="separate"/>
      </w:r>
      <w:r>
        <w:rPr>
          <w:rFonts w:hint="eastAsia" w:ascii="仿宋" w:hAnsi="仿宋" w:eastAsia="仿宋"/>
          <w:sz w:val="28"/>
          <w:szCs w:val="28"/>
        </w:rPr>
        <w:t>财政拨款支出决算明细表（政府经济分类科目）</w:t>
      </w:r>
      <w:r>
        <w:rPr>
          <w:rFonts w:hint="eastAsia" w:ascii="仿宋" w:hAnsi="仿宋" w:eastAsia="仿宋"/>
          <w:sz w:val="28"/>
          <w:szCs w:val="28"/>
        </w:rPr>
        <w:fldChar w:fldCharType="end"/>
      </w:r>
    </w:p>
    <w:p w14:paraId="3A113397">
      <w:pPr>
        <w:pStyle w:val="13"/>
        <w:rPr>
          <w:rFonts w:ascii="仿宋" w:hAnsi="仿宋" w:eastAsia="仿宋" w:cstheme="minorBidi"/>
          <w:sz w:val="28"/>
          <w:szCs w:val="28"/>
        </w:rPr>
      </w:pPr>
      <w:r>
        <w:rPr>
          <w:rFonts w:hint="eastAsia" w:ascii="仿宋" w:hAnsi="仿宋" w:eastAsia="仿宋"/>
          <w:sz w:val="28"/>
          <w:szCs w:val="28"/>
        </w:rPr>
        <w:t>六、</w:t>
      </w:r>
      <w:r>
        <w:fldChar w:fldCharType="begin"/>
      </w:r>
      <w:r>
        <w:instrText xml:space="preserve"> HYPERLINK \l "_Toc15396624" </w:instrText>
      </w:r>
      <w:r>
        <w:fldChar w:fldCharType="separate"/>
      </w:r>
      <w:r>
        <w:rPr>
          <w:rStyle w:val="19"/>
          <w:rFonts w:hint="eastAsia" w:ascii="仿宋" w:hAnsi="仿宋" w:eastAsia="仿宋"/>
          <w:sz w:val="28"/>
          <w:szCs w:val="28"/>
        </w:rPr>
        <w:t>一般公共预算财政拨款支出决算表</w:t>
      </w:r>
      <w:r>
        <w:rPr>
          <w:rStyle w:val="19"/>
          <w:rFonts w:hint="eastAsia" w:ascii="仿宋" w:hAnsi="仿宋" w:eastAsia="仿宋"/>
          <w:sz w:val="28"/>
          <w:szCs w:val="28"/>
        </w:rPr>
        <w:fldChar w:fldCharType="end"/>
      </w:r>
    </w:p>
    <w:p w14:paraId="79EF86A1">
      <w:pPr>
        <w:pStyle w:val="13"/>
        <w:rPr>
          <w:rFonts w:ascii="仿宋" w:hAnsi="仿宋" w:eastAsia="仿宋" w:cstheme="minorBidi"/>
          <w:sz w:val="28"/>
          <w:szCs w:val="28"/>
        </w:rPr>
      </w:pPr>
      <w:r>
        <w:rPr>
          <w:rFonts w:hint="eastAsia" w:ascii="仿宋" w:hAnsi="仿宋" w:eastAsia="仿宋"/>
          <w:sz w:val="28"/>
          <w:szCs w:val="28"/>
        </w:rPr>
        <w:t>七、</w:t>
      </w:r>
      <w:r>
        <w:fldChar w:fldCharType="begin"/>
      </w:r>
      <w:r>
        <w:instrText xml:space="preserve"> HYPERLINK \l "_Toc15396625" </w:instrText>
      </w:r>
      <w:r>
        <w:fldChar w:fldCharType="separate"/>
      </w:r>
      <w:r>
        <w:rPr>
          <w:rStyle w:val="19"/>
          <w:rFonts w:hint="eastAsia" w:ascii="仿宋" w:hAnsi="仿宋" w:eastAsia="仿宋"/>
          <w:sz w:val="28"/>
          <w:szCs w:val="28"/>
        </w:rPr>
        <w:t>一般公共预算财政拨款支出决算明细表</w:t>
      </w:r>
      <w:r>
        <w:rPr>
          <w:rStyle w:val="19"/>
          <w:rFonts w:hint="eastAsia" w:ascii="仿宋" w:hAnsi="仿宋" w:eastAsia="仿宋"/>
          <w:sz w:val="28"/>
          <w:szCs w:val="28"/>
        </w:rPr>
        <w:fldChar w:fldCharType="end"/>
      </w:r>
    </w:p>
    <w:p w14:paraId="6E6FD893">
      <w:pPr>
        <w:pStyle w:val="13"/>
        <w:rPr>
          <w:rFonts w:ascii="仿宋" w:hAnsi="仿宋" w:eastAsia="仿宋" w:cstheme="minorBidi"/>
          <w:sz w:val="28"/>
          <w:szCs w:val="28"/>
        </w:rPr>
      </w:pPr>
      <w:r>
        <w:rPr>
          <w:rFonts w:hint="eastAsia" w:ascii="仿宋" w:hAnsi="仿宋" w:eastAsia="仿宋"/>
          <w:sz w:val="28"/>
          <w:szCs w:val="28"/>
        </w:rPr>
        <w:t>八、</w:t>
      </w:r>
      <w:r>
        <w:fldChar w:fldCharType="begin"/>
      </w:r>
      <w:r>
        <w:instrText xml:space="preserve"> HYPERLINK \l "_Toc15396626" </w:instrText>
      </w:r>
      <w:r>
        <w:fldChar w:fldCharType="separate"/>
      </w:r>
      <w:r>
        <w:rPr>
          <w:rStyle w:val="19"/>
          <w:rFonts w:hint="eastAsia" w:ascii="仿宋" w:hAnsi="仿宋" w:eastAsia="仿宋"/>
          <w:sz w:val="28"/>
          <w:szCs w:val="28"/>
        </w:rPr>
        <w:t>一般公共预算财政拨款基本支出决算表</w:t>
      </w:r>
      <w:r>
        <w:rPr>
          <w:rStyle w:val="19"/>
          <w:rFonts w:hint="eastAsia" w:ascii="仿宋" w:hAnsi="仿宋" w:eastAsia="仿宋"/>
          <w:sz w:val="28"/>
          <w:szCs w:val="28"/>
        </w:rPr>
        <w:fldChar w:fldCharType="end"/>
      </w:r>
    </w:p>
    <w:p w14:paraId="4857AA8B">
      <w:pPr>
        <w:pStyle w:val="13"/>
        <w:rPr>
          <w:rFonts w:ascii="仿宋" w:hAnsi="仿宋" w:eastAsia="仿宋" w:cstheme="minorBidi"/>
          <w:sz w:val="28"/>
          <w:szCs w:val="28"/>
        </w:rPr>
      </w:pPr>
      <w:r>
        <w:rPr>
          <w:rFonts w:hint="eastAsia" w:ascii="仿宋" w:hAnsi="仿宋" w:eastAsia="仿宋"/>
          <w:sz w:val="28"/>
          <w:szCs w:val="28"/>
        </w:rPr>
        <w:t>九、</w:t>
      </w:r>
      <w:r>
        <w:fldChar w:fldCharType="begin"/>
      </w:r>
      <w:r>
        <w:instrText xml:space="preserve"> HYPERLINK \l "_Toc15396627" </w:instrText>
      </w:r>
      <w:r>
        <w:fldChar w:fldCharType="separate"/>
      </w:r>
      <w:r>
        <w:rPr>
          <w:rStyle w:val="19"/>
          <w:rFonts w:hint="eastAsia" w:ascii="仿宋" w:hAnsi="仿宋" w:eastAsia="仿宋"/>
          <w:sz w:val="28"/>
          <w:szCs w:val="28"/>
        </w:rPr>
        <w:t>一般公共预算财政拨款项目支出决算表</w:t>
      </w:r>
      <w:r>
        <w:rPr>
          <w:rStyle w:val="19"/>
          <w:rFonts w:hint="eastAsia" w:ascii="仿宋" w:hAnsi="仿宋" w:eastAsia="仿宋"/>
          <w:sz w:val="28"/>
          <w:szCs w:val="28"/>
        </w:rPr>
        <w:fldChar w:fldCharType="end"/>
      </w:r>
    </w:p>
    <w:p w14:paraId="2B4276DC">
      <w:pPr>
        <w:pStyle w:val="13"/>
        <w:rPr>
          <w:rFonts w:ascii="仿宋" w:hAnsi="仿宋" w:eastAsia="仿宋" w:cstheme="minorBidi"/>
          <w:sz w:val="28"/>
          <w:szCs w:val="28"/>
        </w:rPr>
      </w:pPr>
      <w:r>
        <w:rPr>
          <w:rFonts w:hint="eastAsia" w:ascii="仿宋" w:hAnsi="仿宋" w:eastAsia="仿宋"/>
          <w:sz w:val="28"/>
          <w:szCs w:val="28"/>
        </w:rPr>
        <w:t>十、</w:t>
      </w:r>
      <w:r>
        <w:fldChar w:fldCharType="begin"/>
      </w:r>
      <w:r>
        <w:instrText xml:space="preserve"> HYPERLINK \l "_Toc15396628" </w:instrText>
      </w:r>
      <w:r>
        <w:fldChar w:fldCharType="separate"/>
      </w:r>
      <w:r>
        <w:rPr>
          <w:rStyle w:val="19"/>
          <w:rFonts w:hint="eastAsia" w:ascii="仿宋" w:hAnsi="仿宋" w:eastAsia="仿宋"/>
          <w:sz w:val="28"/>
          <w:szCs w:val="28"/>
        </w:rPr>
        <w:t>一般公共预算财政拨款“三公”经费支出决算表</w:t>
      </w:r>
      <w:r>
        <w:rPr>
          <w:rStyle w:val="19"/>
          <w:rFonts w:hint="eastAsia" w:ascii="仿宋" w:hAnsi="仿宋" w:eastAsia="仿宋"/>
          <w:sz w:val="28"/>
          <w:szCs w:val="28"/>
        </w:rPr>
        <w:fldChar w:fldCharType="end"/>
      </w:r>
    </w:p>
    <w:p w14:paraId="54EB5CEF">
      <w:pPr>
        <w:pStyle w:val="13"/>
        <w:rPr>
          <w:rFonts w:ascii="仿宋" w:hAnsi="仿宋" w:eastAsia="仿宋" w:cstheme="minorBidi"/>
          <w:sz w:val="28"/>
          <w:szCs w:val="28"/>
        </w:rPr>
      </w:pPr>
      <w:r>
        <w:rPr>
          <w:rFonts w:hint="eastAsia" w:ascii="仿宋" w:hAnsi="仿宋" w:eastAsia="仿宋"/>
          <w:sz w:val="28"/>
          <w:szCs w:val="28"/>
        </w:rPr>
        <w:t>十一、</w:t>
      </w:r>
      <w:r>
        <w:fldChar w:fldCharType="begin"/>
      </w:r>
      <w:r>
        <w:instrText xml:space="preserve"> HYPERLINK \l "_Toc15396629" </w:instrText>
      </w:r>
      <w:r>
        <w:fldChar w:fldCharType="separate"/>
      </w:r>
      <w:r>
        <w:rPr>
          <w:rStyle w:val="19"/>
          <w:rFonts w:hint="eastAsia" w:ascii="仿宋" w:hAnsi="仿宋" w:eastAsia="仿宋"/>
          <w:sz w:val="28"/>
          <w:szCs w:val="28"/>
        </w:rPr>
        <w:t>政府性基金预算财政拨款收入支出决算表</w:t>
      </w:r>
      <w:r>
        <w:rPr>
          <w:rStyle w:val="19"/>
          <w:rFonts w:hint="eastAsia" w:ascii="仿宋" w:hAnsi="仿宋" w:eastAsia="仿宋"/>
          <w:sz w:val="28"/>
          <w:szCs w:val="28"/>
        </w:rPr>
        <w:fldChar w:fldCharType="end"/>
      </w:r>
    </w:p>
    <w:p w14:paraId="6045D9D2">
      <w:pPr>
        <w:pStyle w:val="13"/>
        <w:rPr>
          <w:rFonts w:ascii="仿宋" w:hAnsi="仿宋" w:eastAsia="仿宋" w:cstheme="minorBidi"/>
          <w:sz w:val="28"/>
          <w:szCs w:val="28"/>
        </w:rPr>
      </w:pPr>
      <w:r>
        <w:rPr>
          <w:rFonts w:hint="eastAsia" w:ascii="仿宋" w:hAnsi="仿宋" w:eastAsia="仿宋"/>
          <w:sz w:val="28"/>
          <w:szCs w:val="28"/>
        </w:rPr>
        <w:t>十二、</w:t>
      </w:r>
      <w:r>
        <w:fldChar w:fldCharType="begin"/>
      </w:r>
      <w:r>
        <w:instrText xml:space="preserve"> HYPERLINK \l "_Toc15396630" </w:instrText>
      </w:r>
      <w:r>
        <w:fldChar w:fldCharType="separate"/>
      </w:r>
      <w:r>
        <w:rPr>
          <w:rStyle w:val="19"/>
          <w:rFonts w:hint="eastAsia" w:ascii="仿宋" w:hAnsi="仿宋" w:eastAsia="仿宋"/>
          <w:sz w:val="28"/>
          <w:szCs w:val="28"/>
        </w:rPr>
        <w:t>政府性基金预算财政拨款“三公”经费支出决算表</w:t>
      </w:r>
      <w:r>
        <w:rPr>
          <w:rStyle w:val="19"/>
          <w:rFonts w:hint="eastAsia" w:ascii="仿宋" w:hAnsi="仿宋" w:eastAsia="仿宋"/>
          <w:sz w:val="28"/>
          <w:szCs w:val="28"/>
        </w:rPr>
        <w:fldChar w:fldCharType="end"/>
      </w:r>
    </w:p>
    <w:p w14:paraId="2115F2DC">
      <w:pPr>
        <w:pStyle w:val="13"/>
        <w:rPr>
          <w:rFonts w:ascii="仿宋" w:hAnsi="仿宋" w:eastAsia="仿宋" w:cstheme="minorBidi"/>
          <w:sz w:val="24"/>
        </w:rPr>
      </w:pPr>
      <w:r>
        <w:rPr>
          <w:rFonts w:hint="eastAsia" w:ascii="仿宋" w:hAnsi="仿宋" w:eastAsia="仿宋"/>
          <w:sz w:val="28"/>
          <w:szCs w:val="28"/>
        </w:rPr>
        <w:t>十三、</w:t>
      </w:r>
      <w:r>
        <w:fldChar w:fldCharType="begin"/>
      </w:r>
      <w:r>
        <w:instrText xml:space="preserve"> HYPERLINK \l "_Toc15396631" </w:instrText>
      </w:r>
      <w:r>
        <w:fldChar w:fldCharType="separate"/>
      </w:r>
      <w:r>
        <w:rPr>
          <w:rStyle w:val="19"/>
          <w:rFonts w:hint="eastAsia" w:ascii="仿宋" w:hAnsi="仿宋" w:eastAsia="仿宋"/>
          <w:sz w:val="28"/>
          <w:szCs w:val="28"/>
        </w:rPr>
        <w:t>国有资本经营预算支出决算表</w:t>
      </w:r>
      <w:r>
        <w:rPr>
          <w:rStyle w:val="19"/>
          <w:rFonts w:hint="eastAsia" w:ascii="仿宋" w:hAnsi="仿宋" w:eastAsia="仿宋"/>
          <w:sz w:val="28"/>
          <w:szCs w:val="28"/>
        </w:rPr>
        <w:fldChar w:fldCharType="end"/>
      </w:r>
    </w:p>
    <w:p w14:paraId="1362B9B6">
      <w:pPr>
        <w:widowControl/>
        <w:jc w:val="left"/>
        <w:rPr>
          <w:rFonts w:ascii="仿宋" w:hAnsi="仿宋" w:eastAsia="仿宋"/>
          <w:color w:val="000000"/>
          <w:sz w:val="24"/>
        </w:rPr>
      </w:pPr>
      <w:r>
        <w:rPr>
          <w:rFonts w:ascii="仿宋" w:hAnsi="仿宋" w:eastAsia="仿宋"/>
          <w:color w:val="000000"/>
          <w:sz w:val="24"/>
        </w:rPr>
        <w:fldChar w:fldCharType="end"/>
      </w:r>
    </w:p>
    <w:p w14:paraId="29A8FAB8">
      <w:pPr>
        <w:widowControl/>
        <w:jc w:val="left"/>
        <w:rPr>
          <w:rFonts w:ascii="黑体" w:hAnsi="黑体" w:eastAsia="黑体"/>
          <w:bCs/>
          <w:kern w:val="44"/>
          <w:sz w:val="44"/>
          <w:szCs w:val="44"/>
        </w:rPr>
      </w:pPr>
      <w:bookmarkStart w:id="12" w:name="_Toc15396599"/>
      <w:bookmarkStart w:id="13" w:name="_Toc15377196"/>
      <w:r>
        <w:rPr>
          <w:rFonts w:ascii="黑体" w:hAnsi="黑体" w:eastAsia="黑体"/>
          <w:b/>
        </w:rPr>
        <w:br w:type="page"/>
      </w:r>
    </w:p>
    <w:p w14:paraId="7BA679F0">
      <w:pPr>
        <w:pStyle w:val="3"/>
        <w:jc w:val="center"/>
        <w:rPr>
          <w:rStyle w:val="29"/>
          <w:rFonts w:ascii="黑体" w:hAnsi="黑体" w:eastAsia="黑体"/>
          <w:b/>
          <w:bCs w:val="0"/>
        </w:rPr>
      </w:pPr>
      <w:r>
        <w:rPr>
          <w:rFonts w:hint="eastAsia" w:ascii="黑体" w:hAnsi="黑体" w:eastAsia="黑体"/>
          <w:b w:val="0"/>
        </w:rPr>
        <w:t xml:space="preserve">第一部分 </w:t>
      </w:r>
      <w:r>
        <w:rPr>
          <w:rStyle w:val="29"/>
          <w:rFonts w:hint="eastAsia" w:ascii="黑体" w:hAnsi="黑体" w:eastAsia="黑体"/>
          <w:b w:val="0"/>
          <w:bCs w:val="0"/>
        </w:rPr>
        <w:t>部门概况</w:t>
      </w:r>
      <w:bookmarkEnd w:id="12"/>
      <w:bookmarkEnd w:id="13"/>
    </w:p>
    <w:p w14:paraId="46914306">
      <w:pPr>
        <w:pStyle w:val="4"/>
        <w:ind w:firstLine="960" w:firstLineChars="300"/>
        <w:rPr>
          <w:rStyle w:val="30"/>
          <w:rFonts w:ascii="仿宋" w:hAnsi="仿宋" w:eastAsia="仿宋"/>
          <w:b w:val="0"/>
          <w:bCs w:val="0"/>
        </w:rPr>
      </w:pPr>
      <w:bookmarkStart w:id="14" w:name="_Toc15377197"/>
      <w:bookmarkStart w:id="15" w:name="_Toc15396600"/>
      <w:r>
        <w:rPr>
          <w:rFonts w:hint="eastAsia" w:ascii="黑体" w:hAnsi="黑体" w:eastAsia="黑体"/>
          <w:b w:val="0"/>
          <w:color w:val="000000"/>
        </w:rPr>
        <w:t>一、基</w:t>
      </w:r>
      <w:r>
        <w:rPr>
          <w:rStyle w:val="30"/>
          <w:rFonts w:hint="eastAsia" w:ascii="黑体" w:hAnsi="黑体" w:eastAsia="黑体"/>
          <w:b w:val="0"/>
          <w:bCs w:val="0"/>
        </w:rPr>
        <w:t>本职能及主要工作</w:t>
      </w:r>
      <w:bookmarkEnd w:id="14"/>
      <w:bookmarkEnd w:id="15"/>
    </w:p>
    <w:p w14:paraId="3E99151A">
      <w:pPr>
        <w:widowControl/>
        <w:spacing w:line="600" w:lineRule="exact"/>
        <w:ind w:firstLine="640" w:firstLineChars="200"/>
        <w:jc w:val="left"/>
        <w:rPr>
          <w:rFonts w:ascii="仿宋" w:hAnsi="仿宋" w:eastAsia="仿宋"/>
          <w:bCs/>
          <w:color w:val="000000"/>
          <w:sz w:val="32"/>
          <w:szCs w:val="32"/>
        </w:rPr>
      </w:pPr>
      <w:bookmarkStart w:id="16" w:name="_Toc15377198"/>
      <w:bookmarkStart w:id="17" w:name="_Toc15378445"/>
      <w:r>
        <w:rPr>
          <w:rFonts w:hint="eastAsia" w:ascii="仿宋" w:hAnsi="仿宋" w:eastAsia="仿宋"/>
          <w:bCs/>
          <w:color w:val="000000"/>
          <w:sz w:val="32"/>
          <w:szCs w:val="32"/>
        </w:rPr>
        <w:t>（一）主要职能。</w:t>
      </w:r>
      <w:bookmarkEnd w:id="16"/>
      <w:bookmarkEnd w:id="17"/>
      <w:bookmarkStart w:id="18" w:name="_Toc15377199"/>
      <w:bookmarkStart w:id="19" w:name="_Toc15378446"/>
    </w:p>
    <w:p w14:paraId="3BCAB0D7">
      <w:pPr>
        <w:widowControl/>
        <w:spacing w:line="600" w:lineRule="exact"/>
        <w:ind w:firstLine="640" w:firstLineChars="200"/>
        <w:jc w:val="left"/>
        <w:rPr>
          <w:rFonts w:ascii="仿宋_GB2312" w:eastAsia="仿宋_GB2312"/>
          <w:color w:val="000000"/>
          <w:kern w:val="0"/>
          <w:sz w:val="32"/>
          <w:szCs w:val="32"/>
        </w:rPr>
      </w:pPr>
      <w:r>
        <w:rPr>
          <w:rFonts w:hint="eastAsia" w:ascii="仿宋_GB2312" w:eastAsia="仿宋_GB2312"/>
          <w:kern w:val="0"/>
          <w:sz w:val="32"/>
          <w:szCs w:val="32"/>
        </w:rPr>
        <w:t>根据中共阿坝州委办公室《关于印发〈阿坝州总工会机关机构改革方案〉的通知》（阿委办发[2002]4号）文件规定，主要职责是：一是贯彻执行党的路线、方针、政策，根据州委、省总工会的部署和，结合我州实际，确定工会工作的指导思想、目标和任务，领导全州工会工作，为基层工会开展工作营造外部环境；二是进一步突出和履行维护职工合法权益的职能；三是指导各级工会组织开展以职工代表大会为基本制度的民主选举、民主决策、民主管理和民主监督工作；四是推动工会组织建立平等协商、集体合同制度和监督保证机制；五是协助州政府做好劳动模范的推荐评选和管理工作，协助省总做好劳动模范、“五一劳动奖章”、“五一劳动奖状”获得者的管理工作。</w:t>
      </w:r>
    </w:p>
    <w:p w14:paraId="6C824B61">
      <w:pPr>
        <w:spacing w:line="576" w:lineRule="exact"/>
        <w:ind w:firstLine="643" w:firstLineChars="200"/>
        <w:rPr>
          <w:rFonts w:ascii="仿宋" w:hAnsi="仿宋" w:eastAsia="仿宋"/>
          <w:b/>
          <w:bCs/>
          <w:color w:val="000000"/>
          <w:sz w:val="32"/>
          <w:szCs w:val="32"/>
        </w:rPr>
      </w:pPr>
      <w:r>
        <w:rPr>
          <w:rFonts w:hint="eastAsia" w:ascii="仿宋" w:hAnsi="仿宋" w:eastAsia="仿宋"/>
          <w:b/>
          <w:bCs/>
          <w:color w:val="000000"/>
          <w:sz w:val="32"/>
          <w:szCs w:val="32"/>
        </w:rPr>
        <w:t>（二）</w:t>
      </w:r>
      <w:r>
        <w:rPr>
          <w:rFonts w:ascii="仿宋" w:hAnsi="仿宋" w:eastAsia="仿宋"/>
          <w:b/>
          <w:bCs/>
          <w:color w:val="000000"/>
          <w:sz w:val="32"/>
          <w:szCs w:val="32"/>
        </w:rPr>
        <w:t>20</w:t>
      </w:r>
      <w:r>
        <w:rPr>
          <w:rFonts w:hint="eastAsia" w:ascii="仿宋" w:hAnsi="仿宋" w:eastAsia="仿宋"/>
          <w:b/>
          <w:bCs/>
          <w:color w:val="000000"/>
          <w:sz w:val="32"/>
          <w:szCs w:val="32"/>
          <w:lang w:val="en-US" w:eastAsia="zh-CN"/>
        </w:rPr>
        <w:t>20</w:t>
      </w:r>
      <w:r>
        <w:rPr>
          <w:rFonts w:hint="eastAsia" w:ascii="仿宋" w:hAnsi="仿宋" w:eastAsia="仿宋"/>
          <w:b/>
          <w:bCs/>
          <w:color w:val="000000"/>
          <w:sz w:val="32"/>
          <w:szCs w:val="32"/>
        </w:rPr>
        <w:t>年重点工作完成情况。</w:t>
      </w:r>
      <w:bookmarkEnd w:id="18"/>
      <w:bookmarkEnd w:id="19"/>
    </w:p>
    <w:p w14:paraId="7FAB0E12">
      <w:pPr>
        <w:pStyle w:val="20"/>
        <w:keepNext w:val="0"/>
        <w:keepLines w:val="0"/>
        <w:pageBreakBefore w:val="0"/>
        <w:widowControl w:val="0"/>
        <w:pBdr>
          <w:bottom w:val="none" w:color="auto" w:sz="0" w:space="0"/>
        </w:pBdr>
        <w:kinsoku/>
        <w:wordWrap/>
        <w:overflowPunct/>
        <w:topLinePunct w:val="0"/>
        <w:autoSpaceDE/>
        <w:autoSpaceDN/>
        <w:bidi w:val="0"/>
        <w:adjustRightInd w:val="0"/>
        <w:snapToGrid/>
        <w:spacing w:line="576" w:lineRule="exact"/>
        <w:ind w:firstLine="643" w:firstLineChars="200"/>
        <w:textAlignment w:val="baseline"/>
        <w:rPr>
          <w:rFonts w:hint="default" w:ascii="Times New Roman" w:hAnsi="Times New Roman" w:eastAsia="仿宋_GB2312" w:cs="Times New Roman"/>
          <w:b w:val="0"/>
          <w:bCs w:val="0"/>
          <w:kern w:val="0"/>
          <w:sz w:val="32"/>
          <w:szCs w:val="32"/>
          <w:lang w:val="en-US" w:eastAsia="zh-CN"/>
        </w:rPr>
      </w:pPr>
      <w:r>
        <w:rPr>
          <w:rFonts w:hint="eastAsia" w:ascii="方正楷体_GBK" w:hAnsi="方正楷体_GBK" w:eastAsia="方正楷体_GBK" w:cs="方正楷体_GBK"/>
          <w:b/>
          <w:bCs/>
          <w:kern w:val="0"/>
          <w:sz w:val="32"/>
          <w:szCs w:val="32"/>
          <w:lang w:val="en-US" w:eastAsia="zh-CN"/>
        </w:rPr>
        <w:t>（一）意识形态工作不断加强。</w:t>
      </w:r>
      <w:r>
        <w:rPr>
          <w:rFonts w:hint="default" w:ascii="Times New Roman" w:hAnsi="Times New Roman" w:eastAsia="仿宋_GB2312" w:cs="Times New Roman"/>
          <w:b w:val="0"/>
          <w:bCs w:val="0"/>
          <w:kern w:val="0"/>
          <w:sz w:val="32"/>
          <w:szCs w:val="32"/>
          <w:lang w:val="en-US" w:eastAsia="zh-CN"/>
        </w:rPr>
        <w:t>始终把团结引导职工作为重要政治责任，认真落实工会意识形态形态责任制，全面推动习近平新时代中国特色社会主义思想和</w:t>
      </w:r>
      <w:bookmarkStart w:id="67" w:name="_GoBack"/>
      <w:bookmarkEnd w:id="67"/>
      <w:r>
        <w:rPr>
          <w:rFonts w:hint="eastAsia" w:ascii="Times New Roman" w:hAnsi="Times New Roman" w:eastAsia="仿宋_GB2312" w:cs="Times New Roman"/>
          <w:b w:val="0"/>
          <w:bCs w:val="0"/>
          <w:kern w:val="0"/>
          <w:sz w:val="32"/>
          <w:szCs w:val="32"/>
          <w:lang w:val="en-US" w:eastAsia="zh-CN"/>
        </w:rPr>
        <w:t>习近平总书记关于工人阶级和工会工作的重要论述</w:t>
      </w:r>
      <w:r>
        <w:rPr>
          <w:rFonts w:hint="default" w:ascii="Times New Roman" w:hAnsi="Times New Roman" w:eastAsia="仿宋_GB2312" w:cs="Times New Roman"/>
          <w:b w:val="0"/>
          <w:bCs w:val="0"/>
          <w:kern w:val="0"/>
          <w:sz w:val="32"/>
          <w:szCs w:val="32"/>
          <w:lang w:val="en-US" w:eastAsia="zh-CN"/>
        </w:rPr>
        <w:t>进基层一线、进企业班组、进工会干部和职工头脑。积极培育和践行社会主义核心价值观，深化“中国梦•劳动美”主题教育，新建1个职工（农民工）文化驿站、2个四川省职工书屋示范点，着力打造健康文明、昂扬向上的职工文化。</w:t>
      </w:r>
    </w:p>
    <w:p w14:paraId="467526F4">
      <w:pPr>
        <w:pStyle w:val="20"/>
        <w:keepNext w:val="0"/>
        <w:keepLines w:val="0"/>
        <w:pageBreakBefore w:val="0"/>
        <w:widowControl w:val="0"/>
        <w:pBdr>
          <w:bottom w:val="none" w:color="auto" w:sz="0" w:space="0"/>
        </w:pBdr>
        <w:kinsoku/>
        <w:wordWrap/>
        <w:overflowPunct/>
        <w:topLinePunct w:val="0"/>
        <w:autoSpaceDE/>
        <w:autoSpaceDN/>
        <w:bidi w:val="0"/>
        <w:adjustRightInd w:val="0"/>
        <w:snapToGrid/>
        <w:spacing w:line="576" w:lineRule="exact"/>
        <w:ind w:firstLine="643" w:firstLineChars="200"/>
        <w:textAlignment w:val="baseline"/>
        <w:rPr>
          <w:rFonts w:hint="default" w:ascii="Times New Roman" w:hAnsi="Times New Roman" w:eastAsia="仿宋_GB2312" w:cs="Times New Roman"/>
          <w:b w:val="0"/>
          <w:bCs w:val="0"/>
          <w:kern w:val="0"/>
          <w:sz w:val="32"/>
          <w:szCs w:val="32"/>
          <w:lang w:val="en-US" w:eastAsia="zh-CN"/>
        </w:rPr>
      </w:pPr>
      <w:r>
        <w:rPr>
          <w:rFonts w:hint="eastAsia" w:ascii="方正楷体_GBK" w:hAnsi="方正楷体_GBK" w:eastAsia="方正楷体_GBK" w:cs="方正楷体_GBK"/>
          <w:b/>
          <w:bCs/>
          <w:kern w:val="0"/>
          <w:sz w:val="32"/>
          <w:szCs w:val="32"/>
          <w:lang w:val="en-US" w:eastAsia="zh-CN"/>
        </w:rPr>
        <w:t>（二）</w:t>
      </w:r>
      <w:r>
        <w:rPr>
          <w:rFonts w:hint="default" w:ascii="方正楷体_GBK" w:hAnsi="方正楷体_GBK" w:eastAsia="方正楷体_GBK" w:cs="方正楷体_GBK"/>
          <w:b/>
          <w:bCs/>
          <w:kern w:val="0"/>
          <w:sz w:val="32"/>
          <w:szCs w:val="32"/>
          <w:lang w:val="en-US" w:eastAsia="zh-CN"/>
        </w:rPr>
        <w:t>协力疫情防控作用得到彰显。</w:t>
      </w:r>
      <w:r>
        <w:rPr>
          <w:rFonts w:hint="default" w:ascii="Times New Roman" w:hAnsi="Times New Roman" w:eastAsia="仿宋_GB2312" w:cs="Times New Roman"/>
          <w:b w:val="0"/>
          <w:bCs w:val="0"/>
          <w:kern w:val="0"/>
          <w:sz w:val="32"/>
          <w:szCs w:val="32"/>
          <w:lang w:val="en-US" w:eastAsia="zh-CN"/>
        </w:rPr>
        <w:t>新冠肺炎疫情发生以来，全州各级工会迅速行动，在党政统一领导下，采取一系列务实有效的措施，全力助推疫情防控。向全州各级干部职工发送宣传短信5000余条，发出各类宣传海报、倡议书、防疫抗疫相关信息100余条，组织动员全州职工积极参与疫情防控工作。走访慰问全州医疗、公路、公安系统等抗疫一线职工，发放慰问专项资金59万余元、爱心奶粉1932罐。做好疫情期间困难职工帮扶救助，发放各类专项帮扶资金、生活补贴39.8万元，共帮助困难职工195人次。下拨14个州属企业抗击疫情专项资金20万元，专项用于复工复产企业疫情防控保障和慰问等工作。</w:t>
      </w:r>
    </w:p>
    <w:p w14:paraId="0FC7C099">
      <w:pPr>
        <w:pStyle w:val="20"/>
        <w:keepNext w:val="0"/>
        <w:keepLines w:val="0"/>
        <w:pageBreakBefore w:val="0"/>
        <w:widowControl w:val="0"/>
        <w:pBdr>
          <w:bottom w:val="none" w:color="auto" w:sz="0" w:space="0"/>
        </w:pBdr>
        <w:kinsoku/>
        <w:wordWrap/>
        <w:overflowPunct/>
        <w:topLinePunct w:val="0"/>
        <w:autoSpaceDE/>
        <w:autoSpaceDN/>
        <w:bidi w:val="0"/>
        <w:adjustRightInd w:val="0"/>
        <w:snapToGrid/>
        <w:spacing w:line="576" w:lineRule="exact"/>
        <w:ind w:firstLine="643" w:firstLineChars="200"/>
        <w:textAlignment w:val="baseline"/>
        <w:rPr>
          <w:rFonts w:hint="default" w:ascii="Times New Roman" w:hAnsi="Times New Roman" w:eastAsia="仿宋_GB2312" w:cs="Times New Roman"/>
          <w:b w:val="0"/>
          <w:bCs w:val="0"/>
          <w:kern w:val="0"/>
          <w:sz w:val="32"/>
          <w:szCs w:val="32"/>
          <w:lang w:val="en-US" w:eastAsia="zh-CN"/>
        </w:rPr>
      </w:pPr>
      <w:r>
        <w:rPr>
          <w:rFonts w:hint="eastAsia" w:ascii="方正楷体_GBK" w:hAnsi="方正楷体_GBK" w:eastAsia="方正楷体_GBK" w:cs="方正楷体_GBK"/>
          <w:b/>
          <w:bCs/>
          <w:kern w:val="0"/>
          <w:sz w:val="32"/>
          <w:szCs w:val="32"/>
          <w:lang w:val="en-US" w:eastAsia="zh-CN"/>
        </w:rPr>
        <w:t>（三）</w:t>
      </w:r>
      <w:r>
        <w:rPr>
          <w:rFonts w:hint="default" w:ascii="方正楷体_GBK" w:hAnsi="方正楷体_GBK" w:eastAsia="方正楷体_GBK" w:cs="方正楷体_GBK"/>
          <w:b/>
          <w:bCs/>
          <w:kern w:val="0"/>
          <w:sz w:val="32"/>
          <w:szCs w:val="32"/>
          <w:lang w:val="en-US" w:eastAsia="zh-CN"/>
        </w:rPr>
        <w:t>主力军作用有效发挥。</w:t>
      </w:r>
      <w:r>
        <w:rPr>
          <w:rFonts w:hint="default" w:ascii="Times New Roman" w:hAnsi="Times New Roman" w:eastAsia="仿宋_GB2312" w:cs="Times New Roman"/>
          <w:b w:val="0"/>
          <w:bCs w:val="0"/>
          <w:kern w:val="0"/>
          <w:sz w:val="32"/>
          <w:szCs w:val="32"/>
          <w:lang w:val="en-US" w:eastAsia="zh-CN"/>
        </w:rPr>
        <w:t>广泛开展“改革创新当先锋 提质增效保增长”职工技术创新成果和优秀合理化建议征集活动，收集技术创新成果1个、优秀合理化建议4条。实施职工素质提升工程，在全州金融、林业等行业（系统）举办岗位练兵和技能比赛活动，参与职工1000余人（次）。健全完善劳模评选推荐、事迹宣传和关爱激励机制，推荐上报全州2家单位和19名个人为全国、省劳模及省五一巾帼标兵（岗）、新冠肺炎疫情防控一线先进个人（集体）。</w:t>
      </w:r>
    </w:p>
    <w:p w14:paraId="05EFFAA5">
      <w:pPr>
        <w:pStyle w:val="20"/>
        <w:keepNext w:val="0"/>
        <w:keepLines w:val="0"/>
        <w:pageBreakBefore w:val="0"/>
        <w:widowControl w:val="0"/>
        <w:pBdr>
          <w:bottom w:val="none" w:color="auto" w:sz="0" w:space="0"/>
        </w:pBdr>
        <w:kinsoku/>
        <w:wordWrap/>
        <w:overflowPunct/>
        <w:topLinePunct w:val="0"/>
        <w:autoSpaceDE/>
        <w:autoSpaceDN/>
        <w:bidi w:val="0"/>
        <w:adjustRightInd w:val="0"/>
        <w:snapToGrid/>
        <w:spacing w:line="576" w:lineRule="exact"/>
        <w:ind w:firstLine="643" w:firstLineChars="200"/>
        <w:textAlignment w:val="baseline"/>
        <w:rPr>
          <w:rFonts w:hint="default" w:ascii="Times New Roman" w:hAnsi="Times New Roman" w:eastAsia="仿宋_GB2312" w:cs="Times New Roman"/>
          <w:b w:val="0"/>
          <w:bCs w:val="0"/>
          <w:kern w:val="0"/>
          <w:sz w:val="32"/>
          <w:szCs w:val="32"/>
          <w:lang w:val="en-US" w:eastAsia="zh-CN"/>
        </w:rPr>
      </w:pPr>
      <w:r>
        <w:rPr>
          <w:rFonts w:hint="eastAsia" w:ascii="方正楷体_GBK" w:hAnsi="方正楷体_GBK" w:eastAsia="方正楷体_GBK" w:cs="方正楷体_GBK"/>
          <w:b/>
          <w:bCs/>
          <w:kern w:val="0"/>
          <w:sz w:val="32"/>
          <w:szCs w:val="32"/>
          <w:lang w:val="en-US" w:eastAsia="zh-CN"/>
        </w:rPr>
        <w:t>（四）</w:t>
      </w:r>
      <w:r>
        <w:rPr>
          <w:rFonts w:hint="default" w:ascii="方正楷体_GBK" w:hAnsi="方正楷体_GBK" w:eastAsia="方正楷体_GBK" w:cs="方正楷体_GBK"/>
          <w:b/>
          <w:bCs/>
          <w:kern w:val="0"/>
          <w:sz w:val="32"/>
          <w:szCs w:val="32"/>
          <w:lang w:val="en-US" w:eastAsia="zh-CN"/>
        </w:rPr>
        <w:t>职工合法权益得到维护。</w:t>
      </w:r>
      <w:r>
        <w:rPr>
          <w:rFonts w:hint="default" w:ascii="Times New Roman" w:hAnsi="Times New Roman" w:eastAsia="仿宋_GB2312" w:cs="Times New Roman"/>
          <w:b w:val="0"/>
          <w:bCs w:val="0"/>
          <w:kern w:val="0"/>
          <w:sz w:val="32"/>
          <w:szCs w:val="32"/>
          <w:lang w:val="en-US" w:eastAsia="zh-CN"/>
        </w:rPr>
        <w:t>健全完善职工信访工作机制，积极办理职工维权案件，畅通职工（农民工）诉求渠道。聚焦5个重点问题和8个重点，开展职工队伍稳定风险专项排查化解工作，确保全州职工队伍稳定。深入开展“女职工维权行动月”活动，共举办各类宣传活动100余场（次），发放宣传材料20000余份，咨询解答5000余人次。积极开展工资集体协商“集中要约行动月”活动，共发出要约并回应企业数291户，发放集体协商政策宣传册、倡议书1900余份，制作推送微信推文、小视屏4条，开展劳动关系双方集体协商代表履职培训21人次。</w:t>
      </w:r>
    </w:p>
    <w:p w14:paraId="582D1A21">
      <w:pPr>
        <w:pStyle w:val="20"/>
        <w:keepNext w:val="0"/>
        <w:keepLines w:val="0"/>
        <w:pageBreakBefore w:val="0"/>
        <w:widowControl w:val="0"/>
        <w:pBdr>
          <w:bottom w:val="none" w:color="auto" w:sz="0" w:space="0"/>
        </w:pBdr>
        <w:kinsoku/>
        <w:wordWrap/>
        <w:overflowPunct/>
        <w:topLinePunct w:val="0"/>
        <w:autoSpaceDE/>
        <w:autoSpaceDN/>
        <w:bidi w:val="0"/>
        <w:adjustRightInd w:val="0"/>
        <w:snapToGrid/>
        <w:spacing w:beforeAutospacing="0" w:line="576" w:lineRule="exact"/>
        <w:ind w:firstLine="643" w:firstLineChars="200"/>
        <w:textAlignment w:val="baseline"/>
        <w:rPr>
          <w:rFonts w:hint="default" w:ascii="Times New Roman" w:hAnsi="Times New Roman" w:eastAsia="仿宋_GB2312" w:cs="Times New Roman"/>
          <w:b w:val="0"/>
          <w:bCs w:val="0"/>
          <w:color w:val="000000"/>
          <w:kern w:val="0"/>
          <w:sz w:val="32"/>
          <w:szCs w:val="32"/>
          <w:lang w:val="en-US" w:eastAsia="zh-CN"/>
        </w:rPr>
      </w:pPr>
      <w:r>
        <w:rPr>
          <w:rFonts w:hint="eastAsia" w:ascii="方正楷体_GBK" w:hAnsi="方正楷体_GBK" w:eastAsia="方正楷体_GBK" w:cs="方正楷体_GBK"/>
          <w:b/>
          <w:bCs/>
          <w:kern w:val="0"/>
          <w:sz w:val="32"/>
          <w:szCs w:val="32"/>
          <w:lang w:val="en-US" w:eastAsia="zh-CN"/>
        </w:rPr>
        <w:t>（五）</w:t>
      </w:r>
      <w:r>
        <w:rPr>
          <w:rFonts w:hint="default" w:ascii="方正楷体_GBK" w:hAnsi="方正楷体_GBK" w:eastAsia="方正楷体_GBK" w:cs="方正楷体_GBK"/>
          <w:b/>
          <w:bCs/>
          <w:kern w:val="0"/>
          <w:sz w:val="32"/>
          <w:szCs w:val="32"/>
          <w:lang w:val="en-US" w:eastAsia="zh-CN"/>
        </w:rPr>
        <w:t>工会帮扶工作深入推进。</w:t>
      </w:r>
      <w:r>
        <w:rPr>
          <w:rFonts w:hint="default" w:ascii="Times New Roman" w:hAnsi="Times New Roman" w:eastAsia="仿宋_GB2312" w:cs="Times New Roman"/>
          <w:b w:val="0"/>
          <w:bCs w:val="0"/>
          <w:kern w:val="0"/>
          <w:sz w:val="32"/>
          <w:szCs w:val="32"/>
          <w:lang w:val="en-US" w:eastAsia="zh-CN"/>
        </w:rPr>
        <w:t>大力推进深度困难职工、困难职工帮扶救助和职工普遍送温暖的层级梯度帮扶服务工作，共筹集使用帮扶资金273万余元，帮扶困难职工家庭1920户（次）。深入开展“四季送”活动，为165人提供就业，适时适地开发应急性公益岗位1510个、安置1340人；筹集和发放防暑降温物品133万余元，走访慰问职工10712人（次）；筹集金秋助学资金45万余元，资助315名困难职工（农民工）子女上学；筹集送温暖资金192余万元，走访慰问困难职工（农民工）及劳模2884人。深入开展“阿坝州特困职工深度帮扶行动”，对全州</w:t>
      </w:r>
      <w:r>
        <w:rPr>
          <w:rFonts w:hint="eastAsia" w:ascii="Times New Roman" w:hAnsi="Times New Roman" w:eastAsia="仿宋_GB2312" w:cs="Times New Roman"/>
          <w:b w:val="0"/>
          <w:bCs w:val="0"/>
          <w:kern w:val="0"/>
          <w:sz w:val="32"/>
          <w:szCs w:val="32"/>
          <w:lang w:val="en-US" w:eastAsia="zh-CN"/>
        </w:rPr>
        <w:t>64</w:t>
      </w:r>
      <w:r>
        <w:rPr>
          <w:rFonts w:hint="default" w:ascii="Times New Roman" w:hAnsi="Times New Roman" w:eastAsia="仿宋_GB2312" w:cs="Times New Roman"/>
          <w:b w:val="0"/>
          <w:bCs w:val="0"/>
          <w:kern w:val="0"/>
          <w:sz w:val="32"/>
          <w:szCs w:val="32"/>
          <w:lang w:val="en-US" w:eastAsia="zh-CN"/>
        </w:rPr>
        <w:t>名特困职工进行深度帮扶。联合省基金会、创维集团开展“创维公益万里行、积善帮困暖人心”活动，为全州困难职工(农民工)捐赠价值40余万元爱心物资及价值800万元的“专项补贴卡”。扎实推进全州工会户外劳动者服务站点建设工作，目前全州工会户外劳动者服务站点7个，投入资金12.5万，服务农民工1180人。联合阿坝州邮政分公司、邮储银行阿坝州分行开展工会会员普惠性服务“超市满减、9元系列、加油满减”活动，</w:t>
      </w:r>
      <w:r>
        <w:rPr>
          <w:rFonts w:hint="default" w:ascii="Times New Roman" w:hAnsi="Times New Roman" w:eastAsia="仿宋_GB2312" w:cs="Times New Roman"/>
          <w:b w:val="0"/>
          <w:bCs w:val="0"/>
          <w:color w:val="000000"/>
          <w:kern w:val="0"/>
          <w:sz w:val="32"/>
          <w:szCs w:val="32"/>
          <w:lang w:val="en-US" w:eastAsia="zh-CN"/>
        </w:rPr>
        <w:t>投入普惠性服务项目专项资金88万元。扎实做好脱贫攻坚定点帮扶工作，牵头完成小金县2020年脱贫攻坚全覆盖督导工作。</w:t>
      </w:r>
    </w:p>
    <w:p w14:paraId="1252B4C6">
      <w:pPr>
        <w:pStyle w:val="15"/>
        <w:keepNext w:val="0"/>
        <w:keepLines w:val="0"/>
        <w:pageBreakBefore w:val="0"/>
        <w:widowControl w:val="0"/>
        <w:kinsoku/>
        <w:wordWrap/>
        <w:overflowPunct/>
        <w:topLinePunct w:val="0"/>
        <w:autoSpaceDE/>
        <w:autoSpaceDN/>
        <w:bidi w:val="0"/>
        <w:snapToGrid/>
        <w:spacing w:before="0" w:beforeAutospacing="0" w:line="576" w:lineRule="exact"/>
        <w:rPr>
          <w:rFonts w:hint="eastAsia" w:ascii="仿宋_GB2312" w:hAnsi="仿宋_GB2312" w:eastAsia="仿宋_GB2312" w:cs="仿宋_GB2312"/>
          <w:lang w:val="en-US" w:eastAsia="zh-CN"/>
        </w:rPr>
      </w:pPr>
      <w:r>
        <w:rPr>
          <w:rFonts w:hint="eastAsia" w:ascii="方正楷体_GBK" w:hAnsi="方正楷体_GBK" w:eastAsia="方正楷体_GBK" w:cs="方正楷体_GBK"/>
          <w:b/>
          <w:bCs/>
          <w:kern w:val="0"/>
          <w:sz w:val="32"/>
          <w:szCs w:val="32"/>
          <w:lang w:val="en-US" w:eastAsia="zh-CN"/>
        </w:rPr>
        <w:t>（六）</w:t>
      </w:r>
      <w:r>
        <w:rPr>
          <w:rFonts w:hint="default" w:ascii="方正楷体_GBK" w:hAnsi="方正楷体_GBK" w:eastAsia="方正楷体_GBK" w:cs="方正楷体_GBK"/>
          <w:b/>
          <w:bCs/>
          <w:kern w:val="0"/>
          <w:sz w:val="32"/>
          <w:szCs w:val="32"/>
          <w:lang w:val="en-US" w:eastAsia="zh-CN"/>
        </w:rPr>
        <w:t>工会组织建设扎实推进。</w:t>
      </w:r>
      <w:r>
        <w:rPr>
          <w:rFonts w:hint="default" w:ascii="Times New Roman" w:hAnsi="Times New Roman" w:eastAsia="仿宋_GB2312" w:cs="Times New Roman"/>
          <w:b w:val="0"/>
          <w:bCs w:val="0"/>
          <w:kern w:val="0"/>
          <w:sz w:val="32"/>
          <w:szCs w:val="32"/>
          <w:lang w:val="en-US" w:eastAsia="zh-CN"/>
        </w:rPr>
        <w:t>按照工会换届相关工作程序，阿坝州总工会第九届委员会和第九届经费审查委员会换届前期各项工作正在紧张有序地推进。继续加强职工之家建设力度，全年下拨专项资金275万元，建设了17个乡镇职工之家、4个“雪域高原职工之家”、4个基层工会职工之家、1个省级职工之家阵地，并对13个已建乡镇职工之家、1个“雪域高原职工之家”进行了提升改造。完成百人以下、25人以上企业建会摸排工作，目前，全州建会企业128家，建会率达91.43%。</w:t>
      </w:r>
      <w:r>
        <w:rPr>
          <w:rFonts w:hint="eastAsia" w:ascii="仿宋_GB2312" w:hAnsi="仿宋_GB2312" w:eastAsia="仿宋_GB2312" w:cs="仿宋_GB2312"/>
          <w:b w:val="0"/>
          <w:bCs w:val="0"/>
          <w:kern w:val="0"/>
          <w:sz w:val="32"/>
          <w:szCs w:val="32"/>
          <w:lang w:val="en-US" w:eastAsia="zh-CN"/>
        </w:rPr>
        <w:t>为</w:t>
      </w:r>
      <w:r>
        <w:rPr>
          <w:rFonts w:hint="eastAsia" w:ascii="仿宋_GB2312" w:hAnsi="仿宋_GB2312" w:eastAsia="仿宋_GB2312" w:cs="仿宋_GB2312"/>
          <w:b w:val="0"/>
          <w:bCs w:val="0"/>
          <w:sz w:val="32"/>
          <w:szCs w:val="32"/>
          <w:lang w:val="en-US" w:eastAsia="zh-CN"/>
        </w:rPr>
        <w:t>迎接州委第九轮巡察，州总工会党组及时成立专项领导小组，</w:t>
      </w:r>
      <w:r>
        <w:rPr>
          <w:rFonts w:hint="eastAsia" w:ascii="仿宋_GB2312" w:hAnsi="仿宋_GB2312" w:eastAsia="仿宋_GB2312" w:cs="仿宋_GB2312"/>
          <w:sz w:val="32"/>
          <w:szCs w:val="32"/>
        </w:rPr>
        <w:t>组织专门力量，落实专人，进行了认真自查</w:t>
      </w:r>
      <w:r>
        <w:rPr>
          <w:rFonts w:hint="eastAsia" w:ascii="仿宋_GB2312" w:hAnsi="仿宋_GB2312" w:eastAsia="仿宋_GB2312" w:cs="仿宋_GB2312"/>
          <w:sz w:val="32"/>
          <w:szCs w:val="32"/>
          <w:lang w:eastAsia="zh-CN"/>
        </w:rPr>
        <w:t>。</w:t>
      </w:r>
    </w:p>
    <w:p w14:paraId="16F9793B">
      <w:pPr>
        <w:pStyle w:val="20"/>
        <w:keepNext w:val="0"/>
        <w:keepLines w:val="0"/>
        <w:pageBreakBefore w:val="0"/>
        <w:widowControl w:val="0"/>
        <w:pBdr>
          <w:bottom w:val="none" w:color="auto" w:sz="0" w:space="0"/>
        </w:pBdr>
        <w:kinsoku/>
        <w:wordWrap/>
        <w:overflowPunct/>
        <w:topLinePunct w:val="0"/>
        <w:autoSpaceDE/>
        <w:autoSpaceDN/>
        <w:bidi w:val="0"/>
        <w:adjustRightInd w:val="0"/>
        <w:snapToGrid/>
        <w:spacing w:line="576" w:lineRule="exact"/>
        <w:ind w:firstLine="643" w:firstLineChars="200"/>
        <w:textAlignment w:val="baseline"/>
        <w:rPr>
          <w:rFonts w:hint="default" w:ascii="Times New Roman" w:hAnsi="Times New Roman" w:eastAsia="仿宋_GB2312" w:cs="Times New Roman"/>
          <w:b w:val="0"/>
          <w:bCs w:val="0"/>
          <w:kern w:val="0"/>
          <w:sz w:val="32"/>
          <w:szCs w:val="32"/>
          <w:lang w:val="en-US" w:eastAsia="zh-CN"/>
        </w:rPr>
      </w:pPr>
      <w:r>
        <w:rPr>
          <w:rFonts w:hint="eastAsia" w:ascii="方正楷体_GBK" w:hAnsi="方正楷体_GBK" w:eastAsia="方正楷体_GBK" w:cs="方正楷体_GBK"/>
          <w:b/>
          <w:bCs/>
          <w:kern w:val="0"/>
          <w:sz w:val="32"/>
          <w:szCs w:val="32"/>
          <w:lang w:val="en-US" w:eastAsia="zh-CN"/>
        </w:rPr>
        <w:t>（七）</w:t>
      </w:r>
      <w:r>
        <w:rPr>
          <w:rFonts w:hint="default" w:ascii="方正楷体_GBK" w:hAnsi="方正楷体_GBK" w:eastAsia="方正楷体_GBK" w:cs="方正楷体_GBK"/>
          <w:b/>
          <w:bCs/>
          <w:kern w:val="0"/>
          <w:sz w:val="32"/>
          <w:szCs w:val="32"/>
          <w:lang w:val="en-US" w:eastAsia="zh-CN"/>
        </w:rPr>
        <w:t>工会经费向基层倾斜力度不断加大。</w:t>
      </w:r>
      <w:r>
        <w:rPr>
          <w:rFonts w:hint="default" w:ascii="Times New Roman" w:hAnsi="Times New Roman" w:eastAsia="仿宋_GB2312" w:cs="Times New Roman"/>
          <w:b w:val="0"/>
          <w:bCs w:val="0"/>
          <w:kern w:val="0"/>
          <w:sz w:val="32"/>
          <w:szCs w:val="32"/>
          <w:lang w:val="en-US" w:eastAsia="zh-CN"/>
        </w:rPr>
        <w:t>进一步抓好工会经费的“收、管、用”，积极做好财政划拨和地税代征工会经费工作，工会经费收入稳定增长；积极与税务部门沟通协调，截至目前，对115户小微企业工会返还工会经费333.49万元,帮助小微企业渡过难关；坚持基层工会经费分成比例不低于60%；安排乡镇职工之家提升建设资金100万元，配套全州乡镇（街道）、开发区（产业园区）和社区工会工会经费40万元，补助职工活动阵地建设资金100万元，加大工会经费向基层倾斜力度。</w:t>
      </w:r>
      <w:bookmarkStart w:id="20" w:name="_Toc15396601"/>
      <w:bookmarkStart w:id="21" w:name="_Toc15377200"/>
    </w:p>
    <w:p w14:paraId="736A511A">
      <w:pPr>
        <w:pStyle w:val="20"/>
        <w:keepNext w:val="0"/>
        <w:keepLines w:val="0"/>
        <w:pageBreakBefore w:val="0"/>
        <w:widowControl w:val="0"/>
        <w:pBdr>
          <w:bottom w:val="none" w:color="auto" w:sz="0" w:space="0"/>
        </w:pBdr>
        <w:kinsoku/>
        <w:wordWrap/>
        <w:overflowPunct/>
        <w:topLinePunct w:val="0"/>
        <w:autoSpaceDE/>
        <w:autoSpaceDN/>
        <w:bidi w:val="0"/>
        <w:adjustRightInd w:val="0"/>
        <w:snapToGrid/>
        <w:spacing w:line="576" w:lineRule="exact"/>
        <w:ind w:firstLine="640" w:firstLineChars="200"/>
        <w:textAlignment w:val="baseline"/>
        <w:rPr>
          <w:rStyle w:val="30"/>
          <w:b w:val="0"/>
          <w:bCs w:val="0"/>
          <w:sz w:val="32"/>
          <w:szCs w:val="32"/>
        </w:rPr>
      </w:pPr>
      <w:r>
        <w:rPr>
          <w:rFonts w:hint="eastAsia" w:ascii="黑体" w:eastAsia="黑体"/>
          <w:b w:val="0"/>
          <w:color w:val="000000"/>
          <w:sz w:val="32"/>
          <w:szCs w:val="32"/>
        </w:rPr>
        <w:t>二、</w:t>
      </w:r>
      <w:r>
        <w:rPr>
          <w:rFonts w:hint="eastAsia" w:ascii="黑体" w:hAnsi="黑体" w:eastAsia="黑体"/>
          <w:b w:val="0"/>
          <w:color w:val="000000"/>
          <w:sz w:val="32"/>
          <w:szCs w:val="32"/>
        </w:rPr>
        <w:t>机</w:t>
      </w:r>
      <w:r>
        <w:rPr>
          <w:rStyle w:val="30"/>
          <w:rFonts w:hint="eastAsia" w:ascii="黑体" w:hAnsi="黑体" w:eastAsia="黑体"/>
          <w:b w:val="0"/>
          <w:bCs w:val="0"/>
          <w:sz w:val="32"/>
          <w:szCs w:val="32"/>
        </w:rPr>
        <w:t>构设置</w:t>
      </w:r>
      <w:bookmarkEnd w:id="20"/>
      <w:bookmarkEnd w:id="21"/>
    </w:p>
    <w:p w14:paraId="0E5CB12E">
      <w:pPr>
        <w:pStyle w:val="6"/>
        <w:adjustRightInd w:val="0"/>
        <w:snapToGrid w:val="0"/>
        <w:spacing w:before="93" w:line="600" w:lineRule="exact"/>
        <w:ind w:firstLine="640" w:firstLineChars="200"/>
        <w:rPr>
          <w:rFonts w:hint="eastAsia" w:eastAsia="仿宋_GB2312"/>
          <w:color w:val="000000"/>
          <w:sz w:val="32"/>
          <w:szCs w:val="32"/>
          <w:lang w:val="en-US" w:eastAsia="zh-CN"/>
        </w:rPr>
      </w:pPr>
      <w:bookmarkStart w:id="22" w:name="_Toc15396602"/>
      <w:bookmarkStart w:id="23" w:name="_Toc15377204"/>
      <w:r>
        <w:rPr>
          <w:color w:val="000000"/>
          <w:sz w:val="32"/>
          <w:szCs w:val="32"/>
        </w:rPr>
        <w:t>本部门下属</w:t>
      </w:r>
      <w:r>
        <w:rPr>
          <w:rFonts w:hint="eastAsia"/>
          <w:color w:val="000000"/>
          <w:sz w:val="32"/>
          <w:szCs w:val="32"/>
        </w:rPr>
        <w:t>无</w:t>
      </w:r>
      <w:r>
        <w:rPr>
          <w:color w:val="000000"/>
          <w:sz w:val="32"/>
          <w:szCs w:val="32"/>
        </w:rPr>
        <w:t>二级预算</w:t>
      </w:r>
      <w:r>
        <w:rPr>
          <w:rFonts w:hint="eastAsia"/>
          <w:color w:val="000000"/>
          <w:sz w:val="32"/>
          <w:szCs w:val="32"/>
        </w:rPr>
        <w:t>单位</w:t>
      </w:r>
      <w:r>
        <w:rPr>
          <w:color w:val="000000"/>
          <w:sz w:val="32"/>
          <w:szCs w:val="32"/>
        </w:rPr>
        <w:t xml:space="preserve"> </w:t>
      </w:r>
      <w:r>
        <w:rPr>
          <w:rFonts w:hint="eastAsia"/>
          <w:color w:val="000000"/>
          <w:sz w:val="32"/>
          <w:szCs w:val="32"/>
        </w:rPr>
        <w:t>，其中内设机构7个</w:t>
      </w:r>
      <w:r>
        <w:rPr>
          <w:rFonts w:hint="eastAsia"/>
          <w:color w:val="000000"/>
          <w:sz w:val="32"/>
          <w:szCs w:val="32"/>
          <w:lang w:val="en-US" w:eastAsia="zh-CN"/>
        </w:rPr>
        <w:t>。</w:t>
      </w:r>
    </w:p>
    <w:p w14:paraId="25205D48">
      <w:pPr>
        <w:pStyle w:val="3"/>
        <w:ind w:right="440"/>
        <w:jc w:val="right"/>
        <w:rPr>
          <w:rFonts w:ascii="黑体" w:hAnsi="黑体" w:eastAsia="黑体"/>
          <w:b w:val="0"/>
          <w:bCs w:val="0"/>
        </w:rPr>
      </w:pPr>
      <w:r>
        <w:rPr>
          <w:rFonts w:hint="eastAsia" w:ascii="黑体" w:hAnsi="黑体" w:eastAsia="黑体"/>
          <w:b w:val="0"/>
        </w:rPr>
        <w:t>第二部分</w:t>
      </w:r>
      <w:r>
        <w:rPr>
          <w:rFonts w:hint="eastAsia" w:ascii="黑体" w:hAnsi="黑体" w:eastAsia="黑体"/>
        </w:rPr>
        <w:t xml:space="preserve"> </w:t>
      </w:r>
      <w:r>
        <w:rPr>
          <w:rStyle w:val="29"/>
          <w:rFonts w:hint="eastAsia" w:ascii="黑体" w:hAnsi="黑体" w:eastAsia="黑体"/>
          <w:b w:val="0"/>
          <w:bCs w:val="0"/>
        </w:rPr>
        <w:t>2020年度部门决算情况说明</w:t>
      </w:r>
      <w:bookmarkEnd w:id="22"/>
      <w:bookmarkEnd w:id="23"/>
    </w:p>
    <w:p w14:paraId="6F42BF1E">
      <w:pPr>
        <w:pStyle w:val="28"/>
        <w:numPr>
          <w:ilvl w:val="0"/>
          <w:numId w:val="1"/>
        </w:numPr>
        <w:spacing w:line="600" w:lineRule="exact"/>
        <w:ind w:firstLineChars="0"/>
        <w:outlineLvl w:val="1"/>
        <w:rPr>
          <w:rStyle w:val="30"/>
          <w:rFonts w:ascii="黑体" w:hAnsi="黑体" w:eastAsia="黑体"/>
          <w:b w:val="0"/>
        </w:rPr>
      </w:pPr>
      <w:bookmarkStart w:id="24" w:name="_Toc15396603"/>
      <w:bookmarkStart w:id="25" w:name="_Toc15377205"/>
      <w:r>
        <w:rPr>
          <w:rFonts w:hint="eastAsia" w:ascii="黑体" w:hAnsi="黑体" w:eastAsia="黑体"/>
          <w:color w:val="000000"/>
          <w:sz w:val="32"/>
          <w:szCs w:val="32"/>
        </w:rPr>
        <w:t>收</w:t>
      </w:r>
      <w:r>
        <w:rPr>
          <w:rStyle w:val="30"/>
          <w:rFonts w:hint="eastAsia" w:ascii="黑体" w:hAnsi="黑体" w:eastAsia="黑体"/>
          <w:b w:val="0"/>
        </w:rPr>
        <w:t>入支出决算总体情况说明</w:t>
      </w:r>
      <w:bookmarkEnd w:id="24"/>
      <w:bookmarkEnd w:id="25"/>
    </w:p>
    <w:p w14:paraId="06C27E73">
      <w:pPr>
        <w:spacing w:line="600" w:lineRule="exact"/>
        <w:ind w:firstLine="640" w:firstLineChars="200"/>
        <w:rPr>
          <w:rFonts w:hint="eastAsia" w:ascii="仿宋" w:hAnsi="仿宋" w:eastAsia="仿宋"/>
          <w:color w:val="00B050"/>
          <w:sz w:val="32"/>
          <w:szCs w:val="32"/>
        </w:rPr>
      </w:pPr>
      <w:r>
        <w:rPr>
          <w:rFonts w:hint="eastAsia" w:ascii="仿宋" w:hAnsi="仿宋" w:eastAsia="仿宋"/>
          <w:color w:val="auto"/>
          <w:sz w:val="32"/>
          <w:szCs w:val="32"/>
        </w:rPr>
        <w:t>2020年度收入决算</w:t>
      </w:r>
      <w:r>
        <w:rPr>
          <w:rFonts w:hint="eastAsia" w:ascii="仿宋" w:hAnsi="仿宋" w:eastAsia="仿宋"/>
          <w:color w:val="auto"/>
          <w:sz w:val="32"/>
          <w:szCs w:val="32"/>
          <w:lang w:eastAsia="zh-CN"/>
        </w:rPr>
        <w:t>总</w:t>
      </w:r>
      <w:r>
        <w:rPr>
          <w:rFonts w:hint="eastAsia" w:ascii="仿宋" w:hAnsi="仿宋" w:eastAsia="仿宋"/>
          <w:color w:val="auto"/>
          <w:sz w:val="32"/>
          <w:szCs w:val="32"/>
        </w:rPr>
        <w:t>计</w:t>
      </w:r>
      <w:r>
        <w:rPr>
          <w:rFonts w:hint="eastAsia" w:ascii="仿宋" w:hAnsi="仿宋" w:eastAsia="仿宋"/>
          <w:color w:val="auto"/>
          <w:sz w:val="32"/>
          <w:szCs w:val="32"/>
          <w:lang w:val="en-US" w:eastAsia="zh-CN"/>
        </w:rPr>
        <w:t>2378.33</w:t>
      </w:r>
      <w:r>
        <w:rPr>
          <w:rFonts w:hint="eastAsia" w:ascii="仿宋" w:hAnsi="仿宋" w:eastAsia="仿宋"/>
          <w:color w:val="auto"/>
          <w:sz w:val="32"/>
          <w:szCs w:val="32"/>
        </w:rPr>
        <w:t>万元</w:t>
      </w:r>
      <w:r>
        <w:rPr>
          <w:rFonts w:hint="eastAsia" w:ascii="仿宋" w:hAnsi="仿宋" w:eastAsia="仿宋"/>
          <w:color w:val="auto"/>
          <w:sz w:val="32"/>
          <w:szCs w:val="32"/>
          <w:lang w:eastAsia="zh-CN"/>
        </w:rPr>
        <w:t>（包括本年收入合计</w:t>
      </w:r>
      <w:r>
        <w:rPr>
          <w:rFonts w:hint="eastAsia" w:ascii="仿宋" w:hAnsi="仿宋" w:eastAsia="仿宋"/>
          <w:color w:val="auto"/>
          <w:sz w:val="32"/>
          <w:szCs w:val="32"/>
          <w:lang w:val="en-US" w:eastAsia="zh-CN"/>
        </w:rPr>
        <w:t>2305.04万元，年初结转和结余73.29万元）</w:t>
      </w:r>
      <w:r>
        <w:rPr>
          <w:rFonts w:hint="eastAsia" w:ascii="仿宋" w:hAnsi="仿宋" w:eastAsia="仿宋"/>
          <w:color w:val="auto"/>
          <w:sz w:val="32"/>
          <w:szCs w:val="32"/>
        </w:rPr>
        <w:t>、支出决算总计2378.33万元。与2019年相比，收入决算增加</w:t>
      </w:r>
      <w:r>
        <w:rPr>
          <w:rFonts w:hint="eastAsia" w:ascii="仿宋" w:hAnsi="仿宋" w:eastAsia="仿宋"/>
          <w:color w:val="auto"/>
          <w:sz w:val="32"/>
          <w:szCs w:val="32"/>
          <w:lang w:val="en-US" w:eastAsia="zh-CN"/>
        </w:rPr>
        <w:t>217.21</w:t>
      </w:r>
      <w:r>
        <w:rPr>
          <w:rFonts w:hint="eastAsia" w:ascii="仿宋" w:hAnsi="仿宋" w:eastAsia="仿宋"/>
          <w:color w:val="auto"/>
          <w:sz w:val="32"/>
          <w:szCs w:val="32"/>
        </w:rPr>
        <w:t>万元，增长10</w:t>
      </w:r>
      <w:r>
        <w:rPr>
          <w:rFonts w:ascii="仿宋" w:hAnsi="仿宋" w:eastAsia="仿宋"/>
          <w:color w:val="auto"/>
          <w:sz w:val="32"/>
          <w:szCs w:val="32"/>
        </w:rPr>
        <w:t>%</w:t>
      </w:r>
      <w:r>
        <w:rPr>
          <w:rFonts w:hint="eastAsia" w:ascii="仿宋" w:hAnsi="仿宋" w:eastAsia="仿宋"/>
          <w:color w:val="auto"/>
          <w:sz w:val="32"/>
          <w:szCs w:val="32"/>
        </w:rPr>
        <w:t>、支出决算增加217.2</w:t>
      </w:r>
      <w:r>
        <w:rPr>
          <w:rFonts w:hint="eastAsia" w:ascii="仿宋" w:hAnsi="仿宋" w:eastAsia="仿宋"/>
          <w:color w:val="auto"/>
          <w:sz w:val="32"/>
          <w:szCs w:val="32"/>
          <w:lang w:val="en-US" w:eastAsia="zh-CN"/>
        </w:rPr>
        <w:t>1</w:t>
      </w:r>
      <w:r>
        <w:rPr>
          <w:rFonts w:hint="eastAsia" w:ascii="仿宋" w:hAnsi="仿宋" w:eastAsia="仿宋"/>
          <w:color w:val="auto"/>
          <w:sz w:val="32"/>
          <w:szCs w:val="32"/>
        </w:rPr>
        <w:t>万元，增长10%。</w:t>
      </w:r>
      <w:r>
        <w:rPr>
          <w:rFonts w:hint="eastAsia" w:ascii="仿宋" w:hAnsi="仿宋" w:eastAsia="仿宋"/>
          <w:sz w:val="32"/>
          <w:szCs w:val="32"/>
        </w:rPr>
        <w:t>主要变动原因是：财政代扣工会经费增加；人员工资调</w:t>
      </w:r>
      <w:r>
        <w:rPr>
          <w:rFonts w:hint="eastAsia" w:ascii="仿宋" w:hAnsi="仿宋" w:eastAsia="仿宋"/>
          <w:sz w:val="32"/>
          <w:szCs w:val="32"/>
          <w:lang w:eastAsia="zh-CN"/>
        </w:rPr>
        <w:t>整。</w:t>
      </w:r>
    </w:p>
    <w:p w14:paraId="2C027CE2">
      <w:pPr>
        <w:spacing w:line="600" w:lineRule="exact"/>
        <w:ind w:firstLine="640" w:firstLineChars="200"/>
        <w:outlineLvl w:val="1"/>
        <w:rPr>
          <w:rFonts w:ascii="黑体" w:hAnsi="黑体" w:eastAsia="黑体"/>
          <w:bCs/>
          <w:color w:val="000000"/>
          <w:sz w:val="32"/>
          <w:szCs w:val="32"/>
        </w:rPr>
      </w:pPr>
      <w:r>
        <w:rPr>
          <w:rFonts w:hint="eastAsia" w:ascii="黑体" w:hAnsi="黑体" w:eastAsia="黑体"/>
          <w:color w:val="000000"/>
          <w:sz w:val="32"/>
          <w:szCs w:val="32"/>
        </w:rPr>
        <w:drawing>
          <wp:anchor distT="0" distB="0" distL="114300" distR="114300" simplePos="0" relativeHeight="251660288" behindDoc="0" locked="0" layoutInCell="1" allowOverlap="1">
            <wp:simplePos x="0" y="0"/>
            <wp:positionH relativeFrom="column">
              <wp:posOffset>642620</wp:posOffset>
            </wp:positionH>
            <wp:positionV relativeFrom="paragraph">
              <wp:posOffset>41275</wp:posOffset>
            </wp:positionV>
            <wp:extent cx="3181350" cy="1266190"/>
            <wp:effectExtent l="4445" t="5080" r="14605" b="508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黑体" w:hAnsi="黑体" w:eastAsia="黑体"/>
          <w:color w:val="000000"/>
          <w:sz w:val="32"/>
          <w:szCs w:val="32"/>
        </w:rPr>
        <w:t>二、收</w:t>
      </w:r>
      <w:r>
        <w:rPr>
          <w:rFonts w:hint="eastAsia" w:ascii="黑体" w:hAnsi="黑体" w:eastAsia="黑体"/>
          <w:b/>
          <w:bCs/>
          <w:color w:val="000000"/>
          <w:sz w:val="32"/>
          <w:szCs w:val="32"/>
        </w:rPr>
        <w:t>入决算情况说明</w:t>
      </w:r>
    </w:p>
    <w:p w14:paraId="273CD6F6">
      <w:pPr>
        <w:spacing w:line="600" w:lineRule="exact"/>
        <w:ind w:firstLine="643" w:firstLineChars="200"/>
        <w:outlineLvl w:val="1"/>
        <w:rPr>
          <w:rFonts w:ascii="仿宋" w:hAnsi="仿宋" w:eastAsia="仿宋"/>
          <w:color w:val="000000"/>
          <w:sz w:val="32"/>
          <w:szCs w:val="32"/>
        </w:rPr>
      </w:pPr>
      <w:r>
        <w:rPr>
          <w:rFonts w:hint="eastAsia" w:ascii="仿宋_GB2312" w:eastAsia="仿宋_GB2312"/>
          <w:b/>
          <w:bCs/>
          <w:color w:val="000000"/>
          <w:sz w:val="32"/>
          <w:szCs w:val="32"/>
          <w:lang w:eastAsia="zh-CN"/>
        </w:rPr>
        <w:drawing>
          <wp:anchor distT="0" distB="0" distL="114300" distR="114300" simplePos="0" relativeHeight="251664384" behindDoc="0" locked="0" layoutInCell="1" allowOverlap="1">
            <wp:simplePos x="0" y="0"/>
            <wp:positionH relativeFrom="column">
              <wp:posOffset>1193165</wp:posOffset>
            </wp:positionH>
            <wp:positionV relativeFrom="paragraph">
              <wp:posOffset>2859405</wp:posOffset>
            </wp:positionV>
            <wp:extent cx="3183890" cy="1660525"/>
            <wp:effectExtent l="4445" t="4445" r="12065" b="1143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ascii="仿宋" w:hAnsi="仿宋" w:eastAsia="仿宋"/>
          <w:color w:val="auto"/>
          <w:sz w:val="32"/>
          <w:szCs w:val="32"/>
        </w:rPr>
        <w:t>20</w:t>
      </w:r>
      <w:r>
        <w:rPr>
          <w:rFonts w:hint="eastAsia" w:ascii="仿宋" w:hAnsi="仿宋" w:eastAsia="仿宋"/>
          <w:color w:val="auto"/>
          <w:sz w:val="32"/>
          <w:szCs w:val="32"/>
        </w:rPr>
        <w:t>20年</w:t>
      </w:r>
      <w:r>
        <w:rPr>
          <w:rFonts w:hint="eastAsia" w:ascii="仿宋" w:hAnsi="仿宋" w:eastAsia="仿宋"/>
          <w:color w:val="auto"/>
          <w:sz w:val="32"/>
          <w:szCs w:val="32"/>
          <w:lang w:eastAsia="zh-CN"/>
        </w:rPr>
        <w:t>财政收入</w:t>
      </w:r>
      <w:r>
        <w:rPr>
          <w:rFonts w:hint="eastAsia" w:ascii="仿宋" w:hAnsi="仿宋" w:eastAsia="仿宋"/>
          <w:color w:val="auto"/>
          <w:sz w:val="32"/>
          <w:szCs w:val="32"/>
        </w:rPr>
        <w:t>合计</w:t>
      </w:r>
      <w:r>
        <w:rPr>
          <w:rFonts w:hint="eastAsia" w:ascii="仿宋" w:hAnsi="仿宋" w:eastAsia="仿宋"/>
          <w:color w:val="auto"/>
          <w:sz w:val="32"/>
          <w:szCs w:val="32"/>
          <w:lang w:val="en-US" w:eastAsia="zh-CN"/>
        </w:rPr>
        <w:t>2378.33</w:t>
      </w:r>
      <w:r>
        <w:rPr>
          <w:rFonts w:hint="eastAsia" w:ascii="仿宋" w:hAnsi="仿宋" w:eastAsia="仿宋"/>
          <w:color w:val="auto"/>
          <w:sz w:val="32"/>
          <w:szCs w:val="32"/>
        </w:rPr>
        <w:t>万元</w:t>
      </w:r>
      <w:r>
        <w:rPr>
          <w:rFonts w:hint="eastAsia" w:ascii="仿宋" w:hAnsi="仿宋" w:eastAsia="仿宋"/>
          <w:color w:val="auto"/>
          <w:sz w:val="32"/>
          <w:szCs w:val="32"/>
          <w:lang w:eastAsia="zh-CN"/>
        </w:rPr>
        <w:t>，</w:t>
      </w:r>
      <w:r>
        <w:rPr>
          <w:rFonts w:hint="eastAsia" w:ascii="仿宋" w:hAnsi="仿宋" w:eastAsia="仿宋"/>
          <w:color w:val="auto"/>
          <w:sz w:val="32"/>
          <w:szCs w:val="32"/>
          <w:lang w:val="en-US" w:eastAsia="zh-CN"/>
        </w:rPr>
        <w:t>包含本年收入合计2305.04万元、</w:t>
      </w:r>
      <w:r>
        <w:rPr>
          <w:rFonts w:hint="eastAsia" w:ascii="仿宋" w:hAnsi="仿宋" w:eastAsia="仿宋"/>
          <w:color w:val="auto"/>
          <w:sz w:val="32"/>
          <w:szCs w:val="32"/>
          <w:lang w:eastAsia="zh-CN"/>
        </w:rPr>
        <w:t>年初结转和结余</w:t>
      </w:r>
      <w:r>
        <w:rPr>
          <w:rFonts w:hint="eastAsia" w:ascii="仿宋" w:hAnsi="仿宋" w:eastAsia="仿宋"/>
          <w:color w:val="auto"/>
          <w:sz w:val="32"/>
          <w:szCs w:val="32"/>
          <w:lang w:val="en-US" w:eastAsia="zh-CN"/>
        </w:rPr>
        <w:t>73.29万元。</w:t>
      </w:r>
      <w:r>
        <w:rPr>
          <w:rFonts w:hint="eastAsia" w:ascii="仿宋" w:hAnsi="仿宋" w:eastAsia="仿宋"/>
          <w:color w:val="auto"/>
          <w:sz w:val="32"/>
          <w:szCs w:val="32"/>
        </w:rPr>
        <w:t>其中：一般公共预算财政拨款收入2305.04万元，占</w:t>
      </w:r>
      <w:r>
        <w:rPr>
          <w:rFonts w:hint="eastAsia" w:ascii="仿宋" w:hAnsi="仿宋" w:eastAsia="仿宋"/>
          <w:color w:val="auto"/>
          <w:sz w:val="32"/>
          <w:szCs w:val="32"/>
          <w:lang w:val="en-US" w:eastAsia="zh-CN"/>
        </w:rPr>
        <w:t>97</w:t>
      </w:r>
      <w:r>
        <w:rPr>
          <w:rFonts w:ascii="仿宋" w:hAnsi="仿宋" w:eastAsia="仿宋"/>
          <w:color w:val="auto"/>
          <w:sz w:val="32"/>
          <w:szCs w:val="32"/>
        </w:rPr>
        <w:t>%</w:t>
      </w:r>
      <w:r>
        <w:rPr>
          <w:rFonts w:hint="eastAsia" w:ascii="仿宋" w:hAnsi="仿宋" w:eastAsia="仿宋"/>
          <w:color w:val="auto"/>
          <w:sz w:val="32"/>
          <w:szCs w:val="32"/>
        </w:rPr>
        <w:t>；政府性基金预算财政拨款收入0万元，占0</w:t>
      </w:r>
      <w:r>
        <w:rPr>
          <w:rFonts w:ascii="仿宋" w:hAnsi="仿宋" w:eastAsia="仿宋"/>
          <w:color w:val="auto"/>
          <w:sz w:val="32"/>
          <w:szCs w:val="32"/>
        </w:rPr>
        <w:t>%</w:t>
      </w:r>
      <w:r>
        <w:rPr>
          <w:rFonts w:hint="eastAsia" w:ascii="仿宋" w:hAnsi="仿宋" w:eastAsia="仿宋"/>
          <w:color w:val="auto"/>
          <w:sz w:val="32"/>
          <w:szCs w:val="32"/>
        </w:rPr>
        <w:t>；国有资本</w:t>
      </w:r>
      <w:r>
        <w:rPr>
          <w:rFonts w:hint="eastAsia" w:ascii="仿宋" w:hAnsi="仿宋" w:eastAsia="仿宋"/>
          <w:color w:val="000000"/>
          <w:sz w:val="32"/>
          <w:szCs w:val="32"/>
        </w:rPr>
        <w:t>经营预算财政拨款收入0万元，占0</w:t>
      </w:r>
      <w:r>
        <w:rPr>
          <w:rFonts w:ascii="仿宋" w:hAnsi="仿宋" w:eastAsia="仿宋"/>
          <w:color w:val="000000"/>
          <w:sz w:val="32"/>
          <w:szCs w:val="32"/>
        </w:rPr>
        <w:t>%</w:t>
      </w:r>
      <w:r>
        <w:rPr>
          <w:rFonts w:hint="eastAsia" w:ascii="仿宋" w:hAnsi="仿宋" w:eastAsia="仿宋"/>
          <w:color w:val="000000"/>
          <w:sz w:val="32"/>
          <w:szCs w:val="32"/>
        </w:rPr>
        <w:t>；事业收入0万元，占0</w:t>
      </w:r>
      <w:r>
        <w:rPr>
          <w:rFonts w:ascii="仿宋" w:hAnsi="仿宋" w:eastAsia="仿宋"/>
          <w:color w:val="000000"/>
          <w:sz w:val="32"/>
          <w:szCs w:val="32"/>
        </w:rPr>
        <w:t>%</w:t>
      </w:r>
      <w:r>
        <w:rPr>
          <w:rFonts w:hint="eastAsia" w:ascii="仿宋" w:hAnsi="仿宋" w:eastAsia="仿宋"/>
          <w:color w:val="000000"/>
          <w:sz w:val="32"/>
          <w:szCs w:val="32"/>
        </w:rPr>
        <w:t>；经营收入0万元，占0</w:t>
      </w:r>
      <w:r>
        <w:rPr>
          <w:rFonts w:ascii="仿宋" w:hAnsi="仿宋" w:eastAsia="仿宋"/>
          <w:color w:val="000000"/>
          <w:sz w:val="32"/>
          <w:szCs w:val="32"/>
        </w:rPr>
        <w:t>%</w:t>
      </w:r>
      <w:r>
        <w:rPr>
          <w:rFonts w:hint="eastAsia" w:ascii="仿宋" w:hAnsi="仿宋" w:eastAsia="仿宋"/>
          <w:color w:val="000000"/>
          <w:sz w:val="32"/>
          <w:szCs w:val="32"/>
        </w:rPr>
        <w:t>；附属单位上缴收入0万元，占0</w:t>
      </w:r>
      <w:r>
        <w:rPr>
          <w:rFonts w:ascii="仿宋" w:hAnsi="仿宋" w:eastAsia="仿宋"/>
          <w:color w:val="000000"/>
          <w:sz w:val="32"/>
          <w:szCs w:val="32"/>
        </w:rPr>
        <w:t>%</w:t>
      </w:r>
      <w:r>
        <w:rPr>
          <w:rFonts w:hint="eastAsia" w:ascii="仿宋" w:hAnsi="仿宋" w:eastAsia="仿宋"/>
          <w:color w:val="000000"/>
          <w:sz w:val="32"/>
          <w:szCs w:val="32"/>
        </w:rPr>
        <w:t>；其他收入0万元，占0</w:t>
      </w:r>
      <w:r>
        <w:rPr>
          <w:rFonts w:ascii="仿宋" w:hAnsi="仿宋" w:eastAsia="仿宋"/>
          <w:color w:val="000000"/>
          <w:sz w:val="32"/>
          <w:szCs w:val="32"/>
        </w:rPr>
        <w:t>%</w:t>
      </w:r>
      <w:r>
        <w:rPr>
          <w:rFonts w:hint="eastAsia" w:ascii="仿宋" w:hAnsi="仿宋" w:eastAsia="仿宋"/>
          <w:color w:val="000000"/>
          <w:sz w:val="32"/>
          <w:szCs w:val="32"/>
        </w:rPr>
        <w:t>。</w:t>
      </w:r>
    </w:p>
    <w:p w14:paraId="257F9956">
      <w:pPr>
        <w:spacing w:line="600" w:lineRule="exact"/>
        <w:ind w:firstLine="643" w:firstLineChars="200"/>
        <w:rPr>
          <w:rFonts w:hint="eastAsia" w:ascii="仿宋_GB2312" w:eastAsia="仿宋_GB2312"/>
          <w:b/>
          <w:bCs/>
          <w:color w:val="000000"/>
          <w:sz w:val="32"/>
          <w:szCs w:val="32"/>
        </w:rPr>
      </w:pPr>
      <w:bookmarkStart w:id="26" w:name="_Toc15396605"/>
      <w:bookmarkStart w:id="27" w:name="_Toc15377207"/>
    </w:p>
    <w:p w14:paraId="4DFEAD93">
      <w:pPr>
        <w:spacing w:line="600" w:lineRule="exact"/>
        <w:ind w:firstLine="643" w:firstLineChars="200"/>
        <w:rPr>
          <w:rStyle w:val="30"/>
          <w:rFonts w:ascii="黑体" w:hAnsi="黑体" w:eastAsia="黑体"/>
          <w:b w:val="0"/>
        </w:rPr>
      </w:pPr>
      <w:r>
        <w:rPr>
          <w:rFonts w:hint="eastAsia" w:ascii="仿宋_GB2312" w:eastAsia="仿宋_GB2312"/>
          <w:b/>
          <w:bCs/>
          <w:color w:val="000000"/>
          <w:sz w:val="32"/>
          <w:szCs w:val="32"/>
        </w:rPr>
        <w:t>三、</w:t>
      </w:r>
      <w:r>
        <w:rPr>
          <w:rFonts w:hint="eastAsia" w:ascii="黑体" w:hAnsi="黑体" w:eastAsia="黑体"/>
          <w:b/>
          <w:bCs/>
          <w:color w:val="000000"/>
          <w:sz w:val="32"/>
          <w:szCs w:val="32"/>
        </w:rPr>
        <w:t>支</w:t>
      </w:r>
      <w:r>
        <w:rPr>
          <w:rStyle w:val="30"/>
          <w:rFonts w:hint="eastAsia" w:ascii="黑体" w:hAnsi="黑体" w:eastAsia="黑体"/>
          <w:b/>
          <w:bCs/>
        </w:rPr>
        <w:t>出决算情况说明</w:t>
      </w:r>
      <w:bookmarkEnd w:id="26"/>
      <w:bookmarkEnd w:id="27"/>
    </w:p>
    <w:p w14:paraId="10FF623A">
      <w:pPr>
        <w:spacing w:line="600" w:lineRule="exact"/>
        <w:ind w:firstLine="640"/>
        <w:rPr>
          <w:rFonts w:ascii="仿宋" w:hAnsi="仿宋" w:eastAsia="仿宋"/>
          <w:sz w:val="32"/>
          <w:szCs w:val="32"/>
          <w:shd w:val="pct10" w:color="auto" w:fill="FFFFFF"/>
        </w:rPr>
      </w:pPr>
      <w:r>
        <w:rPr>
          <w:rFonts w:ascii="仿宋_GB2312" w:eastAsia="仿宋_GB2312"/>
          <w:b/>
          <w:bCs/>
          <w:color w:val="000000"/>
          <w:sz w:val="32"/>
          <w:szCs w:val="32"/>
        </w:rPr>
        <w:pict>
          <v:shape id="_x0000_s1030" o:spid="_x0000_s1030" o:spt="75" type="#_x0000_t75" style="position:absolute;left:0pt;margin-left:11.15pt;margin-top:123.1pt;height:126.75pt;width:388.5pt;mso-wrap-distance-bottom:0pt;mso-wrap-distance-left:9pt;mso-wrap-distance-right:9pt;mso-wrap-distance-top:0pt;z-index:251659264;mso-width-relative:page;mso-height-relative:page;" o:ole="t" filled="f" o:preferrelative="t" stroked="f" coordsize="21600,21600">
            <v:path/>
            <v:fill on="f" focussize="0,0"/>
            <v:stroke on="f"/>
            <v:imagedata r:id="rId9" o:title=""/>
            <o:lock v:ext="edit" aspectratio="t"/>
            <w10:wrap type="square" side="right"/>
          </v:shape>
          <o:OLEObject Type="Embed" ProgID="MSGraph.Chart.8" ShapeID="_x0000_s1030" DrawAspect="Content" ObjectID="_1468075725" r:id="rId8">
            <o:LockedField>false</o:LockedField>
          </o:OLEObject>
        </w:pict>
      </w:r>
      <w:r>
        <w:rPr>
          <w:rFonts w:ascii="仿宋" w:hAnsi="仿宋" w:eastAsia="仿宋"/>
          <w:color w:val="auto"/>
          <w:sz w:val="32"/>
          <w:szCs w:val="32"/>
        </w:rPr>
        <w:t>20</w:t>
      </w:r>
      <w:r>
        <w:rPr>
          <w:rFonts w:hint="eastAsia" w:ascii="仿宋" w:hAnsi="仿宋" w:eastAsia="仿宋"/>
          <w:color w:val="auto"/>
          <w:sz w:val="32"/>
          <w:szCs w:val="32"/>
        </w:rPr>
        <w:t>20年本年支出合计2378.33万元，其中：基本支出447.50万元，占18.82</w:t>
      </w:r>
      <w:r>
        <w:rPr>
          <w:rFonts w:ascii="仿宋" w:hAnsi="仿宋" w:eastAsia="仿宋"/>
          <w:color w:val="auto"/>
          <w:sz w:val="32"/>
          <w:szCs w:val="32"/>
        </w:rPr>
        <w:t>%</w:t>
      </w:r>
      <w:r>
        <w:rPr>
          <w:rFonts w:hint="eastAsia" w:ascii="仿宋" w:hAnsi="仿宋" w:eastAsia="仿宋"/>
          <w:color w:val="auto"/>
          <w:sz w:val="32"/>
          <w:szCs w:val="32"/>
        </w:rPr>
        <w:t>；项目支出1930.82万元，占81.18</w:t>
      </w:r>
      <w:r>
        <w:rPr>
          <w:rFonts w:ascii="仿宋" w:hAnsi="仿宋" w:eastAsia="仿宋"/>
          <w:color w:val="auto"/>
          <w:sz w:val="32"/>
          <w:szCs w:val="32"/>
        </w:rPr>
        <w:t>%</w:t>
      </w:r>
      <w:r>
        <w:rPr>
          <w:rFonts w:hint="eastAsia" w:ascii="仿宋" w:hAnsi="仿宋" w:eastAsia="仿宋"/>
          <w:color w:val="auto"/>
          <w:sz w:val="32"/>
          <w:szCs w:val="32"/>
        </w:rPr>
        <w:t>；上缴上级支出0万元，占0</w:t>
      </w:r>
      <w:r>
        <w:rPr>
          <w:rFonts w:ascii="仿宋" w:hAnsi="仿宋" w:eastAsia="仿宋"/>
          <w:color w:val="auto"/>
          <w:sz w:val="32"/>
          <w:szCs w:val="32"/>
        </w:rPr>
        <w:t>%</w:t>
      </w:r>
      <w:r>
        <w:rPr>
          <w:rFonts w:hint="eastAsia" w:ascii="仿宋" w:hAnsi="仿宋" w:eastAsia="仿宋"/>
          <w:sz w:val="32"/>
          <w:szCs w:val="32"/>
        </w:rPr>
        <w:t>；经营支出0万元，占0</w:t>
      </w:r>
      <w:r>
        <w:rPr>
          <w:rFonts w:ascii="仿宋" w:hAnsi="仿宋" w:eastAsia="仿宋"/>
          <w:sz w:val="32"/>
          <w:szCs w:val="32"/>
        </w:rPr>
        <w:t>%</w:t>
      </w:r>
      <w:r>
        <w:rPr>
          <w:rFonts w:hint="eastAsia" w:ascii="仿宋" w:hAnsi="仿宋" w:eastAsia="仿宋"/>
          <w:sz w:val="32"/>
          <w:szCs w:val="32"/>
        </w:rPr>
        <w:t>；对附属单位补助支出0万元，占0</w:t>
      </w:r>
      <w:r>
        <w:rPr>
          <w:rFonts w:ascii="仿宋" w:hAnsi="仿宋" w:eastAsia="仿宋"/>
          <w:sz w:val="32"/>
          <w:szCs w:val="32"/>
        </w:rPr>
        <w:t>%</w:t>
      </w:r>
      <w:r>
        <w:rPr>
          <w:rFonts w:hint="eastAsia" w:ascii="仿宋" w:hAnsi="仿宋" w:eastAsia="仿宋"/>
          <w:color w:val="000000" w:themeColor="text1"/>
          <w:sz w:val="32"/>
          <w:szCs w:val="32"/>
          <w14:textFill>
            <w14:solidFill>
              <w14:schemeClr w14:val="tx1"/>
            </w14:solidFill>
          </w14:textFill>
        </w:rPr>
        <w:t>。图</w:t>
      </w:r>
    </w:p>
    <w:p w14:paraId="7803A201">
      <w:pPr>
        <w:spacing w:line="600" w:lineRule="exact"/>
        <w:outlineLvl w:val="1"/>
        <w:rPr>
          <w:rFonts w:ascii="黑体" w:hAnsi="黑体" w:eastAsia="黑体"/>
          <w:color w:val="000000"/>
          <w:sz w:val="32"/>
          <w:szCs w:val="32"/>
        </w:rPr>
      </w:pPr>
      <w:bookmarkStart w:id="28" w:name="_Toc15377208"/>
      <w:bookmarkStart w:id="29" w:name="_Toc15396606"/>
    </w:p>
    <w:p w14:paraId="6A87100F">
      <w:pPr>
        <w:spacing w:line="600" w:lineRule="exact"/>
        <w:ind w:firstLine="643" w:firstLineChars="200"/>
        <w:outlineLvl w:val="1"/>
        <w:rPr>
          <w:rStyle w:val="30"/>
          <w:rFonts w:ascii="黑体" w:hAnsi="黑体" w:eastAsia="黑体"/>
          <w:b/>
          <w:bCs/>
        </w:rPr>
      </w:pPr>
      <w:r>
        <w:rPr>
          <w:rFonts w:hint="eastAsia" w:ascii="黑体" w:hAnsi="黑体" w:eastAsia="黑体"/>
          <w:b/>
          <w:bCs/>
          <w:color w:val="000000"/>
          <w:sz w:val="32"/>
          <w:szCs w:val="32"/>
        </w:rPr>
        <w:t>四、财</w:t>
      </w:r>
      <w:r>
        <w:rPr>
          <w:rStyle w:val="30"/>
          <w:rFonts w:hint="eastAsia" w:ascii="黑体" w:hAnsi="黑体" w:eastAsia="黑体"/>
          <w:b/>
          <w:bCs/>
        </w:rPr>
        <w:t>政拨款收入支出决算总体情况说明</w:t>
      </w:r>
      <w:bookmarkEnd w:id="28"/>
      <w:bookmarkEnd w:id="29"/>
    </w:p>
    <w:p w14:paraId="47CCAB26">
      <w:pPr>
        <w:spacing w:line="600" w:lineRule="exact"/>
        <w:ind w:firstLine="640" w:firstLineChars="200"/>
        <w:rPr>
          <w:rFonts w:ascii="仿宋" w:hAnsi="仿宋" w:eastAsia="仿宋"/>
          <w:sz w:val="32"/>
          <w:szCs w:val="32"/>
        </w:rPr>
      </w:pPr>
      <w:r>
        <w:rPr>
          <w:rFonts w:hint="eastAsia" w:ascii="仿宋" w:hAnsi="仿宋" w:eastAsia="仿宋"/>
          <w:sz w:val="32"/>
          <w:szCs w:val="32"/>
        </w:rPr>
        <w:drawing>
          <wp:anchor distT="0" distB="0" distL="114300" distR="114300" simplePos="0" relativeHeight="251661312" behindDoc="0" locked="0" layoutInCell="1" allowOverlap="1">
            <wp:simplePos x="0" y="0"/>
            <wp:positionH relativeFrom="column">
              <wp:posOffset>753745</wp:posOffset>
            </wp:positionH>
            <wp:positionV relativeFrom="paragraph">
              <wp:posOffset>860425</wp:posOffset>
            </wp:positionV>
            <wp:extent cx="3599815" cy="1440180"/>
            <wp:effectExtent l="4445" t="4445" r="15240" b="2222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olor w:val="auto"/>
          <w:sz w:val="32"/>
          <w:szCs w:val="32"/>
        </w:rPr>
        <w:t>2020年度财政拨款收入决算</w:t>
      </w:r>
      <w:r>
        <w:rPr>
          <w:rFonts w:hint="eastAsia" w:ascii="仿宋" w:hAnsi="仿宋" w:eastAsia="仿宋"/>
          <w:color w:val="auto"/>
          <w:sz w:val="32"/>
          <w:szCs w:val="32"/>
          <w:lang w:eastAsia="zh-CN"/>
        </w:rPr>
        <w:t>总</w:t>
      </w:r>
      <w:r>
        <w:rPr>
          <w:rFonts w:hint="eastAsia" w:ascii="仿宋" w:hAnsi="仿宋" w:eastAsia="仿宋"/>
          <w:color w:val="auto"/>
          <w:sz w:val="32"/>
          <w:szCs w:val="32"/>
        </w:rPr>
        <w:t>计</w:t>
      </w:r>
      <w:r>
        <w:rPr>
          <w:rFonts w:hint="eastAsia" w:ascii="仿宋" w:hAnsi="仿宋" w:eastAsia="仿宋"/>
          <w:color w:val="auto"/>
          <w:sz w:val="32"/>
          <w:szCs w:val="32"/>
          <w:lang w:val="en-US" w:eastAsia="zh-CN"/>
        </w:rPr>
        <w:t>2378.33</w:t>
      </w:r>
      <w:r>
        <w:rPr>
          <w:rFonts w:hint="eastAsia" w:ascii="仿宋" w:hAnsi="仿宋" w:eastAsia="仿宋"/>
          <w:color w:val="auto"/>
          <w:sz w:val="32"/>
          <w:szCs w:val="32"/>
        </w:rPr>
        <w:t>万元、财政拨款支出决算总计2378.33万元。与2019年相比，收入决算增加</w:t>
      </w:r>
      <w:r>
        <w:rPr>
          <w:rFonts w:hint="eastAsia" w:ascii="仿宋" w:hAnsi="仿宋" w:eastAsia="仿宋"/>
          <w:color w:val="auto"/>
          <w:sz w:val="32"/>
          <w:szCs w:val="32"/>
          <w:lang w:val="en-US" w:eastAsia="zh-CN"/>
        </w:rPr>
        <w:t>217.21</w:t>
      </w:r>
      <w:r>
        <w:rPr>
          <w:rFonts w:hint="eastAsia" w:ascii="仿宋" w:hAnsi="仿宋" w:eastAsia="仿宋"/>
          <w:color w:val="auto"/>
          <w:sz w:val="32"/>
          <w:szCs w:val="32"/>
        </w:rPr>
        <w:t>万元，增长10</w:t>
      </w:r>
      <w:r>
        <w:rPr>
          <w:rFonts w:ascii="仿宋" w:hAnsi="仿宋" w:eastAsia="仿宋"/>
          <w:color w:val="auto"/>
          <w:sz w:val="32"/>
          <w:szCs w:val="32"/>
        </w:rPr>
        <w:t>%</w:t>
      </w:r>
      <w:r>
        <w:rPr>
          <w:rFonts w:hint="eastAsia" w:ascii="仿宋" w:hAnsi="仿宋" w:eastAsia="仿宋"/>
          <w:color w:val="auto"/>
          <w:sz w:val="32"/>
          <w:szCs w:val="32"/>
        </w:rPr>
        <w:t>、支出决算增加217.2</w:t>
      </w:r>
      <w:r>
        <w:rPr>
          <w:rFonts w:hint="eastAsia" w:ascii="仿宋" w:hAnsi="仿宋" w:eastAsia="仿宋"/>
          <w:color w:val="auto"/>
          <w:sz w:val="32"/>
          <w:szCs w:val="32"/>
          <w:lang w:val="en-US" w:eastAsia="zh-CN"/>
        </w:rPr>
        <w:t>1</w:t>
      </w:r>
      <w:r>
        <w:rPr>
          <w:rFonts w:hint="eastAsia" w:ascii="仿宋" w:hAnsi="仿宋" w:eastAsia="仿宋"/>
          <w:color w:val="auto"/>
          <w:sz w:val="32"/>
          <w:szCs w:val="32"/>
        </w:rPr>
        <w:t>万元，增长10%。</w:t>
      </w:r>
      <w:r>
        <w:rPr>
          <w:rFonts w:hint="eastAsia" w:ascii="仿宋" w:hAnsi="仿宋" w:eastAsia="仿宋"/>
          <w:sz w:val="32"/>
          <w:szCs w:val="32"/>
        </w:rPr>
        <w:t>主要变动原因是：财政代扣工会经费增加；人员工资调整。</w:t>
      </w:r>
    </w:p>
    <w:p w14:paraId="00049E93">
      <w:pPr>
        <w:spacing w:line="600" w:lineRule="exact"/>
        <w:ind w:firstLine="643" w:firstLineChars="200"/>
        <w:outlineLvl w:val="1"/>
        <w:rPr>
          <w:rStyle w:val="30"/>
          <w:rFonts w:ascii="黑体" w:hAnsi="黑体" w:eastAsia="黑体"/>
          <w:b/>
          <w:bCs/>
        </w:rPr>
      </w:pPr>
      <w:bookmarkStart w:id="30" w:name="_Toc15377209"/>
      <w:bookmarkStart w:id="31" w:name="_Toc15396607"/>
      <w:r>
        <w:rPr>
          <w:rFonts w:hint="eastAsia" w:ascii="黑体" w:hAnsi="黑体" w:eastAsia="黑体"/>
          <w:b/>
          <w:bCs/>
          <w:color w:val="000000"/>
          <w:sz w:val="32"/>
          <w:szCs w:val="32"/>
        </w:rPr>
        <w:t>五、一</w:t>
      </w:r>
      <w:r>
        <w:rPr>
          <w:rStyle w:val="30"/>
          <w:rFonts w:hint="eastAsia" w:ascii="黑体" w:hAnsi="黑体" w:eastAsia="黑体"/>
          <w:b/>
          <w:bCs/>
        </w:rPr>
        <w:t>般公共预算财政拨款支出决算情况说明</w:t>
      </w:r>
      <w:bookmarkEnd w:id="30"/>
      <w:bookmarkEnd w:id="31"/>
    </w:p>
    <w:p w14:paraId="7C7C8DAF">
      <w:pPr>
        <w:spacing w:line="600" w:lineRule="exact"/>
        <w:ind w:firstLine="643" w:firstLineChars="200"/>
        <w:outlineLvl w:val="2"/>
        <w:rPr>
          <w:rFonts w:ascii="仿宋" w:hAnsi="仿宋" w:eastAsia="仿宋"/>
          <w:b/>
          <w:bCs w:val="0"/>
          <w:color w:val="000000"/>
          <w:sz w:val="32"/>
          <w:szCs w:val="32"/>
        </w:rPr>
      </w:pPr>
      <w:bookmarkStart w:id="32" w:name="_Toc15377210"/>
      <w:r>
        <w:rPr>
          <w:rFonts w:hint="eastAsia" w:ascii="仿宋" w:hAnsi="仿宋" w:eastAsia="仿宋"/>
          <w:b/>
          <w:bCs w:val="0"/>
          <w:color w:val="000000"/>
          <w:sz w:val="32"/>
          <w:szCs w:val="32"/>
        </w:rPr>
        <w:t>（一）一般公共预算财政拨款支出决算总体情况</w:t>
      </w:r>
      <w:bookmarkEnd w:id="32"/>
    </w:p>
    <w:p w14:paraId="72762610">
      <w:pPr>
        <w:spacing w:line="600" w:lineRule="exact"/>
        <w:ind w:firstLine="640" w:firstLineChars="200"/>
        <w:rPr>
          <w:rFonts w:ascii="仿宋" w:hAnsi="仿宋" w:eastAsia="仿宋"/>
          <w:sz w:val="32"/>
          <w:szCs w:val="32"/>
        </w:rPr>
      </w:pPr>
      <w:r>
        <w:rPr>
          <w:rFonts w:ascii="仿宋" w:hAnsi="仿宋" w:eastAsia="仿宋"/>
          <w:color w:val="auto"/>
          <w:sz w:val="32"/>
          <w:szCs w:val="32"/>
        </w:rPr>
        <w:drawing>
          <wp:anchor distT="0" distB="0" distL="114300" distR="114300" simplePos="0" relativeHeight="251662336" behindDoc="0" locked="0" layoutInCell="1" allowOverlap="1">
            <wp:simplePos x="0" y="0"/>
            <wp:positionH relativeFrom="column">
              <wp:posOffset>333375</wp:posOffset>
            </wp:positionH>
            <wp:positionV relativeFrom="paragraph">
              <wp:posOffset>1714500</wp:posOffset>
            </wp:positionV>
            <wp:extent cx="4968240" cy="2016125"/>
            <wp:effectExtent l="19050" t="0" r="22860" b="317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ascii="仿宋" w:hAnsi="仿宋" w:eastAsia="仿宋"/>
          <w:color w:val="auto"/>
          <w:sz w:val="32"/>
          <w:szCs w:val="32"/>
        </w:rPr>
        <w:t>20</w:t>
      </w:r>
      <w:r>
        <w:rPr>
          <w:rFonts w:hint="eastAsia" w:ascii="仿宋" w:hAnsi="仿宋" w:eastAsia="仿宋"/>
          <w:color w:val="auto"/>
          <w:sz w:val="32"/>
          <w:szCs w:val="32"/>
        </w:rPr>
        <w:t>20年一般公共预算财政拨款支出2378.33万元，占本年支出合计的100</w:t>
      </w:r>
      <w:r>
        <w:rPr>
          <w:rFonts w:ascii="仿宋" w:hAnsi="仿宋" w:eastAsia="仿宋"/>
          <w:color w:val="auto"/>
          <w:sz w:val="32"/>
          <w:szCs w:val="32"/>
        </w:rPr>
        <w:t>%</w:t>
      </w:r>
      <w:r>
        <w:rPr>
          <w:rFonts w:hint="eastAsia" w:ascii="仿宋" w:hAnsi="仿宋" w:eastAsia="仿宋"/>
          <w:color w:val="auto"/>
          <w:sz w:val="32"/>
          <w:szCs w:val="32"/>
        </w:rPr>
        <w:t>。与</w:t>
      </w:r>
      <w:r>
        <w:rPr>
          <w:rFonts w:ascii="仿宋" w:hAnsi="仿宋" w:eastAsia="仿宋"/>
          <w:color w:val="auto"/>
          <w:sz w:val="32"/>
          <w:szCs w:val="32"/>
        </w:rPr>
        <w:t>201</w:t>
      </w:r>
      <w:r>
        <w:rPr>
          <w:rFonts w:hint="eastAsia" w:ascii="仿宋" w:hAnsi="仿宋" w:eastAsia="仿宋"/>
          <w:color w:val="auto"/>
          <w:sz w:val="32"/>
          <w:szCs w:val="32"/>
        </w:rPr>
        <w:t>9年相比，一般公共预算财政拨款增加217.21万元，增长10.05</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sz w:val="32"/>
          <w:szCs w:val="32"/>
        </w:rPr>
        <w:t>主要变动原因是财政代扣工会经费逐年递增；人员工资的调整。</w:t>
      </w:r>
    </w:p>
    <w:p w14:paraId="27B1643E">
      <w:pPr>
        <w:spacing w:line="600" w:lineRule="exact"/>
        <w:ind w:firstLine="643" w:firstLineChars="200"/>
        <w:outlineLvl w:val="2"/>
        <w:rPr>
          <w:rFonts w:ascii="仿宋" w:hAnsi="仿宋" w:eastAsia="仿宋"/>
          <w:b/>
          <w:bCs w:val="0"/>
          <w:color w:val="000000"/>
          <w:sz w:val="32"/>
          <w:szCs w:val="32"/>
        </w:rPr>
      </w:pPr>
      <w:bookmarkStart w:id="33" w:name="_Toc15377211"/>
      <w:r>
        <w:rPr>
          <w:rFonts w:hint="eastAsia" w:ascii="仿宋" w:hAnsi="仿宋" w:eastAsia="仿宋"/>
          <w:b/>
          <w:bCs w:val="0"/>
          <w:color w:val="000000"/>
          <w:sz w:val="32"/>
          <w:szCs w:val="32"/>
        </w:rPr>
        <w:t>（二）一般公共预算财政拨款支出决算结构情况</w:t>
      </w:r>
      <w:bookmarkEnd w:id="33"/>
    </w:p>
    <w:p w14:paraId="6A89488B">
      <w:pPr>
        <w:spacing w:line="360" w:lineRule="auto"/>
        <w:ind w:firstLine="640"/>
        <w:rPr>
          <w:rFonts w:ascii="仿宋" w:hAnsi="仿宋" w:eastAsia="仿宋"/>
          <w:color w:val="auto"/>
          <w:sz w:val="32"/>
          <w:szCs w:val="32"/>
        </w:rPr>
      </w:pPr>
      <w:r>
        <w:rPr>
          <w:rFonts w:ascii="仿宋" w:hAnsi="仿宋" w:eastAsia="仿宋"/>
          <w:color w:val="auto"/>
          <w:sz w:val="32"/>
          <w:szCs w:val="32"/>
        </w:rPr>
        <w:drawing>
          <wp:anchor distT="0" distB="0" distL="114300" distR="114300" simplePos="0" relativeHeight="251663360" behindDoc="0" locked="0" layoutInCell="1" allowOverlap="1">
            <wp:simplePos x="0" y="0"/>
            <wp:positionH relativeFrom="column">
              <wp:posOffset>466725</wp:posOffset>
            </wp:positionH>
            <wp:positionV relativeFrom="paragraph">
              <wp:posOffset>2628900</wp:posOffset>
            </wp:positionV>
            <wp:extent cx="4536440" cy="2088515"/>
            <wp:effectExtent l="19050" t="0" r="16510" b="698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ascii="仿宋" w:hAnsi="仿宋" w:eastAsia="仿宋"/>
          <w:color w:val="auto"/>
          <w:sz w:val="32"/>
          <w:szCs w:val="32"/>
        </w:rPr>
        <w:t>20</w:t>
      </w:r>
      <w:r>
        <w:rPr>
          <w:rFonts w:hint="eastAsia" w:ascii="仿宋" w:hAnsi="仿宋" w:eastAsia="仿宋"/>
          <w:color w:val="auto"/>
          <w:sz w:val="32"/>
          <w:szCs w:val="32"/>
        </w:rPr>
        <w:t>20年一般公共预算财政拨款支出2378.33万元，主要用于以下方面</w:t>
      </w:r>
      <w:r>
        <w:rPr>
          <w:rFonts w:ascii="仿宋" w:hAnsi="仿宋" w:eastAsia="仿宋"/>
          <w:color w:val="auto"/>
          <w:sz w:val="32"/>
          <w:szCs w:val="32"/>
        </w:rPr>
        <w:t>:</w:t>
      </w:r>
      <w:r>
        <w:rPr>
          <w:rFonts w:hint="eastAsia" w:ascii="仿宋" w:hAnsi="仿宋" w:eastAsia="仿宋"/>
          <w:b/>
          <w:color w:val="auto"/>
          <w:sz w:val="32"/>
          <w:szCs w:val="32"/>
        </w:rPr>
        <w:t>一般公共服务（类）</w:t>
      </w:r>
      <w:r>
        <w:rPr>
          <w:rFonts w:hint="eastAsia" w:ascii="仿宋" w:hAnsi="仿宋" w:eastAsia="仿宋"/>
          <w:color w:val="auto"/>
          <w:sz w:val="32"/>
          <w:szCs w:val="32"/>
        </w:rPr>
        <w:t>支出2277.22万元，占95.75</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color w:val="auto"/>
          <w:sz w:val="32"/>
          <w:szCs w:val="32"/>
        </w:rPr>
        <w:t>教育支出（类）</w:t>
      </w:r>
      <w:r>
        <w:rPr>
          <w:rFonts w:hint="eastAsia" w:ascii="仿宋" w:hAnsi="仿宋" w:eastAsia="仿宋"/>
          <w:color w:val="auto"/>
          <w:sz w:val="32"/>
          <w:szCs w:val="32"/>
        </w:rPr>
        <w:t>0万元，占0%；</w:t>
      </w:r>
      <w:r>
        <w:rPr>
          <w:rFonts w:hint="eastAsia" w:ascii="仿宋" w:hAnsi="仿宋" w:eastAsia="仿宋"/>
          <w:b/>
          <w:color w:val="auto"/>
          <w:sz w:val="32"/>
          <w:szCs w:val="32"/>
        </w:rPr>
        <w:t>科学技术（类）</w:t>
      </w:r>
      <w:r>
        <w:rPr>
          <w:rFonts w:hint="eastAsia" w:ascii="仿宋" w:hAnsi="仿宋" w:eastAsia="仿宋"/>
          <w:color w:val="auto"/>
          <w:sz w:val="32"/>
          <w:szCs w:val="32"/>
        </w:rPr>
        <w:t>支出0万元，占0%；</w:t>
      </w:r>
      <w:r>
        <w:rPr>
          <w:rFonts w:hint="eastAsia" w:ascii="仿宋" w:hAnsi="仿宋" w:eastAsia="仿宋"/>
          <w:b/>
          <w:color w:val="auto"/>
          <w:sz w:val="32"/>
          <w:szCs w:val="32"/>
        </w:rPr>
        <w:t>其他应急管理（类）</w:t>
      </w:r>
      <w:r>
        <w:rPr>
          <w:rFonts w:hint="eastAsia" w:ascii="仿宋" w:hAnsi="仿宋" w:eastAsia="仿宋"/>
          <w:color w:val="auto"/>
          <w:sz w:val="32"/>
          <w:szCs w:val="32"/>
        </w:rPr>
        <w:t>支出0.6万元；</w:t>
      </w:r>
      <w:r>
        <w:rPr>
          <w:rFonts w:hint="eastAsia" w:ascii="仿宋" w:hAnsi="仿宋" w:eastAsia="仿宋"/>
          <w:b/>
          <w:color w:val="auto"/>
          <w:sz w:val="32"/>
          <w:szCs w:val="32"/>
        </w:rPr>
        <w:t>社会保障和就业（类）</w:t>
      </w:r>
      <w:r>
        <w:rPr>
          <w:rFonts w:hint="eastAsia" w:ascii="仿宋" w:hAnsi="仿宋" w:eastAsia="仿宋"/>
          <w:color w:val="auto"/>
          <w:sz w:val="32"/>
          <w:szCs w:val="32"/>
        </w:rPr>
        <w:t>支出44.61万元，占1.88</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color w:val="auto"/>
          <w:sz w:val="32"/>
          <w:szCs w:val="32"/>
        </w:rPr>
        <w:t>医疗卫生</w:t>
      </w:r>
      <w:r>
        <w:rPr>
          <w:rFonts w:hint="eastAsia" w:ascii="仿宋" w:hAnsi="仿宋" w:eastAsia="仿宋"/>
          <w:color w:val="auto"/>
          <w:sz w:val="32"/>
          <w:szCs w:val="32"/>
        </w:rPr>
        <w:t>支出24.31万元，占1.02</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b/>
          <w:color w:val="auto"/>
          <w:sz w:val="32"/>
          <w:szCs w:val="32"/>
        </w:rPr>
        <w:t>住房保障</w:t>
      </w:r>
      <w:r>
        <w:rPr>
          <w:rFonts w:hint="eastAsia" w:ascii="仿宋" w:hAnsi="仿宋" w:eastAsia="仿宋"/>
          <w:color w:val="auto"/>
          <w:sz w:val="32"/>
          <w:szCs w:val="32"/>
        </w:rPr>
        <w:t>支出32.20万元，占1.35</w:t>
      </w:r>
      <w:r>
        <w:rPr>
          <w:rFonts w:ascii="仿宋" w:hAnsi="仿宋" w:eastAsia="仿宋"/>
          <w:color w:val="auto"/>
          <w:sz w:val="32"/>
          <w:szCs w:val="32"/>
        </w:rPr>
        <w:t>%</w:t>
      </w:r>
      <w:r>
        <w:rPr>
          <w:rFonts w:hint="eastAsia" w:ascii="仿宋" w:hAnsi="仿宋" w:eastAsia="仿宋"/>
          <w:color w:val="auto"/>
          <w:sz w:val="32"/>
          <w:szCs w:val="32"/>
        </w:rPr>
        <w:t>。</w:t>
      </w:r>
    </w:p>
    <w:p w14:paraId="4877D66F">
      <w:pPr>
        <w:spacing w:line="600" w:lineRule="exact"/>
        <w:ind w:firstLine="643" w:firstLineChars="200"/>
        <w:outlineLvl w:val="2"/>
        <w:rPr>
          <w:rFonts w:ascii="仿宋" w:hAnsi="仿宋" w:eastAsia="仿宋"/>
          <w:b/>
          <w:color w:val="auto"/>
          <w:sz w:val="32"/>
          <w:szCs w:val="32"/>
        </w:rPr>
      </w:pPr>
      <w:bookmarkStart w:id="34" w:name="_Toc15377212"/>
      <w:r>
        <w:rPr>
          <w:rFonts w:hint="eastAsia" w:ascii="仿宋" w:hAnsi="仿宋" w:eastAsia="仿宋"/>
          <w:b/>
          <w:color w:val="auto"/>
          <w:sz w:val="32"/>
          <w:szCs w:val="32"/>
        </w:rPr>
        <w:t>（三）一般公共预算财政拨款支出决算具体情况</w:t>
      </w:r>
      <w:bookmarkEnd w:id="34"/>
    </w:p>
    <w:p w14:paraId="279D7D89">
      <w:pPr>
        <w:spacing w:line="600" w:lineRule="exact"/>
        <w:ind w:firstLine="643" w:firstLineChars="200"/>
        <w:outlineLvl w:val="2"/>
        <w:rPr>
          <w:rFonts w:ascii="仿宋" w:hAnsi="仿宋" w:eastAsia="仿宋"/>
          <w:color w:val="auto"/>
          <w:sz w:val="32"/>
          <w:szCs w:val="32"/>
        </w:rPr>
      </w:pPr>
      <w:bookmarkStart w:id="35" w:name="_Toc15377444"/>
      <w:bookmarkStart w:id="36" w:name="_Toc15378460"/>
      <w:bookmarkStart w:id="37" w:name="_Toc15377213"/>
      <w:r>
        <w:rPr>
          <w:rFonts w:hint="eastAsia" w:ascii="仿宋" w:hAnsi="仿宋" w:eastAsia="仿宋"/>
          <w:b/>
          <w:color w:val="auto"/>
          <w:sz w:val="32"/>
          <w:szCs w:val="32"/>
        </w:rPr>
        <w:t>2020年般公共预算支出决算数为2378.33万元</w:t>
      </w:r>
      <w:r>
        <w:rPr>
          <w:rFonts w:hint="eastAsia" w:ascii="仿宋" w:hAnsi="仿宋" w:eastAsia="仿宋"/>
          <w:color w:val="auto"/>
          <w:sz w:val="32"/>
          <w:szCs w:val="32"/>
        </w:rPr>
        <w:t>，</w:t>
      </w:r>
      <w:r>
        <w:rPr>
          <w:rStyle w:val="18"/>
          <w:rFonts w:hint="eastAsia" w:ascii="仿宋" w:hAnsi="仿宋" w:eastAsia="仿宋"/>
          <w:bCs/>
          <w:color w:val="auto"/>
          <w:sz w:val="32"/>
          <w:szCs w:val="32"/>
        </w:rPr>
        <w:t>完成预算100</w:t>
      </w:r>
      <w:r>
        <w:rPr>
          <w:rStyle w:val="18"/>
          <w:rFonts w:ascii="仿宋" w:hAnsi="仿宋" w:eastAsia="仿宋"/>
          <w:bCs/>
          <w:color w:val="auto"/>
          <w:sz w:val="32"/>
          <w:szCs w:val="32"/>
        </w:rPr>
        <w:t>%</w:t>
      </w:r>
      <w:r>
        <w:rPr>
          <w:rStyle w:val="18"/>
          <w:rFonts w:hint="eastAsia" w:ascii="仿宋" w:hAnsi="仿宋" w:eastAsia="仿宋"/>
          <w:bCs/>
          <w:color w:val="auto"/>
          <w:sz w:val="32"/>
          <w:szCs w:val="32"/>
        </w:rPr>
        <w:t>。其中：</w:t>
      </w:r>
      <w:bookmarkEnd w:id="35"/>
      <w:bookmarkEnd w:id="36"/>
      <w:bookmarkEnd w:id="37"/>
    </w:p>
    <w:p w14:paraId="12AAE1AC">
      <w:pPr>
        <w:numPr>
          <w:ilvl w:val="0"/>
          <w:numId w:val="2"/>
        </w:numPr>
        <w:spacing w:line="600" w:lineRule="exact"/>
        <w:ind w:firstLine="643" w:firstLineChars="200"/>
        <w:rPr>
          <w:rStyle w:val="18"/>
          <w:rFonts w:ascii="仿宋" w:hAnsi="仿宋" w:eastAsia="仿宋"/>
          <w:b w:val="0"/>
          <w:bCs/>
          <w:color w:val="auto"/>
          <w:sz w:val="32"/>
          <w:szCs w:val="32"/>
        </w:rPr>
      </w:pPr>
      <w:r>
        <w:rPr>
          <w:rStyle w:val="18"/>
          <w:rFonts w:hint="eastAsia" w:ascii="仿宋" w:hAnsi="仿宋" w:eastAsia="仿宋"/>
          <w:bCs/>
          <w:color w:val="auto"/>
          <w:sz w:val="32"/>
          <w:szCs w:val="32"/>
        </w:rPr>
        <w:t>一般公共服务支出群众团体事务行政运行（2012901）</w:t>
      </w:r>
      <w:r>
        <w:rPr>
          <w:rStyle w:val="18"/>
          <w:rFonts w:ascii="仿宋" w:hAnsi="仿宋" w:eastAsia="仿宋"/>
          <w:bCs/>
          <w:color w:val="auto"/>
          <w:sz w:val="32"/>
          <w:szCs w:val="32"/>
        </w:rPr>
        <w:t>:</w:t>
      </w:r>
      <w:r>
        <w:rPr>
          <w:rStyle w:val="18"/>
          <w:rFonts w:ascii="仿宋" w:hAnsi="仿宋" w:eastAsia="仿宋"/>
          <w:b w:val="0"/>
          <w:bCs/>
          <w:color w:val="auto"/>
          <w:sz w:val="32"/>
          <w:szCs w:val="32"/>
        </w:rPr>
        <w:t xml:space="preserve"> </w:t>
      </w:r>
      <w:r>
        <w:rPr>
          <w:rStyle w:val="18"/>
          <w:rFonts w:hint="eastAsia" w:ascii="仿宋" w:hAnsi="仿宋" w:eastAsia="仿宋"/>
          <w:b w:val="0"/>
          <w:bCs/>
          <w:color w:val="auto"/>
          <w:sz w:val="32"/>
          <w:szCs w:val="32"/>
        </w:rPr>
        <w:t>支出决算为346.39万元，完成预算100</w:t>
      </w:r>
      <w:r>
        <w:rPr>
          <w:rStyle w:val="18"/>
          <w:rFonts w:ascii="仿宋" w:hAnsi="仿宋" w:eastAsia="仿宋"/>
          <w:b w:val="0"/>
          <w:bCs/>
          <w:color w:val="auto"/>
          <w:sz w:val="32"/>
          <w:szCs w:val="32"/>
        </w:rPr>
        <w:t>%</w:t>
      </w:r>
      <w:r>
        <w:rPr>
          <w:rStyle w:val="18"/>
          <w:rFonts w:hint="eastAsia" w:ascii="仿宋" w:hAnsi="仿宋" w:eastAsia="仿宋"/>
          <w:b w:val="0"/>
          <w:bCs/>
          <w:color w:val="auto"/>
          <w:sz w:val="32"/>
          <w:szCs w:val="32"/>
        </w:rPr>
        <w:t>。</w:t>
      </w:r>
    </w:p>
    <w:p w14:paraId="1BBE07C8">
      <w:pPr>
        <w:numPr>
          <w:ilvl w:val="0"/>
          <w:numId w:val="2"/>
        </w:numPr>
        <w:spacing w:line="600" w:lineRule="exact"/>
        <w:ind w:firstLine="643" w:firstLineChars="200"/>
        <w:rPr>
          <w:rStyle w:val="18"/>
          <w:rFonts w:ascii="仿宋" w:hAnsi="仿宋" w:eastAsia="仿宋"/>
          <w:b w:val="0"/>
          <w:bCs/>
          <w:color w:val="auto"/>
          <w:sz w:val="32"/>
          <w:szCs w:val="32"/>
        </w:rPr>
      </w:pPr>
      <w:r>
        <w:rPr>
          <w:rStyle w:val="18"/>
          <w:rFonts w:hint="eastAsia" w:ascii="仿宋" w:hAnsi="仿宋" w:eastAsia="仿宋"/>
          <w:bCs/>
          <w:color w:val="auto"/>
          <w:sz w:val="32"/>
          <w:szCs w:val="32"/>
        </w:rPr>
        <w:t>一般公共服务支出其他群众团体事务支出（2012999）</w:t>
      </w:r>
      <w:r>
        <w:rPr>
          <w:rStyle w:val="18"/>
          <w:rFonts w:ascii="仿宋" w:hAnsi="仿宋" w:eastAsia="仿宋"/>
          <w:bCs/>
          <w:color w:val="auto"/>
          <w:sz w:val="32"/>
          <w:szCs w:val="32"/>
        </w:rPr>
        <w:t>:</w:t>
      </w:r>
      <w:r>
        <w:rPr>
          <w:rStyle w:val="18"/>
          <w:rFonts w:ascii="仿宋" w:hAnsi="仿宋" w:eastAsia="仿宋"/>
          <w:b w:val="0"/>
          <w:bCs/>
          <w:color w:val="auto"/>
          <w:sz w:val="32"/>
          <w:szCs w:val="32"/>
        </w:rPr>
        <w:t xml:space="preserve"> </w:t>
      </w:r>
      <w:r>
        <w:rPr>
          <w:rStyle w:val="18"/>
          <w:rFonts w:hint="eastAsia" w:ascii="仿宋" w:hAnsi="仿宋" w:eastAsia="仿宋"/>
          <w:b w:val="0"/>
          <w:bCs/>
          <w:color w:val="auto"/>
          <w:sz w:val="32"/>
          <w:szCs w:val="32"/>
        </w:rPr>
        <w:t>支出决算为1930.82万元，完成预算100</w:t>
      </w:r>
      <w:r>
        <w:rPr>
          <w:rStyle w:val="18"/>
          <w:rFonts w:ascii="仿宋" w:hAnsi="仿宋" w:eastAsia="仿宋"/>
          <w:b w:val="0"/>
          <w:bCs/>
          <w:color w:val="auto"/>
          <w:sz w:val="32"/>
          <w:szCs w:val="32"/>
        </w:rPr>
        <w:t>%</w:t>
      </w:r>
      <w:r>
        <w:rPr>
          <w:rStyle w:val="18"/>
          <w:rFonts w:hint="eastAsia" w:ascii="仿宋" w:hAnsi="仿宋" w:eastAsia="仿宋"/>
          <w:b w:val="0"/>
          <w:bCs/>
          <w:color w:val="auto"/>
          <w:sz w:val="32"/>
          <w:szCs w:val="32"/>
        </w:rPr>
        <w:t>。</w:t>
      </w:r>
    </w:p>
    <w:p w14:paraId="73C8583F">
      <w:pPr>
        <w:spacing w:line="600" w:lineRule="exact"/>
        <w:ind w:firstLine="643" w:firstLineChars="200"/>
        <w:rPr>
          <w:rFonts w:ascii="仿宋" w:hAnsi="仿宋" w:eastAsia="仿宋"/>
          <w:b/>
          <w:color w:val="auto"/>
          <w:sz w:val="32"/>
          <w:szCs w:val="32"/>
        </w:rPr>
      </w:pPr>
      <w:r>
        <w:rPr>
          <w:rStyle w:val="18"/>
          <w:rFonts w:hint="eastAsia" w:ascii="仿宋" w:hAnsi="仿宋" w:eastAsia="仿宋"/>
          <w:bCs/>
          <w:color w:val="auto"/>
          <w:sz w:val="32"/>
          <w:szCs w:val="32"/>
        </w:rPr>
        <w:t>3</w:t>
      </w:r>
      <w:r>
        <w:rPr>
          <w:rStyle w:val="18"/>
          <w:rFonts w:ascii="仿宋" w:hAnsi="仿宋" w:eastAsia="仿宋"/>
          <w:bCs/>
          <w:color w:val="auto"/>
          <w:sz w:val="32"/>
          <w:szCs w:val="32"/>
        </w:rPr>
        <w:t>.</w:t>
      </w:r>
      <w:r>
        <w:rPr>
          <w:rStyle w:val="18"/>
          <w:rFonts w:hint="eastAsia" w:ascii="仿宋" w:hAnsi="仿宋" w:eastAsia="仿宋"/>
          <w:bCs/>
          <w:color w:val="auto"/>
          <w:sz w:val="32"/>
          <w:szCs w:val="32"/>
        </w:rPr>
        <w:t>社会保障和就业支出行政事业单位离退休机关事业单位基本养老保险缴费支出（2080505）</w:t>
      </w:r>
      <w:r>
        <w:rPr>
          <w:rStyle w:val="18"/>
          <w:rFonts w:ascii="仿宋" w:hAnsi="仿宋" w:eastAsia="仿宋"/>
          <w:bCs/>
          <w:color w:val="auto"/>
          <w:sz w:val="32"/>
          <w:szCs w:val="32"/>
        </w:rPr>
        <w:t>:</w:t>
      </w:r>
      <w:r>
        <w:rPr>
          <w:rStyle w:val="18"/>
          <w:rFonts w:ascii="仿宋" w:hAnsi="仿宋" w:eastAsia="仿宋"/>
          <w:b w:val="0"/>
          <w:bCs/>
          <w:color w:val="auto"/>
          <w:sz w:val="32"/>
          <w:szCs w:val="32"/>
        </w:rPr>
        <w:t xml:space="preserve"> </w:t>
      </w:r>
      <w:r>
        <w:rPr>
          <w:rStyle w:val="18"/>
          <w:rFonts w:hint="eastAsia" w:ascii="仿宋" w:hAnsi="仿宋" w:eastAsia="仿宋"/>
          <w:b w:val="0"/>
          <w:bCs/>
          <w:color w:val="auto"/>
          <w:sz w:val="32"/>
          <w:szCs w:val="32"/>
        </w:rPr>
        <w:t>支出决算为29.74万元，完成预算100</w:t>
      </w:r>
      <w:r>
        <w:rPr>
          <w:rStyle w:val="18"/>
          <w:rFonts w:ascii="仿宋" w:hAnsi="仿宋" w:eastAsia="仿宋"/>
          <w:b w:val="0"/>
          <w:bCs/>
          <w:color w:val="auto"/>
          <w:sz w:val="32"/>
          <w:szCs w:val="32"/>
        </w:rPr>
        <w:t>%</w:t>
      </w:r>
      <w:r>
        <w:rPr>
          <w:rStyle w:val="18"/>
          <w:rFonts w:hint="eastAsia" w:ascii="仿宋" w:hAnsi="仿宋" w:eastAsia="仿宋"/>
          <w:b w:val="0"/>
          <w:bCs/>
          <w:color w:val="auto"/>
          <w:sz w:val="32"/>
          <w:szCs w:val="32"/>
        </w:rPr>
        <w:t>；</w:t>
      </w:r>
      <w:r>
        <w:rPr>
          <w:rStyle w:val="18"/>
          <w:rFonts w:hint="eastAsia" w:ascii="仿宋" w:hAnsi="仿宋" w:eastAsia="仿宋"/>
          <w:bCs/>
          <w:color w:val="auto"/>
          <w:sz w:val="32"/>
          <w:szCs w:val="32"/>
        </w:rPr>
        <w:t>机关事业单位职业年金缴费支出（2080506）：</w:t>
      </w:r>
      <w:r>
        <w:rPr>
          <w:rStyle w:val="18"/>
          <w:rFonts w:hint="eastAsia" w:ascii="仿宋" w:hAnsi="仿宋" w:eastAsia="仿宋"/>
          <w:b w:val="0"/>
          <w:bCs/>
          <w:color w:val="auto"/>
          <w:sz w:val="32"/>
          <w:szCs w:val="32"/>
        </w:rPr>
        <w:t>支出决算为14.87万元，完成预算100</w:t>
      </w:r>
      <w:r>
        <w:rPr>
          <w:rStyle w:val="18"/>
          <w:rFonts w:ascii="仿宋" w:hAnsi="仿宋" w:eastAsia="仿宋"/>
          <w:b w:val="0"/>
          <w:bCs/>
          <w:color w:val="auto"/>
          <w:sz w:val="32"/>
          <w:szCs w:val="32"/>
        </w:rPr>
        <w:t>%</w:t>
      </w:r>
      <w:r>
        <w:rPr>
          <w:rStyle w:val="18"/>
          <w:rFonts w:hint="eastAsia" w:ascii="仿宋" w:hAnsi="仿宋" w:eastAsia="仿宋"/>
          <w:b w:val="0"/>
          <w:bCs/>
          <w:color w:val="auto"/>
          <w:sz w:val="32"/>
          <w:szCs w:val="32"/>
        </w:rPr>
        <w:t>。</w:t>
      </w:r>
    </w:p>
    <w:p w14:paraId="5FD7B4A4">
      <w:pPr>
        <w:spacing w:line="600" w:lineRule="exact"/>
        <w:ind w:firstLine="643" w:firstLineChars="200"/>
        <w:rPr>
          <w:rFonts w:ascii="仿宋" w:hAnsi="仿宋" w:eastAsia="仿宋"/>
          <w:b/>
          <w:color w:val="auto"/>
          <w:sz w:val="32"/>
          <w:szCs w:val="32"/>
        </w:rPr>
      </w:pPr>
      <w:r>
        <w:rPr>
          <w:rStyle w:val="18"/>
          <w:rFonts w:hint="eastAsia" w:ascii="仿宋" w:hAnsi="仿宋" w:eastAsia="仿宋"/>
          <w:bCs/>
          <w:color w:val="auto"/>
          <w:sz w:val="32"/>
          <w:szCs w:val="32"/>
        </w:rPr>
        <w:t>4</w:t>
      </w:r>
      <w:r>
        <w:rPr>
          <w:rStyle w:val="18"/>
          <w:rFonts w:ascii="仿宋" w:hAnsi="仿宋" w:eastAsia="仿宋"/>
          <w:bCs/>
          <w:color w:val="auto"/>
          <w:sz w:val="32"/>
          <w:szCs w:val="32"/>
        </w:rPr>
        <w:t>.</w:t>
      </w:r>
      <w:r>
        <w:rPr>
          <w:rStyle w:val="18"/>
          <w:rFonts w:hint="eastAsia" w:ascii="仿宋" w:hAnsi="仿宋" w:eastAsia="仿宋"/>
          <w:bCs/>
          <w:color w:val="auto"/>
          <w:sz w:val="32"/>
          <w:szCs w:val="32"/>
        </w:rPr>
        <w:t>医疗卫生与计划生育支出行政事业单位医疗行政单位医疗（2101101）</w:t>
      </w:r>
      <w:r>
        <w:rPr>
          <w:rStyle w:val="18"/>
          <w:rFonts w:ascii="仿宋" w:hAnsi="仿宋" w:eastAsia="仿宋"/>
          <w:bCs/>
          <w:color w:val="auto"/>
          <w:sz w:val="32"/>
          <w:szCs w:val="32"/>
        </w:rPr>
        <w:t>:</w:t>
      </w:r>
      <w:r>
        <w:rPr>
          <w:rStyle w:val="18"/>
          <w:rFonts w:hint="eastAsia" w:ascii="仿宋" w:hAnsi="仿宋" w:eastAsia="仿宋"/>
          <w:b w:val="0"/>
          <w:bCs/>
          <w:color w:val="auto"/>
          <w:sz w:val="32"/>
          <w:szCs w:val="32"/>
        </w:rPr>
        <w:t>支出决算为15.52万元，完成预算100</w:t>
      </w:r>
      <w:r>
        <w:rPr>
          <w:rStyle w:val="18"/>
          <w:rFonts w:ascii="仿宋" w:hAnsi="仿宋" w:eastAsia="仿宋"/>
          <w:b w:val="0"/>
          <w:bCs/>
          <w:color w:val="auto"/>
          <w:sz w:val="32"/>
          <w:szCs w:val="32"/>
        </w:rPr>
        <w:t>%</w:t>
      </w:r>
      <w:r>
        <w:rPr>
          <w:rStyle w:val="18"/>
          <w:rFonts w:hint="eastAsia" w:ascii="仿宋" w:hAnsi="仿宋" w:eastAsia="仿宋"/>
          <w:b w:val="0"/>
          <w:bCs/>
          <w:color w:val="auto"/>
          <w:sz w:val="32"/>
          <w:szCs w:val="32"/>
        </w:rPr>
        <w:t>；</w:t>
      </w:r>
      <w:r>
        <w:rPr>
          <w:rStyle w:val="18"/>
          <w:rFonts w:hint="eastAsia" w:ascii="仿宋" w:hAnsi="仿宋" w:eastAsia="仿宋"/>
          <w:color w:val="auto"/>
          <w:sz w:val="32"/>
          <w:szCs w:val="32"/>
        </w:rPr>
        <w:t>公务员医疗补助（2101103）：</w:t>
      </w:r>
      <w:r>
        <w:rPr>
          <w:rStyle w:val="18"/>
          <w:rFonts w:hint="eastAsia" w:ascii="仿宋" w:hAnsi="仿宋" w:eastAsia="仿宋"/>
          <w:b w:val="0"/>
          <w:bCs/>
          <w:color w:val="auto"/>
          <w:sz w:val="32"/>
          <w:szCs w:val="32"/>
        </w:rPr>
        <w:t>支出决算为8.79万元，完成预算100</w:t>
      </w:r>
      <w:r>
        <w:rPr>
          <w:rStyle w:val="18"/>
          <w:rFonts w:ascii="仿宋" w:hAnsi="仿宋" w:eastAsia="仿宋"/>
          <w:b w:val="0"/>
          <w:bCs/>
          <w:color w:val="auto"/>
          <w:sz w:val="32"/>
          <w:szCs w:val="32"/>
        </w:rPr>
        <w:t>%</w:t>
      </w:r>
      <w:r>
        <w:rPr>
          <w:rStyle w:val="18"/>
          <w:rFonts w:hint="eastAsia" w:ascii="仿宋" w:hAnsi="仿宋" w:eastAsia="仿宋"/>
          <w:b w:val="0"/>
          <w:bCs/>
          <w:color w:val="auto"/>
          <w:sz w:val="32"/>
          <w:szCs w:val="32"/>
        </w:rPr>
        <w:t>。</w:t>
      </w:r>
    </w:p>
    <w:p w14:paraId="08DBFFE4">
      <w:pPr>
        <w:spacing w:line="600" w:lineRule="exact"/>
        <w:ind w:firstLine="640"/>
        <w:rPr>
          <w:rFonts w:ascii="仿宋" w:hAnsi="仿宋" w:eastAsia="仿宋"/>
          <w:b/>
          <w:color w:val="auto"/>
          <w:sz w:val="32"/>
          <w:szCs w:val="32"/>
        </w:rPr>
      </w:pPr>
      <w:r>
        <w:rPr>
          <w:rFonts w:hint="eastAsia" w:ascii="仿宋" w:hAnsi="仿宋" w:eastAsia="仿宋"/>
          <w:b/>
          <w:color w:val="auto"/>
          <w:sz w:val="32"/>
          <w:szCs w:val="32"/>
        </w:rPr>
        <w:t>5.住房保障支出住房改革支出住房公积金（2210201）：</w:t>
      </w:r>
      <w:r>
        <w:rPr>
          <w:rStyle w:val="18"/>
          <w:rFonts w:hint="eastAsia" w:ascii="仿宋" w:hAnsi="仿宋" w:eastAsia="仿宋"/>
          <w:b w:val="0"/>
          <w:bCs/>
          <w:color w:val="auto"/>
          <w:sz w:val="32"/>
          <w:szCs w:val="32"/>
        </w:rPr>
        <w:t>支出决算为31.00万元，完成预算100</w:t>
      </w:r>
      <w:r>
        <w:rPr>
          <w:rStyle w:val="18"/>
          <w:rFonts w:ascii="仿宋" w:hAnsi="仿宋" w:eastAsia="仿宋"/>
          <w:b w:val="0"/>
          <w:bCs/>
          <w:color w:val="auto"/>
          <w:sz w:val="32"/>
          <w:szCs w:val="32"/>
        </w:rPr>
        <w:t>%</w:t>
      </w:r>
      <w:r>
        <w:rPr>
          <w:rStyle w:val="18"/>
          <w:rFonts w:hint="eastAsia" w:ascii="仿宋" w:hAnsi="仿宋" w:eastAsia="仿宋"/>
          <w:b w:val="0"/>
          <w:bCs/>
          <w:color w:val="auto"/>
          <w:sz w:val="32"/>
          <w:szCs w:val="32"/>
        </w:rPr>
        <w:t>;</w:t>
      </w:r>
      <w:r>
        <w:rPr>
          <w:rStyle w:val="18"/>
          <w:rFonts w:hint="eastAsia" w:ascii="仿宋" w:hAnsi="仿宋" w:eastAsia="仿宋"/>
          <w:bCs/>
          <w:color w:val="auto"/>
          <w:sz w:val="32"/>
          <w:szCs w:val="32"/>
        </w:rPr>
        <w:t>购房补贴（2210203）：</w:t>
      </w:r>
      <w:r>
        <w:rPr>
          <w:rStyle w:val="18"/>
          <w:rFonts w:hint="eastAsia" w:ascii="仿宋" w:hAnsi="仿宋" w:eastAsia="仿宋"/>
          <w:b w:val="0"/>
          <w:bCs/>
          <w:color w:val="auto"/>
          <w:sz w:val="32"/>
          <w:szCs w:val="32"/>
        </w:rPr>
        <w:t>支出决算为1.2万元，完成预算100%。</w:t>
      </w:r>
    </w:p>
    <w:p w14:paraId="129A74BA">
      <w:pPr>
        <w:tabs>
          <w:tab w:val="right" w:pos="8306"/>
        </w:tabs>
        <w:spacing w:line="600" w:lineRule="exact"/>
        <w:ind w:firstLine="643" w:firstLineChars="200"/>
        <w:outlineLvl w:val="1"/>
        <w:rPr>
          <w:rStyle w:val="30"/>
          <w:b/>
          <w:bCs/>
        </w:rPr>
      </w:pPr>
      <w:bookmarkStart w:id="38" w:name="_Toc15396608"/>
      <w:bookmarkStart w:id="39" w:name="_Toc15377214"/>
      <w:r>
        <w:rPr>
          <w:rFonts w:hint="eastAsia" w:ascii="黑体" w:eastAsia="黑体"/>
          <w:b/>
          <w:bCs/>
          <w:color w:val="000000"/>
          <w:sz w:val="32"/>
          <w:szCs w:val="32"/>
        </w:rPr>
        <w:t>六、</w:t>
      </w:r>
      <w:r>
        <w:rPr>
          <w:rFonts w:hint="eastAsia" w:ascii="黑体" w:hAnsi="黑体" w:eastAsia="黑体"/>
          <w:b/>
          <w:bCs/>
          <w:color w:val="000000"/>
          <w:sz w:val="32"/>
          <w:szCs w:val="32"/>
        </w:rPr>
        <w:t>一</w:t>
      </w:r>
      <w:r>
        <w:rPr>
          <w:rStyle w:val="30"/>
          <w:rFonts w:hint="eastAsia" w:ascii="黑体" w:hAnsi="黑体" w:eastAsia="黑体"/>
          <w:b/>
          <w:bCs/>
        </w:rPr>
        <w:t>般公共预算财政拨款基本支出决算情况说明</w:t>
      </w:r>
      <w:bookmarkEnd w:id="38"/>
      <w:bookmarkEnd w:id="39"/>
      <w:r>
        <w:rPr>
          <w:rStyle w:val="30"/>
          <w:rFonts w:ascii="黑体" w:hAnsi="黑体" w:eastAsia="黑体"/>
          <w:b/>
          <w:bCs/>
        </w:rPr>
        <w:tab/>
      </w:r>
    </w:p>
    <w:p w14:paraId="43A27401">
      <w:pPr>
        <w:spacing w:line="600" w:lineRule="exact"/>
        <w:ind w:firstLine="645"/>
        <w:rPr>
          <w:rFonts w:ascii="仿宋" w:hAnsi="仿宋" w:eastAsia="仿宋"/>
          <w:color w:val="auto"/>
          <w:sz w:val="32"/>
          <w:szCs w:val="32"/>
        </w:rPr>
      </w:pPr>
      <w:r>
        <w:rPr>
          <w:rFonts w:ascii="仿宋" w:hAnsi="仿宋" w:eastAsia="仿宋"/>
          <w:color w:val="auto"/>
          <w:sz w:val="32"/>
          <w:szCs w:val="32"/>
        </w:rPr>
        <w:t>201</w:t>
      </w:r>
      <w:r>
        <w:rPr>
          <w:rFonts w:hint="eastAsia" w:ascii="仿宋" w:hAnsi="仿宋" w:eastAsia="仿宋"/>
          <w:color w:val="auto"/>
          <w:sz w:val="32"/>
          <w:szCs w:val="32"/>
        </w:rPr>
        <w:t>9年一般公共预算财政拨款基本支出447.50万元，其中：</w:t>
      </w:r>
    </w:p>
    <w:p w14:paraId="1E709214">
      <w:pPr>
        <w:spacing w:line="600" w:lineRule="exact"/>
        <w:ind w:firstLine="645"/>
        <w:rPr>
          <w:rFonts w:hint="eastAsia" w:ascii="仿宋" w:hAnsi="仿宋" w:eastAsia="仿宋"/>
          <w:color w:val="auto"/>
          <w:sz w:val="32"/>
          <w:szCs w:val="32"/>
          <w:lang w:eastAsia="zh-CN"/>
        </w:rPr>
      </w:pPr>
      <w:r>
        <w:rPr>
          <w:rFonts w:hint="eastAsia" w:ascii="仿宋" w:hAnsi="仿宋" w:eastAsia="仿宋"/>
          <w:color w:val="auto"/>
          <w:sz w:val="32"/>
          <w:szCs w:val="32"/>
        </w:rPr>
        <w:t>人员经费378.43万元，主要包括：基本工资82.66万元、津贴补贴104.42万元、奖金62.55万元、机关事业单位基本养老保险缴费29.74万元、职业年金缴费14.87万元、其他社会保障缴费2.71万元、职工基本医疗保险缴费15.52万元、公务员医疗补助缴费8.79万元、住房公积金31万元等、生活补助费24.99万元。</w:t>
      </w:r>
    </w:p>
    <w:p w14:paraId="6DCF7E45">
      <w:pPr>
        <w:spacing w:line="600" w:lineRule="exact"/>
        <w:ind w:firstLine="645"/>
        <w:rPr>
          <w:rFonts w:ascii="仿宋" w:hAnsi="仿宋" w:eastAsia="仿宋"/>
          <w:color w:val="auto"/>
          <w:sz w:val="32"/>
          <w:szCs w:val="32"/>
        </w:rPr>
      </w:pPr>
      <w:r>
        <w:rPr>
          <w:rFonts w:hint="eastAsia" w:ascii="仿宋" w:hAnsi="仿宋" w:eastAsia="仿宋"/>
          <w:color w:val="auto"/>
          <w:sz w:val="32"/>
          <w:szCs w:val="32"/>
        </w:rPr>
        <w:t>　　公用经费69.07万元，主要包括：办公费7.17万元、水费4.42万元、电费1.65万元、邮电费12.99万元、差旅费15.33万元、因公出国（境）费用、维修（护）费1.05万元、培训费1.85万元、公务接待费0.84万元、公务用车运行维护费23.04万元、福利费0.73万元。</w:t>
      </w:r>
    </w:p>
    <w:p w14:paraId="7763DE54">
      <w:pPr>
        <w:spacing w:line="600" w:lineRule="exact"/>
        <w:ind w:firstLine="643" w:firstLineChars="200"/>
        <w:outlineLvl w:val="1"/>
        <w:rPr>
          <w:rStyle w:val="30"/>
          <w:rFonts w:ascii="黑体" w:hAnsi="黑体" w:eastAsia="黑体"/>
          <w:b/>
          <w:bCs/>
        </w:rPr>
      </w:pPr>
      <w:bookmarkStart w:id="40" w:name="_Toc15377215"/>
      <w:bookmarkStart w:id="41" w:name="_Toc15396609"/>
      <w:r>
        <w:rPr>
          <w:rFonts w:hint="eastAsia" w:ascii="黑体" w:eastAsia="黑体"/>
          <w:b/>
          <w:bCs/>
          <w:sz w:val="32"/>
          <w:szCs w:val="32"/>
        </w:rPr>
        <w:t>七、</w:t>
      </w:r>
      <w:r>
        <w:rPr>
          <w:rStyle w:val="30"/>
          <w:rFonts w:hint="eastAsia" w:ascii="黑体" w:hAnsi="黑体" w:eastAsia="黑体"/>
          <w:b/>
          <w:bCs/>
        </w:rPr>
        <w:t>“三公”经费财政拨款支出决算情况说明</w:t>
      </w:r>
      <w:bookmarkEnd w:id="40"/>
      <w:bookmarkEnd w:id="41"/>
    </w:p>
    <w:p w14:paraId="2CBE22E6">
      <w:pPr>
        <w:spacing w:line="600" w:lineRule="exact"/>
        <w:ind w:firstLine="640"/>
        <w:outlineLvl w:val="2"/>
        <w:rPr>
          <w:rFonts w:ascii="仿宋" w:hAnsi="仿宋" w:eastAsia="仿宋"/>
          <w:b/>
          <w:bCs/>
          <w:color w:val="auto"/>
          <w:sz w:val="32"/>
          <w:szCs w:val="32"/>
        </w:rPr>
      </w:pPr>
      <w:bookmarkStart w:id="42" w:name="_Toc15377216"/>
      <w:r>
        <w:rPr>
          <w:rFonts w:hint="eastAsia" w:ascii="仿宋" w:hAnsi="仿宋" w:eastAsia="仿宋"/>
          <w:b/>
          <w:bCs/>
          <w:color w:val="auto"/>
          <w:sz w:val="32"/>
          <w:szCs w:val="32"/>
        </w:rPr>
        <w:t>（一）“三公”经费财政拨款支出决算总体情况说明</w:t>
      </w:r>
      <w:bookmarkEnd w:id="42"/>
    </w:p>
    <w:p w14:paraId="7C94E6F7">
      <w:pPr>
        <w:spacing w:line="600" w:lineRule="exact"/>
        <w:ind w:left="210" w:leftChars="100" w:firstLine="640"/>
        <w:rPr>
          <w:rFonts w:hint="eastAsia" w:eastAsia="仿宋" w:asciiTheme="majorEastAsia" w:hAnsiTheme="majorEastAsia" w:cstheme="majorEastAsia"/>
          <w:color w:val="auto"/>
          <w:sz w:val="32"/>
          <w:szCs w:val="32"/>
          <w:lang w:eastAsia="zh-CN"/>
        </w:rPr>
      </w:pPr>
      <w:r>
        <w:rPr>
          <w:rFonts w:ascii="仿宋" w:hAnsi="仿宋" w:eastAsia="仿宋"/>
          <w:color w:val="auto"/>
          <w:sz w:val="32"/>
          <w:szCs w:val="32"/>
        </w:rPr>
        <w:t>20</w:t>
      </w:r>
      <w:r>
        <w:rPr>
          <w:rFonts w:hint="eastAsia" w:ascii="仿宋" w:hAnsi="仿宋" w:eastAsia="仿宋"/>
          <w:color w:val="auto"/>
          <w:sz w:val="32"/>
          <w:szCs w:val="32"/>
        </w:rPr>
        <w:t>20年“三公”经费财政拨款支出决算为</w:t>
      </w:r>
      <w:r>
        <w:rPr>
          <w:rFonts w:hint="eastAsia" w:ascii="仿宋" w:hAnsi="仿宋" w:eastAsia="仿宋"/>
          <w:color w:val="auto"/>
          <w:sz w:val="32"/>
          <w:szCs w:val="32"/>
          <w:lang w:val="en-US" w:eastAsia="zh-CN"/>
        </w:rPr>
        <w:t>23.88</w:t>
      </w:r>
      <w:r>
        <w:rPr>
          <w:rFonts w:hint="eastAsia" w:ascii="仿宋" w:hAnsi="仿宋" w:eastAsia="仿宋"/>
          <w:color w:val="auto"/>
          <w:sz w:val="32"/>
          <w:szCs w:val="32"/>
        </w:rPr>
        <w:t>万元，完成预算</w:t>
      </w:r>
      <w:r>
        <w:rPr>
          <w:rFonts w:hint="eastAsia" w:ascii="仿宋" w:hAnsi="仿宋" w:eastAsia="仿宋"/>
          <w:color w:val="auto"/>
          <w:sz w:val="32"/>
          <w:szCs w:val="32"/>
          <w:lang w:val="en-US" w:eastAsia="zh-CN"/>
        </w:rPr>
        <w:t>100</w:t>
      </w:r>
      <w:r>
        <w:rPr>
          <w:rFonts w:ascii="仿宋" w:hAnsi="仿宋" w:eastAsia="仿宋"/>
          <w:color w:val="auto"/>
          <w:sz w:val="32"/>
          <w:szCs w:val="32"/>
        </w:rPr>
        <w:t>%</w:t>
      </w:r>
      <w:r>
        <w:rPr>
          <w:rFonts w:hint="eastAsia" w:ascii="仿宋" w:hAnsi="仿宋" w:eastAsia="仿宋"/>
          <w:color w:val="auto"/>
          <w:sz w:val="32"/>
          <w:szCs w:val="32"/>
          <w:lang w:eastAsia="zh-CN"/>
        </w:rPr>
        <w:t>。</w:t>
      </w:r>
    </w:p>
    <w:p w14:paraId="2A1AA866">
      <w:pPr>
        <w:spacing w:line="600" w:lineRule="exact"/>
        <w:ind w:firstLine="643" w:firstLineChars="200"/>
        <w:outlineLvl w:val="2"/>
        <w:rPr>
          <w:rFonts w:ascii="仿宋" w:hAnsi="仿宋" w:eastAsia="仿宋"/>
          <w:b/>
          <w:color w:val="auto"/>
          <w:sz w:val="32"/>
          <w:szCs w:val="32"/>
        </w:rPr>
      </w:pPr>
      <w:bookmarkStart w:id="43" w:name="_Toc15377217"/>
      <w:r>
        <w:rPr>
          <w:rFonts w:hint="eastAsia" w:ascii="仿宋" w:hAnsi="仿宋" w:eastAsia="仿宋"/>
          <w:b/>
          <w:color w:val="auto"/>
          <w:sz w:val="32"/>
          <w:szCs w:val="32"/>
        </w:rPr>
        <w:t>（二）“三公”经费财政拨款支出决算具体情况说明</w:t>
      </w:r>
      <w:bookmarkEnd w:id="43"/>
    </w:p>
    <w:p w14:paraId="0E98C4B4">
      <w:pPr>
        <w:spacing w:line="600" w:lineRule="exact"/>
        <w:ind w:firstLine="640"/>
        <w:rPr>
          <w:rFonts w:ascii="仿宋" w:hAnsi="仿宋" w:eastAsia="仿宋"/>
          <w:color w:val="auto"/>
          <w:sz w:val="32"/>
          <w:szCs w:val="32"/>
        </w:rPr>
      </w:pPr>
      <w:r>
        <w:rPr>
          <w:rFonts w:hint="eastAsia" w:ascii="仿宋_GB2312" w:eastAsia="仿宋_GB2312"/>
          <w:b/>
          <w:color w:val="000000"/>
          <w:sz w:val="32"/>
          <w:szCs w:val="32"/>
          <w:lang w:eastAsia="zh-CN"/>
        </w:rPr>
        <w:drawing>
          <wp:anchor distT="0" distB="0" distL="114300" distR="114300" simplePos="0" relativeHeight="251665408" behindDoc="0" locked="0" layoutInCell="1" allowOverlap="1">
            <wp:simplePos x="0" y="0"/>
            <wp:positionH relativeFrom="column">
              <wp:posOffset>889000</wp:posOffset>
            </wp:positionH>
            <wp:positionV relativeFrom="paragraph">
              <wp:posOffset>1770380</wp:posOffset>
            </wp:positionV>
            <wp:extent cx="3233420" cy="1833880"/>
            <wp:effectExtent l="4445" t="4445" r="19685" b="952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ascii="仿宋" w:hAnsi="仿宋" w:eastAsia="仿宋"/>
          <w:color w:val="auto"/>
          <w:sz w:val="32"/>
          <w:szCs w:val="32"/>
        </w:rPr>
        <w:t>20</w:t>
      </w:r>
      <w:r>
        <w:rPr>
          <w:rFonts w:hint="eastAsia" w:ascii="仿宋" w:hAnsi="仿宋" w:eastAsia="仿宋"/>
          <w:color w:val="auto"/>
          <w:sz w:val="32"/>
          <w:szCs w:val="32"/>
        </w:rPr>
        <w:t>20年“三公”经费财政拨款支出决算中，因公出国（境）费支出决算0万元，占0</w:t>
      </w:r>
      <w:r>
        <w:rPr>
          <w:rFonts w:ascii="仿宋" w:hAnsi="仿宋" w:eastAsia="仿宋"/>
          <w:color w:val="auto"/>
          <w:sz w:val="32"/>
          <w:szCs w:val="32"/>
        </w:rPr>
        <w:t>%</w:t>
      </w:r>
      <w:r>
        <w:rPr>
          <w:rFonts w:hint="eastAsia" w:ascii="仿宋" w:hAnsi="仿宋" w:eastAsia="仿宋"/>
          <w:color w:val="auto"/>
          <w:sz w:val="32"/>
          <w:szCs w:val="32"/>
        </w:rPr>
        <w:t>；公务用车购置及运行维护费支出决算</w:t>
      </w:r>
      <w:r>
        <w:rPr>
          <w:rFonts w:hint="eastAsia" w:ascii="仿宋" w:hAnsi="仿宋" w:eastAsia="仿宋"/>
          <w:color w:val="auto"/>
          <w:sz w:val="32"/>
          <w:szCs w:val="32"/>
          <w:lang w:val="en-US" w:eastAsia="zh-CN"/>
        </w:rPr>
        <w:t>23.04</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96.48</w:t>
      </w:r>
      <w:r>
        <w:rPr>
          <w:rFonts w:ascii="仿宋" w:hAnsi="仿宋" w:eastAsia="仿宋"/>
          <w:color w:val="auto"/>
          <w:sz w:val="32"/>
          <w:szCs w:val="32"/>
        </w:rPr>
        <w:t>%</w:t>
      </w:r>
      <w:r>
        <w:rPr>
          <w:rFonts w:hint="eastAsia" w:ascii="仿宋" w:hAnsi="仿宋" w:eastAsia="仿宋"/>
          <w:color w:val="auto"/>
          <w:sz w:val="32"/>
          <w:szCs w:val="32"/>
        </w:rPr>
        <w:t>；公务接待费支出决算0.84万元，占</w:t>
      </w:r>
      <w:r>
        <w:rPr>
          <w:rFonts w:hint="eastAsia" w:ascii="仿宋" w:hAnsi="仿宋" w:eastAsia="仿宋"/>
          <w:color w:val="auto"/>
          <w:sz w:val="32"/>
          <w:szCs w:val="32"/>
          <w:lang w:val="en-US" w:eastAsia="zh-CN"/>
        </w:rPr>
        <w:t>3.52</w:t>
      </w:r>
      <w:r>
        <w:rPr>
          <w:rFonts w:ascii="仿宋" w:hAnsi="仿宋" w:eastAsia="仿宋"/>
          <w:color w:val="auto"/>
          <w:sz w:val="32"/>
          <w:szCs w:val="32"/>
        </w:rPr>
        <w:t>%</w:t>
      </w:r>
      <w:r>
        <w:rPr>
          <w:rFonts w:hint="eastAsia" w:ascii="仿宋" w:hAnsi="仿宋" w:eastAsia="仿宋"/>
          <w:color w:val="auto"/>
          <w:sz w:val="32"/>
          <w:szCs w:val="32"/>
          <w:lang w:eastAsia="zh-CN"/>
        </w:rPr>
        <w:t>，</w:t>
      </w:r>
      <w:r>
        <w:rPr>
          <w:rFonts w:hint="eastAsia" w:ascii="仿宋" w:hAnsi="仿宋" w:eastAsia="仿宋"/>
          <w:color w:val="auto"/>
          <w:sz w:val="32"/>
          <w:szCs w:val="32"/>
        </w:rPr>
        <w:t>。具体情况如下：</w:t>
      </w:r>
    </w:p>
    <w:p w14:paraId="01270841"/>
    <w:p w14:paraId="37DEDD84">
      <w:pPr>
        <w:spacing w:line="600" w:lineRule="exact"/>
        <w:ind w:firstLine="643" w:firstLineChars="200"/>
        <w:rPr>
          <w:rFonts w:ascii="仿宋_GB2312" w:eastAsia="仿宋_GB2312"/>
          <w:b/>
          <w:color w:val="auto"/>
          <w:sz w:val="32"/>
          <w:szCs w:val="32"/>
        </w:rPr>
      </w:pPr>
      <w:r>
        <w:rPr>
          <w:rFonts w:ascii="仿宋_GB2312" w:eastAsia="仿宋_GB2312"/>
          <w:b/>
          <w:color w:val="auto"/>
          <w:sz w:val="32"/>
          <w:szCs w:val="32"/>
        </w:rPr>
        <w:t>1.</w:t>
      </w:r>
      <w:r>
        <w:rPr>
          <w:rFonts w:hint="eastAsia" w:ascii="仿宋_GB2312" w:eastAsia="仿宋_GB2312"/>
          <w:b/>
          <w:color w:val="auto"/>
          <w:sz w:val="32"/>
          <w:szCs w:val="32"/>
        </w:rPr>
        <w:t>因公出国（境）经费支出</w:t>
      </w:r>
      <w:r>
        <w:rPr>
          <w:rFonts w:hint="eastAsia" w:ascii="仿宋_GB2312" w:eastAsia="仿宋_GB2312"/>
          <w:color w:val="auto"/>
          <w:sz w:val="32"/>
          <w:szCs w:val="32"/>
        </w:rPr>
        <w:t>0万元，</w:t>
      </w:r>
      <w:r>
        <w:rPr>
          <w:rStyle w:val="18"/>
          <w:rFonts w:hint="eastAsia" w:ascii="仿宋" w:hAnsi="仿宋" w:eastAsia="仿宋"/>
          <w:b w:val="0"/>
          <w:bCs/>
          <w:color w:val="auto"/>
          <w:sz w:val="32"/>
          <w:szCs w:val="32"/>
        </w:rPr>
        <w:t>完成预算100</w:t>
      </w:r>
      <w:r>
        <w:rPr>
          <w:rStyle w:val="18"/>
          <w:rFonts w:ascii="仿宋" w:hAnsi="仿宋" w:eastAsia="仿宋"/>
          <w:b w:val="0"/>
          <w:bCs/>
          <w:color w:val="auto"/>
          <w:sz w:val="32"/>
          <w:szCs w:val="32"/>
        </w:rPr>
        <w:t>%</w:t>
      </w:r>
      <w:r>
        <w:rPr>
          <w:rStyle w:val="18"/>
          <w:rFonts w:hint="eastAsia" w:ascii="仿宋" w:hAnsi="仿宋" w:eastAsia="仿宋"/>
          <w:b w:val="0"/>
          <w:bCs/>
          <w:color w:val="auto"/>
          <w:sz w:val="32"/>
          <w:szCs w:val="32"/>
        </w:rPr>
        <w:t>。</w:t>
      </w:r>
      <w:r>
        <w:rPr>
          <w:rFonts w:hint="eastAsia" w:ascii="仿宋_GB2312" w:eastAsia="仿宋_GB2312"/>
          <w:color w:val="auto"/>
          <w:sz w:val="32"/>
          <w:szCs w:val="32"/>
        </w:rPr>
        <w:t>全年安排因公出国（境）团组0次，出国（境）0人。因公出国（境）支出决算比</w:t>
      </w:r>
      <w:r>
        <w:rPr>
          <w:rFonts w:ascii="仿宋_GB2312" w:eastAsia="仿宋_GB2312"/>
          <w:color w:val="auto"/>
          <w:sz w:val="32"/>
          <w:szCs w:val="32"/>
        </w:rPr>
        <w:t>201</w:t>
      </w:r>
      <w:r>
        <w:rPr>
          <w:rFonts w:hint="eastAsia" w:ascii="仿宋_GB2312" w:eastAsia="仿宋_GB2312"/>
          <w:color w:val="auto"/>
          <w:sz w:val="32"/>
          <w:szCs w:val="32"/>
        </w:rPr>
        <w:t>9年无变化。</w:t>
      </w:r>
    </w:p>
    <w:p w14:paraId="3DCAAB48">
      <w:pPr>
        <w:spacing w:line="600" w:lineRule="exact"/>
        <w:ind w:firstLine="643" w:firstLineChars="200"/>
        <w:rPr>
          <w:rFonts w:hint="eastAsia" w:ascii="仿宋_GB2312" w:eastAsia="仿宋_GB2312"/>
          <w:b/>
          <w:color w:val="auto"/>
          <w:sz w:val="32"/>
          <w:szCs w:val="32"/>
          <w:lang w:eastAsia="zh-CN"/>
        </w:rPr>
      </w:pPr>
      <w:r>
        <w:rPr>
          <w:rFonts w:ascii="仿宋_GB2312" w:eastAsia="仿宋_GB2312"/>
          <w:b/>
          <w:color w:val="auto"/>
          <w:sz w:val="32"/>
          <w:szCs w:val="32"/>
        </w:rPr>
        <w:t>2.</w:t>
      </w:r>
      <w:r>
        <w:rPr>
          <w:rFonts w:hint="eastAsia" w:ascii="仿宋_GB2312" w:eastAsia="仿宋_GB2312"/>
          <w:b/>
          <w:color w:val="auto"/>
          <w:sz w:val="32"/>
          <w:szCs w:val="32"/>
        </w:rPr>
        <w:t>公务用车购置及运行维护费支出</w:t>
      </w:r>
      <w:r>
        <w:rPr>
          <w:rFonts w:hint="eastAsia" w:ascii="仿宋_GB2312" w:eastAsia="仿宋_GB2312"/>
          <w:b/>
          <w:color w:val="auto"/>
          <w:sz w:val="32"/>
          <w:szCs w:val="32"/>
          <w:lang w:val="en-US" w:eastAsia="zh-CN"/>
        </w:rPr>
        <w:t>23.04</w:t>
      </w:r>
      <w:r>
        <w:rPr>
          <w:rFonts w:hint="eastAsia" w:ascii="仿宋_GB2312" w:eastAsia="仿宋_GB2312"/>
          <w:color w:val="auto"/>
          <w:sz w:val="32"/>
          <w:szCs w:val="32"/>
        </w:rPr>
        <w:t>万元,</w:t>
      </w:r>
      <w:r>
        <w:rPr>
          <w:rStyle w:val="18"/>
          <w:rFonts w:hint="eastAsia" w:ascii="仿宋" w:hAnsi="仿宋" w:eastAsia="仿宋"/>
          <w:b w:val="0"/>
          <w:bCs/>
          <w:color w:val="auto"/>
          <w:sz w:val="32"/>
          <w:szCs w:val="32"/>
          <w:lang w:eastAsia="zh-CN"/>
        </w:rPr>
        <w:t>等于</w:t>
      </w:r>
      <w:r>
        <w:rPr>
          <w:rStyle w:val="18"/>
          <w:rFonts w:hint="eastAsia" w:ascii="仿宋" w:hAnsi="仿宋" w:eastAsia="仿宋"/>
          <w:b w:val="0"/>
          <w:bCs/>
          <w:color w:val="auto"/>
          <w:sz w:val="32"/>
          <w:szCs w:val="32"/>
        </w:rPr>
        <w:t>预算。</w:t>
      </w:r>
      <w:r>
        <w:rPr>
          <w:rFonts w:hint="eastAsia" w:ascii="仿宋_GB2312" w:eastAsia="仿宋_GB2312"/>
          <w:color w:val="auto"/>
          <w:sz w:val="32"/>
          <w:szCs w:val="32"/>
        </w:rPr>
        <w:t>公务用车购置及运行维护费支出决算比</w:t>
      </w:r>
      <w:r>
        <w:rPr>
          <w:rFonts w:ascii="仿宋_GB2312" w:eastAsia="仿宋_GB2312"/>
          <w:color w:val="auto"/>
          <w:sz w:val="32"/>
          <w:szCs w:val="32"/>
        </w:rPr>
        <w:t>201</w:t>
      </w:r>
      <w:r>
        <w:rPr>
          <w:rFonts w:hint="eastAsia" w:ascii="仿宋_GB2312" w:eastAsia="仿宋_GB2312"/>
          <w:color w:val="auto"/>
          <w:sz w:val="32"/>
          <w:szCs w:val="32"/>
        </w:rPr>
        <w:t>9年</w:t>
      </w:r>
      <w:r>
        <w:rPr>
          <w:rFonts w:hint="eastAsia" w:ascii="仿宋_GB2312" w:eastAsia="仿宋_GB2312"/>
          <w:color w:val="auto"/>
          <w:sz w:val="32"/>
          <w:szCs w:val="32"/>
          <w:lang w:eastAsia="zh-CN"/>
        </w:rPr>
        <w:t>增加</w:t>
      </w:r>
      <w:r>
        <w:rPr>
          <w:rFonts w:hint="eastAsia" w:ascii="仿宋_GB2312" w:eastAsia="仿宋_GB2312"/>
          <w:color w:val="auto"/>
          <w:sz w:val="32"/>
          <w:szCs w:val="32"/>
          <w:lang w:val="en-US" w:eastAsia="zh-CN"/>
        </w:rPr>
        <w:t>5.71</w:t>
      </w:r>
      <w:r>
        <w:rPr>
          <w:rFonts w:hint="eastAsia" w:ascii="仿宋_GB2312" w:eastAsia="仿宋_GB2312"/>
          <w:color w:val="auto"/>
          <w:sz w:val="32"/>
          <w:szCs w:val="32"/>
        </w:rPr>
        <w:t>万元，</w:t>
      </w:r>
      <w:r>
        <w:rPr>
          <w:rFonts w:hint="eastAsia" w:ascii="仿宋_GB2312" w:eastAsia="仿宋_GB2312"/>
          <w:color w:val="auto"/>
          <w:sz w:val="32"/>
          <w:szCs w:val="32"/>
          <w:lang w:eastAsia="zh-CN"/>
        </w:rPr>
        <w:t>下降</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。主要原因</w:t>
      </w:r>
      <w:r>
        <w:rPr>
          <w:rFonts w:hint="eastAsia" w:ascii="仿宋_GB2312" w:eastAsia="仿宋_GB2312"/>
          <w:color w:val="auto"/>
          <w:sz w:val="32"/>
          <w:szCs w:val="32"/>
          <w:lang w:eastAsia="zh-CN"/>
        </w:rPr>
        <w:t>公务用车运行费减少</w:t>
      </w:r>
      <w:r>
        <w:rPr>
          <w:rFonts w:hint="eastAsia" w:ascii="仿宋_GB2312" w:eastAsia="仿宋_GB2312"/>
          <w:color w:val="auto"/>
          <w:sz w:val="32"/>
          <w:szCs w:val="32"/>
          <w:lang w:val="en-US" w:eastAsia="zh-CN"/>
        </w:rPr>
        <w:t>,按比例逐年递减</w:t>
      </w:r>
      <w:r>
        <w:rPr>
          <w:rFonts w:hint="eastAsia" w:ascii="仿宋_GB2312" w:eastAsia="仿宋_GB2312"/>
          <w:color w:val="auto"/>
          <w:sz w:val="32"/>
          <w:szCs w:val="32"/>
          <w:lang w:eastAsia="zh-CN"/>
        </w:rPr>
        <w:t>。</w:t>
      </w:r>
    </w:p>
    <w:p w14:paraId="25888B34">
      <w:pPr>
        <w:spacing w:line="600" w:lineRule="exact"/>
        <w:ind w:firstLine="640" w:firstLineChars="200"/>
        <w:rPr>
          <w:rFonts w:ascii="仿宋_GB2312" w:eastAsia="仿宋_GB2312"/>
          <w:b/>
          <w:color w:val="auto"/>
          <w:sz w:val="32"/>
          <w:szCs w:val="32"/>
        </w:rPr>
      </w:pPr>
      <w:r>
        <w:rPr>
          <w:rFonts w:hint="eastAsia" w:ascii="仿宋_GB2312" w:eastAsia="仿宋_GB2312"/>
          <w:color w:val="auto"/>
          <w:sz w:val="32"/>
          <w:szCs w:val="32"/>
        </w:rPr>
        <w:t>其中：</w:t>
      </w:r>
      <w:r>
        <w:rPr>
          <w:rFonts w:hint="eastAsia" w:ascii="仿宋_GB2312" w:eastAsia="仿宋_GB2312"/>
          <w:b/>
          <w:color w:val="auto"/>
          <w:sz w:val="32"/>
          <w:szCs w:val="32"/>
        </w:rPr>
        <w:t>公务用车购置支出</w:t>
      </w:r>
      <w:r>
        <w:rPr>
          <w:rFonts w:hint="eastAsia" w:ascii="仿宋_GB2312" w:eastAsia="仿宋_GB2312"/>
          <w:color w:val="auto"/>
          <w:sz w:val="32"/>
          <w:szCs w:val="32"/>
        </w:rPr>
        <w:t>0万元。全年按规定无公车购置。截至</w:t>
      </w:r>
      <w:r>
        <w:rPr>
          <w:rFonts w:ascii="仿宋_GB2312" w:eastAsia="仿宋_GB2312"/>
          <w:color w:val="auto"/>
          <w:sz w:val="32"/>
          <w:szCs w:val="32"/>
        </w:rPr>
        <w:t>20</w:t>
      </w:r>
      <w:r>
        <w:rPr>
          <w:rFonts w:hint="eastAsia" w:ascii="仿宋_GB2312" w:eastAsia="仿宋_GB2312"/>
          <w:color w:val="auto"/>
          <w:sz w:val="32"/>
          <w:szCs w:val="32"/>
        </w:rPr>
        <w:t>2020年</w:t>
      </w:r>
      <w:r>
        <w:rPr>
          <w:rFonts w:ascii="仿宋_GB2312" w:eastAsia="仿宋_GB2312"/>
          <w:color w:val="auto"/>
          <w:sz w:val="32"/>
          <w:szCs w:val="32"/>
        </w:rPr>
        <w:t>12</w:t>
      </w:r>
      <w:r>
        <w:rPr>
          <w:rFonts w:hint="eastAsia" w:ascii="仿宋_GB2312" w:eastAsia="仿宋_GB2312"/>
          <w:color w:val="auto"/>
          <w:sz w:val="32"/>
          <w:szCs w:val="32"/>
        </w:rPr>
        <w:t>月底，单位共有公务用车4辆，其中：轿车1辆、越野车3辆。</w:t>
      </w:r>
    </w:p>
    <w:p w14:paraId="5527E095">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23.04</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w:t>
      </w:r>
      <w:r>
        <w:rPr>
          <w:rFonts w:eastAsia="仿宋_GB2312"/>
          <w:color w:val="000000"/>
          <w:sz w:val="32"/>
          <w:szCs w:val="32"/>
        </w:rPr>
        <w:t>主要用于州总工会重点工作的开展，比如到基层县（市）总工会检查指导工作；用于困难职工深度帮扶、劳模春节慰问、劳动服务管理、经费审查等所需的公务用车燃料费、维修费、过路过桥费、保险费等支出</w:t>
      </w:r>
      <w:r>
        <w:rPr>
          <w:rFonts w:hint="eastAsia" w:eastAsia="仿宋_GB2312"/>
          <w:color w:val="000000"/>
          <w:sz w:val="32"/>
          <w:szCs w:val="32"/>
          <w:lang w:eastAsia="zh-CN"/>
        </w:rPr>
        <w:t>，公务用车使用时间较长，费用支出较大</w:t>
      </w:r>
      <w:r>
        <w:rPr>
          <w:rFonts w:hint="eastAsia" w:ascii="仿宋_GB2312" w:eastAsia="仿宋_GB2312"/>
          <w:color w:val="000000"/>
          <w:sz w:val="32"/>
          <w:szCs w:val="32"/>
        </w:rPr>
        <w:t>。</w:t>
      </w:r>
    </w:p>
    <w:p w14:paraId="1C14F795">
      <w:pPr>
        <w:spacing w:line="600" w:lineRule="exact"/>
        <w:ind w:firstLine="640"/>
        <w:rPr>
          <w:rFonts w:hint="default" w:ascii="仿宋_GB2312" w:eastAsia="仿宋_GB2312"/>
          <w:color w:val="000000" w:themeColor="text1"/>
          <w:sz w:val="32"/>
          <w:szCs w:val="32"/>
          <w:lang w:val="en-US" w:eastAsia="zh-CN"/>
          <w14:textFill>
            <w14:solidFill>
              <w14:schemeClr w14:val="tx1"/>
            </w14:solidFill>
          </w14:textFill>
        </w:rPr>
      </w:pPr>
      <w:r>
        <w:rPr>
          <w:rFonts w:ascii="仿宋_GB2312" w:eastAsia="仿宋_GB2312"/>
          <w:b/>
          <w:color w:val="auto"/>
          <w:sz w:val="32"/>
          <w:szCs w:val="32"/>
        </w:rPr>
        <w:t>3.</w:t>
      </w:r>
      <w:r>
        <w:rPr>
          <w:rFonts w:hint="eastAsia" w:ascii="仿宋_GB2312" w:eastAsia="仿宋_GB2312"/>
          <w:b/>
          <w:color w:val="auto"/>
          <w:sz w:val="32"/>
          <w:szCs w:val="32"/>
        </w:rPr>
        <w:t>公务接待费支出</w:t>
      </w:r>
      <w:r>
        <w:rPr>
          <w:rFonts w:hint="eastAsia" w:ascii="仿宋_GB2312" w:eastAsia="仿宋_GB2312"/>
          <w:color w:val="auto"/>
          <w:sz w:val="32"/>
          <w:szCs w:val="32"/>
        </w:rPr>
        <w:t>0.84万元，</w:t>
      </w:r>
      <w:r>
        <w:rPr>
          <w:rStyle w:val="18"/>
          <w:rFonts w:hint="eastAsia" w:ascii="仿宋" w:hAnsi="仿宋" w:eastAsia="仿宋"/>
          <w:b w:val="0"/>
          <w:bCs/>
          <w:color w:val="auto"/>
          <w:sz w:val="32"/>
          <w:szCs w:val="32"/>
        </w:rPr>
        <w:t>完成预算</w:t>
      </w:r>
      <w:r>
        <w:rPr>
          <w:rStyle w:val="18"/>
          <w:rFonts w:hint="eastAsia" w:ascii="仿宋" w:hAnsi="仿宋" w:eastAsia="仿宋"/>
          <w:b w:val="0"/>
          <w:bCs/>
          <w:color w:val="auto"/>
          <w:sz w:val="32"/>
          <w:szCs w:val="32"/>
          <w:lang w:val="en-US" w:eastAsia="zh-CN"/>
        </w:rPr>
        <w:t>69.42</w:t>
      </w:r>
      <w:r>
        <w:rPr>
          <w:rStyle w:val="18"/>
          <w:rFonts w:ascii="仿宋" w:hAnsi="仿宋" w:eastAsia="仿宋"/>
          <w:b w:val="0"/>
          <w:bCs/>
          <w:color w:val="auto"/>
          <w:sz w:val="32"/>
          <w:szCs w:val="32"/>
        </w:rPr>
        <w:t>%</w:t>
      </w:r>
      <w:r>
        <w:rPr>
          <w:rStyle w:val="18"/>
          <w:rFonts w:hint="eastAsia" w:ascii="仿宋" w:hAnsi="仿宋" w:eastAsia="仿宋"/>
          <w:b w:val="0"/>
          <w:bCs/>
          <w:color w:val="auto"/>
          <w:sz w:val="32"/>
          <w:szCs w:val="32"/>
        </w:rPr>
        <w:t>。</w:t>
      </w:r>
      <w:r>
        <w:rPr>
          <w:rFonts w:hint="eastAsia" w:ascii="仿宋_GB2312" w:eastAsia="仿宋_GB2312"/>
          <w:color w:val="auto"/>
          <w:sz w:val="32"/>
          <w:szCs w:val="32"/>
        </w:rPr>
        <w:t>公务接待费支出决算比</w:t>
      </w:r>
      <w:r>
        <w:rPr>
          <w:rFonts w:ascii="仿宋_GB2312" w:eastAsia="仿宋_GB2312"/>
          <w:color w:val="auto"/>
          <w:sz w:val="32"/>
          <w:szCs w:val="32"/>
        </w:rPr>
        <w:t>201</w:t>
      </w:r>
      <w:r>
        <w:rPr>
          <w:rFonts w:hint="eastAsia" w:ascii="仿宋_GB2312" w:eastAsia="仿宋_GB2312"/>
          <w:color w:val="auto"/>
          <w:sz w:val="32"/>
          <w:szCs w:val="32"/>
        </w:rPr>
        <w:t>9年增加0.43万元，增长104.88</w:t>
      </w:r>
      <w:r>
        <w:rPr>
          <w:rFonts w:ascii="仿宋_GB2312" w:eastAsia="仿宋_GB2312"/>
          <w:color w:val="auto"/>
          <w:sz w:val="32"/>
          <w:szCs w:val="32"/>
        </w:rPr>
        <w:t>%</w:t>
      </w:r>
      <w:r>
        <w:rPr>
          <w:rFonts w:hint="eastAsia" w:ascii="仿宋_GB2312" w:eastAsia="仿宋_GB2312"/>
          <w:color w:val="auto"/>
          <w:sz w:val="32"/>
          <w:szCs w:val="32"/>
        </w:rPr>
        <w:t>。</w:t>
      </w:r>
      <w:r>
        <w:rPr>
          <w:rFonts w:hint="eastAsia" w:ascii="仿宋_GB2312" w:eastAsia="仿宋_GB2312"/>
          <w:color w:val="000000" w:themeColor="text1"/>
          <w:sz w:val="32"/>
          <w:szCs w:val="32"/>
          <w14:textFill>
            <w14:solidFill>
              <w14:schemeClr w14:val="tx1"/>
            </w14:solidFill>
          </w14:textFill>
        </w:rPr>
        <w:t>主要原因是</w:t>
      </w:r>
      <w:r>
        <w:rPr>
          <w:rFonts w:hint="eastAsia" w:ascii="仿宋_GB2312" w:eastAsia="仿宋_GB2312"/>
          <w:color w:val="000000" w:themeColor="text1"/>
          <w:sz w:val="32"/>
          <w:szCs w:val="32"/>
          <w:lang w:eastAsia="zh-CN"/>
          <w14:textFill>
            <w14:solidFill>
              <w14:schemeClr w14:val="tx1"/>
            </w14:solidFill>
          </w14:textFill>
        </w:rPr>
        <w:t>接待省总财务调研，浙江援建工作调研。</w:t>
      </w:r>
    </w:p>
    <w:p w14:paraId="6B57A496">
      <w:pPr>
        <w:spacing w:line="600" w:lineRule="exact"/>
        <w:ind w:firstLine="643" w:firstLineChars="200"/>
        <w:outlineLvl w:val="1"/>
        <w:rPr>
          <w:rStyle w:val="30"/>
          <w:rFonts w:ascii="黑体" w:hAnsi="黑体" w:eastAsia="黑体"/>
          <w:b/>
          <w:bCs/>
        </w:rPr>
      </w:pPr>
      <w:bookmarkStart w:id="44" w:name="_Toc15396610"/>
      <w:bookmarkStart w:id="45" w:name="_Toc15377218"/>
      <w:r>
        <w:rPr>
          <w:rFonts w:hint="eastAsia" w:ascii="黑体" w:eastAsia="黑体"/>
          <w:b/>
          <w:bCs/>
          <w:color w:val="000000"/>
          <w:sz w:val="32"/>
          <w:szCs w:val="32"/>
        </w:rPr>
        <w:t>八、</w:t>
      </w:r>
      <w:r>
        <w:rPr>
          <w:rStyle w:val="30"/>
          <w:rFonts w:hint="eastAsia" w:ascii="黑体" w:hAnsi="黑体" w:eastAsia="黑体"/>
          <w:b/>
          <w:bCs/>
        </w:rPr>
        <w:t>政府性基金预算支出决算情况说明</w:t>
      </w:r>
      <w:bookmarkEnd w:id="44"/>
      <w:bookmarkEnd w:id="45"/>
    </w:p>
    <w:p w14:paraId="659B903F">
      <w:pPr>
        <w:spacing w:line="600" w:lineRule="exact"/>
        <w:ind w:firstLine="64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20年政府性基金预算拨款支出无。</w:t>
      </w:r>
    </w:p>
    <w:p w14:paraId="304E348D">
      <w:pPr>
        <w:spacing w:line="600" w:lineRule="exact"/>
        <w:ind w:firstLine="643" w:firstLineChars="200"/>
        <w:outlineLvl w:val="1"/>
        <w:rPr>
          <w:rStyle w:val="30"/>
          <w:rFonts w:ascii="黑体" w:hAnsi="黑体" w:eastAsia="黑体"/>
          <w:b/>
          <w:bCs w:val="0"/>
        </w:rPr>
      </w:pPr>
      <w:bookmarkStart w:id="46" w:name="_Toc15377219"/>
      <w:bookmarkStart w:id="47" w:name="_Toc15396611"/>
      <w:r>
        <w:rPr>
          <w:rStyle w:val="30"/>
          <w:rFonts w:hint="eastAsia" w:ascii="黑体" w:hAnsi="黑体" w:eastAsia="黑体"/>
          <w:b/>
          <w:bCs w:val="0"/>
        </w:rPr>
        <w:t>九、国有资本经营预算支出决算情况说明</w:t>
      </w:r>
      <w:bookmarkEnd w:id="46"/>
      <w:bookmarkEnd w:id="47"/>
    </w:p>
    <w:p w14:paraId="18F61EE9">
      <w:pPr>
        <w:spacing w:line="600" w:lineRule="exact"/>
        <w:ind w:firstLine="64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20年国有资本经营预算拨款支出无。</w:t>
      </w:r>
    </w:p>
    <w:p w14:paraId="6F29D3B2">
      <w:pPr>
        <w:spacing w:line="600" w:lineRule="exact"/>
        <w:ind w:firstLine="803" w:firstLineChars="250"/>
        <w:outlineLvl w:val="1"/>
        <w:rPr>
          <w:rStyle w:val="30"/>
          <w:rFonts w:ascii="黑体" w:hAnsi="黑体" w:eastAsia="黑体"/>
          <w:b/>
          <w:bCs/>
        </w:rPr>
      </w:pPr>
      <w:r>
        <w:rPr>
          <w:rFonts w:hint="eastAsia" w:ascii="黑体" w:hAnsi="黑体" w:eastAsia="黑体"/>
          <w:b/>
          <w:bCs/>
          <w:color w:val="000000"/>
          <w:sz w:val="32"/>
          <w:szCs w:val="32"/>
        </w:rPr>
        <w:t>十</w:t>
      </w:r>
      <w:r>
        <w:rPr>
          <w:rStyle w:val="30"/>
          <w:rFonts w:hint="eastAsia" w:ascii="黑体" w:hAnsi="黑体" w:eastAsia="黑体"/>
          <w:b/>
          <w:bCs/>
        </w:rPr>
        <w:t>、其他重要事项的情况说明</w:t>
      </w:r>
    </w:p>
    <w:p w14:paraId="35948773">
      <w:pPr>
        <w:spacing w:line="600" w:lineRule="exact"/>
        <w:ind w:firstLine="643" w:firstLineChars="200"/>
        <w:outlineLvl w:val="2"/>
        <w:rPr>
          <w:rFonts w:ascii="仿宋" w:hAnsi="仿宋" w:eastAsia="仿宋"/>
          <w:color w:val="000000"/>
          <w:sz w:val="32"/>
          <w:szCs w:val="32"/>
        </w:rPr>
      </w:pPr>
      <w:r>
        <w:rPr>
          <w:rFonts w:hint="eastAsia" w:ascii="仿宋" w:hAnsi="仿宋" w:eastAsia="仿宋"/>
          <w:b/>
          <w:color w:val="000000"/>
          <w:sz w:val="32"/>
          <w:szCs w:val="32"/>
        </w:rPr>
        <w:t>（一）机关运行经费支出情况</w:t>
      </w:r>
    </w:p>
    <w:p w14:paraId="3A335D60">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auto"/>
          <w:sz w:val="32"/>
          <w:szCs w:val="32"/>
        </w:rPr>
        <w:t>20</w:t>
      </w:r>
      <w:r>
        <w:rPr>
          <w:rFonts w:hint="eastAsia" w:ascii="仿宋_GB2312" w:eastAsia="仿宋_GB2312"/>
          <w:color w:val="auto"/>
          <w:sz w:val="32"/>
          <w:szCs w:val="32"/>
        </w:rPr>
        <w:t>20年，阿坝州总工会机关运行经费支出69.07万元，比</w:t>
      </w:r>
      <w:r>
        <w:rPr>
          <w:rFonts w:ascii="仿宋_GB2312" w:eastAsia="仿宋_GB2312"/>
          <w:color w:val="auto"/>
          <w:sz w:val="32"/>
          <w:szCs w:val="32"/>
        </w:rPr>
        <w:t>201</w:t>
      </w:r>
      <w:r>
        <w:rPr>
          <w:rFonts w:hint="eastAsia" w:ascii="仿宋_GB2312" w:eastAsia="仿宋_GB2312"/>
          <w:color w:val="auto"/>
          <w:sz w:val="32"/>
          <w:szCs w:val="32"/>
        </w:rPr>
        <w:t>9年增加1.11万元，增长1.63</w:t>
      </w:r>
      <w:r>
        <w:rPr>
          <w:rFonts w:ascii="仿宋_GB2312" w:eastAsia="仿宋_GB2312"/>
          <w:color w:val="auto"/>
          <w:sz w:val="32"/>
          <w:szCs w:val="32"/>
        </w:rPr>
        <w:t>%</w:t>
      </w:r>
      <w:r>
        <w:rPr>
          <w:rFonts w:hint="eastAsia" w:ascii="仿宋_GB2312" w:eastAsia="仿宋_GB2312"/>
          <w:color w:val="auto"/>
          <w:sz w:val="32"/>
          <w:szCs w:val="32"/>
        </w:rPr>
        <w:t>。</w:t>
      </w:r>
      <w:r>
        <w:rPr>
          <w:rFonts w:hint="eastAsia" w:ascii="仿宋_GB2312" w:eastAsia="仿宋_GB2312"/>
          <w:color w:val="000000" w:themeColor="text1"/>
          <w:sz w:val="32"/>
          <w:szCs w:val="32"/>
          <w14:textFill>
            <w14:solidFill>
              <w14:schemeClr w14:val="tx1"/>
            </w14:solidFill>
          </w14:textFill>
        </w:rPr>
        <w:t>主要原因是</w:t>
      </w:r>
      <w:r>
        <w:rPr>
          <w:rFonts w:hint="eastAsia" w:ascii="仿宋_GB2312" w:eastAsia="仿宋_GB2312"/>
          <w:color w:val="000000" w:themeColor="text1"/>
          <w:sz w:val="32"/>
          <w:szCs w:val="32"/>
          <w:lang w:eastAsia="zh-CN"/>
          <w14:textFill>
            <w14:solidFill>
              <w14:schemeClr w14:val="tx1"/>
            </w14:solidFill>
          </w14:textFill>
        </w:rPr>
        <w:t>水电费、邮政费等支出比</w:t>
      </w:r>
      <w:r>
        <w:rPr>
          <w:rFonts w:hint="eastAsia" w:ascii="仿宋_GB2312" w:eastAsia="仿宋_GB2312"/>
          <w:color w:val="000000" w:themeColor="text1"/>
          <w:sz w:val="32"/>
          <w:szCs w:val="32"/>
          <w:lang w:val="en-US" w:eastAsia="zh-CN"/>
          <w14:textFill>
            <w14:solidFill>
              <w14:schemeClr w14:val="tx1"/>
            </w14:solidFill>
          </w14:textFill>
        </w:rPr>
        <w:t>2019年增加</w:t>
      </w:r>
      <w:r>
        <w:rPr>
          <w:rFonts w:hint="eastAsia" w:ascii="仿宋_GB2312" w:eastAsia="仿宋_GB2312"/>
          <w:color w:val="000000" w:themeColor="text1"/>
          <w:sz w:val="32"/>
          <w:szCs w:val="32"/>
          <w14:textFill>
            <w14:solidFill>
              <w14:schemeClr w14:val="tx1"/>
            </w14:solidFill>
          </w14:textFill>
        </w:rPr>
        <w:t>。</w:t>
      </w:r>
    </w:p>
    <w:p w14:paraId="7F5F851B">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（二）政府采购支出情况</w:t>
      </w:r>
    </w:p>
    <w:p w14:paraId="2BEAFD41">
      <w:pPr>
        <w:spacing w:line="600" w:lineRule="exact"/>
        <w:ind w:firstLine="640" w:firstLineChars="200"/>
        <w:rPr>
          <w:rFonts w:ascii="仿宋" w:hAnsi="仿宋" w:eastAsia="仿宋_GB2312"/>
          <w:b/>
          <w:color w:val="auto"/>
          <w:sz w:val="32"/>
          <w:szCs w:val="32"/>
        </w:rPr>
      </w:pPr>
      <w:r>
        <w:rPr>
          <w:rFonts w:ascii="仿宋_GB2312" w:eastAsia="仿宋_GB2312"/>
          <w:color w:val="auto"/>
          <w:sz w:val="32"/>
          <w:szCs w:val="32"/>
        </w:rPr>
        <w:t>20</w:t>
      </w:r>
      <w:r>
        <w:rPr>
          <w:rFonts w:hint="eastAsia" w:ascii="仿宋_GB2312" w:eastAsia="仿宋_GB2312"/>
          <w:color w:val="auto"/>
          <w:sz w:val="32"/>
          <w:szCs w:val="32"/>
        </w:rPr>
        <w:t>20年，州总工会政府采购支出无，</w:t>
      </w:r>
      <w:r>
        <w:rPr>
          <w:rFonts w:eastAsia="仿宋_GB2312"/>
          <w:color w:val="auto"/>
          <w:sz w:val="32"/>
          <w:szCs w:val="32"/>
        </w:rPr>
        <w:t>其中：政府采购货物支出</w:t>
      </w:r>
      <w:r>
        <w:rPr>
          <w:rFonts w:hint="eastAsia" w:eastAsia="仿宋_GB2312"/>
          <w:color w:val="auto"/>
          <w:sz w:val="32"/>
          <w:szCs w:val="32"/>
        </w:rPr>
        <w:t>无</w:t>
      </w:r>
      <w:r>
        <w:rPr>
          <w:rFonts w:eastAsia="仿宋_GB2312"/>
          <w:color w:val="auto"/>
          <w:sz w:val="32"/>
          <w:szCs w:val="32"/>
        </w:rPr>
        <w:t>、政府采购工程支出</w:t>
      </w:r>
      <w:r>
        <w:rPr>
          <w:rFonts w:hint="eastAsia" w:eastAsia="仿宋_GB2312"/>
          <w:color w:val="auto"/>
          <w:sz w:val="32"/>
          <w:szCs w:val="32"/>
        </w:rPr>
        <w:t>无</w:t>
      </w:r>
      <w:r>
        <w:rPr>
          <w:rFonts w:eastAsia="仿宋_GB2312"/>
          <w:color w:val="auto"/>
          <w:sz w:val="32"/>
          <w:szCs w:val="32"/>
        </w:rPr>
        <w:t>、政府采购服务支出</w:t>
      </w:r>
      <w:r>
        <w:rPr>
          <w:rFonts w:hint="eastAsia" w:eastAsia="仿宋_GB2312"/>
          <w:color w:val="auto"/>
          <w:sz w:val="32"/>
          <w:szCs w:val="32"/>
        </w:rPr>
        <w:t>无</w:t>
      </w:r>
      <w:r>
        <w:rPr>
          <w:rFonts w:eastAsia="仿宋_GB2312"/>
          <w:color w:val="auto"/>
          <w:sz w:val="32"/>
          <w:szCs w:val="32"/>
        </w:rPr>
        <w:t>。</w:t>
      </w:r>
      <w:r>
        <w:rPr>
          <w:rFonts w:hint="eastAsia" w:ascii="仿宋_GB2312" w:eastAsia="仿宋_GB2312"/>
          <w:color w:val="auto"/>
          <w:sz w:val="32"/>
          <w:szCs w:val="32"/>
        </w:rPr>
        <w:t>因工会资产属于工会管理使用，故未申请财政资金采购。</w:t>
      </w:r>
    </w:p>
    <w:p w14:paraId="476A4EFD">
      <w:pPr>
        <w:autoSpaceDE w:val="0"/>
        <w:autoSpaceDN w:val="0"/>
        <w:adjustRightInd w:val="0"/>
        <w:spacing w:line="600" w:lineRule="exact"/>
        <w:ind w:firstLine="643" w:firstLineChars="200"/>
        <w:jc w:val="left"/>
        <w:outlineLvl w:val="2"/>
        <w:rPr>
          <w:rFonts w:ascii="仿宋" w:hAnsi="仿宋" w:eastAsia="仿宋"/>
          <w:b/>
          <w:color w:val="auto"/>
          <w:sz w:val="32"/>
          <w:szCs w:val="32"/>
        </w:rPr>
      </w:pPr>
      <w:r>
        <w:rPr>
          <w:rFonts w:hint="eastAsia" w:ascii="仿宋" w:hAnsi="仿宋" w:eastAsia="仿宋"/>
          <w:b/>
          <w:color w:val="auto"/>
          <w:sz w:val="32"/>
          <w:szCs w:val="32"/>
        </w:rPr>
        <w:t>（三）国有资产占有使用情况</w:t>
      </w:r>
    </w:p>
    <w:p w14:paraId="3A31F5C0">
      <w:pPr>
        <w:autoSpaceDE w:val="0"/>
        <w:autoSpaceDN w:val="0"/>
        <w:adjustRightInd w:val="0"/>
        <w:spacing w:line="600" w:lineRule="exact"/>
        <w:ind w:firstLine="640" w:firstLineChars="200"/>
        <w:jc w:val="left"/>
        <w:rPr>
          <w:rFonts w:ascii="仿宋_GB2312" w:eastAsia="仿宋_GB2312"/>
          <w:color w:val="auto"/>
          <w:sz w:val="32"/>
          <w:szCs w:val="32"/>
        </w:rPr>
      </w:pPr>
      <w:r>
        <w:rPr>
          <w:rFonts w:hint="eastAsia" w:ascii="仿宋_GB2312" w:eastAsia="仿宋_GB2312"/>
          <w:color w:val="auto"/>
          <w:sz w:val="32"/>
          <w:szCs w:val="32"/>
        </w:rPr>
        <w:t>截至</w:t>
      </w:r>
      <w:r>
        <w:rPr>
          <w:rFonts w:ascii="仿宋_GB2312" w:eastAsia="仿宋_GB2312"/>
          <w:color w:val="auto"/>
          <w:sz w:val="32"/>
          <w:szCs w:val="32"/>
        </w:rPr>
        <w:t>20</w:t>
      </w:r>
      <w:r>
        <w:rPr>
          <w:rFonts w:hint="eastAsia" w:ascii="仿宋_GB2312" w:eastAsia="仿宋_GB2312"/>
          <w:color w:val="auto"/>
          <w:sz w:val="32"/>
          <w:szCs w:val="32"/>
        </w:rPr>
        <w:t>20年</w:t>
      </w:r>
      <w:r>
        <w:rPr>
          <w:rFonts w:ascii="仿宋_GB2312" w:eastAsia="仿宋_GB2312"/>
          <w:color w:val="auto"/>
          <w:sz w:val="32"/>
          <w:szCs w:val="32"/>
        </w:rPr>
        <w:t>12</w:t>
      </w:r>
      <w:r>
        <w:rPr>
          <w:rFonts w:hint="eastAsia" w:ascii="仿宋_GB2312" w:eastAsia="仿宋_GB2312"/>
          <w:color w:val="auto"/>
          <w:sz w:val="32"/>
          <w:szCs w:val="32"/>
        </w:rPr>
        <w:t>月</w:t>
      </w:r>
      <w:r>
        <w:rPr>
          <w:rFonts w:ascii="仿宋_GB2312" w:eastAsia="仿宋_GB2312"/>
          <w:color w:val="auto"/>
          <w:sz w:val="32"/>
          <w:szCs w:val="32"/>
        </w:rPr>
        <w:t>31</w:t>
      </w:r>
      <w:r>
        <w:rPr>
          <w:rFonts w:hint="eastAsia" w:ascii="仿宋_GB2312" w:eastAsia="仿宋_GB2312"/>
          <w:color w:val="auto"/>
          <w:sz w:val="32"/>
          <w:szCs w:val="32"/>
        </w:rPr>
        <w:t>日，</w:t>
      </w:r>
      <w:r>
        <w:rPr>
          <w:rFonts w:eastAsia="仿宋_GB2312"/>
          <w:color w:val="auto"/>
          <w:sz w:val="32"/>
          <w:szCs w:val="32"/>
        </w:rPr>
        <w:t>阿坝州总工会公有车辆4辆，其中：州级领导干部用车</w:t>
      </w:r>
      <w:r>
        <w:rPr>
          <w:rFonts w:hint="eastAsia" w:eastAsia="仿宋_GB2312"/>
          <w:color w:val="auto"/>
          <w:sz w:val="32"/>
          <w:szCs w:val="32"/>
        </w:rPr>
        <w:t>0</w:t>
      </w:r>
      <w:r>
        <w:rPr>
          <w:rFonts w:eastAsia="仿宋_GB2312"/>
          <w:color w:val="auto"/>
          <w:sz w:val="32"/>
          <w:szCs w:val="32"/>
        </w:rPr>
        <w:t>辆、一般公务用车</w:t>
      </w:r>
      <w:r>
        <w:rPr>
          <w:rFonts w:hint="eastAsia" w:eastAsia="仿宋_GB2312"/>
          <w:color w:val="auto"/>
          <w:sz w:val="32"/>
          <w:szCs w:val="32"/>
        </w:rPr>
        <w:t>4</w:t>
      </w:r>
      <w:r>
        <w:rPr>
          <w:rFonts w:eastAsia="仿宋_GB2312"/>
          <w:color w:val="auto"/>
          <w:sz w:val="32"/>
          <w:szCs w:val="32"/>
        </w:rPr>
        <w:t>辆；单价50万元以上通用设备</w:t>
      </w:r>
      <w:r>
        <w:rPr>
          <w:rFonts w:hint="eastAsia" w:eastAsia="仿宋_GB2312"/>
          <w:color w:val="auto"/>
          <w:sz w:val="32"/>
          <w:szCs w:val="32"/>
        </w:rPr>
        <w:t>无</w:t>
      </w:r>
      <w:r>
        <w:rPr>
          <w:rFonts w:eastAsia="仿宋_GB2312"/>
          <w:color w:val="auto"/>
          <w:sz w:val="32"/>
          <w:szCs w:val="32"/>
        </w:rPr>
        <w:t>，单价100万元以上专用设备</w:t>
      </w:r>
      <w:r>
        <w:rPr>
          <w:rFonts w:hint="eastAsia" w:eastAsia="仿宋_GB2312"/>
          <w:color w:val="auto"/>
          <w:sz w:val="32"/>
          <w:szCs w:val="32"/>
        </w:rPr>
        <w:t>无</w:t>
      </w:r>
      <w:r>
        <w:rPr>
          <w:rFonts w:eastAsia="仿宋_GB2312"/>
          <w:color w:val="auto"/>
          <w:sz w:val="32"/>
          <w:szCs w:val="32"/>
        </w:rPr>
        <w:t>。</w:t>
      </w:r>
    </w:p>
    <w:p w14:paraId="3A1C95B6">
      <w:pPr>
        <w:spacing w:line="580" w:lineRule="exact"/>
        <w:ind w:firstLine="643" w:firstLineChars="200"/>
        <w:rPr>
          <w:rFonts w:ascii="黑体" w:hAnsi="黑体" w:eastAsia="黑体" w:cstheme="majorBidi"/>
          <w:b/>
          <w:bCs w:val="0"/>
          <w:sz w:val="32"/>
          <w:szCs w:val="32"/>
        </w:rPr>
      </w:pPr>
      <w:r>
        <w:rPr>
          <w:rStyle w:val="30"/>
          <w:rFonts w:hint="eastAsia" w:ascii="黑体" w:hAnsi="黑体" w:eastAsia="黑体"/>
          <w:b/>
          <w:bCs w:val="0"/>
        </w:rPr>
        <w:t>（四）预算绩效情况说明</w:t>
      </w:r>
    </w:p>
    <w:p w14:paraId="04F28E5B">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单位）在年初预算编制阶段，组织对特困职工深度帮扶项目开展了预算事前绩效评估，对7个项目编制了绩效目标，预算执行过程中，选取5个项目开展绩效监控，年终执行完毕后，对5个项目开展了绩效目标完成情况自评。</w:t>
      </w:r>
    </w:p>
    <w:p w14:paraId="4EA95225">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本部门按要求对2020年部门整体支出开展绩效自评，从评价情况来看</w:t>
      </w:r>
      <w:r>
        <w:rPr>
          <w:rFonts w:hint="eastAsia" w:ascii="仿宋_GB2312" w:hAnsi="仿宋_GB2312" w:eastAsia="仿宋_GB2312" w:cs="仿宋_GB2312"/>
          <w:bCs/>
          <w:spacing w:val="-2"/>
          <w:sz w:val="32"/>
          <w:szCs w:val="32"/>
        </w:rPr>
        <w:t>预算执行情况良好，无不良记录及违规违纪行为，预算支出和决算支出情况相符</w:t>
      </w:r>
      <w:r>
        <w:rPr>
          <w:rFonts w:hint="eastAsia" w:ascii="仿宋_GB2312" w:hAnsi="仿宋_GB2312" w:eastAsia="仿宋_GB2312" w:cs="仿宋_GB2312"/>
          <w:sz w:val="32"/>
          <w:szCs w:val="32"/>
        </w:rPr>
        <w:t>。本部门还自行组织了7个项目绩效评价，从评价情况来看,</w:t>
      </w:r>
      <w:r>
        <w:rPr>
          <w:rFonts w:hint="eastAsia" w:ascii="仿宋_GB2312" w:hAnsi="仿宋_GB2312" w:eastAsia="仿宋_GB2312" w:cs="仿宋_GB2312"/>
          <w:bCs/>
          <w:spacing w:val="-2"/>
          <w:sz w:val="32"/>
          <w:szCs w:val="32"/>
        </w:rPr>
        <w:t>项目支出用于保障我会各项职能职责充分发挥，完善设备设施建设、完善监督职责等产生的各类专项费用</w:t>
      </w:r>
      <w:r>
        <w:rPr>
          <w:rFonts w:hint="eastAsia" w:ascii="仿宋_GB2312" w:hAnsi="仿宋_GB2312" w:eastAsia="仿宋_GB2312" w:cs="仿宋_GB2312"/>
          <w:sz w:val="32"/>
          <w:szCs w:val="32"/>
        </w:rPr>
        <w:t>。</w:t>
      </w:r>
    </w:p>
    <w:p w14:paraId="695E4043">
      <w:pPr>
        <w:numPr>
          <w:ilvl w:val="0"/>
          <w:numId w:val="3"/>
        </w:numPr>
        <w:spacing w:line="580" w:lineRule="exact"/>
        <w:ind w:firstLine="790" w:firstLineChars="246"/>
        <w:rPr>
          <w:rFonts w:hint="eastAsia" w:ascii="仿宋" w:hAnsi="仿宋" w:eastAsia="仿宋" w:cs="楷体_GB2312"/>
          <w:b/>
          <w:bCs/>
          <w:sz w:val="32"/>
          <w:szCs w:val="32"/>
        </w:rPr>
      </w:pPr>
      <w:r>
        <w:rPr>
          <w:rFonts w:hint="eastAsia" w:ascii="仿宋" w:hAnsi="仿宋" w:eastAsia="仿宋" w:cs="楷体_GB2312"/>
          <w:b/>
          <w:bCs/>
          <w:sz w:val="32"/>
          <w:szCs w:val="32"/>
        </w:rPr>
        <w:t>项目绩效目标完成情况。</w:t>
      </w:r>
    </w:p>
    <w:p w14:paraId="04CD4581">
      <w:pPr>
        <w:numPr>
          <w:ilvl w:val="0"/>
          <w:numId w:val="0"/>
        </w:num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本部门在2020年度部门决算中反映“特困职工深度帮扶</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、“州级劳模专项资金”等7个项目绩效目标实际完成情况。</w:t>
      </w:r>
    </w:p>
    <w:p w14:paraId="0BEE6C28">
      <w:pPr>
        <w:tabs>
          <w:tab w:val="left" w:pos="312"/>
        </w:tabs>
        <w:spacing w:line="580" w:lineRule="exact"/>
        <w:ind w:firstLine="480" w:firstLineChars="1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themeColor="text1"/>
          <w:sz w:val="32"/>
          <w:szCs w:val="32"/>
          <w14:textFill>
            <w14:solidFill>
              <w14:schemeClr w14:val="tx1"/>
            </w14:solidFill>
          </w14:textFill>
        </w:rPr>
        <w:t>工会专项业务经费项</w:t>
      </w:r>
      <w:r>
        <w:rPr>
          <w:rFonts w:hint="eastAsia" w:ascii="仿宋_GB2312" w:hAnsi="仿宋_GB2312" w:eastAsia="仿宋_GB2312" w:cs="仿宋_GB2312"/>
          <w:sz w:val="32"/>
          <w:szCs w:val="32"/>
        </w:rPr>
        <w:t>目绩效目标完成情况综述。项目全年预算数30万元，执行数为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未</w:t>
      </w:r>
      <w:r>
        <w:rPr>
          <w:rFonts w:hint="eastAsia" w:ascii="仿宋_GB2312" w:hAnsi="仿宋_GB2312" w:eastAsia="仿宋_GB2312" w:cs="仿宋_GB2312"/>
          <w:sz w:val="32"/>
          <w:szCs w:val="32"/>
        </w:rPr>
        <w:t>完成预算</w:t>
      </w:r>
      <w:r>
        <w:rPr>
          <w:rFonts w:hint="eastAsia" w:ascii="仿宋_GB2312" w:hAnsi="仿宋_GB2312" w:eastAsia="仿宋_GB2312" w:cs="仿宋_GB2312"/>
          <w:sz w:val="32"/>
          <w:szCs w:val="32"/>
          <w:lang w:eastAsia="zh-CN"/>
        </w:rPr>
        <w:t>原因：州财政已将预算安排给常委单位使用，故工会不再安排。</w:t>
      </w:r>
    </w:p>
    <w:p w14:paraId="4A3694DD">
      <w:pPr>
        <w:tabs>
          <w:tab w:val="left" w:pos="312"/>
        </w:tabs>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特困职工</w:t>
      </w:r>
      <w:r>
        <w:rPr>
          <w:rStyle w:val="33"/>
          <w:rFonts w:hint="eastAsia"/>
          <w:b w:val="0"/>
        </w:rPr>
        <w:t>深度帮扶行动专项资金项目绩效目标完成情况综述。项目全年</w:t>
      </w:r>
      <w:r>
        <w:rPr>
          <w:rFonts w:hint="eastAsia" w:ascii="仿宋_GB2312" w:hAnsi="仿宋_GB2312" w:eastAsia="仿宋_GB2312" w:cs="仿宋_GB2312"/>
          <w:sz w:val="32"/>
          <w:szCs w:val="32"/>
        </w:rPr>
        <w:t>预算数100万元，</w:t>
      </w:r>
      <w:r>
        <w:rPr>
          <w:rFonts w:hint="eastAsia" w:ascii="仿宋_GB2312" w:hAnsi="仿宋_GB2312" w:eastAsia="仿宋_GB2312" w:cs="仿宋_GB2312"/>
          <w:color w:val="000000" w:themeColor="text1"/>
          <w:sz w:val="32"/>
          <w:szCs w:val="32"/>
          <w14:textFill>
            <w14:solidFill>
              <w14:schemeClr w14:val="tx1"/>
            </w14:solidFill>
          </w14:textFill>
        </w:rPr>
        <w:t>执行数为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82</w:t>
      </w:r>
      <w:r>
        <w:rPr>
          <w:rFonts w:hint="eastAsia" w:ascii="仿宋_GB2312" w:hAnsi="仿宋_GB2312" w:eastAsia="仿宋_GB2312" w:cs="仿宋_GB2312"/>
          <w:color w:val="000000" w:themeColor="text1"/>
          <w:sz w:val="32"/>
          <w:szCs w:val="32"/>
          <w14:textFill>
            <w14:solidFill>
              <w14:schemeClr w14:val="tx1"/>
            </w14:solidFill>
          </w14:textFill>
        </w:rPr>
        <w:t>万元，</w:t>
      </w:r>
      <w:r>
        <w:rPr>
          <w:rFonts w:hint="eastAsia" w:ascii="仿宋_GB2312" w:hAnsi="仿宋_GB2312" w:eastAsia="仿宋_GB2312" w:cs="仿宋_GB2312"/>
          <w:sz w:val="32"/>
          <w:szCs w:val="32"/>
        </w:rPr>
        <w:t>完成预算的</w:t>
      </w:r>
      <w:r>
        <w:rPr>
          <w:rFonts w:hint="eastAsia" w:ascii="仿宋_GB2312" w:hAnsi="仿宋_GB2312" w:eastAsia="仿宋_GB2312" w:cs="仿宋_GB2312"/>
          <w:sz w:val="32"/>
          <w:szCs w:val="32"/>
          <w:lang w:val="en-US" w:eastAsia="zh-CN"/>
        </w:rPr>
        <w:t>0.82</w:t>
      </w:r>
      <w:r>
        <w:rPr>
          <w:rFonts w:hint="eastAsia" w:ascii="仿宋_GB2312" w:hAnsi="仿宋_GB2312" w:eastAsia="仿宋_GB2312" w:cs="仿宋_GB2312"/>
          <w:sz w:val="32"/>
          <w:szCs w:val="32"/>
        </w:rPr>
        <w:t>%。通过项目实施，充分体现党委政府及工会组织对全州困难职工群体的关心关爱,保障特困职工深度帮扶救助活动，帮助困难职工家庭缓解基本生活困难，努力把职工的困难解决在基层。发现的主要问题：走下去，多到基层实施走访慰问。下一步改进措施：把矛盾化解在萌芽状态，确保每位困难职工能够生活安定，维护社会和谐稳定</w:t>
      </w:r>
      <w:r>
        <w:rPr>
          <w:rFonts w:hint="eastAsia" w:ascii="仿宋_GB2312" w:hAnsi="仿宋_GB2312" w:eastAsia="仿宋_GB2312" w:cs="仿宋_GB2312"/>
          <w:sz w:val="32"/>
          <w:szCs w:val="32"/>
          <w:lang w:eastAsia="zh-CN"/>
        </w:rPr>
        <w:t>，未完成预算的原因是：部分申报的特困职工深度帮扶的人员，不符合帮扶标准和对象</w:t>
      </w:r>
      <w:r>
        <w:rPr>
          <w:rFonts w:hint="eastAsia" w:ascii="仿宋_GB2312" w:hAnsi="仿宋_GB2312" w:eastAsia="仿宋_GB2312" w:cs="仿宋_GB2312"/>
          <w:sz w:val="32"/>
          <w:szCs w:val="32"/>
        </w:rPr>
        <w:t>。</w:t>
      </w:r>
    </w:p>
    <w:p w14:paraId="0AA690EE">
      <w:pPr>
        <w:tabs>
          <w:tab w:val="left" w:pos="312"/>
        </w:tabs>
        <w:spacing w:line="580" w:lineRule="exact"/>
        <w:ind w:firstLine="320" w:firstLineChars="100"/>
        <w:rPr>
          <w:rFonts w:ascii="仿宋_GB2312" w:hAnsi="仿宋_GB2312" w:eastAsia="仿宋_GB2312" w:cs="仿宋_GB2312"/>
          <w:sz w:val="32"/>
          <w:szCs w:val="32"/>
        </w:rPr>
      </w:pPr>
      <w:r>
        <w:rPr>
          <w:rFonts w:hint="eastAsia" w:ascii="仿宋_GB2312" w:hAnsi="仿宋_GB2312" w:eastAsia="仿宋_GB2312" w:cs="仿宋_GB2312"/>
          <w:sz w:val="32"/>
          <w:szCs w:val="32"/>
        </w:rPr>
        <w:t>（3）州级劳模专项资金项目绩效目标完成情况综述。项目全年预算数</w:t>
      </w:r>
      <w:r>
        <w:rPr>
          <w:rFonts w:hint="eastAsia" w:ascii="仿宋_GB2312" w:hAnsi="仿宋_GB2312" w:eastAsia="仿宋_GB2312" w:cs="仿宋_GB2312"/>
          <w:sz w:val="32"/>
          <w:szCs w:val="32"/>
          <w:lang w:val="en-US" w:eastAsia="zh-CN"/>
        </w:rPr>
        <w:t>29.40</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000000" w:themeColor="text1"/>
          <w:sz w:val="32"/>
          <w:szCs w:val="32"/>
          <w14:textFill>
            <w14:solidFill>
              <w14:schemeClr w14:val="tx1"/>
            </w14:solidFill>
          </w14:textFill>
        </w:rPr>
        <w:t>执行数为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26.99</w:t>
      </w:r>
      <w:r>
        <w:rPr>
          <w:rFonts w:hint="eastAsia" w:ascii="仿宋_GB2312" w:hAnsi="仿宋_GB2312" w:eastAsia="仿宋_GB2312" w:cs="仿宋_GB2312"/>
          <w:color w:val="000000" w:themeColor="text1"/>
          <w:sz w:val="32"/>
          <w:szCs w:val="32"/>
          <w14:textFill>
            <w14:solidFill>
              <w14:schemeClr w14:val="tx1"/>
            </w14:solidFill>
          </w14:textFill>
        </w:rPr>
        <w:t>万元，完成预算的</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92</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sz w:val="32"/>
          <w:szCs w:val="32"/>
        </w:rPr>
        <w:t>通过项目实施，为大力弘扬劳模精神，有效激发劳模的创造活力,保障农村劳模生活补助金、困难劳模生活补助金和春节慰问金、健康体检、法律援助等待遇</w:t>
      </w:r>
      <w:r>
        <w:rPr>
          <w:rFonts w:hint="eastAsia" w:ascii="仿宋_GB2312" w:hAnsi="仿宋_GB2312" w:eastAsia="仿宋_GB2312" w:cs="仿宋_GB2312"/>
          <w:sz w:val="32"/>
          <w:szCs w:val="32"/>
          <w:lang w:eastAsia="zh-CN"/>
        </w:rPr>
        <w:t>，未完成预算的原因是：按劳模实际体检人数报销体检费用</w:t>
      </w:r>
      <w:r>
        <w:rPr>
          <w:rFonts w:hint="eastAsia" w:ascii="仿宋_GB2312" w:hAnsi="仿宋_GB2312" w:eastAsia="仿宋_GB2312" w:cs="仿宋_GB2312"/>
          <w:sz w:val="32"/>
          <w:szCs w:val="32"/>
        </w:rPr>
        <w:t xml:space="preserve">。                               </w:t>
      </w:r>
    </w:p>
    <w:p w14:paraId="1920C49F">
      <w:pPr>
        <w:spacing w:line="580" w:lineRule="exact"/>
        <w:ind w:firstLine="320" w:firstLineChars="100"/>
        <w:rPr>
          <w:rFonts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（4）送温暖专项资金项目绩效目标</w:t>
      </w:r>
      <w:r>
        <w:rPr>
          <w:rFonts w:hint="eastAsia" w:ascii="仿宋_GB2312" w:hAnsi="仿宋_GB2312" w:eastAsia="仿宋_GB2312" w:cs="仿宋_GB2312"/>
          <w:sz w:val="32"/>
          <w:szCs w:val="32"/>
        </w:rPr>
        <w:t>完成情况综述。项目全年预算数35万元，执行数为35万元，完成预算的100%。通过项目实施，保障好困难职工最关心、最直接、最现实的利益问题，帮助困难职工渡过温馨详和的元旦、春节，促进职工队伍稳定，维护社会和谐稳定。</w:t>
      </w:r>
    </w:p>
    <w:p w14:paraId="695D8674">
      <w:pPr>
        <w:spacing w:line="580" w:lineRule="exact"/>
        <w:ind w:firstLine="320" w:firstLineChars="100"/>
        <w:rPr>
          <w:rFonts w:ascii="Calibri" w:hAnsi="Calibri"/>
        </w:rPr>
      </w:pPr>
      <w:r>
        <w:rPr>
          <w:rFonts w:hint="eastAsia" w:ascii="仿宋_GB2312" w:hAnsi="仿宋_GB2312" w:eastAsia="仿宋_GB2312" w:cs="仿宋_GB2312"/>
          <w:sz w:val="32"/>
          <w:szCs w:val="32"/>
        </w:rPr>
        <w:t>（5）困难职工帮扶项目绩效目标完成情况综述。项目全年预算数40万元，执行数为40万元，完成预算的100%。通过项目实施，保障困难职工得到帮扶救助，实现帮扶全覆盖，无遗漏，让困难职工得到救助，缓解其生活困难。</w:t>
      </w:r>
    </w:p>
    <w:p w14:paraId="37B271DA">
      <w:pPr>
        <w:spacing w:line="580" w:lineRule="exact"/>
        <w:rPr>
          <w:rFonts w:ascii="仿宋" w:hAnsi="仿宋" w:eastAsia="仿宋" w:cs="楷体_GB2312"/>
          <w:b/>
          <w:bCs/>
          <w:sz w:val="32"/>
          <w:szCs w:val="32"/>
        </w:rPr>
      </w:pPr>
    </w:p>
    <w:tbl>
      <w:tblPr>
        <w:tblStyle w:val="16"/>
        <w:tblpPr w:leftFromText="180" w:rightFromText="180" w:vertAnchor="text" w:horzAnchor="page" w:tblpXSpec="center" w:tblpY="423"/>
        <w:tblOverlap w:val="never"/>
        <w:tblW w:w="9020" w:type="dxa"/>
        <w:jc w:val="center"/>
        <w:tblLayout w:type="fixed"/>
        <w:tblCellMar>
          <w:top w:w="0" w:type="dxa"/>
          <w:left w:w="0" w:type="dxa"/>
          <w:bottom w:w="0" w:type="dxa"/>
          <w:right w:w="0" w:type="dxa"/>
        </w:tblCellMar>
      </w:tblPr>
      <w:tblGrid>
        <w:gridCol w:w="351"/>
        <w:gridCol w:w="1236"/>
        <w:gridCol w:w="930"/>
        <w:gridCol w:w="2165"/>
        <w:gridCol w:w="2167"/>
        <w:gridCol w:w="2171"/>
      </w:tblGrid>
      <w:tr w14:paraId="6F9750DF">
        <w:tblPrEx>
          <w:tblCellMar>
            <w:top w:w="0" w:type="dxa"/>
            <w:left w:w="0" w:type="dxa"/>
            <w:bottom w:w="0" w:type="dxa"/>
            <w:right w:w="0" w:type="dxa"/>
          </w:tblCellMar>
        </w:tblPrEx>
        <w:trPr>
          <w:trHeight w:val="90" w:hRule="atLeast"/>
          <w:jc w:val="center"/>
        </w:trPr>
        <w:tc>
          <w:tcPr>
            <w:tcW w:w="9020" w:type="dxa"/>
            <w:gridSpan w:val="6"/>
            <w:tcBorders>
              <w:top w:val="nil"/>
              <w:left w:val="nil"/>
              <w:bottom w:val="nil"/>
              <w:right w:val="nil"/>
            </w:tcBorders>
            <w:tcMar>
              <w:top w:w="15" w:type="dxa"/>
              <w:left w:w="15" w:type="dxa"/>
              <w:right w:w="15" w:type="dxa"/>
            </w:tcMar>
            <w:vAlign w:val="center"/>
          </w:tcPr>
          <w:p w14:paraId="5D4DF043">
            <w:pPr>
              <w:widowControl/>
              <w:jc w:val="center"/>
              <w:textAlignment w:val="center"/>
              <w:rPr>
                <w:rFonts w:hint="eastAsia" w:ascii="宋体" w:hAnsi="宋体" w:eastAsia="宋体" w:cs="宋体"/>
                <w:b/>
                <w:bCs/>
                <w:color w:val="000000"/>
                <w:kern w:val="0"/>
                <w:sz w:val="36"/>
                <w:szCs w:val="36"/>
                <w:lang w:eastAsia="zh-CN"/>
              </w:rPr>
            </w:pPr>
            <w:r>
              <w:rPr>
                <w:rFonts w:hint="eastAsia" w:ascii="宋体" w:hAnsi="宋体" w:cs="宋体"/>
                <w:b/>
                <w:bCs/>
                <w:color w:val="000000"/>
                <w:kern w:val="0"/>
                <w:sz w:val="36"/>
                <w:szCs w:val="36"/>
              </w:rPr>
              <w:t>项目绩效目标完成情况表</w:t>
            </w:r>
          </w:p>
          <w:p w14:paraId="3E054D9F">
            <w:pPr>
              <w:widowControl/>
              <w:jc w:val="center"/>
              <w:textAlignment w:val="center"/>
              <w:rPr>
                <w:rFonts w:ascii="宋体" w:hAnsi="宋体" w:cs="宋体"/>
                <w:color w:val="000000"/>
                <w:sz w:val="36"/>
                <w:szCs w:val="36"/>
              </w:rPr>
            </w:pPr>
            <w:r>
              <w:rPr>
                <w:rFonts w:hint="eastAsia" w:ascii="宋体" w:hAnsi="宋体" w:cs="宋体"/>
                <w:color w:val="000000"/>
                <w:kern w:val="0"/>
                <w:sz w:val="36"/>
                <w:szCs w:val="36"/>
              </w:rPr>
              <w:t>(20</w:t>
            </w:r>
            <w:r>
              <w:rPr>
                <w:rFonts w:hint="eastAsia" w:ascii="宋体" w:hAnsi="宋体" w:cs="宋体"/>
                <w:color w:val="000000"/>
                <w:kern w:val="0"/>
                <w:sz w:val="36"/>
                <w:szCs w:val="36"/>
                <w:lang w:val="en-US" w:eastAsia="zh-CN"/>
              </w:rPr>
              <w:t>20</w:t>
            </w:r>
            <w:r>
              <w:rPr>
                <w:rFonts w:hint="eastAsia" w:ascii="宋体" w:hAnsi="宋体" w:cs="宋体"/>
                <w:color w:val="000000"/>
                <w:kern w:val="0"/>
                <w:sz w:val="36"/>
                <w:szCs w:val="36"/>
              </w:rPr>
              <w:t xml:space="preserve"> 年度)</w:t>
            </w:r>
          </w:p>
        </w:tc>
      </w:tr>
      <w:tr w14:paraId="26BEA168">
        <w:tblPrEx>
          <w:tblCellMar>
            <w:top w:w="0" w:type="dxa"/>
            <w:left w:w="0" w:type="dxa"/>
            <w:bottom w:w="0" w:type="dxa"/>
            <w:right w:w="0" w:type="dxa"/>
          </w:tblCellMar>
        </w:tblPrEx>
        <w:trPr>
          <w:trHeight w:val="90" w:hRule="atLeast"/>
          <w:jc w:val="center"/>
        </w:trPr>
        <w:tc>
          <w:tcPr>
            <w:tcW w:w="251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5712EB">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650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64E714">
            <w:pPr>
              <w:widowControl/>
              <w:jc w:val="left"/>
              <w:textAlignment w:val="center"/>
              <w:rPr>
                <w:rFonts w:ascii="宋体" w:hAnsi="宋体" w:cs="宋体"/>
                <w:color w:val="000000"/>
                <w:sz w:val="24"/>
              </w:rPr>
            </w:pPr>
            <w:r>
              <w:rPr>
                <w:rFonts w:hint="eastAsia" w:ascii="宋体" w:hAnsi="宋体" w:cs="宋体"/>
                <w:color w:val="000000"/>
                <w:sz w:val="24"/>
              </w:rPr>
              <w:t>1.困难职工帮扶救助2.特困职工深度帮扶行动专项资金3.元旦春节送温暖4州级劳动模范专项资金5.工会专项业务经费</w:t>
            </w:r>
          </w:p>
        </w:tc>
      </w:tr>
      <w:tr w14:paraId="58308548">
        <w:tblPrEx>
          <w:tblCellMar>
            <w:top w:w="0" w:type="dxa"/>
            <w:left w:w="0" w:type="dxa"/>
            <w:bottom w:w="0" w:type="dxa"/>
            <w:right w:w="0" w:type="dxa"/>
          </w:tblCellMar>
        </w:tblPrEx>
        <w:trPr>
          <w:trHeight w:val="90" w:hRule="atLeast"/>
          <w:jc w:val="center"/>
        </w:trPr>
        <w:tc>
          <w:tcPr>
            <w:tcW w:w="251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AFC273">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650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88DDDC">
            <w:pPr>
              <w:widowControl/>
              <w:jc w:val="center"/>
              <w:textAlignment w:val="center"/>
              <w:rPr>
                <w:rFonts w:ascii="宋体" w:hAnsi="宋体" w:cs="宋体"/>
                <w:color w:val="000000"/>
                <w:sz w:val="24"/>
              </w:rPr>
            </w:pPr>
            <w:r>
              <w:rPr>
                <w:rFonts w:hint="eastAsia" w:ascii="宋体" w:hAnsi="宋体" w:cs="宋体"/>
                <w:color w:val="000000"/>
                <w:sz w:val="24"/>
              </w:rPr>
              <w:t>阿坝州总工会</w:t>
            </w:r>
          </w:p>
        </w:tc>
      </w:tr>
      <w:tr w14:paraId="62D6F4A4">
        <w:tblPrEx>
          <w:tblCellMar>
            <w:top w:w="0" w:type="dxa"/>
            <w:left w:w="0" w:type="dxa"/>
            <w:bottom w:w="0" w:type="dxa"/>
            <w:right w:w="0" w:type="dxa"/>
          </w:tblCellMar>
        </w:tblPrEx>
        <w:trPr>
          <w:trHeight w:val="90" w:hRule="atLeast"/>
          <w:jc w:val="center"/>
        </w:trPr>
        <w:tc>
          <w:tcPr>
            <w:tcW w:w="35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AC293F">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1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09A0C1">
            <w:pPr>
              <w:widowControl/>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B89410">
            <w:pPr>
              <w:widowControl/>
              <w:jc w:val="left"/>
              <w:textAlignment w:val="center"/>
              <w:rPr>
                <w:rFonts w:ascii="宋体" w:hAnsi="宋体" w:cs="宋体"/>
                <w:color w:val="000000"/>
                <w:sz w:val="24"/>
              </w:rPr>
            </w:pPr>
            <w:r>
              <w:rPr>
                <w:rFonts w:hint="eastAsia" w:ascii="宋体" w:hAnsi="宋体" w:cs="宋体"/>
                <w:color w:val="000000"/>
                <w:sz w:val="24"/>
              </w:rPr>
              <w:t xml:space="preserve">项目1：40万 </w:t>
            </w:r>
          </w:p>
          <w:p w14:paraId="1E167753">
            <w:pPr>
              <w:widowControl/>
              <w:jc w:val="left"/>
              <w:textAlignment w:val="center"/>
              <w:rPr>
                <w:rFonts w:ascii="宋体" w:hAnsi="宋体" w:cs="宋体"/>
                <w:color w:val="000000"/>
                <w:sz w:val="24"/>
              </w:rPr>
            </w:pPr>
            <w:r>
              <w:rPr>
                <w:rFonts w:hint="eastAsia" w:ascii="宋体" w:hAnsi="宋体" w:cs="宋体"/>
                <w:color w:val="000000"/>
                <w:sz w:val="24"/>
              </w:rPr>
              <w:t>项目</w:t>
            </w:r>
            <w:r>
              <w:rPr>
                <w:rFonts w:ascii="宋体" w:hAnsi="宋体" w:cs="宋体"/>
                <w:color w:val="000000"/>
                <w:sz w:val="24"/>
              </w:rPr>
              <w:t>2</w:t>
            </w:r>
            <w:r>
              <w:rPr>
                <w:rFonts w:hint="eastAsia" w:ascii="宋体" w:hAnsi="宋体" w:cs="宋体"/>
                <w:color w:val="000000"/>
                <w:sz w:val="24"/>
              </w:rPr>
              <w:t>：100万</w:t>
            </w:r>
          </w:p>
          <w:p w14:paraId="28DD7152">
            <w:pPr>
              <w:widowControl/>
              <w:jc w:val="left"/>
              <w:textAlignment w:val="center"/>
              <w:rPr>
                <w:rFonts w:ascii="宋体" w:hAnsi="宋体" w:cs="宋体"/>
                <w:color w:val="000000"/>
                <w:sz w:val="24"/>
              </w:rPr>
            </w:pPr>
            <w:r>
              <w:rPr>
                <w:rFonts w:hint="eastAsia" w:ascii="宋体" w:hAnsi="宋体" w:cs="宋体"/>
                <w:color w:val="000000"/>
                <w:sz w:val="24"/>
              </w:rPr>
              <w:t>项目3: 35万</w:t>
            </w:r>
          </w:p>
          <w:p w14:paraId="2CC3F7AE">
            <w:pPr>
              <w:widowControl/>
              <w:jc w:val="left"/>
              <w:textAlignment w:val="center"/>
              <w:rPr>
                <w:rFonts w:ascii="宋体" w:hAnsi="宋体" w:cs="宋体"/>
                <w:color w:val="000000"/>
                <w:sz w:val="24"/>
              </w:rPr>
            </w:pPr>
            <w:r>
              <w:rPr>
                <w:rFonts w:hint="eastAsia" w:ascii="宋体" w:hAnsi="宋体" w:cs="宋体"/>
                <w:color w:val="000000"/>
                <w:sz w:val="24"/>
              </w:rPr>
              <w:t>项目4:</w:t>
            </w:r>
            <w:r>
              <w:rPr>
                <w:rFonts w:hint="eastAsia" w:ascii="宋体" w:hAnsi="宋体" w:cs="宋体"/>
                <w:color w:val="000000"/>
                <w:sz w:val="24"/>
                <w:lang w:val="en-US" w:eastAsia="zh-CN"/>
              </w:rPr>
              <w:t>29.40</w:t>
            </w:r>
            <w:r>
              <w:rPr>
                <w:rFonts w:hint="eastAsia" w:ascii="宋体" w:hAnsi="宋体" w:cs="宋体"/>
                <w:color w:val="000000"/>
                <w:sz w:val="24"/>
              </w:rPr>
              <w:t>万</w:t>
            </w:r>
          </w:p>
          <w:p w14:paraId="6D0A1C92">
            <w:pPr>
              <w:widowControl/>
              <w:jc w:val="left"/>
              <w:textAlignment w:val="center"/>
              <w:rPr>
                <w:rFonts w:ascii="宋体" w:hAnsi="宋体" w:cs="宋体"/>
                <w:color w:val="000000"/>
                <w:sz w:val="24"/>
              </w:rPr>
            </w:pPr>
            <w:r>
              <w:rPr>
                <w:rFonts w:hint="eastAsia" w:ascii="宋体" w:hAnsi="宋体" w:cs="宋体"/>
                <w:color w:val="000000"/>
                <w:sz w:val="24"/>
              </w:rPr>
              <w:t>项目5：30万</w:t>
            </w: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ABE387">
            <w:pPr>
              <w:widowControl/>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4B4EBF">
            <w:pPr>
              <w:widowControl/>
              <w:jc w:val="left"/>
              <w:textAlignment w:val="center"/>
              <w:rPr>
                <w:rFonts w:ascii="宋体" w:hAnsi="宋体" w:cs="宋体"/>
                <w:color w:val="000000"/>
                <w:sz w:val="24"/>
              </w:rPr>
            </w:pPr>
            <w:r>
              <w:rPr>
                <w:rFonts w:hint="eastAsia" w:ascii="宋体" w:hAnsi="宋体" w:cs="宋体"/>
                <w:color w:val="000000"/>
                <w:sz w:val="24"/>
              </w:rPr>
              <w:t xml:space="preserve">项目1：40万 </w:t>
            </w:r>
          </w:p>
          <w:p w14:paraId="1F1A157E">
            <w:pPr>
              <w:widowControl/>
              <w:jc w:val="left"/>
              <w:textAlignment w:val="center"/>
              <w:rPr>
                <w:rFonts w:ascii="宋体" w:hAnsi="宋体" w:cs="宋体"/>
                <w:color w:val="000000"/>
                <w:sz w:val="24"/>
              </w:rPr>
            </w:pPr>
            <w:r>
              <w:rPr>
                <w:rFonts w:hint="eastAsia" w:ascii="宋体" w:hAnsi="宋体" w:cs="宋体"/>
                <w:color w:val="000000"/>
                <w:sz w:val="24"/>
              </w:rPr>
              <w:t>项目2：</w:t>
            </w:r>
            <w:r>
              <w:rPr>
                <w:rFonts w:hint="eastAsia" w:ascii="宋体" w:hAnsi="宋体" w:cs="宋体"/>
                <w:color w:val="000000"/>
                <w:sz w:val="24"/>
                <w:lang w:val="en-US" w:eastAsia="zh-CN"/>
              </w:rPr>
              <w:t>82</w:t>
            </w:r>
            <w:r>
              <w:rPr>
                <w:rFonts w:hint="eastAsia" w:ascii="宋体" w:hAnsi="宋体" w:cs="宋体"/>
                <w:color w:val="000000"/>
                <w:sz w:val="24"/>
              </w:rPr>
              <w:t>万</w:t>
            </w:r>
          </w:p>
          <w:p w14:paraId="769D41A7">
            <w:pPr>
              <w:widowControl/>
              <w:jc w:val="left"/>
              <w:textAlignment w:val="center"/>
              <w:rPr>
                <w:rFonts w:ascii="宋体" w:hAnsi="宋体" w:cs="宋体"/>
                <w:color w:val="000000"/>
                <w:sz w:val="24"/>
              </w:rPr>
            </w:pPr>
            <w:r>
              <w:rPr>
                <w:rFonts w:hint="eastAsia" w:ascii="宋体" w:hAnsi="宋体" w:cs="宋体"/>
                <w:color w:val="000000"/>
                <w:sz w:val="24"/>
              </w:rPr>
              <w:t>项目3: 35万</w:t>
            </w:r>
          </w:p>
          <w:p w14:paraId="0F3B1E29">
            <w:pPr>
              <w:widowControl/>
              <w:jc w:val="left"/>
              <w:textAlignment w:val="center"/>
              <w:rPr>
                <w:rFonts w:ascii="宋体" w:hAnsi="宋体" w:cs="宋体"/>
                <w:color w:val="000000"/>
                <w:sz w:val="24"/>
              </w:rPr>
            </w:pPr>
            <w:r>
              <w:rPr>
                <w:rFonts w:hint="eastAsia" w:ascii="宋体" w:hAnsi="宋体" w:cs="宋体"/>
                <w:color w:val="000000"/>
                <w:sz w:val="24"/>
              </w:rPr>
              <w:t xml:space="preserve">项目4: </w:t>
            </w:r>
            <w:r>
              <w:rPr>
                <w:rFonts w:hint="eastAsia" w:ascii="宋体" w:hAnsi="宋体" w:cs="宋体"/>
                <w:color w:val="000000"/>
                <w:sz w:val="24"/>
                <w:lang w:val="en-US" w:eastAsia="zh-CN"/>
              </w:rPr>
              <w:t>26.99</w:t>
            </w:r>
            <w:r>
              <w:rPr>
                <w:rFonts w:hint="eastAsia" w:ascii="宋体" w:hAnsi="宋体" w:cs="宋体"/>
                <w:color w:val="000000"/>
                <w:sz w:val="24"/>
              </w:rPr>
              <w:t>万</w:t>
            </w:r>
          </w:p>
          <w:p w14:paraId="086A9CE1">
            <w:pPr>
              <w:widowControl/>
              <w:jc w:val="left"/>
              <w:textAlignment w:val="center"/>
              <w:rPr>
                <w:rFonts w:ascii="宋体" w:hAnsi="宋体" w:cs="宋体"/>
                <w:color w:val="000000"/>
                <w:sz w:val="24"/>
              </w:rPr>
            </w:pPr>
            <w:r>
              <w:rPr>
                <w:rFonts w:hint="eastAsia" w:ascii="宋体" w:hAnsi="宋体" w:cs="宋体"/>
                <w:color w:val="000000"/>
                <w:sz w:val="24"/>
              </w:rPr>
              <w:t>项目5：</w:t>
            </w:r>
            <w:r>
              <w:rPr>
                <w:rFonts w:hint="eastAsia" w:ascii="宋体" w:hAnsi="宋体" w:cs="宋体"/>
                <w:color w:val="000000"/>
                <w:sz w:val="24"/>
                <w:lang w:val="en-US" w:eastAsia="zh-CN"/>
              </w:rPr>
              <w:t>0</w:t>
            </w:r>
            <w:r>
              <w:rPr>
                <w:rFonts w:hint="eastAsia" w:ascii="宋体" w:hAnsi="宋体" w:cs="宋体"/>
                <w:color w:val="000000"/>
                <w:sz w:val="24"/>
              </w:rPr>
              <w:t>万</w:t>
            </w:r>
          </w:p>
        </w:tc>
      </w:tr>
      <w:tr w14:paraId="2FD4C889">
        <w:tblPrEx>
          <w:tblCellMar>
            <w:top w:w="0" w:type="dxa"/>
            <w:left w:w="0" w:type="dxa"/>
            <w:bottom w:w="0" w:type="dxa"/>
            <w:right w:w="0" w:type="dxa"/>
          </w:tblCellMar>
        </w:tblPrEx>
        <w:trPr>
          <w:trHeight w:val="90" w:hRule="atLeast"/>
          <w:jc w:val="center"/>
        </w:trPr>
        <w:tc>
          <w:tcPr>
            <w:tcW w:w="35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6F9B76">
            <w:pPr>
              <w:jc w:val="center"/>
              <w:rPr>
                <w:rFonts w:ascii="宋体" w:hAnsi="宋体" w:cs="宋体"/>
                <w:color w:val="000000"/>
                <w:sz w:val="24"/>
              </w:rPr>
            </w:pPr>
          </w:p>
        </w:tc>
        <w:tc>
          <w:tcPr>
            <w:tcW w:w="21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01D6E8">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AF9354">
            <w:pPr>
              <w:widowControl/>
              <w:jc w:val="left"/>
              <w:textAlignment w:val="center"/>
              <w:rPr>
                <w:rFonts w:ascii="宋体" w:hAnsi="宋体" w:cs="宋体"/>
                <w:color w:val="000000"/>
                <w:sz w:val="24"/>
              </w:rPr>
            </w:pPr>
            <w:r>
              <w:rPr>
                <w:rFonts w:hint="eastAsia" w:ascii="宋体" w:hAnsi="宋体" w:cs="宋体"/>
                <w:color w:val="000000"/>
                <w:sz w:val="24"/>
              </w:rPr>
              <w:t xml:space="preserve">项目1：40万 </w:t>
            </w:r>
          </w:p>
          <w:p w14:paraId="721B258F">
            <w:pPr>
              <w:widowControl/>
              <w:jc w:val="left"/>
              <w:textAlignment w:val="center"/>
              <w:rPr>
                <w:rFonts w:ascii="宋体" w:hAnsi="宋体" w:cs="宋体"/>
                <w:color w:val="000000"/>
                <w:sz w:val="24"/>
              </w:rPr>
            </w:pPr>
            <w:r>
              <w:rPr>
                <w:rFonts w:hint="eastAsia" w:ascii="宋体" w:hAnsi="宋体" w:cs="宋体"/>
                <w:color w:val="000000"/>
                <w:sz w:val="24"/>
              </w:rPr>
              <w:t>项目2：100万</w:t>
            </w:r>
          </w:p>
          <w:p w14:paraId="6D311F41">
            <w:pPr>
              <w:widowControl/>
              <w:jc w:val="left"/>
              <w:textAlignment w:val="center"/>
              <w:rPr>
                <w:rFonts w:ascii="宋体" w:hAnsi="宋体" w:cs="宋体"/>
                <w:color w:val="000000"/>
                <w:sz w:val="24"/>
              </w:rPr>
            </w:pPr>
            <w:r>
              <w:rPr>
                <w:rFonts w:hint="eastAsia" w:ascii="宋体" w:hAnsi="宋体" w:cs="宋体"/>
                <w:color w:val="000000"/>
                <w:sz w:val="24"/>
              </w:rPr>
              <w:t>项目3: 35万</w:t>
            </w:r>
          </w:p>
          <w:p w14:paraId="41E0D230">
            <w:pPr>
              <w:widowControl/>
              <w:jc w:val="left"/>
              <w:textAlignment w:val="center"/>
              <w:rPr>
                <w:rFonts w:ascii="宋体" w:hAnsi="宋体" w:cs="宋体"/>
                <w:color w:val="000000"/>
                <w:sz w:val="24"/>
              </w:rPr>
            </w:pPr>
            <w:r>
              <w:rPr>
                <w:rFonts w:hint="eastAsia" w:ascii="宋体" w:hAnsi="宋体" w:cs="宋体"/>
                <w:color w:val="000000"/>
                <w:sz w:val="24"/>
              </w:rPr>
              <w:t xml:space="preserve">项目4: </w:t>
            </w:r>
            <w:r>
              <w:rPr>
                <w:rFonts w:hint="eastAsia" w:ascii="宋体" w:hAnsi="宋体" w:cs="宋体"/>
                <w:color w:val="000000"/>
                <w:sz w:val="24"/>
                <w:lang w:val="en-US" w:eastAsia="zh-CN"/>
              </w:rPr>
              <w:t>29.4</w:t>
            </w:r>
            <w:r>
              <w:rPr>
                <w:rFonts w:hint="eastAsia" w:ascii="宋体" w:hAnsi="宋体" w:cs="宋体"/>
                <w:color w:val="000000"/>
                <w:sz w:val="24"/>
              </w:rPr>
              <w:t>万</w:t>
            </w:r>
          </w:p>
          <w:p w14:paraId="06B31AF9">
            <w:pPr>
              <w:widowControl/>
              <w:jc w:val="left"/>
              <w:textAlignment w:val="center"/>
              <w:rPr>
                <w:rFonts w:ascii="宋体" w:hAnsi="宋体" w:cs="宋体"/>
                <w:color w:val="000000"/>
                <w:sz w:val="24"/>
              </w:rPr>
            </w:pPr>
            <w:r>
              <w:rPr>
                <w:rFonts w:hint="eastAsia" w:ascii="宋体" w:hAnsi="宋体" w:cs="宋体"/>
                <w:color w:val="000000"/>
                <w:sz w:val="24"/>
              </w:rPr>
              <w:t>项目5：</w:t>
            </w:r>
            <w:r>
              <w:rPr>
                <w:rFonts w:hint="eastAsia" w:ascii="宋体" w:hAnsi="宋体" w:cs="宋体"/>
                <w:color w:val="000000"/>
                <w:sz w:val="24"/>
                <w:lang w:val="en-US" w:eastAsia="zh-CN"/>
              </w:rPr>
              <w:t>0</w:t>
            </w:r>
            <w:r>
              <w:rPr>
                <w:rFonts w:hint="eastAsia" w:ascii="宋体" w:hAnsi="宋体" w:cs="宋体"/>
                <w:color w:val="000000"/>
                <w:sz w:val="24"/>
              </w:rPr>
              <w:t>万</w:t>
            </w: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A844CA">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464DA7">
            <w:pPr>
              <w:widowControl/>
              <w:jc w:val="left"/>
              <w:textAlignment w:val="center"/>
              <w:rPr>
                <w:rFonts w:ascii="宋体" w:hAnsi="宋体" w:cs="宋体"/>
                <w:color w:val="000000"/>
                <w:sz w:val="24"/>
              </w:rPr>
            </w:pPr>
            <w:r>
              <w:rPr>
                <w:rFonts w:hint="eastAsia" w:ascii="宋体" w:hAnsi="宋体" w:cs="宋体"/>
                <w:color w:val="000000"/>
                <w:sz w:val="24"/>
              </w:rPr>
              <w:t xml:space="preserve">项目1：40万 </w:t>
            </w:r>
          </w:p>
          <w:p w14:paraId="3B85DACD">
            <w:pPr>
              <w:widowControl/>
              <w:jc w:val="left"/>
              <w:textAlignment w:val="center"/>
              <w:rPr>
                <w:rFonts w:ascii="宋体" w:hAnsi="宋体" w:cs="宋体"/>
                <w:color w:val="000000"/>
                <w:sz w:val="24"/>
              </w:rPr>
            </w:pPr>
            <w:r>
              <w:rPr>
                <w:rFonts w:hint="eastAsia" w:ascii="宋体" w:hAnsi="宋体" w:cs="宋体"/>
                <w:color w:val="000000"/>
                <w:sz w:val="24"/>
              </w:rPr>
              <w:t>项目2：100万</w:t>
            </w:r>
          </w:p>
          <w:p w14:paraId="02D39266">
            <w:pPr>
              <w:widowControl/>
              <w:jc w:val="left"/>
              <w:textAlignment w:val="center"/>
              <w:rPr>
                <w:rFonts w:ascii="宋体" w:hAnsi="宋体" w:cs="宋体"/>
                <w:color w:val="000000"/>
                <w:sz w:val="24"/>
              </w:rPr>
            </w:pPr>
            <w:r>
              <w:rPr>
                <w:rFonts w:hint="eastAsia" w:ascii="宋体" w:hAnsi="宋体" w:cs="宋体"/>
                <w:color w:val="000000"/>
                <w:sz w:val="24"/>
              </w:rPr>
              <w:t>项目3: 35万</w:t>
            </w:r>
          </w:p>
          <w:p w14:paraId="14155331">
            <w:pPr>
              <w:widowControl/>
              <w:jc w:val="left"/>
              <w:textAlignment w:val="center"/>
              <w:rPr>
                <w:rFonts w:ascii="宋体" w:hAnsi="宋体" w:cs="宋体"/>
                <w:color w:val="000000"/>
                <w:sz w:val="24"/>
              </w:rPr>
            </w:pPr>
            <w:r>
              <w:rPr>
                <w:rFonts w:hint="eastAsia" w:ascii="宋体" w:hAnsi="宋体" w:cs="宋体"/>
                <w:color w:val="000000"/>
                <w:sz w:val="24"/>
              </w:rPr>
              <w:t>项目4:</w:t>
            </w:r>
            <w:r>
              <w:rPr>
                <w:rFonts w:hint="eastAsia" w:ascii="宋体" w:hAnsi="宋体" w:cs="宋体"/>
                <w:color w:val="000000"/>
                <w:sz w:val="24"/>
                <w:lang w:val="en-US" w:eastAsia="zh-CN"/>
              </w:rPr>
              <w:t>26.99</w:t>
            </w:r>
            <w:r>
              <w:rPr>
                <w:rFonts w:hint="eastAsia" w:ascii="宋体" w:hAnsi="宋体" w:cs="宋体"/>
                <w:color w:val="000000"/>
                <w:sz w:val="24"/>
              </w:rPr>
              <w:t>万</w:t>
            </w:r>
          </w:p>
          <w:p w14:paraId="423032ED">
            <w:pPr>
              <w:widowControl/>
              <w:jc w:val="left"/>
              <w:textAlignment w:val="center"/>
              <w:rPr>
                <w:rFonts w:ascii="宋体" w:hAnsi="宋体" w:cs="宋体"/>
                <w:color w:val="000000"/>
                <w:sz w:val="24"/>
              </w:rPr>
            </w:pPr>
            <w:r>
              <w:rPr>
                <w:rFonts w:hint="eastAsia" w:ascii="宋体" w:hAnsi="宋体" w:cs="宋体"/>
                <w:color w:val="000000"/>
                <w:sz w:val="24"/>
              </w:rPr>
              <w:t>项目5：0万</w:t>
            </w:r>
          </w:p>
        </w:tc>
      </w:tr>
      <w:tr w14:paraId="6FA23FBF">
        <w:tblPrEx>
          <w:tblCellMar>
            <w:top w:w="0" w:type="dxa"/>
            <w:left w:w="0" w:type="dxa"/>
            <w:bottom w:w="0" w:type="dxa"/>
            <w:right w:w="0" w:type="dxa"/>
          </w:tblCellMar>
        </w:tblPrEx>
        <w:trPr>
          <w:trHeight w:val="90" w:hRule="atLeast"/>
          <w:jc w:val="center"/>
        </w:trPr>
        <w:tc>
          <w:tcPr>
            <w:tcW w:w="35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3A22FE">
            <w:pPr>
              <w:jc w:val="center"/>
              <w:rPr>
                <w:rFonts w:ascii="宋体" w:hAnsi="宋体" w:cs="宋体"/>
                <w:color w:val="000000"/>
                <w:sz w:val="24"/>
              </w:rPr>
            </w:pPr>
          </w:p>
        </w:tc>
        <w:tc>
          <w:tcPr>
            <w:tcW w:w="216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1B3B44">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B82082">
            <w:pPr>
              <w:widowControl/>
              <w:jc w:val="center"/>
              <w:textAlignment w:val="center"/>
              <w:rPr>
                <w:rFonts w:ascii="宋体" w:hAnsi="宋体" w:cs="宋体"/>
                <w:color w:val="000000"/>
                <w:sz w:val="24"/>
              </w:rPr>
            </w:pP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64109F">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B12887">
            <w:pPr>
              <w:jc w:val="center"/>
              <w:rPr>
                <w:rFonts w:ascii="宋体" w:hAnsi="宋体" w:cs="宋体"/>
                <w:color w:val="000000"/>
                <w:sz w:val="24"/>
              </w:rPr>
            </w:pPr>
          </w:p>
        </w:tc>
      </w:tr>
      <w:tr w14:paraId="63FA84DA">
        <w:tblPrEx>
          <w:tblCellMar>
            <w:top w:w="0" w:type="dxa"/>
            <w:left w:w="0" w:type="dxa"/>
            <w:bottom w:w="0" w:type="dxa"/>
            <w:right w:w="0" w:type="dxa"/>
          </w:tblCellMar>
        </w:tblPrEx>
        <w:trPr>
          <w:trHeight w:val="90" w:hRule="atLeast"/>
          <w:jc w:val="center"/>
        </w:trPr>
        <w:tc>
          <w:tcPr>
            <w:tcW w:w="35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051A23">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33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CB8828">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3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11FC96">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4107B940">
        <w:tblPrEx>
          <w:tblCellMar>
            <w:top w:w="0" w:type="dxa"/>
            <w:left w:w="0" w:type="dxa"/>
            <w:bottom w:w="0" w:type="dxa"/>
            <w:right w:w="0" w:type="dxa"/>
          </w:tblCellMar>
        </w:tblPrEx>
        <w:trPr>
          <w:trHeight w:val="90" w:hRule="atLeast"/>
          <w:jc w:val="center"/>
        </w:trPr>
        <w:tc>
          <w:tcPr>
            <w:tcW w:w="35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69E6D4">
            <w:pPr>
              <w:jc w:val="center"/>
              <w:rPr>
                <w:rFonts w:ascii="宋体" w:hAnsi="宋体" w:cs="宋体"/>
                <w:color w:val="000000"/>
                <w:sz w:val="24"/>
              </w:rPr>
            </w:pPr>
          </w:p>
        </w:tc>
        <w:tc>
          <w:tcPr>
            <w:tcW w:w="433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18B87F">
            <w:pPr>
              <w:widowControl/>
              <w:jc w:val="left"/>
              <w:textAlignment w:val="center"/>
              <w:rPr>
                <w:rFonts w:ascii="宋体" w:hAnsi="宋体" w:cs="宋体"/>
                <w:color w:val="000000"/>
                <w:sz w:val="24"/>
              </w:rPr>
            </w:pPr>
            <w:r>
              <w:rPr>
                <w:rFonts w:hint="eastAsia" w:ascii="宋体" w:hAnsi="宋体" w:cs="宋体"/>
                <w:color w:val="000000"/>
                <w:sz w:val="24"/>
              </w:rPr>
              <w:t>1.为进一步协助党委政府继续做好每年对困难职工的帮扶救助工作，充分体现党和政府对全州困难职工群体的深切关怀，参考201</w:t>
            </w:r>
            <w:r>
              <w:rPr>
                <w:rFonts w:hint="eastAsia" w:ascii="宋体" w:hAnsi="宋体" w:cs="宋体"/>
                <w:color w:val="000000"/>
                <w:sz w:val="24"/>
                <w:lang w:val="en-US" w:eastAsia="zh-CN"/>
              </w:rPr>
              <w:t>9</w:t>
            </w:r>
            <w:r>
              <w:rPr>
                <w:rFonts w:hint="eastAsia" w:ascii="宋体" w:hAnsi="宋体" w:cs="宋体"/>
                <w:color w:val="000000"/>
                <w:sz w:val="24"/>
              </w:rPr>
              <w:t>年州财政帮扶资金帮扶使用情况，拟申请20</w:t>
            </w:r>
            <w:r>
              <w:rPr>
                <w:rFonts w:hint="eastAsia" w:ascii="宋体" w:hAnsi="宋体" w:cs="宋体"/>
                <w:color w:val="000000"/>
                <w:sz w:val="24"/>
                <w:lang w:val="en-US" w:eastAsia="zh-CN"/>
              </w:rPr>
              <w:t>20</w:t>
            </w:r>
            <w:r>
              <w:rPr>
                <w:rFonts w:hint="eastAsia" w:ascii="宋体" w:hAnsi="宋体" w:cs="宋体"/>
                <w:color w:val="000000"/>
                <w:sz w:val="24"/>
              </w:rPr>
              <w:t>年州财政困难职工帮扶专项资金40万元，用于全州困难职工（农民工）群体日常生活救助、医疗救助等帮扶救助活动，采取走下去，到基层实地走访慰问困难职工（农民工）及下拨资金到基层工会发放等方式，帮助建档困难职工（农民工）家庭缓解暂时的基本生活困难，努力把职工（农民工）的困难解决在基层，把矛盾化解在萌芽状态，确保每位困难职工能够生活安定，维护社会和谐稳定。</w:t>
            </w:r>
          </w:p>
          <w:p w14:paraId="00EAEF1F">
            <w:pPr>
              <w:widowControl/>
              <w:jc w:val="left"/>
              <w:textAlignment w:val="center"/>
              <w:rPr>
                <w:rFonts w:ascii="宋体" w:hAnsi="宋体" w:cs="宋体"/>
                <w:color w:val="000000"/>
                <w:sz w:val="24"/>
              </w:rPr>
            </w:pPr>
            <w:r>
              <w:rPr>
                <w:rFonts w:hint="eastAsia" w:ascii="宋体" w:hAnsi="宋体" w:cs="宋体"/>
                <w:color w:val="000000"/>
                <w:sz w:val="24"/>
              </w:rPr>
              <w:t>2.为改善民生，构建和谐社会关系，帮助遭受重大疾病、突发事件、意外伤害及自然灾害导致家庭生活极端困难的特困职工家庭解决生活困难，协助党委政府减轻特困职工负担，让他们充分感受到党和政府的温暖和工会组织的关怀，继续推动我州特困职工深度帮扶工作深入开展。根据《州人民政府与州级群团组织第三次联席会议纪要》（阿府阅〔2016〕1号）每年安排特困职工深度帮扶行动专项资金100万元，拟申请20</w:t>
            </w:r>
            <w:r>
              <w:rPr>
                <w:rFonts w:hint="eastAsia" w:ascii="宋体" w:hAnsi="宋体" w:cs="宋体"/>
                <w:color w:val="000000"/>
                <w:sz w:val="24"/>
                <w:lang w:val="en-US" w:eastAsia="zh-CN"/>
              </w:rPr>
              <w:t>20</w:t>
            </w:r>
            <w:r>
              <w:rPr>
                <w:rFonts w:hint="eastAsia" w:ascii="宋体" w:hAnsi="宋体" w:cs="宋体"/>
                <w:color w:val="000000"/>
                <w:sz w:val="24"/>
              </w:rPr>
              <w:t>年州财政特困职工深度帮扶行动专项资金</w:t>
            </w:r>
            <w:r>
              <w:rPr>
                <w:rFonts w:hint="eastAsia" w:ascii="宋体" w:hAnsi="宋体" w:cs="宋体"/>
                <w:color w:val="000000"/>
                <w:sz w:val="24"/>
                <w:lang w:val="en-US" w:eastAsia="zh-CN"/>
              </w:rPr>
              <w:t>82</w:t>
            </w:r>
            <w:r>
              <w:rPr>
                <w:rFonts w:hint="eastAsia" w:ascii="宋体" w:hAnsi="宋体" w:cs="宋体"/>
                <w:color w:val="000000"/>
                <w:sz w:val="24"/>
              </w:rPr>
              <w:t>万元，用于开展特困职工深度帮扶行动，努力把困难解决在基层，把矛盾化解在萌芽状态，确保每位特困职工能够生活安定，维护社会和谐稳定。</w:t>
            </w:r>
          </w:p>
          <w:p w14:paraId="7676DB0B">
            <w:pPr>
              <w:widowControl/>
              <w:jc w:val="left"/>
              <w:textAlignment w:val="center"/>
              <w:rPr>
                <w:rFonts w:ascii="宋体" w:hAnsi="宋体" w:cs="宋体"/>
                <w:color w:val="000000"/>
                <w:sz w:val="24"/>
              </w:rPr>
            </w:pPr>
            <w:r>
              <w:rPr>
                <w:rFonts w:hint="eastAsia" w:ascii="宋体" w:hAnsi="宋体" w:cs="宋体"/>
                <w:color w:val="000000"/>
                <w:sz w:val="24"/>
              </w:rPr>
              <w:t>3.进一步协助党委、政府解决好职工群众最关心、最直接、最现实的利益问题，继续帮助困难职工（农民工）渡过一个温馨祥和的元旦、春节，拟定于2020年元旦春节期间开展送温暖走访慰问困难职工（农民工）活动。参考201</w:t>
            </w:r>
            <w:r>
              <w:rPr>
                <w:rFonts w:hint="eastAsia" w:ascii="宋体" w:hAnsi="宋体" w:cs="宋体"/>
                <w:color w:val="000000"/>
                <w:sz w:val="24"/>
                <w:lang w:val="en-US" w:eastAsia="zh-CN"/>
              </w:rPr>
              <w:t>9</w:t>
            </w:r>
            <w:r>
              <w:rPr>
                <w:rFonts w:hint="eastAsia" w:ascii="宋体" w:hAnsi="宋体" w:cs="宋体"/>
                <w:color w:val="000000"/>
                <w:sz w:val="24"/>
              </w:rPr>
              <w:t>年州财政送温暖资金使用，拟申请20</w:t>
            </w:r>
            <w:r>
              <w:rPr>
                <w:rFonts w:hint="eastAsia" w:ascii="宋体" w:hAnsi="宋体" w:cs="宋体"/>
                <w:color w:val="000000"/>
                <w:sz w:val="24"/>
                <w:lang w:val="en-US" w:eastAsia="zh-CN"/>
              </w:rPr>
              <w:t>20</w:t>
            </w:r>
            <w:r>
              <w:rPr>
                <w:rFonts w:hint="eastAsia" w:ascii="宋体" w:hAnsi="宋体" w:cs="宋体"/>
                <w:color w:val="000000"/>
                <w:sz w:val="24"/>
              </w:rPr>
              <w:t>年州财政送温暖专项资金35万元。</w:t>
            </w:r>
          </w:p>
          <w:p w14:paraId="13D79246">
            <w:pPr>
              <w:widowControl/>
              <w:jc w:val="left"/>
              <w:textAlignment w:val="center"/>
              <w:rPr>
                <w:rFonts w:ascii="宋体" w:hAnsi="宋体" w:cs="宋体"/>
                <w:color w:val="000000"/>
                <w:sz w:val="24"/>
              </w:rPr>
            </w:pPr>
            <w:r>
              <w:rPr>
                <w:rFonts w:hint="eastAsia" w:ascii="宋体" w:hAnsi="宋体" w:cs="宋体"/>
                <w:color w:val="000000"/>
                <w:sz w:val="24"/>
              </w:rPr>
              <w:t>4.为大力弘扬劳模精神，有效激发劳模的创造活力，营造尊重劳模、争当劳模的浓厚氛围，州政府落实阿坝州州级劳模提高一次性奖励标准、发放农村劳模生活补助金、困难劳模生活补助金和春节慰问金、健康体检、法律援助等待遇。、</w:t>
            </w:r>
          </w:p>
          <w:p w14:paraId="33ED4043">
            <w:pPr>
              <w:widowControl/>
              <w:jc w:val="left"/>
              <w:textAlignment w:val="center"/>
              <w:rPr>
                <w:rFonts w:ascii="宋体" w:hAnsi="宋体" w:cs="宋体"/>
                <w:color w:val="000000"/>
                <w:sz w:val="24"/>
              </w:rPr>
            </w:pPr>
            <w:r>
              <w:rPr>
                <w:rFonts w:hint="eastAsia" w:ascii="宋体" w:hAnsi="宋体" w:cs="宋体"/>
                <w:color w:val="000000"/>
                <w:sz w:val="24"/>
              </w:rPr>
              <w:t>5.以保障常委主席工作的顺利开展和确保各级工会组织工作开展的需要。</w:t>
            </w:r>
          </w:p>
        </w:tc>
        <w:tc>
          <w:tcPr>
            <w:tcW w:w="4338"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BDB724">
            <w:pPr>
              <w:widowControl/>
              <w:jc w:val="center"/>
              <w:textAlignment w:val="center"/>
              <w:rPr>
                <w:rFonts w:ascii="宋体" w:hAnsi="宋体" w:cs="宋体"/>
                <w:color w:val="000000"/>
                <w:sz w:val="24"/>
              </w:rPr>
            </w:pPr>
            <w:r>
              <w:rPr>
                <w:rFonts w:hint="eastAsia" w:ascii="宋体" w:hAnsi="宋体" w:cs="宋体"/>
                <w:color w:val="000000"/>
                <w:sz w:val="24"/>
              </w:rPr>
              <w:t>5个项目均已完成</w:t>
            </w:r>
          </w:p>
        </w:tc>
      </w:tr>
      <w:tr w14:paraId="66AA5655">
        <w:tblPrEx>
          <w:tblCellMar>
            <w:top w:w="0" w:type="dxa"/>
            <w:left w:w="0" w:type="dxa"/>
            <w:bottom w:w="0" w:type="dxa"/>
            <w:right w:w="0" w:type="dxa"/>
          </w:tblCellMar>
        </w:tblPrEx>
        <w:trPr>
          <w:trHeight w:val="90" w:hRule="atLeast"/>
          <w:jc w:val="center"/>
        </w:trPr>
        <w:tc>
          <w:tcPr>
            <w:tcW w:w="351"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692D8655">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E7E446">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7D531E">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D18A03">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FA1894">
            <w:pPr>
              <w:widowControl/>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558010">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264F264F">
        <w:tblPrEx>
          <w:tblCellMar>
            <w:top w:w="0" w:type="dxa"/>
            <w:left w:w="0" w:type="dxa"/>
            <w:bottom w:w="0" w:type="dxa"/>
            <w:right w:w="0" w:type="dxa"/>
          </w:tblCellMar>
        </w:tblPrEx>
        <w:trPr>
          <w:trHeight w:val="90" w:hRule="atLeast"/>
          <w:jc w:val="center"/>
        </w:trPr>
        <w:tc>
          <w:tcPr>
            <w:tcW w:w="351" w:type="dxa"/>
            <w:vMerge w:val="continue"/>
            <w:tcBorders>
              <w:left w:val="single" w:color="000000" w:sz="4" w:space="0"/>
              <w:right w:val="single" w:color="000000" w:sz="4" w:space="0"/>
            </w:tcBorders>
            <w:tcMar>
              <w:top w:w="15" w:type="dxa"/>
              <w:left w:w="15" w:type="dxa"/>
              <w:right w:w="15" w:type="dxa"/>
            </w:tcMar>
            <w:vAlign w:val="center"/>
          </w:tcPr>
          <w:p w14:paraId="5B76331B">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8381D">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EF1C76">
            <w:pPr>
              <w:widowControl/>
              <w:jc w:val="center"/>
              <w:textAlignment w:val="center"/>
              <w:rPr>
                <w:rFonts w:ascii="宋体" w:hAnsi="宋体" w:cs="宋体"/>
                <w:color w:val="000000"/>
                <w:sz w:val="24"/>
              </w:rPr>
            </w:pPr>
            <w:r>
              <w:rPr>
                <w:rFonts w:hint="eastAsia" w:ascii="宋体" w:hAnsi="宋体" w:cs="宋体"/>
                <w:color w:val="000000"/>
                <w:sz w:val="24"/>
              </w:rPr>
              <w:t>数量指标</w:t>
            </w: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CA0FF4">
            <w:pPr>
              <w:widowControl/>
              <w:jc w:val="left"/>
              <w:textAlignment w:val="top"/>
              <w:rPr>
                <w:rFonts w:ascii="宋体" w:hAnsi="宋体" w:cs="宋体"/>
                <w:color w:val="000000"/>
                <w:sz w:val="24"/>
              </w:rPr>
            </w:pPr>
            <w:r>
              <w:rPr>
                <w:rFonts w:hint="eastAsia" w:ascii="宋体" w:hAnsi="宋体" w:cs="宋体"/>
                <w:color w:val="000000"/>
                <w:sz w:val="24"/>
              </w:rPr>
              <w:t>1.预计当年帮扶300-400人次</w:t>
            </w:r>
          </w:p>
          <w:p w14:paraId="6B214FC0">
            <w:pPr>
              <w:widowControl/>
              <w:jc w:val="left"/>
              <w:textAlignment w:val="top"/>
              <w:rPr>
                <w:rFonts w:ascii="宋体" w:hAnsi="宋体" w:cs="宋体"/>
                <w:color w:val="000000"/>
                <w:sz w:val="24"/>
              </w:rPr>
            </w:pPr>
            <w:r>
              <w:rPr>
                <w:rFonts w:hint="eastAsia" w:ascii="宋体" w:hAnsi="宋体" w:cs="宋体"/>
                <w:color w:val="000000"/>
                <w:sz w:val="24"/>
              </w:rPr>
              <w:t>2.预计当年帮扶100-200名特困职工。3. 预计当年慰问350-400人次。</w:t>
            </w:r>
          </w:p>
          <w:p w14:paraId="10D452A0">
            <w:pPr>
              <w:widowControl/>
              <w:jc w:val="left"/>
              <w:textAlignment w:val="top"/>
              <w:rPr>
                <w:rFonts w:ascii="宋体" w:hAnsi="宋体" w:cs="宋体"/>
                <w:color w:val="000000"/>
                <w:sz w:val="24"/>
              </w:rPr>
            </w:pPr>
            <w:r>
              <w:rPr>
                <w:rFonts w:hint="eastAsia" w:ascii="宋体" w:hAnsi="宋体" w:cs="宋体"/>
                <w:color w:val="000000"/>
                <w:sz w:val="24"/>
              </w:rPr>
              <w:t>4.预计当年慰问、补助州级劳模288人次。</w:t>
            </w:r>
          </w:p>
          <w:p w14:paraId="043658EA">
            <w:pPr>
              <w:widowControl/>
              <w:jc w:val="left"/>
              <w:textAlignment w:val="top"/>
              <w:rPr>
                <w:rFonts w:ascii="宋体" w:hAnsi="宋体" w:cs="宋体"/>
                <w:color w:val="000000"/>
                <w:sz w:val="24"/>
              </w:rPr>
            </w:pPr>
            <w:r>
              <w:rPr>
                <w:rFonts w:hint="eastAsia" w:ascii="宋体" w:hAnsi="宋体" w:cs="宋体"/>
                <w:color w:val="000000"/>
                <w:sz w:val="24"/>
              </w:rPr>
              <w:t>5.完成任务数占计划数比例</w:t>
            </w: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291F2B">
            <w:pPr>
              <w:widowControl/>
              <w:jc w:val="left"/>
              <w:textAlignment w:val="center"/>
              <w:rPr>
                <w:rFonts w:ascii="宋体" w:hAnsi="宋体" w:cs="宋体"/>
                <w:color w:val="000000"/>
                <w:sz w:val="24"/>
              </w:rPr>
            </w:pPr>
            <w:r>
              <w:rPr>
                <w:rFonts w:hint="eastAsia" w:ascii="宋体" w:hAnsi="宋体" w:cs="宋体"/>
                <w:color w:val="000000"/>
                <w:sz w:val="24"/>
              </w:rPr>
              <w:t>1.按生活救助1000元/人/年、医疗救助1500元/人/年的标准，预计当年帮扶困难职工300-400人次，实际帮扶人次分配按当年项目实施情况确定。2.暂定按5000-10000元/人/年标准，预计当年帮扶特困职工100-2003人，实际帮扶人数按当年特困职工数及当年帮扶标准确定。3.按送温暖800-1000元/人/年标准，预计当年送温暖慰问困难职工300-400人次，实际慰问人次按当年帮扶项目实施情况确定。</w:t>
            </w:r>
          </w:p>
          <w:p w14:paraId="5740B07C">
            <w:pPr>
              <w:widowControl/>
              <w:jc w:val="left"/>
              <w:textAlignment w:val="center"/>
              <w:rPr>
                <w:rFonts w:ascii="宋体" w:hAnsi="宋体" w:cs="宋体"/>
                <w:color w:val="000000"/>
                <w:sz w:val="24"/>
              </w:rPr>
            </w:pPr>
            <w:r>
              <w:rPr>
                <w:rFonts w:hint="eastAsia" w:ascii="宋体" w:hAnsi="宋体" w:cs="宋体"/>
                <w:color w:val="000000"/>
                <w:sz w:val="24"/>
              </w:rPr>
              <w:t>4.预计按照州级劳模春节慰问金900元/人/年标准，慰问州级劳模242人；按州级农村劳模生活补助1200元/人/年标准，补助州级农村劳模32人；按州级农村困难劳模生活补助1200元/人/年标准，补助州级农村困难劳模9人；按州级城镇困难劳模生活补助2400元/人/年标准，补助州级城镇困难劳模5人。5.100%</w:t>
            </w: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14E55E">
            <w:pPr>
              <w:widowControl/>
              <w:jc w:val="center"/>
              <w:textAlignment w:val="center"/>
              <w:rPr>
                <w:rFonts w:ascii="宋体" w:hAnsi="宋体" w:cs="宋体"/>
                <w:color w:val="000000"/>
                <w:sz w:val="24"/>
              </w:rPr>
            </w:pPr>
            <w:r>
              <w:rPr>
                <w:rFonts w:hint="eastAsia" w:ascii="宋体" w:hAnsi="宋体" w:cs="宋体"/>
                <w:color w:val="000000"/>
                <w:sz w:val="24"/>
              </w:rPr>
              <w:t>全部完成</w:t>
            </w:r>
          </w:p>
        </w:tc>
      </w:tr>
      <w:tr w14:paraId="4604860C">
        <w:tblPrEx>
          <w:tblCellMar>
            <w:top w:w="0" w:type="dxa"/>
            <w:left w:w="0" w:type="dxa"/>
            <w:bottom w:w="0" w:type="dxa"/>
            <w:right w:w="0" w:type="dxa"/>
          </w:tblCellMar>
        </w:tblPrEx>
        <w:trPr>
          <w:trHeight w:val="90" w:hRule="atLeast"/>
          <w:jc w:val="center"/>
        </w:trPr>
        <w:tc>
          <w:tcPr>
            <w:tcW w:w="351" w:type="dxa"/>
            <w:vMerge w:val="continue"/>
            <w:tcBorders>
              <w:left w:val="single" w:color="000000" w:sz="4" w:space="0"/>
              <w:right w:val="single" w:color="000000" w:sz="4" w:space="0"/>
            </w:tcBorders>
            <w:tcMar>
              <w:top w:w="15" w:type="dxa"/>
              <w:left w:w="15" w:type="dxa"/>
              <w:right w:w="15" w:type="dxa"/>
            </w:tcMar>
            <w:vAlign w:val="center"/>
          </w:tcPr>
          <w:p w14:paraId="2079825A">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9EC1AC">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34D8FF">
            <w:pPr>
              <w:widowControl/>
              <w:jc w:val="center"/>
              <w:textAlignment w:val="center"/>
              <w:rPr>
                <w:rFonts w:ascii="宋体" w:hAnsi="宋体" w:cs="宋体"/>
                <w:color w:val="000000"/>
                <w:sz w:val="24"/>
              </w:rPr>
            </w:pPr>
            <w:r>
              <w:rPr>
                <w:rFonts w:hint="eastAsia" w:ascii="宋体" w:hAnsi="宋体" w:cs="宋体"/>
                <w:color w:val="000000"/>
                <w:sz w:val="24"/>
              </w:rPr>
              <w:t>质量指标</w:t>
            </w: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0C1951">
            <w:pPr>
              <w:widowControl/>
              <w:jc w:val="left"/>
              <w:textAlignment w:val="center"/>
              <w:rPr>
                <w:rFonts w:ascii="宋体" w:hAnsi="宋体" w:cs="宋体"/>
                <w:color w:val="000000"/>
                <w:sz w:val="24"/>
              </w:rPr>
            </w:pPr>
            <w:r>
              <w:rPr>
                <w:rFonts w:hint="eastAsia" w:ascii="宋体" w:hAnsi="宋体" w:cs="宋体"/>
                <w:color w:val="000000"/>
                <w:sz w:val="24"/>
              </w:rPr>
              <w:t>1.缓解困难职工家庭基本生活困难。</w:t>
            </w:r>
          </w:p>
          <w:p w14:paraId="1CF3F360">
            <w:pPr>
              <w:widowControl/>
              <w:jc w:val="left"/>
              <w:textAlignment w:val="center"/>
              <w:rPr>
                <w:rFonts w:ascii="宋体" w:hAnsi="宋体" w:cs="宋体"/>
                <w:color w:val="000000"/>
                <w:sz w:val="24"/>
              </w:rPr>
            </w:pPr>
            <w:r>
              <w:rPr>
                <w:rFonts w:hint="eastAsia" w:ascii="宋体" w:hAnsi="宋体" w:cs="宋体"/>
                <w:color w:val="000000"/>
                <w:sz w:val="24"/>
              </w:rPr>
              <w:t>2.减轻特困职工家庭负担。</w:t>
            </w:r>
          </w:p>
          <w:p w14:paraId="0AC200C3">
            <w:pPr>
              <w:widowControl/>
              <w:jc w:val="left"/>
              <w:textAlignment w:val="center"/>
              <w:rPr>
                <w:rFonts w:ascii="宋体" w:hAnsi="宋体" w:cs="宋体"/>
                <w:color w:val="000000"/>
                <w:sz w:val="24"/>
              </w:rPr>
            </w:pPr>
            <w:r>
              <w:rPr>
                <w:rFonts w:hint="eastAsia" w:ascii="宋体" w:hAnsi="宋体" w:cs="宋体"/>
                <w:color w:val="000000"/>
                <w:sz w:val="24"/>
              </w:rPr>
              <w:t>3.为困难职工送去元旦、春节慰问。</w:t>
            </w:r>
          </w:p>
          <w:p w14:paraId="7B3885A5">
            <w:pPr>
              <w:widowControl/>
              <w:jc w:val="left"/>
              <w:textAlignment w:val="center"/>
              <w:rPr>
                <w:rFonts w:ascii="宋体" w:hAnsi="宋体" w:cs="宋体"/>
                <w:color w:val="000000"/>
                <w:sz w:val="24"/>
              </w:rPr>
            </w:pPr>
            <w:r>
              <w:rPr>
                <w:rFonts w:hint="eastAsia" w:ascii="宋体" w:hAnsi="宋体" w:cs="宋体"/>
                <w:color w:val="000000"/>
                <w:sz w:val="24"/>
              </w:rPr>
              <w:t>4.落实州级劳模各项待遇。5.工会专项业务完成情况</w:t>
            </w: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995F0E">
            <w:pPr>
              <w:widowControl/>
              <w:jc w:val="left"/>
              <w:textAlignment w:val="center"/>
              <w:rPr>
                <w:rFonts w:ascii="宋体" w:hAnsi="宋体" w:cs="宋体"/>
                <w:color w:val="000000"/>
                <w:sz w:val="24"/>
              </w:rPr>
            </w:pPr>
            <w:r>
              <w:rPr>
                <w:rFonts w:hint="eastAsia" w:ascii="宋体" w:hAnsi="宋体" w:cs="宋体"/>
                <w:color w:val="000000"/>
                <w:sz w:val="24"/>
              </w:rPr>
              <w:t>按困难职工困难类别，分类实施帮扶救助，暂时缓解困难职工家庭基本生活困难。</w:t>
            </w:r>
          </w:p>
          <w:p w14:paraId="1A6CAD2E">
            <w:pPr>
              <w:widowControl/>
              <w:jc w:val="left"/>
              <w:textAlignment w:val="center"/>
              <w:rPr>
                <w:rFonts w:ascii="宋体" w:hAnsi="宋体" w:cs="宋体"/>
                <w:color w:val="000000"/>
                <w:sz w:val="24"/>
              </w:rPr>
            </w:pPr>
            <w:r>
              <w:rPr>
                <w:rFonts w:hint="eastAsia" w:ascii="宋体" w:hAnsi="宋体" w:cs="宋体"/>
                <w:color w:val="000000"/>
                <w:sz w:val="24"/>
              </w:rPr>
              <w:t>2.为符合条件的特困职工减轻家庭负担，缓解其生活困难。3.为困难职工送去元旦春节的节日慰问，缓解其家庭生活困难。4.每年开展州级劳模生活困难调查工作，申报州级劳模各类困难补助，开展元旦春节慰问活动等，落实州级劳模各项待遇。</w:t>
            </w:r>
          </w:p>
          <w:p w14:paraId="20F5BAE0">
            <w:pPr>
              <w:widowControl/>
              <w:jc w:val="left"/>
              <w:textAlignment w:val="center"/>
              <w:rPr>
                <w:rFonts w:ascii="宋体" w:hAnsi="宋体" w:cs="宋体"/>
                <w:color w:val="000000"/>
                <w:sz w:val="24"/>
              </w:rPr>
            </w:pPr>
            <w:r>
              <w:rPr>
                <w:rFonts w:hint="eastAsia" w:ascii="宋体" w:hAnsi="宋体" w:cs="宋体"/>
                <w:color w:val="000000"/>
                <w:sz w:val="24"/>
              </w:rPr>
              <w:t>5.按专项业务资金要求，确保各级工会组织工作开展的需要</w:t>
            </w: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401AFA">
            <w:pPr>
              <w:widowControl/>
              <w:jc w:val="center"/>
              <w:textAlignment w:val="center"/>
              <w:rPr>
                <w:rFonts w:ascii="宋体" w:hAnsi="宋体" w:cs="宋体"/>
                <w:color w:val="000000"/>
                <w:sz w:val="24"/>
              </w:rPr>
            </w:pPr>
            <w:r>
              <w:rPr>
                <w:rFonts w:hint="eastAsia" w:ascii="宋体" w:hAnsi="宋体" w:cs="宋体"/>
                <w:color w:val="000000"/>
                <w:sz w:val="24"/>
              </w:rPr>
              <w:t>全部完成</w:t>
            </w:r>
          </w:p>
        </w:tc>
      </w:tr>
      <w:tr w14:paraId="0B392BC8">
        <w:tblPrEx>
          <w:tblCellMar>
            <w:top w:w="0" w:type="dxa"/>
            <w:left w:w="0" w:type="dxa"/>
            <w:bottom w:w="0" w:type="dxa"/>
            <w:right w:w="0" w:type="dxa"/>
          </w:tblCellMar>
        </w:tblPrEx>
        <w:trPr>
          <w:trHeight w:val="90" w:hRule="atLeast"/>
          <w:jc w:val="center"/>
        </w:trPr>
        <w:tc>
          <w:tcPr>
            <w:tcW w:w="351" w:type="dxa"/>
            <w:vMerge w:val="continue"/>
            <w:tcBorders>
              <w:left w:val="single" w:color="000000" w:sz="4" w:space="0"/>
              <w:right w:val="single" w:color="000000" w:sz="4" w:space="0"/>
            </w:tcBorders>
            <w:tcMar>
              <w:top w:w="15" w:type="dxa"/>
              <w:left w:w="15" w:type="dxa"/>
              <w:right w:w="15" w:type="dxa"/>
            </w:tcMar>
            <w:vAlign w:val="center"/>
          </w:tcPr>
          <w:p w14:paraId="04F9BC95">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875BAB">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2AEF36">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464547">
            <w:pPr>
              <w:widowControl/>
              <w:jc w:val="left"/>
              <w:textAlignment w:val="center"/>
              <w:rPr>
                <w:rFonts w:ascii="宋体" w:hAnsi="宋体" w:cs="宋体"/>
                <w:color w:val="000000"/>
                <w:sz w:val="24"/>
              </w:rPr>
            </w:pPr>
            <w:r>
              <w:rPr>
                <w:rFonts w:hint="eastAsia" w:ascii="宋体" w:hAnsi="宋体" w:cs="宋体"/>
                <w:color w:val="000000"/>
                <w:sz w:val="24"/>
              </w:rPr>
              <w:t>1.全年实施帮扶。</w:t>
            </w:r>
          </w:p>
          <w:p w14:paraId="2D4858A3">
            <w:pPr>
              <w:widowControl/>
              <w:jc w:val="left"/>
              <w:textAlignment w:val="center"/>
              <w:rPr>
                <w:rFonts w:ascii="宋体" w:hAnsi="宋体" w:cs="宋体"/>
                <w:color w:val="000000"/>
                <w:sz w:val="24"/>
              </w:rPr>
            </w:pPr>
            <w:r>
              <w:rPr>
                <w:rFonts w:hint="eastAsia" w:ascii="宋体" w:hAnsi="宋体" w:cs="宋体"/>
                <w:color w:val="000000"/>
                <w:sz w:val="24"/>
              </w:rPr>
              <w:t>2当年第四季度实施深度帮扶。</w:t>
            </w:r>
          </w:p>
          <w:p w14:paraId="7B001B99">
            <w:pPr>
              <w:widowControl/>
              <w:jc w:val="left"/>
              <w:textAlignment w:val="center"/>
              <w:rPr>
                <w:rFonts w:ascii="宋体" w:hAnsi="宋体" w:cs="宋体"/>
                <w:color w:val="000000"/>
                <w:sz w:val="24"/>
              </w:rPr>
            </w:pPr>
            <w:r>
              <w:rPr>
                <w:rFonts w:hint="eastAsia" w:ascii="宋体" w:hAnsi="宋体" w:cs="宋体"/>
                <w:color w:val="000000"/>
                <w:sz w:val="24"/>
              </w:rPr>
              <w:t>3.202</w:t>
            </w:r>
            <w:r>
              <w:rPr>
                <w:rFonts w:hint="eastAsia" w:ascii="宋体" w:hAnsi="宋体" w:cs="宋体"/>
                <w:color w:val="000000"/>
                <w:sz w:val="24"/>
                <w:lang w:val="en-US" w:eastAsia="zh-CN"/>
              </w:rPr>
              <w:t>1</w:t>
            </w:r>
            <w:r>
              <w:rPr>
                <w:rFonts w:hint="eastAsia" w:ascii="宋体" w:hAnsi="宋体" w:cs="宋体"/>
                <w:color w:val="000000"/>
                <w:sz w:val="24"/>
              </w:rPr>
              <w:t>年元旦、春节前夕实施</w:t>
            </w:r>
          </w:p>
          <w:p w14:paraId="51CF4E80">
            <w:pPr>
              <w:widowControl/>
              <w:jc w:val="left"/>
              <w:textAlignment w:val="center"/>
              <w:rPr>
                <w:rFonts w:ascii="宋体" w:hAnsi="宋体" w:cs="宋体"/>
                <w:color w:val="000000"/>
                <w:sz w:val="24"/>
              </w:rPr>
            </w:pPr>
            <w:r>
              <w:rPr>
                <w:rFonts w:hint="eastAsia" w:ascii="宋体" w:hAnsi="宋体" w:cs="宋体"/>
                <w:color w:val="000000"/>
                <w:sz w:val="24"/>
              </w:rPr>
              <w:t>4.第四季度。5.20</w:t>
            </w:r>
            <w:r>
              <w:rPr>
                <w:rFonts w:hint="eastAsia" w:ascii="宋体" w:hAnsi="宋体" w:cs="宋体"/>
                <w:color w:val="000000"/>
                <w:sz w:val="24"/>
                <w:lang w:val="en-US" w:eastAsia="zh-CN"/>
              </w:rPr>
              <w:t>20</w:t>
            </w:r>
            <w:r>
              <w:rPr>
                <w:rFonts w:hint="eastAsia" w:ascii="宋体" w:hAnsi="宋体" w:cs="宋体"/>
                <w:color w:val="000000"/>
                <w:sz w:val="24"/>
              </w:rPr>
              <w:t>年10月-12月完成计划</w:t>
            </w: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148E36">
            <w:pPr>
              <w:widowControl/>
              <w:jc w:val="left"/>
              <w:textAlignment w:val="center"/>
              <w:rPr>
                <w:rFonts w:ascii="宋体" w:hAnsi="宋体" w:cs="宋体"/>
                <w:color w:val="000000"/>
                <w:sz w:val="24"/>
              </w:rPr>
            </w:pPr>
            <w:r>
              <w:rPr>
                <w:rFonts w:hint="eastAsia" w:ascii="宋体" w:hAnsi="宋体" w:cs="宋体"/>
                <w:color w:val="000000"/>
                <w:sz w:val="24"/>
              </w:rPr>
              <w:t>1.按全州帮扶项目立项实施情况，实施帮扶。</w:t>
            </w:r>
          </w:p>
          <w:p w14:paraId="43AD218E">
            <w:pPr>
              <w:widowControl/>
              <w:jc w:val="left"/>
              <w:textAlignment w:val="center"/>
              <w:rPr>
                <w:rFonts w:ascii="宋体" w:hAnsi="宋体" w:cs="宋体"/>
                <w:color w:val="000000"/>
                <w:sz w:val="24"/>
              </w:rPr>
            </w:pPr>
            <w:r>
              <w:rPr>
                <w:rFonts w:hint="eastAsia" w:ascii="宋体" w:hAnsi="宋体" w:cs="宋体"/>
                <w:color w:val="000000"/>
                <w:sz w:val="24"/>
              </w:rPr>
              <w:t>2.当年10月开展调查审核申报工作，11月至12月，采取走下去，实地走访慰问及下拨资金至基层工会发放等形式开展深度帮扶。</w:t>
            </w:r>
          </w:p>
          <w:p w14:paraId="2FD972D3">
            <w:pPr>
              <w:widowControl/>
              <w:jc w:val="left"/>
              <w:textAlignment w:val="center"/>
              <w:rPr>
                <w:rFonts w:ascii="宋体" w:hAnsi="宋体" w:cs="宋体"/>
                <w:color w:val="000000"/>
                <w:sz w:val="24"/>
              </w:rPr>
            </w:pPr>
            <w:r>
              <w:rPr>
                <w:rFonts w:hint="eastAsia" w:ascii="宋体" w:hAnsi="宋体" w:cs="宋体"/>
                <w:color w:val="000000"/>
                <w:sz w:val="24"/>
              </w:rPr>
              <w:t>3.按送温暖资金使用原则和方向，在元旦、春节前夕走访慰问困难职工。</w:t>
            </w:r>
          </w:p>
          <w:p w14:paraId="006FF2C3">
            <w:pPr>
              <w:widowControl/>
              <w:jc w:val="left"/>
              <w:textAlignment w:val="center"/>
              <w:rPr>
                <w:rFonts w:ascii="宋体" w:hAnsi="宋体" w:cs="宋体"/>
                <w:color w:val="000000"/>
                <w:sz w:val="24"/>
              </w:rPr>
            </w:pPr>
            <w:r>
              <w:rPr>
                <w:rFonts w:hint="eastAsia" w:ascii="宋体" w:hAnsi="宋体" w:cs="宋体"/>
                <w:color w:val="000000"/>
                <w:sz w:val="24"/>
              </w:rPr>
              <w:t>4.第四季度发放各类补助及开展春节慰问活动。5.20</w:t>
            </w:r>
            <w:r>
              <w:rPr>
                <w:rFonts w:hint="eastAsia" w:ascii="宋体" w:hAnsi="宋体" w:cs="宋体"/>
                <w:color w:val="000000"/>
                <w:sz w:val="24"/>
                <w:lang w:val="en-US" w:eastAsia="zh-CN"/>
              </w:rPr>
              <w:t>20</w:t>
            </w:r>
            <w:r>
              <w:rPr>
                <w:rFonts w:hint="eastAsia" w:ascii="宋体" w:hAnsi="宋体" w:cs="宋体"/>
                <w:color w:val="000000"/>
                <w:sz w:val="24"/>
              </w:rPr>
              <w:t>年10月-12月完成计划</w:t>
            </w: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2F2857">
            <w:pPr>
              <w:widowControl/>
              <w:jc w:val="center"/>
              <w:textAlignment w:val="center"/>
              <w:rPr>
                <w:rFonts w:ascii="宋体" w:hAnsi="宋体" w:cs="宋体"/>
                <w:color w:val="000000"/>
                <w:sz w:val="24"/>
              </w:rPr>
            </w:pPr>
            <w:r>
              <w:rPr>
                <w:rFonts w:hint="eastAsia" w:ascii="宋体" w:hAnsi="宋体" w:cs="宋体"/>
                <w:color w:val="000000"/>
                <w:sz w:val="24"/>
              </w:rPr>
              <w:t>全部完成</w:t>
            </w:r>
          </w:p>
        </w:tc>
      </w:tr>
      <w:tr w14:paraId="0CC8AACD">
        <w:tblPrEx>
          <w:tblCellMar>
            <w:top w:w="0" w:type="dxa"/>
            <w:left w:w="0" w:type="dxa"/>
            <w:bottom w:w="0" w:type="dxa"/>
            <w:right w:w="0" w:type="dxa"/>
          </w:tblCellMar>
        </w:tblPrEx>
        <w:trPr>
          <w:trHeight w:val="90" w:hRule="atLeast"/>
          <w:jc w:val="center"/>
        </w:trPr>
        <w:tc>
          <w:tcPr>
            <w:tcW w:w="351" w:type="dxa"/>
            <w:vMerge w:val="continue"/>
            <w:tcBorders>
              <w:left w:val="single" w:color="000000" w:sz="4" w:space="0"/>
              <w:right w:val="single" w:color="000000" w:sz="4" w:space="0"/>
            </w:tcBorders>
            <w:tcMar>
              <w:top w:w="15" w:type="dxa"/>
              <w:left w:w="15" w:type="dxa"/>
              <w:right w:w="15" w:type="dxa"/>
            </w:tcMar>
            <w:vAlign w:val="center"/>
          </w:tcPr>
          <w:p w14:paraId="58B95401">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964753">
            <w:pPr>
              <w:widowControl/>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A57191">
            <w:pPr>
              <w:widowControl/>
              <w:jc w:val="center"/>
              <w:textAlignment w:val="center"/>
              <w:rPr>
                <w:rFonts w:ascii="宋体" w:hAnsi="宋体" w:cs="宋体"/>
                <w:color w:val="000000"/>
                <w:sz w:val="24"/>
              </w:rPr>
            </w:pPr>
            <w:r>
              <w:rPr>
                <w:rFonts w:hint="eastAsia" w:ascii="宋体" w:hAnsi="宋体" w:cs="宋体"/>
                <w:color w:val="000000"/>
                <w:sz w:val="24"/>
              </w:rPr>
              <w:t>社会效益</w:t>
            </w: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4C5A32">
            <w:pPr>
              <w:widowControl/>
              <w:jc w:val="left"/>
              <w:textAlignment w:val="center"/>
              <w:rPr>
                <w:rFonts w:ascii="宋体" w:hAnsi="宋体" w:cs="宋体"/>
                <w:color w:val="000000"/>
                <w:sz w:val="24"/>
              </w:rPr>
            </w:pPr>
            <w:r>
              <w:rPr>
                <w:rFonts w:hint="eastAsia" w:ascii="宋体" w:hAnsi="宋体" w:cs="宋体"/>
                <w:color w:val="000000"/>
                <w:sz w:val="24"/>
              </w:rPr>
              <w:t>1.缓解困难职工家庭基本生活困难，确保职工生活安定，维护社会和谐稳定。</w:t>
            </w:r>
          </w:p>
          <w:p w14:paraId="40D20E5D">
            <w:pPr>
              <w:widowControl/>
              <w:jc w:val="left"/>
              <w:textAlignment w:val="center"/>
              <w:rPr>
                <w:rFonts w:ascii="宋体" w:hAnsi="宋体" w:cs="宋体"/>
                <w:color w:val="000000"/>
                <w:sz w:val="24"/>
              </w:rPr>
            </w:pPr>
            <w:r>
              <w:rPr>
                <w:rFonts w:hint="eastAsia" w:ascii="宋体" w:hAnsi="宋体" w:cs="宋体"/>
                <w:color w:val="000000"/>
                <w:sz w:val="24"/>
              </w:rPr>
              <w:t>2.切实缓解特困职工家庭实际困难，确保职工生活安定，维护社会和谐稳定。</w:t>
            </w:r>
          </w:p>
          <w:p w14:paraId="736CD8A1">
            <w:pPr>
              <w:widowControl/>
              <w:jc w:val="left"/>
              <w:textAlignment w:val="center"/>
              <w:rPr>
                <w:rFonts w:ascii="宋体" w:hAnsi="宋体" w:cs="宋体"/>
                <w:color w:val="000000"/>
                <w:sz w:val="24"/>
              </w:rPr>
            </w:pPr>
            <w:r>
              <w:rPr>
                <w:rFonts w:hint="eastAsia" w:ascii="宋体" w:hAnsi="宋体" w:cs="宋体"/>
                <w:color w:val="000000"/>
                <w:sz w:val="24"/>
              </w:rPr>
              <w:t>3.帮助困难职工渡过温馨详和的元旦、春节，促进职工队伍稳定，维护社会稳定。</w:t>
            </w:r>
          </w:p>
          <w:p w14:paraId="1726092A">
            <w:pPr>
              <w:widowControl/>
              <w:jc w:val="left"/>
              <w:textAlignment w:val="center"/>
              <w:rPr>
                <w:rFonts w:ascii="宋体" w:hAnsi="宋体" w:cs="宋体"/>
                <w:color w:val="000000"/>
                <w:sz w:val="24"/>
              </w:rPr>
            </w:pPr>
            <w:r>
              <w:rPr>
                <w:rFonts w:hint="eastAsia" w:ascii="宋体" w:hAnsi="宋体" w:cs="宋体"/>
                <w:color w:val="000000"/>
                <w:sz w:val="24"/>
              </w:rPr>
              <w:t>4.落实州级劳模各项待遇，营造尊重劳模、争当劳模良好氛围。5开展工会重点工作.</w:t>
            </w: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DE455A">
            <w:pPr>
              <w:widowControl/>
              <w:jc w:val="left"/>
              <w:textAlignment w:val="center"/>
              <w:rPr>
                <w:rFonts w:ascii="宋体" w:hAnsi="宋体" w:cs="宋体"/>
                <w:color w:val="000000"/>
                <w:sz w:val="24"/>
              </w:rPr>
            </w:pPr>
            <w:r>
              <w:rPr>
                <w:rFonts w:hint="eastAsia" w:ascii="宋体" w:hAnsi="宋体" w:cs="宋体"/>
                <w:color w:val="000000"/>
                <w:sz w:val="24"/>
              </w:rPr>
              <w:t>1.深入基层，实地走访慰问困难职工，切实解决困难职工生活困难，把职工的困难解决在基层，把矛盾化解在萌芽状态，确保职工生活安定，维护社会和谐稳定。</w:t>
            </w:r>
          </w:p>
          <w:p w14:paraId="6DECEEC6">
            <w:pPr>
              <w:widowControl/>
              <w:jc w:val="left"/>
              <w:textAlignment w:val="center"/>
              <w:rPr>
                <w:rFonts w:ascii="宋体" w:hAnsi="宋体" w:cs="宋体"/>
                <w:color w:val="000000"/>
                <w:sz w:val="24"/>
              </w:rPr>
            </w:pPr>
            <w:r>
              <w:rPr>
                <w:rFonts w:hint="eastAsia" w:ascii="宋体" w:hAnsi="宋体" w:cs="宋体"/>
                <w:color w:val="000000"/>
                <w:sz w:val="24"/>
              </w:rPr>
              <w:t>2.深入基层，走访慰问特困职工，切实缓解特困职工家庭实际困难，减轻特困职工家庭负担，把职工的困难解决在基层，把矛盾化解在萌芽状态，确保职工生活安定，维护社会和谐稳定。3.深入基层，开展元旦、春节送温暖走访慰问活动，协助党委政府解决好困难职工最关心、最直接、最现实的利益问题，帮助困难职工渡过温馨详和的元旦、春节，促进职工队伍稳定，维护社会和谐稳定。</w:t>
            </w:r>
          </w:p>
          <w:p w14:paraId="5FCF8852">
            <w:pPr>
              <w:widowControl/>
              <w:jc w:val="left"/>
              <w:textAlignment w:val="center"/>
              <w:rPr>
                <w:rFonts w:ascii="宋体" w:hAnsi="宋体" w:cs="宋体"/>
                <w:color w:val="000000"/>
                <w:sz w:val="24"/>
              </w:rPr>
            </w:pPr>
            <w:r>
              <w:rPr>
                <w:rFonts w:hint="eastAsia" w:ascii="宋体" w:hAnsi="宋体" w:cs="宋体"/>
                <w:color w:val="000000"/>
                <w:sz w:val="24"/>
              </w:rPr>
              <w:t>4.切实落实州级劳模各项待遇，大力弘扬劳模精神，有效激发劳模的创造活力，营造尊重劳模、争当劳模的良好氛围。5.完成工会重点工作，为工会工运事业的健康发展起到推动作用。</w:t>
            </w: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A472C0">
            <w:pPr>
              <w:widowControl/>
              <w:jc w:val="center"/>
              <w:textAlignment w:val="center"/>
              <w:rPr>
                <w:rFonts w:ascii="宋体" w:hAnsi="宋体" w:cs="宋体"/>
                <w:color w:val="000000"/>
                <w:sz w:val="24"/>
              </w:rPr>
            </w:pPr>
            <w:r>
              <w:rPr>
                <w:rFonts w:hint="eastAsia" w:ascii="宋体" w:hAnsi="宋体" w:cs="宋体"/>
                <w:color w:val="000000"/>
                <w:sz w:val="24"/>
              </w:rPr>
              <w:t>全部完成</w:t>
            </w:r>
          </w:p>
        </w:tc>
      </w:tr>
      <w:tr w14:paraId="334282C8">
        <w:tblPrEx>
          <w:tblCellMar>
            <w:top w:w="0" w:type="dxa"/>
            <w:left w:w="0" w:type="dxa"/>
            <w:bottom w:w="0" w:type="dxa"/>
            <w:right w:w="0" w:type="dxa"/>
          </w:tblCellMar>
        </w:tblPrEx>
        <w:trPr>
          <w:trHeight w:val="90" w:hRule="atLeast"/>
          <w:jc w:val="center"/>
        </w:trPr>
        <w:tc>
          <w:tcPr>
            <w:tcW w:w="351" w:type="dxa"/>
            <w:vMerge w:val="continue"/>
            <w:tcBorders>
              <w:left w:val="single" w:color="000000" w:sz="4" w:space="0"/>
              <w:right w:val="single" w:color="000000" w:sz="4" w:space="0"/>
            </w:tcBorders>
            <w:tcMar>
              <w:top w:w="15" w:type="dxa"/>
              <w:left w:w="15" w:type="dxa"/>
              <w:right w:w="15" w:type="dxa"/>
            </w:tcMar>
            <w:vAlign w:val="center"/>
          </w:tcPr>
          <w:p w14:paraId="0933F083">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333A9A">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F6C5E0">
            <w:pPr>
              <w:widowControl/>
              <w:jc w:val="center"/>
              <w:textAlignment w:val="center"/>
              <w:rPr>
                <w:rFonts w:ascii="宋体" w:hAnsi="宋体" w:cs="宋体"/>
                <w:color w:val="000000"/>
                <w:sz w:val="24"/>
              </w:rPr>
            </w:pPr>
            <w:r>
              <w:rPr>
                <w:rFonts w:hint="eastAsia" w:ascii="宋体" w:hAnsi="宋体" w:cs="宋体"/>
                <w:color w:val="000000"/>
                <w:sz w:val="24"/>
              </w:rPr>
              <w:t>可持续影响指标</w:t>
            </w: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C48B72">
            <w:pPr>
              <w:widowControl/>
              <w:jc w:val="left"/>
              <w:textAlignment w:val="center"/>
              <w:rPr>
                <w:rFonts w:ascii="宋体" w:hAnsi="宋体" w:cs="宋体"/>
                <w:color w:val="000000"/>
                <w:sz w:val="24"/>
              </w:rPr>
            </w:pPr>
            <w:r>
              <w:rPr>
                <w:rFonts w:hint="eastAsia" w:ascii="宋体" w:hAnsi="宋体" w:cs="宋体"/>
                <w:color w:val="000000"/>
                <w:sz w:val="24"/>
              </w:rPr>
              <w:t>1.充分体现党委政府及工会组织对困难职工的关心关爱，达到聚人心、暖人心、稳人心的目标。</w:t>
            </w:r>
          </w:p>
          <w:p w14:paraId="627EA546">
            <w:pPr>
              <w:widowControl/>
              <w:jc w:val="left"/>
              <w:textAlignment w:val="center"/>
              <w:rPr>
                <w:rFonts w:ascii="宋体" w:hAnsi="宋体" w:cs="宋体"/>
                <w:color w:val="000000"/>
                <w:sz w:val="24"/>
              </w:rPr>
            </w:pPr>
            <w:r>
              <w:rPr>
                <w:rFonts w:hint="eastAsia" w:ascii="宋体" w:hAnsi="宋体" w:cs="宋体"/>
                <w:color w:val="000000"/>
                <w:sz w:val="24"/>
              </w:rPr>
              <w:t>2.充分体现党委政府及工会组织对特困职工的关心关爱，达到聚人心、暖人心、稳人心的目标。</w:t>
            </w:r>
          </w:p>
          <w:p w14:paraId="55FBFE7F">
            <w:pPr>
              <w:widowControl/>
              <w:jc w:val="left"/>
              <w:textAlignment w:val="center"/>
              <w:rPr>
                <w:rFonts w:ascii="宋体" w:hAnsi="宋体" w:cs="宋体"/>
                <w:color w:val="000000"/>
                <w:sz w:val="24"/>
              </w:rPr>
            </w:pPr>
            <w:r>
              <w:rPr>
                <w:rFonts w:hint="eastAsia" w:ascii="宋体" w:hAnsi="宋体" w:cs="宋体"/>
                <w:color w:val="000000"/>
                <w:sz w:val="24"/>
              </w:rPr>
              <w:t>3.充分体现党委政府及工会组织对困难职工的关心关爱，达到聚人心、暖人心、稳人心的目标。</w:t>
            </w:r>
          </w:p>
          <w:p w14:paraId="742159C7">
            <w:pPr>
              <w:widowControl/>
              <w:jc w:val="left"/>
              <w:textAlignment w:val="center"/>
              <w:rPr>
                <w:rFonts w:ascii="宋体" w:hAnsi="宋体" w:cs="宋体"/>
                <w:color w:val="000000"/>
                <w:sz w:val="24"/>
              </w:rPr>
            </w:pPr>
            <w:r>
              <w:rPr>
                <w:rFonts w:hint="eastAsia" w:ascii="宋体" w:hAnsi="宋体" w:cs="宋体"/>
                <w:color w:val="000000"/>
                <w:sz w:val="24"/>
              </w:rPr>
              <w:t>4.充分体现党委政府及工会组织对劳模的关心关爱，在全社会倡导学习劳模、尊重劳模、关爱劳模、争当劳模的良好风尚。</w:t>
            </w:r>
          </w:p>
          <w:p w14:paraId="7FE75EEE">
            <w:pPr>
              <w:widowControl/>
              <w:jc w:val="left"/>
              <w:textAlignment w:val="center"/>
              <w:rPr>
                <w:rFonts w:ascii="宋体" w:hAnsi="宋体" w:cs="宋体"/>
                <w:color w:val="000000"/>
                <w:sz w:val="24"/>
              </w:rPr>
            </w:pPr>
            <w:r>
              <w:rPr>
                <w:rFonts w:hint="eastAsia" w:ascii="宋体" w:hAnsi="宋体" w:cs="宋体"/>
                <w:color w:val="000000"/>
                <w:sz w:val="24"/>
              </w:rPr>
              <w:t>5.工会专项业务费使用情况</w:t>
            </w: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A2A381">
            <w:pPr>
              <w:widowControl/>
              <w:jc w:val="left"/>
              <w:textAlignment w:val="center"/>
              <w:rPr>
                <w:rFonts w:ascii="宋体" w:hAnsi="宋体" w:cs="宋体"/>
                <w:color w:val="000000"/>
                <w:sz w:val="24"/>
              </w:rPr>
            </w:pPr>
            <w:r>
              <w:rPr>
                <w:rFonts w:hint="eastAsia" w:ascii="宋体" w:hAnsi="宋体" w:cs="宋体"/>
                <w:color w:val="000000"/>
                <w:sz w:val="24"/>
              </w:rPr>
              <w:t>1.通过开展困难职工帮扶慰问，传递党委政府及工会组织对困难职工的关心关爱，达到聚人心、暖人心、稳人心的目标，促进职工队伍稳定，维护社会和谐发展。</w:t>
            </w:r>
          </w:p>
          <w:p w14:paraId="4379E016">
            <w:pPr>
              <w:widowControl/>
              <w:jc w:val="left"/>
              <w:textAlignment w:val="center"/>
              <w:rPr>
                <w:rFonts w:ascii="宋体" w:hAnsi="宋体" w:cs="宋体"/>
                <w:color w:val="000000"/>
                <w:sz w:val="24"/>
              </w:rPr>
            </w:pPr>
            <w:r>
              <w:rPr>
                <w:rFonts w:hint="eastAsia" w:ascii="宋体" w:hAnsi="宋体" w:cs="宋体"/>
                <w:color w:val="000000"/>
                <w:sz w:val="24"/>
              </w:rPr>
              <w:t>2.通过开展特困职工深度帮扶行动，让特困职工家庭充分感受到党委政府及工会组织的关心关爱，达到聚人心、暖人心、稳人心的目标，促进职工队伍稳定，维护社会和谐发展。</w:t>
            </w:r>
          </w:p>
          <w:p w14:paraId="5C70AC26">
            <w:pPr>
              <w:widowControl/>
              <w:jc w:val="left"/>
              <w:textAlignment w:val="center"/>
              <w:rPr>
                <w:rFonts w:hint="eastAsia" w:ascii="宋体" w:hAnsi="宋体" w:eastAsia="宋体" w:cs="宋体"/>
                <w:color w:val="000000"/>
                <w:sz w:val="24"/>
                <w:lang w:eastAsia="zh-CN"/>
              </w:rPr>
            </w:pPr>
            <w:r>
              <w:rPr>
                <w:rFonts w:hint="eastAsia" w:ascii="宋体" w:hAnsi="宋体" w:cs="宋体"/>
                <w:color w:val="000000"/>
                <w:sz w:val="24"/>
              </w:rPr>
              <w:t>3 通过开展元旦、春节送温暖走访慰问活动，传递党委政府及工会组织对困难职工的关心关爱，达到聚人心、暖人心、稳人心的目标，促进职工队伍稳定、维护社会和谐稳定。4.充分体现党委政府及工会组织对劳模的关心关爱，大力弘扬工人阶级伟大品格和劳模精神，引领广大职工充分发挥主力军作用，在全社会倡导学习劳模、尊重劳模、关爱劳模、争当劳模的良好风尚。5.为工会组织持续发展起到推动作</w:t>
            </w:r>
            <w:r>
              <w:rPr>
                <w:rFonts w:hint="eastAsia" w:ascii="宋体" w:hAnsi="宋体" w:cs="宋体"/>
                <w:color w:val="000000"/>
                <w:sz w:val="24"/>
                <w:lang w:eastAsia="zh-CN"/>
              </w:rPr>
              <w:t>。</w:t>
            </w: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30B881">
            <w:pPr>
              <w:widowControl/>
              <w:jc w:val="center"/>
              <w:textAlignment w:val="center"/>
              <w:rPr>
                <w:rFonts w:ascii="宋体" w:hAnsi="宋体" w:cs="宋体"/>
                <w:color w:val="000000"/>
                <w:sz w:val="24"/>
              </w:rPr>
            </w:pPr>
            <w:r>
              <w:rPr>
                <w:rFonts w:hint="eastAsia" w:ascii="宋体" w:hAnsi="宋体" w:cs="宋体"/>
                <w:color w:val="000000"/>
                <w:sz w:val="24"/>
              </w:rPr>
              <w:t>全部完成</w:t>
            </w:r>
          </w:p>
        </w:tc>
      </w:tr>
      <w:tr w14:paraId="20026F2C">
        <w:tblPrEx>
          <w:tblCellMar>
            <w:top w:w="0" w:type="dxa"/>
            <w:left w:w="0" w:type="dxa"/>
            <w:bottom w:w="0" w:type="dxa"/>
            <w:right w:w="0" w:type="dxa"/>
          </w:tblCellMar>
        </w:tblPrEx>
        <w:trPr>
          <w:trHeight w:val="90" w:hRule="atLeast"/>
          <w:jc w:val="center"/>
        </w:trPr>
        <w:tc>
          <w:tcPr>
            <w:tcW w:w="351" w:type="dxa"/>
            <w:vMerge w:val="continue"/>
            <w:tcBorders>
              <w:left w:val="single" w:color="000000" w:sz="4" w:space="0"/>
              <w:right w:val="single" w:color="000000" w:sz="4" w:space="0"/>
            </w:tcBorders>
            <w:tcMar>
              <w:top w:w="15" w:type="dxa"/>
              <w:left w:w="15" w:type="dxa"/>
              <w:right w:w="15" w:type="dxa"/>
            </w:tcMar>
            <w:vAlign w:val="center"/>
          </w:tcPr>
          <w:p w14:paraId="365BBD95">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99F589">
            <w:pPr>
              <w:widowControl/>
              <w:jc w:val="center"/>
              <w:textAlignment w:val="center"/>
              <w:rPr>
                <w:rFonts w:ascii="宋体" w:hAnsi="宋体" w:cs="宋体"/>
                <w:color w:val="000000"/>
                <w:sz w:val="24"/>
              </w:rPr>
            </w:pPr>
            <w:r>
              <w:rPr>
                <w:rFonts w:hint="eastAsia" w:ascii="宋体" w:hAnsi="宋体" w:cs="宋体"/>
                <w:color w:val="000000"/>
                <w:sz w:val="24"/>
              </w:rPr>
              <w:t>满意度指标</w:t>
            </w: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4C785C">
            <w:pPr>
              <w:widowControl/>
              <w:jc w:val="center"/>
              <w:textAlignment w:val="center"/>
              <w:rPr>
                <w:rFonts w:ascii="宋体" w:hAnsi="宋体" w:cs="宋体"/>
                <w:color w:val="000000"/>
                <w:sz w:val="24"/>
              </w:rPr>
            </w:pPr>
            <w:r>
              <w:rPr>
                <w:rFonts w:hint="eastAsia" w:ascii="宋体" w:hAnsi="宋体" w:cs="宋体"/>
                <w:color w:val="000000"/>
                <w:sz w:val="24"/>
              </w:rPr>
              <w:t>满意度指标</w:t>
            </w: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0B61E3">
            <w:pPr>
              <w:widowControl/>
              <w:jc w:val="left"/>
              <w:textAlignment w:val="center"/>
              <w:rPr>
                <w:rFonts w:ascii="宋体" w:hAnsi="宋体" w:cs="宋体"/>
                <w:color w:val="000000"/>
                <w:sz w:val="24"/>
              </w:rPr>
            </w:pPr>
            <w:r>
              <w:rPr>
                <w:rFonts w:hint="eastAsia" w:ascii="宋体" w:hAnsi="宋体" w:cs="宋体"/>
                <w:color w:val="000000"/>
                <w:sz w:val="24"/>
              </w:rPr>
              <w:t>1确保每名建档困难职工得到帮扶救助，实现帮扶救助全覆盖，无遗漏，让职工满意。</w:t>
            </w:r>
          </w:p>
          <w:p w14:paraId="4DAEF98F">
            <w:pPr>
              <w:pStyle w:val="28"/>
              <w:widowControl/>
              <w:numPr>
                <w:ilvl w:val="0"/>
                <w:numId w:val="2"/>
              </w:numPr>
              <w:ind w:firstLineChars="0"/>
              <w:jc w:val="left"/>
              <w:textAlignment w:val="center"/>
              <w:rPr>
                <w:rFonts w:ascii="宋体" w:hAnsi="宋体" w:cs="宋体"/>
                <w:color w:val="000000"/>
                <w:sz w:val="24"/>
              </w:rPr>
            </w:pPr>
            <w:r>
              <w:rPr>
                <w:rFonts w:hint="eastAsia" w:ascii="宋体" w:hAnsi="宋体" w:cs="宋体"/>
                <w:color w:val="000000"/>
                <w:sz w:val="24"/>
              </w:rPr>
              <w:t>确保每名符合帮扶条件的特困职工得到深度帮扶，实现帮扶全覆盖，无遗漏，让职工满意3.在元旦、春节前将党委政府及工会组织的关心关爱送到困难职工手中，帮助他们渡过温馨详和的元旦、春节，让职工满意。</w:t>
            </w:r>
          </w:p>
          <w:p w14:paraId="6E1FD08C">
            <w:pPr>
              <w:pStyle w:val="28"/>
              <w:widowControl/>
              <w:numPr>
                <w:ilvl w:val="0"/>
                <w:numId w:val="2"/>
              </w:numPr>
              <w:ind w:firstLineChars="0"/>
              <w:jc w:val="left"/>
              <w:textAlignment w:val="center"/>
              <w:rPr>
                <w:rFonts w:ascii="宋体" w:hAnsi="宋体" w:cs="宋体"/>
                <w:color w:val="000000"/>
                <w:sz w:val="24"/>
              </w:rPr>
            </w:pPr>
            <w:r>
              <w:rPr>
                <w:rFonts w:hint="eastAsia" w:ascii="宋体" w:hAnsi="宋体" w:cs="宋体"/>
                <w:color w:val="000000"/>
                <w:sz w:val="24"/>
              </w:rPr>
              <w:t>切实落实州级劳模各项待遇，做好劳模服务与管理，让劳模满意。</w:t>
            </w:r>
          </w:p>
          <w:p w14:paraId="7BDC64D2">
            <w:pPr>
              <w:pStyle w:val="28"/>
              <w:widowControl/>
              <w:numPr>
                <w:ilvl w:val="0"/>
                <w:numId w:val="2"/>
              </w:numPr>
              <w:ind w:firstLineChars="0"/>
              <w:jc w:val="left"/>
              <w:textAlignment w:val="center"/>
              <w:rPr>
                <w:rFonts w:ascii="宋体" w:hAnsi="宋体" w:cs="宋体"/>
                <w:color w:val="000000"/>
                <w:sz w:val="24"/>
              </w:rPr>
            </w:pPr>
            <w:r>
              <w:rPr>
                <w:rFonts w:hint="eastAsia" w:ascii="宋体" w:hAnsi="宋体" w:cs="宋体"/>
                <w:color w:val="000000"/>
                <w:sz w:val="24"/>
              </w:rPr>
              <w:t>各基层工会会员满意度100%</w:t>
            </w: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C42BB0">
            <w:pPr>
              <w:widowControl/>
              <w:jc w:val="left"/>
              <w:textAlignment w:val="center"/>
              <w:rPr>
                <w:rFonts w:ascii="宋体" w:hAnsi="宋体" w:cs="宋体"/>
                <w:color w:val="000000"/>
                <w:sz w:val="24"/>
              </w:rPr>
            </w:pPr>
            <w:r>
              <w:rPr>
                <w:rFonts w:hint="eastAsia" w:ascii="宋体" w:hAnsi="宋体" w:cs="宋体"/>
                <w:color w:val="000000"/>
                <w:sz w:val="24"/>
              </w:rPr>
              <w:t>1.通过全州帮扶工作项目运行，对建档困难职工分类实施帮扶救助，确保每名建档困难职工得到帮扶救助，实现帮扶全覆盖，无遗漏，让职工得到救助，缓解其家庭基本生活困难，让职工满意</w:t>
            </w:r>
          </w:p>
          <w:p w14:paraId="0573FE4D">
            <w:pPr>
              <w:widowControl/>
              <w:jc w:val="left"/>
              <w:textAlignment w:val="center"/>
              <w:rPr>
                <w:rFonts w:ascii="宋体" w:hAnsi="宋体" w:cs="宋体"/>
                <w:color w:val="000000"/>
                <w:sz w:val="24"/>
              </w:rPr>
            </w:pPr>
            <w:r>
              <w:rPr>
                <w:rFonts w:hint="eastAsia" w:ascii="宋体" w:hAnsi="宋体" w:cs="宋体"/>
                <w:color w:val="000000"/>
                <w:sz w:val="24"/>
              </w:rPr>
              <w:t>2. 通过每年开展特困职工深度帮扶行动，确保每名符合帮扶条件的特困职工家庭得到深度帮扶，实现帮扶全覆盖，无遗漏，让职工满意，为特困职工筑牢生命屏障。3. 通过全州帮扶工作项目化运行，通过开展元旦春节送温暖慰问活动，将党委政府及工会组织的关心关爱送到困难职工手中，帮扶他们渡过温馨详和的元旦、春节，让职工满意。4认真开展州级劳模生活困难情况调查审核，劳模健康体检，各类补助、春节慰问金申报等工作，切实落实州级劳模各项待遇，做好劳模服务与管理工作，让劳模满意。5为基层工会组织和职工服好务，充分发挥工会组织的作用，让他们感受到工会组织的关爱。.</w:t>
            </w: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CF480A">
            <w:pPr>
              <w:widowControl/>
              <w:jc w:val="center"/>
              <w:textAlignment w:val="center"/>
              <w:rPr>
                <w:rFonts w:ascii="宋体" w:hAnsi="宋体" w:cs="宋体"/>
                <w:color w:val="000000"/>
                <w:sz w:val="24"/>
              </w:rPr>
            </w:pPr>
            <w:r>
              <w:rPr>
                <w:rFonts w:hint="eastAsia" w:ascii="宋体" w:hAnsi="宋体" w:cs="宋体"/>
                <w:color w:val="000000"/>
                <w:sz w:val="24"/>
              </w:rPr>
              <w:t>全部完成</w:t>
            </w:r>
          </w:p>
        </w:tc>
      </w:tr>
      <w:tr w14:paraId="47260831">
        <w:tblPrEx>
          <w:tblCellMar>
            <w:top w:w="0" w:type="dxa"/>
            <w:left w:w="0" w:type="dxa"/>
            <w:bottom w:w="0" w:type="dxa"/>
            <w:right w:w="0" w:type="dxa"/>
          </w:tblCellMar>
        </w:tblPrEx>
        <w:trPr>
          <w:trHeight w:val="90" w:hRule="atLeast"/>
          <w:jc w:val="center"/>
        </w:trPr>
        <w:tc>
          <w:tcPr>
            <w:tcW w:w="351" w:type="dxa"/>
            <w:vMerge w:val="continue"/>
            <w:tcBorders>
              <w:left w:val="single" w:color="000000" w:sz="4" w:space="0"/>
              <w:right w:val="single" w:color="000000" w:sz="4" w:space="0"/>
            </w:tcBorders>
            <w:tcMar>
              <w:top w:w="15" w:type="dxa"/>
              <w:left w:w="15" w:type="dxa"/>
              <w:right w:w="15" w:type="dxa"/>
            </w:tcMar>
            <w:vAlign w:val="center"/>
          </w:tcPr>
          <w:p w14:paraId="716BC583">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AF0D10">
            <w:pPr>
              <w:widowControl/>
              <w:jc w:val="center"/>
              <w:textAlignment w:val="center"/>
              <w:rPr>
                <w:rFonts w:ascii="宋体" w:hAnsi="宋体" w:cs="宋体"/>
                <w:color w:val="000000"/>
                <w:sz w:val="24"/>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63310E">
            <w:pPr>
              <w:widowControl/>
              <w:jc w:val="center"/>
              <w:textAlignment w:val="center"/>
              <w:rPr>
                <w:rFonts w:ascii="宋体" w:hAnsi="宋体" w:cs="宋体"/>
                <w:color w:val="000000"/>
                <w:sz w:val="24"/>
              </w:rPr>
            </w:pP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99A265">
            <w:pPr>
              <w:widowControl/>
              <w:jc w:val="center"/>
              <w:textAlignment w:val="center"/>
              <w:rPr>
                <w:rFonts w:ascii="宋体" w:hAnsi="宋体" w:cs="宋体"/>
                <w:color w:val="000000"/>
                <w:sz w:val="24"/>
              </w:rPr>
            </w:pP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46B0B4">
            <w:pPr>
              <w:widowControl/>
              <w:jc w:val="center"/>
              <w:textAlignment w:val="center"/>
              <w:rPr>
                <w:rFonts w:ascii="宋体" w:hAnsi="宋体" w:cs="宋体"/>
                <w:color w:val="000000"/>
                <w:sz w:val="24"/>
              </w:rPr>
            </w:pP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4A7795">
            <w:pPr>
              <w:widowControl/>
              <w:jc w:val="center"/>
              <w:textAlignment w:val="center"/>
              <w:rPr>
                <w:rFonts w:ascii="宋体" w:hAnsi="宋体" w:cs="宋体"/>
                <w:color w:val="000000"/>
                <w:sz w:val="24"/>
              </w:rPr>
            </w:pPr>
          </w:p>
        </w:tc>
      </w:tr>
      <w:tr w14:paraId="28CCA275">
        <w:tblPrEx>
          <w:tblCellMar>
            <w:top w:w="0" w:type="dxa"/>
            <w:left w:w="0" w:type="dxa"/>
            <w:bottom w:w="0" w:type="dxa"/>
            <w:right w:w="0" w:type="dxa"/>
          </w:tblCellMar>
        </w:tblPrEx>
        <w:trPr>
          <w:trHeight w:val="90" w:hRule="atLeast"/>
          <w:jc w:val="center"/>
        </w:trPr>
        <w:tc>
          <w:tcPr>
            <w:tcW w:w="351" w:type="dxa"/>
            <w:vMerge w:val="continue"/>
            <w:tcBorders>
              <w:left w:val="single" w:color="000000" w:sz="4" w:space="0"/>
              <w:right w:val="single" w:color="000000" w:sz="4" w:space="0"/>
            </w:tcBorders>
            <w:tcMar>
              <w:top w:w="15" w:type="dxa"/>
              <w:left w:w="15" w:type="dxa"/>
              <w:right w:w="15" w:type="dxa"/>
            </w:tcMar>
            <w:vAlign w:val="center"/>
          </w:tcPr>
          <w:p w14:paraId="2770CBD9">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F45FAD">
            <w:pPr>
              <w:widowControl/>
              <w:textAlignment w:val="center"/>
              <w:rPr>
                <w:rFonts w:ascii="宋体" w:hAnsi="宋体" w:cs="宋体"/>
                <w:color w:val="000000"/>
                <w:sz w:val="24"/>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98F7D7">
            <w:pPr>
              <w:widowControl/>
              <w:jc w:val="center"/>
              <w:textAlignment w:val="center"/>
              <w:rPr>
                <w:rFonts w:ascii="宋体" w:hAnsi="宋体" w:cs="宋体"/>
                <w:color w:val="000000"/>
                <w:sz w:val="24"/>
              </w:rPr>
            </w:pP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262E9B">
            <w:pPr>
              <w:widowControl/>
              <w:jc w:val="center"/>
              <w:textAlignment w:val="center"/>
              <w:rPr>
                <w:rFonts w:ascii="宋体" w:hAnsi="宋体" w:cs="宋体"/>
                <w:color w:val="000000"/>
                <w:sz w:val="24"/>
              </w:rPr>
            </w:pP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33A6A8">
            <w:pPr>
              <w:widowControl/>
              <w:jc w:val="center"/>
              <w:textAlignment w:val="center"/>
              <w:rPr>
                <w:rFonts w:ascii="宋体" w:hAnsi="宋体" w:cs="宋体"/>
                <w:color w:val="000000"/>
                <w:sz w:val="24"/>
              </w:rPr>
            </w:pP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EBAF2F">
            <w:pPr>
              <w:widowControl/>
              <w:jc w:val="center"/>
              <w:textAlignment w:val="center"/>
              <w:rPr>
                <w:rFonts w:ascii="宋体" w:hAnsi="宋体" w:cs="宋体"/>
                <w:color w:val="000000"/>
                <w:sz w:val="24"/>
              </w:rPr>
            </w:pPr>
          </w:p>
        </w:tc>
      </w:tr>
      <w:tr w14:paraId="763D77D6">
        <w:tblPrEx>
          <w:tblCellMar>
            <w:top w:w="0" w:type="dxa"/>
            <w:left w:w="0" w:type="dxa"/>
            <w:bottom w:w="0" w:type="dxa"/>
            <w:right w:w="0" w:type="dxa"/>
          </w:tblCellMar>
        </w:tblPrEx>
        <w:trPr>
          <w:trHeight w:val="90" w:hRule="atLeast"/>
          <w:jc w:val="center"/>
        </w:trPr>
        <w:tc>
          <w:tcPr>
            <w:tcW w:w="351" w:type="dxa"/>
            <w:vMerge w:val="continue"/>
            <w:tcBorders>
              <w:left w:val="single" w:color="000000" w:sz="4" w:space="0"/>
              <w:right w:val="single" w:color="000000" w:sz="4" w:space="0"/>
            </w:tcBorders>
            <w:tcMar>
              <w:top w:w="15" w:type="dxa"/>
              <w:left w:w="15" w:type="dxa"/>
              <w:right w:w="15" w:type="dxa"/>
            </w:tcMar>
            <w:vAlign w:val="center"/>
          </w:tcPr>
          <w:p w14:paraId="2EE247B0">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46FDEC">
            <w:pPr>
              <w:widowControl/>
              <w:jc w:val="center"/>
              <w:textAlignment w:val="center"/>
              <w:rPr>
                <w:rFonts w:ascii="宋体" w:hAnsi="宋体" w:cs="宋体"/>
                <w:color w:val="000000"/>
                <w:kern w:val="0"/>
                <w:sz w:val="24"/>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E3775B">
            <w:pPr>
              <w:widowControl/>
              <w:jc w:val="center"/>
              <w:textAlignment w:val="center"/>
              <w:rPr>
                <w:rFonts w:ascii="宋体" w:hAnsi="宋体" w:cs="宋体"/>
                <w:color w:val="000000"/>
                <w:sz w:val="24"/>
              </w:rPr>
            </w:pP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8E25CF">
            <w:pPr>
              <w:widowControl/>
              <w:jc w:val="center"/>
              <w:textAlignment w:val="center"/>
              <w:rPr>
                <w:rFonts w:ascii="宋体" w:hAnsi="宋体" w:cs="宋体"/>
                <w:color w:val="000000"/>
                <w:sz w:val="24"/>
              </w:rPr>
            </w:pP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47585D">
            <w:pPr>
              <w:widowControl/>
              <w:jc w:val="center"/>
              <w:textAlignment w:val="center"/>
              <w:rPr>
                <w:rFonts w:ascii="宋体" w:hAnsi="宋体" w:cs="宋体"/>
                <w:color w:val="000000"/>
                <w:sz w:val="24"/>
              </w:rPr>
            </w:pP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3C756D">
            <w:pPr>
              <w:widowControl/>
              <w:jc w:val="center"/>
              <w:textAlignment w:val="center"/>
              <w:rPr>
                <w:rFonts w:ascii="宋体" w:hAnsi="宋体" w:cs="宋体"/>
                <w:color w:val="000000"/>
                <w:sz w:val="24"/>
              </w:rPr>
            </w:pPr>
          </w:p>
        </w:tc>
      </w:tr>
      <w:tr w14:paraId="7B217966">
        <w:tblPrEx>
          <w:tblCellMar>
            <w:top w:w="0" w:type="dxa"/>
            <w:left w:w="0" w:type="dxa"/>
            <w:bottom w:w="0" w:type="dxa"/>
            <w:right w:w="0" w:type="dxa"/>
          </w:tblCellMar>
        </w:tblPrEx>
        <w:trPr>
          <w:trHeight w:val="90" w:hRule="atLeast"/>
          <w:jc w:val="center"/>
        </w:trPr>
        <w:tc>
          <w:tcPr>
            <w:tcW w:w="351" w:type="dxa"/>
            <w:vMerge w:val="continue"/>
            <w:tcBorders>
              <w:left w:val="single" w:color="000000" w:sz="4" w:space="0"/>
              <w:right w:val="single" w:color="000000" w:sz="4" w:space="0"/>
            </w:tcBorders>
            <w:tcMar>
              <w:top w:w="15" w:type="dxa"/>
              <w:left w:w="15" w:type="dxa"/>
              <w:right w:w="15" w:type="dxa"/>
            </w:tcMar>
            <w:vAlign w:val="center"/>
          </w:tcPr>
          <w:p w14:paraId="7CCBE27D">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167BF7">
            <w:pPr>
              <w:widowControl/>
              <w:jc w:val="center"/>
              <w:textAlignment w:val="center"/>
              <w:rPr>
                <w:rFonts w:ascii="宋体" w:hAnsi="宋体" w:cs="宋体"/>
                <w:color w:val="000000"/>
                <w:sz w:val="24"/>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3DFD21">
            <w:pPr>
              <w:widowControl/>
              <w:jc w:val="center"/>
              <w:textAlignment w:val="center"/>
              <w:rPr>
                <w:rFonts w:ascii="宋体" w:hAnsi="宋体" w:cs="宋体"/>
                <w:color w:val="000000"/>
                <w:sz w:val="24"/>
              </w:rPr>
            </w:pP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842184">
            <w:pPr>
              <w:widowControl/>
              <w:jc w:val="center"/>
              <w:textAlignment w:val="center"/>
              <w:rPr>
                <w:rFonts w:ascii="宋体" w:hAnsi="宋体" w:cs="宋体"/>
                <w:color w:val="000000"/>
                <w:sz w:val="24"/>
              </w:rPr>
            </w:pP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E5C552">
            <w:pPr>
              <w:widowControl/>
              <w:jc w:val="center"/>
              <w:textAlignment w:val="center"/>
              <w:rPr>
                <w:rFonts w:ascii="宋体" w:hAnsi="宋体" w:cs="宋体"/>
                <w:color w:val="000000"/>
                <w:sz w:val="24"/>
              </w:rPr>
            </w:pP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D5ADF9">
            <w:pPr>
              <w:widowControl/>
              <w:jc w:val="center"/>
              <w:textAlignment w:val="center"/>
              <w:rPr>
                <w:rFonts w:ascii="宋体" w:hAnsi="宋体" w:cs="宋体"/>
                <w:color w:val="000000"/>
                <w:sz w:val="24"/>
              </w:rPr>
            </w:pPr>
          </w:p>
        </w:tc>
      </w:tr>
      <w:tr w14:paraId="06C0E875">
        <w:tblPrEx>
          <w:tblCellMar>
            <w:top w:w="0" w:type="dxa"/>
            <w:left w:w="0" w:type="dxa"/>
            <w:bottom w:w="0" w:type="dxa"/>
            <w:right w:w="0" w:type="dxa"/>
          </w:tblCellMar>
        </w:tblPrEx>
        <w:trPr>
          <w:trHeight w:val="90" w:hRule="atLeast"/>
          <w:jc w:val="center"/>
        </w:trPr>
        <w:tc>
          <w:tcPr>
            <w:tcW w:w="351" w:type="dxa"/>
            <w:tcBorders>
              <w:left w:val="single" w:color="000000" w:sz="4" w:space="0"/>
              <w:right w:val="single" w:color="000000" w:sz="4" w:space="0"/>
            </w:tcBorders>
            <w:tcMar>
              <w:top w:w="15" w:type="dxa"/>
              <w:left w:w="15" w:type="dxa"/>
              <w:right w:w="15" w:type="dxa"/>
            </w:tcMar>
            <w:vAlign w:val="center"/>
          </w:tcPr>
          <w:p w14:paraId="037AF431">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3E801C">
            <w:pPr>
              <w:widowControl/>
              <w:jc w:val="center"/>
              <w:textAlignment w:val="center"/>
              <w:rPr>
                <w:rFonts w:ascii="宋体" w:hAnsi="宋体" w:cs="宋体"/>
                <w:color w:val="000000"/>
                <w:sz w:val="24"/>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3AEBCB">
            <w:pPr>
              <w:widowControl/>
              <w:jc w:val="center"/>
              <w:textAlignment w:val="center"/>
              <w:rPr>
                <w:rFonts w:ascii="宋体" w:hAnsi="宋体" w:cs="宋体"/>
                <w:color w:val="000000"/>
                <w:sz w:val="24"/>
              </w:rPr>
            </w:pP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8CE700">
            <w:pPr>
              <w:widowControl/>
              <w:jc w:val="center"/>
              <w:textAlignment w:val="center"/>
              <w:rPr>
                <w:rFonts w:ascii="宋体" w:hAnsi="宋体" w:cs="宋体"/>
                <w:color w:val="000000"/>
                <w:sz w:val="24"/>
              </w:rPr>
            </w:pP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D86318">
            <w:pPr>
              <w:widowControl/>
              <w:jc w:val="center"/>
              <w:textAlignment w:val="center"/>
              <w:rPr>
                <w:rFonts w:ascii="宋体" w:hAnsi="宋体" w:cs="宋体"/>
                <w:color w:val="000000"/>
                <w:sz w:val="24"/>
              </w:rPr>
            </w:pP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950B2B">
            <w:pPr>
              <w:widowControl/>
              <w:jc w:val="center"/>
              <w:textAlignment w:val="center"/>
              <w:rPr>
                <w:rFonts w:ascii="宋体" w:hAnsi="宋体" w:cs="宋体"/>
                <w:color w:val="000000"/>
                <w:sz w:val="24"/>
              </w:rPr>
            </w:pPr>
          </w:p>
        </w:tc>
      </w:tr>
      <w:tr w14:paraId="0E64672B">
        <w:tblPrEx>
          <w:tblCellMar>
            <w:top w:w="0" w:type="dxa"/>
            <w:left w:w="0" w:type="dxa"/>
            <w:bottom w:w="0" w:type="dxa"/>
            <w:right w:w="0" w:type="dxa"/>
          </w:tblCellMar>
        </w:tblPrEx>
        <w:trPr>
          <w:trHeight w:val="90" w:hRule="atLeast"/>
          <w:jc w:val="center"/>
        </w:trPr>
        <w:tc>
          <w:tcPr>
            <w:tcW w:w="351" w:type="dxa"/>
            <w:tcBorders>
              <w:left w:val="single" w:color="000000" w:sz="4" w:space="0"/>
              <w:right w:val="single" w:color="000000" w:sz="4" w:space="0"/>
            </w:tcBorders>
            <w:tcMar>
              <w:top w:w="15" w:type="dxa"/>
              <w:left w:w="15" w:type="dxa"/>
              <w:right w:w="15" w:type="dxa"/>
            </w:tcMar>
            <w:vAlign w:val="center"/>
          </w:tcPr>
          <w:p w14:paraId="5FD3CAE1">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505C00">
            <w:pPr>
              <w:widowControl/>
              <w:jc w:val="center"/>
              <w:textAlignment w:val="center"/>
              <w:rPr>
                <w:rFonts w:ascii="宋体" w:hAnsi="宋体" w:cs="宋体"/>
                <w:color w:val="000000"/>
                <w:sz w:val="24"/>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949CC5">
            <w:pPr>
              <w:widowControl/>
              <w:jc w:val="center"/>
              <w:textAlignment w:val="center"/>
              <w:rPr>
                <w:rFonts w:ascii="宋体" w:hAnsi="宋体" w:cs="宋体"/>
                <w:color w:val="000000"/>
                <w:sz w:val="24"/>
              </w:rPr>
            </w:pP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A76239">
            <w:pPr>
              <w:widowControl/>
              <w:jc w:val="center"/>
              <w:textAlignment w:val="center"/>
              <w:rPr>
                <w:rFonts w:ascii="宋体" w:hAnsi="宋体" w:cs="宋体"/>
                <w:color w:val="000000"/>
                <w:sz w:val="24"/>
              </w:rPr>
            </w:pP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1DCFAC">
            <w:pPr>
              <w:widowControl/>
              <w:jc w:val="center"/>
              <w:textAlignment w:val="center"/>
              <w:rPr>
                <w:rFonts w:ascii="宋体" w:hAnsi="宋体" w:cs="宋体"/>
                <w:color w:val="000000"/>
                <w:sz w:val="24"/>
              </w:rPr>
            </w:pP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CC8B1F">
            <w:pPr>
              <w:widowControl/>
              <w:jc w:val="center"/>
              <w:textAlignment w:val="center"/>
              <w:rPr>
                <w:rFonts w:ascii="宋体" w:hAnsi="宋体" w:cs="宋体"/>
                <w:color w:val="000000"/>
                <w:sz w:val="24"/>
              </w:rPr>
            </w:pPr>
          </w:p>
        </w:tc>
      </w:tr>
      <w:tr w14:paraId="438B4C49">
        <w:tblPrEx>
          <w:tblCellMar>
            <w:top w:w="0" w:type="dxa"/>
            <w:left w:w="0" w:type="dxa"/>
            <w:bottom w:w="0" w:type="dxa"/>
            <w:right w:w="0" w:type="dxa"/>
          </w:tblCellMar>
        </w:tblPrEx>
        <w:trPr>
          <w:trHeight w:val="90" w:hRule="atLeast"/>
          <w:jc w:val="center"/>
        </w:trPr>
        <w:tc>
          <w:tcPr>
            <w:tcW w:w="351" w:type="dxa"/>
            <w:tcBorders>
              <w:left w:val="single" w:color="000000" w:sz="4" w:space="0"/>
              <w:right w:val="single" w:color="000000" w:sz="4" w:space="0"/>
            </w:tcBorders>
            <w:tcMar>
              <w:top w:w="15" w:type="dxa"/>
              <w:left w:w="15" w:type="dxa"/>
              <w:right w:w="15" w:type="dxa"/>
            </w:tcMar>
            <w:vAlign w:val="center"/>
          </w:tcPr>
          <w:p w14:paraId="0767AAD8">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01091B">
            <w:pPr>
              <w:widowControl/>
              <w:jc w:val="center"/>
              <w:textAlignment w:val="center"/>
              <w:rPr>
                <w:rFonts w:ascii="宋体" w:hAnsi="宋体" w:cs="宋体"/>
                <w:color w:val="000000"/>
                <w:sz w:val="24"/>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52C71B">
            <w:pPr>
              <w:widowControl/>
              <w:jc w:val="center"/>
              <w:textAlignment w:val="center"/>
              <w:rPr>
                <w:rFonts w:ascii="宋体" w:hAnsi="宋体" w:cs="宋体"/>
                <w:color w:val="000000"/>
                <w:sz w:val="24"/>
              </w:rPr>
            </w:pP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639968">
            <w:pPr>
              <w:widowControl/>
              <w:jc w:val="center"/>
              <w:textAlignment w:val="center"/>
              <w:rPr>
                <w:rFonts w:ascii="宋体" w:hAnsi="宋体" w:cs="宋体"/>
                <w:color w:val="000000"/>
                <w:sz w:val="24"/>
              </w:rPr>
            </w:pP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C93FD2">
            <w:pPr>
              <w:widowControl/>
              <w:jc w:val="center"/>
              <w:textAlignment w:val="center"/>
              <w:rPr>
                <w:rFonts w:ascii="宋体" w:hAnsi="宋体" w:cs="宋体"/>
                <w:color w:val="000000"/>
                <w:sz w:val="24"/>
              </w:rPr>
            </w:pP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E8A62">
            <w:pPr>
              <w:widowControl/>
              <w:jc w:val="center"/>
              <w:textAlignment w:val="center"/>
              <w:rPr>
                <w:rFonts w:ascii="宋体" w:hAnsi="宋体" w:cs="宋体"/>
                <w:color w:val="000000"/>
                <w:sz w:val="24"/>
              </w:rPr>
            </w:pPr>
          </w:p>
        </w:tc>
      </w:tr>
      <w:tr w14:paraId="4DE72897">
        <w:tblPrEx>
          <w:tblCellMar>
            <w:top w:w="0" w:type="dxa"/>
            <w:left w:w="0" w:type="dxa"/>
            <w:bottom w:w="0" w:type="dxa"/>
            <w:right w:w="0" w:type="dxa"/>
          </w:tblCellMar>
        </w:tblPrEx>
        <w:trPr>
          <w:trHeight w:val="90" w:hRule="atLeast"/>
          <w:jc w:val="center"/>
        </w:trPr>
        <w:tc>
          <w:tcPr>
            <w:tcW w:w="351" w:type="dxa"/>
            <w:tcBorders>
              <w:left w:val="single" w:color="000000" w:sz="4" w:space="0"/>
              <w:right w:val="single" w:color="000000" w:sz="4" w:space="0"/>
            </w:tcBorders>
            <w:tcMar>
              <w:top w:w="15" w:type="dxa"/>
              <w:left w:w="15" w:type="dxa"/>
              <w:right w:w="15" w:type="dxa"/>
            </w:tcMar>
            <w:vAlign w:val="center"/>
          </w:tcPr>
          <w:p w14:paraId="2FDAE39B">
            <w:pPr>
              <w:widowControl/>
              <w:jc w:val="center"/>
              <w:textAlignment w:val="center"/>
              <w:rPr>
                <w:rFonts w:ascii="宋体" w:hAnsi="宋体" w:cs="宋体"/>
                <w:color w:val="000000"/>
                <w:sz w:val="24"/>
              </w:rPr>
            </w:pPr>
          </w:p>
        </w:tc>
        <w:tc>
          <w:tcPr>
            <w:tcW w:w="12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E499E9">
            <w:pPr>
              <w:widowControl/>
              <w:jc w:val="center"/>
              <w:textAlignment w:val="center"/>
              <w:rPr>
                <w:rFonts w:ascii="宋体" w:hAnsi="宋体" w:cs="宋体"/>
                <w:color w:val="000000"/>
                <w:sz w:val="24"/>
              </w:rPr>
            </w:pPr>
          </w:p>
        </w:tc>
        <w:tc>
          <w:tcPr>
            <w:tcW w:w="9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B33D8A">
            <w:pPr>
              <w:widowControl/>
              <w:jc w:val="center"/>
              <w:textAlignment w:val="center"/>
              <w:rPr>
                <w:rFonts w:ascii="宋体" w:hAnsi="宋体" w:cs="宋体"/>
                <w:color w:val="000000"/>
                <w:sz w:val="24"/>
              </w:rPr>
            </w:pPr>
          </w:p>
        </w:tc>
        <w:tc>
          <w:tcPr>
            <w:tcW w:w="216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58635D">
            <w:pPr>
              <w:widowControl/>
              <w:jc w:val="center"/>
              <w:textAlignment w:val="center"/>
              <w:rPr>
                <w:rFonts w:ascii="宋体" w:hAnsi="宋体" w:cs="宋体"/>
                <w:color w:val="000000"/>
                <w:sz w:val="24"/>
              </w:rPr>
            </w:pPr>
          </w:p>
        </w:tc>
        <w:tc>
          <w:tcPr>
            <w:tcW w:w="21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F1E133">
            <w:pPr>
              <w:widowControl/>
              <w:jc w:val="center"/>
              <w:textAlignment w:val="center"/>
              <w:rPr>
                <w:rFonts w:ascii="宋体" w:hAnsi="宋体" w:cs="宋体"/>
                <w:color w:val="000000"/>
                <w:sz w:val="24"/>
              </w:rPr>
            </w:pPr>
          </w:p>
        </w:tc>
        <w:tc>
          <w:tcPr>
            <w:tcW w:w="217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5724BE">
            <w:pPr>
              <w:widowControl/>
              <w:jc w:val="center"/>
              <w:textAlignment w:val="center"/>
              <w:rPr>
                <w:rFonts w:ascii="宋体" w:hAnsi="宋体" w:cs="宋体"/>
                <w:color w:val="000000"/>
                <w:sz w:val="24"/>
              </w:rPr>
            </w:pPr>
          </w:p>
        </w:tc>
      </w:tr>
    </w:tbl>
    <w:p w14:paraId="58B88674">
      <w:pPr>
        <w:spacing w:line="580" w:lineRule="exact"/>
        <w:rPr>
          <w:rFonts w:ascii="仿宋" w:hAnsi="仿宋" w:eastAsia="仿宋" w:cs="楷体_GB2312"/>
          <w:b/>
          <w:bCs/>
          <w:sz w:val="44"/>
          <w:szCs w:val="44"/>
        </w:rPr>
      </w:pPr>
    </w:p>
    <w:p w14:paraId="381F5948">
      <w:pPr>
        <w:spacing w:line="580" w:lineRule="exact"/>
        <w:ind w:firstLine="321" w:firstLineChars="100"/>
        <w:rPr>
          <w:rFonts w:ascii="仿宋" w:hAnsi="仿宋" w:eastAsia="仿宋" w:cs="仿宋_GB2312"/>
          <w:color w:val="FF0000"/>
          <w:sz w:val="32"/>
          <w:szCs w:val="32"/>
        </w:rPr>
      </w:pPr>
      <w:r>
        <w:rPr>
          <w:rFonts w:hint="eastAsia" w:ascii="仿宋" w:hAnsi="仿宋" w:eastAsia="仿宋" w:cs="楷体_GB2312"/>
          <w:b/>
          <w:bCs/>
          <w:sz w:val="32"/>
          <w:szCs w:val="32"/>
        </w:rPr>
        <w:t>2部门开展绩效评价结果。</w:t>
      </w:r>
    </w:p>
    <w:p w14:paraId="7357683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年部门整体支出绩效评价情况开展自评，《阿坝州总工会2020年部门整体支出绩效评价报告》见附件。</w:t>
      </w:r>
    </w:p>
    <w:p w14:paraId="635226B8">
      <w:pPr>
        <w:pStyle w:val="20"/>
      </w:pPr>
    </w:p>
    <w:p w14:paraId="4B806D7B">
      <w:pPr>
        <w:widowControl/>
        <w:ind w:firstLine="2209" w:firstLineChars="500"/>
        <w:jc w:val="left"/>
        <w:rPr>
          <w:rFonts w:ascii="黑体" w:hAnsi="黑体" w:eastAsia="黑体"/>
          <w:b/>
          <w:color w:val="000000"/>
          <w:sz w:val="44"/>
          <w:szCs w:val="44"/>
        </w:rPr>
      </w:pPr>
      <w:bookmarkStart w:id="48" w:name="_Toc15377225"/>
      <w:bookmarkStart w:id="49" w:name="_Toc15396613"/>
    </w:p>
    <w:p w14:paraId="449D96B9">
      <w:pPr>
        <w:widowControl/>
        <w:ind w:firstLine="2209" w:firstLineChars="500"/>
        <w:jc w:val="left"/>
        <w:rPr>
          <w:rFonts w:ascii="宋体"/>
          <w:b/>
          <w:color w:val="000000"/>
          <w:sz w:val="44"/>
          <w:szCs w:val="44"/>
        </w:rPr>
      </w:pPr>
      <w:r>
        <w:rPr>
          <w:rFonts w:hint="eastAsia" w:ascii="黑体" w:hAnsi="黑体" w:eastAsia="黑体"/>
          <w:b/>
          <w:color w:val="000000"/>
          <w:sz w:val="44"/>
          <w:szCs w:val="44"/>
        </w:rPr>
        <w:t>第三部分 名</w:t>
      </w:r>
      <w:r>
        <w:rPr>
          <w:rStyle w:val="29"/>
          <w:rFonts w:hint="eastAsia" w:ascii="黑体" w:hAnsi="黑体" w:eastAsia="黑体"/>
          <w:b w:val="0"/>
        </w:rPr>
        <w:t>词解释</w:t>
      </w:r>
      <w:bookmarkEnd w:id="48"/>
      <w:bookmarkEnd w:id="49"/>
    </w:p>
    <w:p w14:paraId="4CE2A082">
      <w:pPr>
        <w:pStyle w:val="27"/>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7C35E9E2">
      <w:pPr>
        <w:pStyle w:val="27"/>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事业收入：指事业单位开展专业业务活动及辅助活动取得的收入。如…（二级预算单位事业收入情况）等。</w:t>
      </w:r>
    </w:p>
    <w:p w14:paraId="6625A069">
      <w:pPr>
        <w:pStyle w:val="27"/>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经营收入：指事业单位在专业业务活动及其辅助活动之外开展非独立核算经营活动取得的收入。如…（二级预算单位经营收入情况）等。</w:t>
      </w:r>
    </w:p>
    <w:p w14:paraId="4615EB87">
      <w:pPr>
        <w:pStyle w:val="27"/>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其他收入：指单位取得的除上述收入以外的各项收入。主要是…（收入类型）等。</w:t>
      </w:r>
      <w:r>
        <w:rPr>
          <w:rFonts w:ascii="仿宋_GB2312" w:eastAsia="仿宋_GB2312"/>
          <w:sz w:val="32"/>
          <w:szCs w:val="32"/>
        </w:rPr>
        <w:t xml:space="preserve"> </w:t>
      </w:r>
    </w:p>
    <w:p w14:paraId="7EE0BED2">
      <w:pPr>
        <w:pStyle w:val="27"/>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sz w:val="32"/>
          <w:szCs w:val="32"/>
        </w:rPr>
        <w:t xml:space="preserve"> </w:t>
      </w:r>
    </w:p>
    <w:p w14:paraId="3F26036F">
      <w:pPr>
        <w:pStyle w:val="27"/>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4C80D748">
      <w:pPr>
        <w:pStyle w:val="27"/>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36FA2067">
      <w:pPr>
        <w:pStyle w:val="27"/>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3F366A85">
      <w:pPr>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rPr>
        <w:t>一般公共服务其他群众团体事务支出（2012999）：指反映其他用于群众团体事务方面的支出。一般公共服务群众团体事务支出行政运行（2012901）：指反映行政单位（包括实行公务员管理的事业单位）的基本支出。</w:t>
      </w:r>
    </w:p>
    <w:p w14:paraId="0AD12959">
      <w:pPr>
        <w:ind w:firstLine="640" w:firstLineChars="200"/>
        <w:rPr>
          <w:rFonts w:ascii="仿宋_GB2312" w:eastAsia="仿宋_GB2312"/>
          <w:color w:val="000000"/>
          <w:sz w:val="32"/>
          <w:szCs w:val="32"/>
        </w:rPr>
      </w:pPr>
      <w:r>
        <w:rPr>
          <w:rFonts w:hint="eastAsia" w:ascii="仿宋_GB2312" w:eastAsia="仿宋_GB2312"/>
          <w:color w:val="000000"/>
          <w:sz w:val="32"/>
          <w:szCs w:val="32"/>
        </w:rPr>
        <w:t>10</w:t>
      </w:r>
      <w:r>
        <w:rPr>
          <w:rFonts w:ascii="仿宋_GB2312" w:eastAsia="仿宋_GB2312"/>
          <w:color w:val="000000"/>
          <w:sz w:val="32"/>
          <w:szCs w:val="32"/>
        </w:rPr>
        <w:t>.</w:t>
      </w:r>
      <w:r>
        <w:rPr>
          <w:rStyle w:val="18"/>
          <w:rFonts w:hint="eastAsia" w:ascii="仿宋_GB2312" w:hAnsi="仿宋_GB2312" w:eastAsia="仿宋_GB2312" w:cs="仿宋_GB2312"/>
          <w:b w:val="0"/>
          <w:color w:val="000000"/>
          <w:sz w:val="32"/>
          <w:szCs w:val="32"/>
        </w:rPr>
        <w:t>教育其他教育支出（2059999）：</w:t>
      </w:r>
      <w:r>
        <w:rPr>
          <w:rFonts w:hint="eastAsia" w:ascii="仿宋_GB2312" w:eastAsia="仿宋_GB2312"/>
          <w:color w:val="000000"/>
          <w:sz w:val="32"/>
          <w:szCs w:val="32"/>
        </w:rPr>
        <w:t>指反映上述项目以外其他用于教育方面的支出。</w:t>
      </w:r>
    </w:p>
    <w:p w14:paraId="6C91F637">
      <w:pPr>
        <w:ind w:firstLine="640" w:firstLineChars="200"/>
        <w:rPr>
          <w:rFonts w:ascii="仿宋_GB2312" w:eastAsia="仿宋_GB2312"/>
          <w:color w:val="000000"/>
          <w:sz w:val="32"/>
          <w:szCs w:val="32"/>
        </w:rPr>
      </w:pPr>
      <w:r>
        <w:rPr>
          <w:rFonts w:hint="eastAsia" w:ascii="仿宋_GB2312" w:eastAsia="仿宋_GB2312"/>
          <w:color w:val="000000"/>
          <w:sz w:val="32"/>
          <w:szCs w:val="32"/>
        </w:rPr>
        <w:t>11</w:t>
      </w:r>
      <w:r>
        <w:rPr>
          <w:rFonts w:ascii="仿宋_GB2312" w:eastAsia="仿宋_GB2312"/>
          <w:color w:val="000000"/>
          <w:sz w:val="32"/>
          <w:szCs w:val="32"/>
        </w:rPr>
        <w:t>.</w:t>
      </w:r>
      <w:r>
        <w:rPr>
          <w:rFonts w:hint="eastAsia" w:ascii="仿宋_GB2312" w:eastAsia="仿宋_GB2312"/>
          <w:color w:val="000000"/>
          <w:sz w:val="32"/>
          <w:szCs w:val="32"/>
        </w:rPr>
        <w:t>社会保障和就业支出：机关事业单位基本养老保险缴费支出（2080505）：指行政事业单位用于缴纳在职职工基本养老保险缴费方面支出；机关事业单位职业年金缴费支出（2080506）：指行政事业单位用于缴纳在职职工职业年金缴费方面支出。</w:t>
      </w:r>
    </w:p>
    <w:p w14:paraId="44B223B7">
      <w:pPr>
        <w:ind w:firstLine="640" w:firstLineChars="200"/>
        <w:rPr>
          <w:rFonts w:ascii="仿宋_GB2312" w:eastAsia="仿宋_GB2312"/>
          <w:color w:val="000000"/>
          <w:sz w:val="32"/>
          <w:szCs w:val="32"/>
        </w:rPr>
      </w:pPr>
      <w:r>
        <w:rPr>
          <w:rFonts w:hint="eastAsia" w:ascii="仿宋_GB2312" w:eastAsia="仿宋_GB2312"/>
          <w:color w:val="000000"/>
          <w:sz w:val="32"/>
          <w:szCs w:val="32"/>
        </w:rPr>
        <w:t>12</w:t>
      </w:r>
      <w:r>
        <w:rPr>
          <w:rFonts w:ascii="仿宋_GB2312" w:eastAsia="仿宋_GB2312"/>
          <w:color w:val="000000"/>
          <w:sz w:val="32"/>
          <w:szCs w:val="32"/>
        </w:rPr>
        <w:t>.</w:t>
      </w:r>
      <w:r>
        <w:rPr>
          <w:rStyle w:val="18"/>
          <w:rFonts w:eastAsia="仿宋_GB2312"/>
          <w:b w:val="0"/>
          <w:color w:val="000000"/>
          <w:sz w:val="32"/>
          <w:szCs w:val="32"/>
        </w:rPr>
        <w:t>医疗卫生与计划生育支出行政单位医疗支出</w:t>
      </w:r>
      <w:r>
        <w:rPr>
          <w:rStyle w:val="18"/>
          <w:rFonts w:hint="eastAsia" w:eastAsia="仿宋_GB2312"/>
          <w:b w:val="0"/>
          <w:color w:val="000000"/>
          <w:sz w:val="32"/>
          <w:szCs w:val="32"/>
        </w:rPr>
        <w:t>（2100501）</w:t>
      </w:r>
      <w:r>
        <w:rPr>
          <w:rFonts w:hint="eastAsia" w:ascii="仿宋_GB2312" w:eastAsia="仿宋_GB2312"/>
          <w:color w:val="000000"/>
          <w:sz w:val="32"/>
          <w:szCs w:val="32"/>
        </w:rPr>
        <w:t>：指反映财政部门集中安排的行政单位基本医疗保险缴费经费，未参加医疗保险的行政单位的公费医疗经费，按国家规定享受离休人员、红军战士待遇人员的医疗经费。</w:t>
      </w:r>
    </w:p>
    <w:p w14:paraId="028F70CB">
      <w:pPr>
        <w:ind w:firstLine="320" w:firstLineChars="100"/>
        <w:rPr>
          <w:rFonts w:ascii="仿宋_GB2312" w:eastAsia="仿宋_GB2312"/>
          <w:color w:val="000000"/>
          <w:sz w:val="32"/>
          <w:szCs w:val="32"/>
        </w:rPr>
      </w:pPr>
      <w:r>
        <w:rPr>
          <w:rFonts w:hint="eastAsia" w:ascii="仿宋_GB2312" w:eastAsia="仿宋_GB2312"/>
          <w:color w:val="000000"/>
          <w:sz w:val="32"/>
          <w:szCs w:val="32"/>
        </w:rPr>
        <w:t>13</w:t>
      </w:r>
      <w:r>
        <w:rPr>
          <w:rFonts w:ascii="仿宋_GB2312" w:eastAsia="仿宋_GB2312"/>
          <w:color w:val="000000"/>
          <w:sz w:val="32"/>
          <w:szCs w:val="32"/>
        </w:rPr>
        <w:t>.</w:t>
      </w:r>
      <w:r>
        <w:rPr>
          <w:rStyle w:val="18"/>
          <w:rFonts w:eastAsia="仿宋_GB2312"/>
          <w:b w:val="0"/>
          <w:color w:val="000000"/>
          <w:sz w:val="32"/>
          <w:szCs w:val="32"/>
        </w:rPr>
        <w:t>住房保障支出住房改革支出：住房公积金</w:t>
      </w:r>
      <w:r>
        <w:rPr>
          <w:rStyle w:val="18"/>
          <w:rFonts w:hint="eastAsia" w:eastAsia="仿宋_GB2312"/>
          <w:b w:val="0"/>
          <w:color w:val="000000"/>
          <w:sz w:val="32"/>
          <w:szCs w:val="32"/>
        </w:rPr>
        <w:t>（2210201）</w:t>
      </w:r>
      <w:r>
        <w:rPr>
          <w:rStyle w:val="18"/>
          <w:rFonts w:eastAsia="仿宋_GB2312"/>
          <w:color w:val="000000"/>
          <w:sz w:val="32"/>
          <w:szCs w:val="32"/>
        </w:rPr>
        <w:t>:</w:t>
      </w:r>
      <w:r>
        <w:rPr>
          <w:rFonts w:hint="eastAsia" w:eastAsia="仿宋_GB2312"/>
          <w:color w:val="000000"/>
          <w:sz w:val="32"/>
          <w:szCs w:val="32"/>
        </w:rPr>
        <w:t>指反映行政事业单位按照人力资源和社会保障部、财政部规定的基本工资和津贴补贴以及规定比例为职工缴纳的住房公积金</w:t>
      </w:r>
      <w:r>
        <w:rPr>
          <w:rFonts w:eastAsia="仿宋_GB2312"/>
          <w:color w:val="000000"/>
          <w:sz w:val="32"/>
          <w:szCs w:val="32"/>
        </w:rPr>
        <w:t>；</w:t>
      </w:r>
      <w:r>
        <w:rPr>
          <w:rStyle w:val="18"/>
          <w:rFonts w:eastAsia="仿宋_GB2312"/>
          <w:b w:val="0"/>
          <w:color w:val="000000"/>
          <w:sz w:val="32"/>
          <w:szCs w:val="32"/>
        </w:rPr>
        <w:t>购房补贴</w:t>
      </w:r>
      <w:r>
        <w:rPr>
          <w:rStyle w:val="18"/>
          <w:rFonts w:hint="eastAsia" w:eastAsia="仿宋_GB2312"/>
          <w:b w:val="0"/>
          <w:color w:val="000000"/>
          <w:sz w:val="32"/>
          <w:szCs w:val="32"/>
        </w:rPr>
        <w:t>（2210203）</w:t>
      </w:r>
      <w:r>
        <w:rPr>
          <w:rFonts w:hint="eastAsia" w:ascii="仿宋_GB2312" w:eastAsia="仿宋_GB2312"/>
          <w:color w:val="000000"/>
          <w:sz w:val="32"/>
          <w:szCs w:val="32"/>
        </w:rPr>
        <w:t>：指反映按房改政策规定，行政事业单位向符合条件职工（含离退休人员）、军队（含武警）向转役复员离退休人员发放的用于购买住房的补贴。</w:t>
      </w:r>
    </w:p>
    <w:p w14:paraId="2D35B776">
      <w:pPr>
        <w:ind w:firstLine="640" w:firstLineChars="200"/>
        <w:rPr>
          <w:rFonts w:ascii="仿宋_GB2312" w:eastAsia="仿宋_GB2312"/>
          <w:color w:val="000000"/>
          <w:sz w:val="32"/>
          <w:szCs w:val="32"/>
        </w:rPr>
      </w:pPr>
      <w:r>
        <w:rPr>
          <w:rFonts w:hint="eastAsia" w:ascii="仿宋_GB2312" w:eastAsia="仿宋_GB2312"/>
          <w:color w:val="000000"/>
          <w:sz w:val="32"/>
          <w:szCs w:val="32"/>
        </w:rPr>
        <w:t>14</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27F5758B">
      <w:pPr>
        <w:ind w:firstLine="640" w:firstLineChars="200"/>
        <w:rPr>
          <w:rFonts w:ascii="仿宋_GB2312" w:eastAsia="仿宋_GB2312"/>
          <w:color w:val="000000"/>
          <w:sz w:val="32"/>
          <w:szCs w:val="32"/>
        </w:rPr>
      </w:pPr>
      <w:r>
        <w:rPr>
          <w:rFonts w:hint="eastAsia" w:ascii="仿宋_GB2312" w:eastAsia="仿宋_GB2312"/>
          <w:color w:val="000000"/>
          <w:sz w:val="32"/>
          <w:szCs w:val="32"/>
        </w:rPr>
        <w:t>15</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37C0E8EF">
      <w:pPr>
        <w:ind w:firstLine="640" w:firstLineChars="200"/>
        <w:rPr>
          <w:rFonts w:hint="eastAsia" w:ascii="仿宋_GB2312" w:eastAsia="仿宋_GB2312"/>
          <w:color w:val="000000"/>
          <w:sz w:val="32"/>
          <w:szCs w:val="32"/>
        </w:rPr>
      </w:pPr>
    </w:p>
    <w:p w14:paraId="73AC75AB">
      <w:pPr>
        <w:ind w:firstLine="640" w:firstLineChars="200"/>
        <w:rPr>
          <w:rFonts w:hint="eastAsia" w:ascii="仿宋_GB2312" w:eastAsia="仿宋_GB2312"/>
          <w:color w:val="000000"/>
          <w:sz w:val="32"/>
          <w:szCs w:val="32"/>
        </w:rPr>
      </w:pPr>
    </w:p>
    <w:p w14:paraId="0A6B199F">
      <w:pPr>
        <w:ind w:firstLine="640" w:firstLineChars="200"/>
        <w:rPr>
          <w:rFonts w:ascii="仿宋_GB2312" w:eastAsia="仿宋_GB2312"/>
          <w:color w:val="000000"/>
          <w:sz w:val="32"/>
          <w:szCs w:val="32"/>
        </w:rPr>
      </w:pPr>
      <w:r>
        <w:rPr>
          <w:rFonts w:hint="eastAsia" w:ascii="仿宋_GB2312" w:eastAsia="仿宋_GB2312"/>
          <w:color w:val="000000"/>
          <w:sz w:val="32"/>
          <w:szCs w:val="32"/>
        </w:rPr>
        <w:t>16</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14:paraId="6A4964F6">
      <w:pPr>
        <w:pStyle w:val="27"/>
        <w:spacing w:line="560" w:lineRule="exact"/>
        <w:ind w:firstLine="640" w:firstLineChars="200"/>
        <w:rPr>
          <w:rFonts w:ascii="仿宋_GB2312" w:eastAsia="仿宋_GB2312"/>
          <w:sz w:val="32"/>
          <w:szCs w:val="32"/>
        </w:rPr>
      </w:pPr>
      <w:r>
        <w:rPr>
          <w:rFonts w:hint="eastAsia" w:ascii="仿宋_GB2312" w:eastAsia="仿宋_GB2312"/>
          <w:sz w:val="32"/>
          <w:szCs w:val="32"/>
        </w:rPr>
        <w:t>17</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D1DF9F1">
      <w:pPr>
        <w:pStyle w:val="27"/>
        <w:spacing w:line="560" w:lineRule="exact"/>
        <w:ind w:firstLine="640" w:firstLineChars="200"/>
        <w:rPr>
          <w:rFonts w:ascii="仿宋_GB2312" w:eastAsia="仿宋_GB2312" w:cs="黑体"/>
          <w:sz w:val="32"/>
          <w:szCs w:val="32"/>
        </w:rPr>
      </w:pPr>
      <w:r>
        <w:rPr>
          <w:rFonts w:hint="eastAsia" w:ascii="仿宋_GB2312" w:eastAsia="仿宋_GB2312"/>
          <w:sz w:val="32"/>
          <w:szCs w:val="32"/>
        </w:rPr>
        <w:t>18</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50" w:name="_Toc15396614"/>
      <w:bookmarkStart w:id="51" w:name="_Toc15377226"/>
    </w:p>
    <w:p w14:paraId="43457CD7">
      <w:pPr>
        <w:spacing w:line="600" w:lineRule="exact"/>
        <w:ind w:firstLine="2200" w:firstLineChars="500"/>
        <w:jc w:val="left"/>
        <w:outlineLvl w:val="0"/>
        <w:rPr>
          <w:rFonts w:hint="eastAsia" w:ascii="黑体" w:hAnsi="黑体" w:eastAsia="黑体"/>
          <w:color w:val="000000"/>
          <w:sz w:val="44"/>
          <w:szCs w:val="44"/>
        </w:rPr>
      </w:pPr>
    </w:p>
    <w:p w14:paraId="00B03543">
      <w:pPr>
        <w:spacing w:line="600" w:lineRule="exact"/>
        <w:ind w:firstLine="2200" w:firstLineChars="500"/>
        <w:jc w:val="left"/>
        <w:outlineLvl w:val="0"/>
        <w:rPr>
          <w:rFonts w:hint="eastAsia" w:ascii="黑体" w:hAnsi="黑体" w:eastAsia="黑体"/>
          <w:color w:val="000000"/>
          <w:sz w:val="44"/>
          <w:szCs w:val="44"/>
        </w:rPr>
      </w:pPr>
    </w:p>
    <w:p w14:paraId="2F218C0F">
      <w:pPr>
        <w:spacing w:line="600" w:lineRule="exact"/>
        <w:ind w:firstLine="2200" w:firstLineChars="500"/>
        <w:jc w:val="left"/>
        <w:outlineLvl w:val="0"/>
        <w:rPr>
          <w:rFonts w:hint="eastAsia" w:ascii="黑体" w:hAnsi="黑体" w:eastAsia="黑体"/>
          <w:color w:val="000000"/>
          <w:sz w:val="44"/>
          <w:szCs w:val="44"/>
        </w:rPr>
      </w:pPr>
    </w:p>
    <w:p w14:paraId="365BADCD">
      <w:pPr>
        <w:spacing w:line="600" w:lineRule="exact"/>
        <w:ind w:firstLine="2200" w:firstLineChars="500"/>
        <w:jc w:val="left"/>
        <w:outlineLvl w:val="0"/>
        <w:rPr>
          <w:rFonts w:hint="eastAsia" w:ascii="黑体" w:hAnsi="黑体" w:eastAsia="黑体"/>
          <w:color w:val="000000"/>
          <w:sz w:val="44"/>
          <w:szCs w:val="44"/>
        </w:rPr>
      </w:pPr>
    </w:p>
    <w:p w14:paraId="68ABF8BE">
      <w:pPr>
        <w:spacing w:line="600" w:lineRule="exact"/>
        <w:ind w:firstLine="2200" w:firstLineChars="500"/>
        <w:jc w:val="left"/>
        <w:outlineLvl w:val="0"/>
        <w:rPr>
          <w:rFonts w:hint="eastAsia" w:ascii="黑体" w:hAnsi="黑体" w:eastAsia="黑体"/>
          <w:color w:val="000000"/>
          <w:sz w:val="44"/>
          <w:szCs w:val="44"/>
        </w:rPr>
      </w:pPr>
    </w:p>
    <w:p w14:paraId="7FD6EFB4">
      <w:pPr>
        <w:spacing w:line="600" w:lineRule="exact"/>
        <w:ind w:firstLine="2200" w:firstLineChars="500"/>
        <w:jc w:val="left"/>
        <w:outlineLvl w:val="0"/>
        <w:rPr>
          <w:rFonts w:hint="eastAsia" w:ascii="黑体" w:hAnsi="黑体" w:eastAsia="黑体"/>
          <w:color w:val="000000"/>
          <w:sz w:val="44"/>
          <w:szCs w:val="44"/>
        </w:rPr>
      </w:pPr>
    </w:p>
    <w:p w14:paraId="13D9CEF8">
      <w:pPr>
        <w:spacing w:line="600" w:lineRule="exact"/>
        <w:ind w:firstLine="2200" w:firstLineChars="500"/>
        <w:jc w:val="left"/>
        <w:outlineLvl w:val="0"/>
        <w:rPr>
          <w:rStyle w:val="29"/>
          <w:rFonts w:ascii="黑体" w:hAnsi="黑体" w:eastAsia="黑体"/>
          <w:b w:val="0"/>
        </w:rPr>
      </w:pPr>
      <w:r>
        <w:rPr>
          <w:rFonts w:hint="eastAsia" w:ascii="黑体" w:hAnsi="黑体" w:eastAsia="黑体"/>
          <w:color w:val="000000"/>
          <w:sz w:val="44"/>
          <w:szCs w:val="44"/>
        </w:rPr>
        <w:t>第</w:t>
      </w:r>
      <w:r>
        <w:rPr>
          <w:rStyle w:val="29"/>
          <w:rFonts w:hint="eastAsia" w:ascii="黑体" w:hAnsi="黑体" w:eastAsia="黑体"/>
          <w:b w:val="0"/>
        </w:rPr>
        <w:t>四部分 附件</w:t>
      </w:r>
      <w:bookmarkEnd w:id="50"/>
    </w:p>
    <w:p w14:paraId="752E1E16">
      <w:pPr>
        <w:spacing w:line="600" w:lineRule="exact"/>
        <w:jc w:val="center"/>
        <w:outlineLvl w:val="0"/>
        <w:rPr>
          <w:rStyle w:val="29"/>
        </w:rPr>
      </w:pPr>
    </w:p>
    <w:p w14:paraId="3A2BADBE">
      <w:pPr>
        <w:pStyle w:val="4"/>
        <w:rPr>
          <w:rStyle w:val="29"/>
          <w:rFonts w:ascii="仿宋" w:hAnsi="仿宋" w:eastAsia="仿宋"/>
          <w:b w:val="0"/>
          <w:bCs w:val="0"/>
          <w:sz w:val="32"/>
          <w:szCs w:val="32"/>
        </w:rPr>
      </w:pPr>
      <w:bookmarkStart w:id="52" w:name="_Toc15396615"/>
      <w:r>
        <w:rPr>
          <w:rStyle w:val="29"/>
          <w:rFonts w:hint="eastAsia" w:ascii="仿宋" w:hAnsi="仿宋" w:eastAsia="仿宋"/>
          <w:b w:val="0"/>
          <w:bCs w:val="0"/>
          <w:sz w:val="32"/>
          <w:szCs w:val="32"/>
        </w:rPr>
        <w:t>附件1</w:t>
      </w:r>
      <w:bookmarkEnd w:id="52"/>
    </w:p>
    <w:p w14:paraId="3C249A0A">
      <w:pPr>
        <w:widowControl/>
        <w:spacing w:line="580" w:lineRule="exact"/>
        <w:contextualSpacing/>
        <w:jc w:val="center"/>
        <w:rPr>
          <w:rFonts w:hint="eastAsia" w:ascii="宋体" w:eastAsia="宋体"/>
          <w:b/>
          <w:sz w:val="44"/>
          <w:szCs w:val="44"/>
          <w:shd w:val="clear" w:color="auto" w:fill="FFFFFF"/>
        </w:rPr>
      </w:pPr>
      <w:r>
        <w:rPr>
          <w:rFonts w:hint="eastAsia" w:ascii="宋体" w:eastAsia="宋体"/>
          <w:b/>
          <w:sz w:val="44"/>
          <w:szCs w:val="44"/>
          <w:shd w:val="clear" w:color="auto" w:fill="FFFFFF"/>
        </w:rPr>
        <w:t>20</w:t>
      </w:r>
      <w:r>
        <w:rPr>
          <w:rFonts w:hint="eastAsia" w:ascii="宋体" w:eastAsia="宋体"/>
          <w:b/>
          <w:sz w:val="44"/>
          <w:szCs w:val="44"/>
          <w:shd w:val="clear" w:color="auto" w:fill="FFFFFF"/>
          <w:lang w:val="en-US" w:eastAsia="zh-CN"/>
        </w:rPr>
        <w:t>21</w:t>
      </w:r>
      <w:r>
        <w:rPr>
          <w:rFonts w:hint="eastAsia" w:ascii="宋体" w:eastAsia="宋体"/>
          <w:b/>
          <w:sz w:val="44"/>
          <w:szCs w:val="44"/>
          <w:shd w:val="clear" w:color="auto" w:fill="FFFFFF"/>
        </w:rPr>
        <w:t>年</w:t>
      </w:r>
      <w:r>
        <w:rPr>
          <w:rFonts w:hint="eastAsia" w:ascii="宋体" w:eastAsia="宋体"/>
          <w:b/>
          <w:sz w:val="44"/>
          <w:szCs w:val="44"/>
          <w:shd w:val="clear" w:color="auto" w:fill="FFFFFF"/>
          <w:lang w:eastAsia="zh-CN"/>
        </w:rPr>
        <w:t>阿坝州总工会</w:t>
      </w:r>
      <w:r>
        <w:rPr>
          <w:rFonts w:hint="eastAsia" w:ascii="宋体" w:eastAsia="宋体"/>
          <w:b/>
          <w:sz w:val="44"/>
          <w:szCs w:val="44"/>
          <w:shd w:val="clear" w:color="auto" w:fill="FFFFFF"/>
        </w:rPr>
        <w:t>整体支出</w:t>
      </w:r>
    </w:p>
    <w:p w14:paraId="6F54CC97">
      <w:pPr>
        <w:widowControl/>
        <w:spacing w:line="580" w:lineRule="exact"/>
        <w:contextualSpacing/>
        <w:jc w:val="center"/>
        <w:rPr>
          <w:rFonts w:ascii="宋体" w:eastAsia="宋体"/>
          <w:b/>
          <w:sz w:val="44"/>
          <w:szCs w:val="44"/>
          <w:shd w:val="clear" w:color="auto" w:fill="FFFFFF"/>
        </w:rPr>
      </w:pPr>
      <w:r>
        <w:rPr>
          <w:rFonts w:hint="eastAsia" w:ascii="宋体" w:eastAsia="宋体"/>
          <w:b/>
          <w:sz w:val="44"/>
          <w:szCs w:val="44"/>
          <w:shd w:val="clear" w:color="auto" w:fill="FFFFFF"/>
        </w:rPr>
        <w:t>绩效评价报告</w:t>
      </w:r>
    </w:p>
    <w:p w14:paraId="47E04D97">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ascii="黑体" w:eastAsia="黑体" w:cs="宋体"/>
          <w:color w:val="000000"/>
          <w:kern w:val="0"/>
          <w:sz w:val="32"/>
          <w:szCs w:val="32"/>
          <w:shd w:val="clear" w:color="auto" w:fill="FFFFFF"/>
        </w:rPr>
      </w:pPr>
    </w:p>
    <w:p w14:paraId="3206045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rPr>
          <w:rFonts w:hint="eastAsia" w:ascii="仿宋" w:hAnsi="仿宋" w:eastAsia="仿宋" w:cs="仿宋"/>
          <w:b/>
          <w:bCs/>
          <w:color w:val="000000"/>
          <w:kern w:val="0"/>
          <w:sz w:val="32"/>
          <w:szCs w:val="32"/>
          <w:shd w:val="clear" w:color="auto" w:fill="FFFFFF"/>
          <w:lang w:val="zh-CN"/>
        </w:rPr>
      </w:pPr>
      <w:r>
        <w:rPr>
          <w:rFonts w:hint="eastAsia" w:ascii="仿宋" w:hAnsi="仿宋" w:eastAsia="仿宋" w:cs="仿宋"/>
          <w:b/>
          <w:bCs/>
          <w:color w:val="000000"/>
          <w:kern w:val="0"/>
          <w:sz w:val="32"/>
          <w:szCs w:val="32"/>
          <w:shd w:val="clear" w:color="auto" w:fill="FFFFFF"/>
        </w:rPr>
        <w:t>一、</w:t>
      </w:r>
      <w:r>
        <w:rPr>
          <w:rFonts w:hint="eastAsia" w:ascii="仿宋" w:hAnsi="仿宋" w:eastAsia="仿宋" w:cs="仿宋"/>
          <w:b/>
          <w:bCs/>
          <w:color w:val="000000"/>
          <w:kern w:val="0"/>
          <w:sz w:val="32"/>
          <w:szCs w:val="32"/>
          <w:shd w:val="clear" w:color="auto" w:fill="FFFFFF"/>
          <w:lang w:val="zh-CN"/>
        </w:rPr>
        <w:t>部门（单位）概况</w:t>
      </w:r>
    </w:p>
    <w:p w14:paraId="11C1BBF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（一）机构组成。</w:t>
      </w:r>
    </w:p>
    <w:p w14:paraId="4039EDDB">
      <w:pPr>
        <w:keepNext w:val="0"/>
        <w:keepLines w:val="0"/>
        <w:pageBreakBefore w:val="0"/>
        <w:widowControl/>
        <w:kinsoku/>
        <w:wordWrap/>
        <w:overflowPunct/>
        <w:topLinePunct w:val="0"/>
        <w:autoSpaceDE/>
        <w:autoSpaceDN/>
        <w:bidi w:val="0"/>
        <w:adjustRightInd w:val="0"/>
        <w:snapToGrid w:val="0"/>
        <w:spacing w:line="560" w:lineRule="exact"/>
        <w:ind w:firstLine="632"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bCs/>
          <w:spacing w:val="-2"/>
          <w:kern w:val="2"/>
          <w:sz w:val="32"/>
          <w:szCs w:val="32"/>
          <w:lang w:val="en-US" w:eastAsia="zh-CN" w:bidi="ar-SA"/>
        </w:rPr>
        <w:t>阿坝州总工会属一级预算单位，内设：办公室、财务部、经审办、保障部、组宣部、女工部、法律工作部7个机构。</w:t>
      </w:r>
    </w:p>
    <w:p w14:paraId="2E713550">
      <w:pPr>
        <w:keepNext w:val="0"/>
        <w:keepLines w:val="0"/>
        <w:pageBreakBefore w:val="0"/>
        <w:widowControl/>
        <w:numPr>
          <w:ilvl w:val="0"/>
          <w:numId w:val="4"/>
        </w:numPr>
        <w:kinsoku/>
        <w:wordWrap/>
        <w:overflowPunct/>
        <w:topLinePunct w:val="0"/>
        <w:autoSpaceDE/>
        <w:autoSpaceDN/>
        <w:bidi w:val="0"/>
        <w:adjustRightInd w:val="0"/>
        <w:snapToGrid w:val="0"/>
        <w:spacing w:line="56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机构职能。</w:t>
      </w:r>
    </w:p>
    <w:p w14:paraId="75D6F176">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32"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bCs/>
          <w:spacing w:val="-2"/>
          <w:kern w:val="2"/>
          <w:sz w:val="32"/>
          <w:szCs w:val="32"/>
          <w:lang w:val="en-US" w:eastAsia="zh-CN" w:bidi="ar-SA"/>
        </w:rPr>
        <w:t>1、</w:t>
      </w:r>
      <w:r>
        <w:rPr>
          <w:rFonts w:hint="eastAsia" w:ascii="仿宋" w:hAnsi="仿宋" w:eastAsia="仿宋" w:cs="仿宋"/>
          <w:i w:val="0"/>
          <w:caps w:val="0"/>
          <w:color w:val="auto"/>
          <w:spacing w:val="0"/>
          <w:sz w:val="32"/>
          <w:szCs w:val="32"/>
          <w:shd w:val="clear" w:color="auto" w:fill="FFFFFF"/>
        </w:rPr>
        <w:t>维护职工合法权益和民主权利；</w:t>
      </w:r>
      <w:r>
        <w:rPr>
          <w:rFonts w:hint="eastAsia" w:ascii="仿宋" w:hAnsi="仿宋" w:eastAsia="仿宋" w:cs="仿宋"/>
          <w:i w:val="0"/>
          <w:caps w:val="0"/>
          <w:color w:val="auto"/>
          <w:spacing w:val="0"/>
          <w:sz w:val="32"/>
          <w:szCs w:val="32"/>
          <w:shd w:val="clear" w:color="auto" w:fill="FFFFFF"/>
          <w:lang w:val="en-US" w:eastAsia="zh-CN"/>
        </w:rPr>
        <w:t>2</w:t>
      </w:r>
      <w:r>
        <w:rPr>
          <w:rFonts w:hint="eastAsia" w:ascii="仿宋" w:hAnsi="仿宋" w:eastAsia="仿宋" w:cs="仿宋"/>
          <w:i w:val="0"/>
          <w:caps w:val="0"/>
          <w:color w:val="auto"/>
          <w:spacing w:val="0"/>
          <w:sz w:val="32"/>
          <w:szCs w:val="32"/>
          <w:shd w:val="clear" w:color="auto" w:fill="FFFFFF"/>
        </w:rPr>
        <w:t>、动员和组织职工积极参加建设和改革，完成经济和社会发展任务；</w:t>
      </w:r>
      <w:r>
        <w:rPr>
          <w:rFonts w:hint="eastAsia" w:ascii="仿宋" w:hAnsi="仿宋" w:eastAsia="仿宋" w:cs="仿宋"/>
          <w:i w:val="0"/>
          <w:caps w:val="0"/>
          <w:color w:val="auto"/>
          <w:spacing w:val="0"/>
          <w:sz w:val="32"/>
          <w:szCs w:val="32"/>
          <w:shd w:val="clear" w:color="auto" w:fill="FFFFFF"/>
          <w:lang w:val="en-US" w:eastAsia="zh-CN"/>
        </w:rPr>
        <w:t>3</w:t>
      </w:r>
      <w:r>
        <w:rPr>
          <w:rFonts w:hint="eastAsia" w:ascii="仿宋" w:hAnsi="仿宋" w:eastAsia="仿宋" w:cs="仿宋"/>
          <w:i w:val="0"/>
          <w:caps w:val="0"/>
          <w:color w:val="auto"/>
          <w:spacing w:val="0"/>
          <w:sz w:val="32"/>
          <w:szCs w:val="32"/>
          <w:shd w:val="clear" w:color="auto" w:fill="FFFFFF"/>
        </w:rPr>
        <w:t>、代表和组织职工参与国家和社会事务管理，参与企业、事业和机关的民主管理；</w:t>
      </w:r>
      <w:r>
        <w:rPr>
          <w:rFonts w:hint="eastAsia" w:ascii="仿宋" w:hAnsi="仿宋" w:eastAsia="仿宋" w:cs="仿宋"/>
          <w:i w:val="0"/>
          <w:caps w:val="0"/>
          <w:color w:val="auto"/>
          <w:spacing w:val="0"/>
          <w:sz w:val="32"/>
          <w:szCs w:val="32"/>
          <w:shd w:val="clear" w:color="auto" w:fill="FFFFFF"/>
          <w:lang w:val="en-US" w:eastAsia="zh-CN"/>
        </w:rPr>
        <w:t>4</w:t>
      </w:r>
      <w:r>
        <w:rPr>
          <w:rFonts w:hint="eastAsia" w:ascii="仿宋" w:hAnsi="仿宋" w:eastAsia="仿宋" w:cs="仿宋"/>
          <w:i w:val="0"/>
          <w:caps w:val="0"/>
          <w:color w:val="auto"/>
          <w:spacing w:val="0"/>
          <w:sz w:val="32"/>
          <w:szCs w:val="32"/>
          <w:shd w:val="clear" w:color="auto" w:fill="FFFFFF"/>
        </w:rPr>
        <w:t>、教育职工不断提高思想道德素质和科学文化素质，建设有理想、有道德、有文化、有纪律的职工队伍。即维护、建设、参与、教育职能，维护是中国工会的基本职能。</w:t>
      </w:r>
      <w:r>
        <w:rPr>
          <w:rFonts w:hint="eastAsia" w:ascii="仿宋" w:hAnsi="仿宋" w:eastAsia="仿宋" w:cs="仿宋"/>
          <w:i w:val="0"/>
          <w:caps w:val="0"/>
          <w:color w:val="auto"/>
          <w:spacing w:val="0"/>
          <w:sz w:val="32"/>
          <w:szCs w:val="32"/>
          <w:shd w:val="clear" w:color="auto" w:fill="FFFFFF"/>
          <w:lang w:val="en-US" w:eastAsia="zh-CN"/>
        </w:rPr>
        <w:t>5、</w:t>
      </w:r>
      <w:r>
        <w:rPr>
          <w:rFonts w:hint="eastAsia" w:ascii="仿宋" w:hAnsi="仿宋" w:eastAsia="仿宋" w:cs="仿宋"/>
          <w:color w:val="000000"/>
          <w:sz w:val="32"/>
          <w:szCs w:val="32"/>
        </w:rPr>
        <w:t>协助</w:t>
      </w:r>
      <w:r>
        <w:rPr>
          <w:rFonts w:hint="eastAsia" w:ascii="仿宋" w:hAnsi="仿宋" w:eastAsia="仿宋" w:cs="仿宋"/>
          <w:color w:val="000000"/>
          <w:sz w:val="32"/>
          <w:szCs w:val="32"/>
          <w:lang w:eastAsia="zh-CN"/>
        </w:rPr>
        <w:t>州</w:t>
      </w:r>
      <w:r>
        <w:rPr>
          <w:rFonts w:hint="eastAsia" w:ascii="仿宋" w:hAnsi="仿宋" w:eastAsia="仿宋" w:cs="仿宋"/>
          <w:color w:val="000000"/>
          <w:sz w:val="32"/>
          <w:szCs w:val="32"/>
        </w:rPr>
        <w:t>政府做好</w:t>
      </w:r>
      <w:r>
        <w:rPr>
          <w:rFonts w:hint="eastAsia" w:ascii="仿宋" w:hAnsi="仿宋" w:eastAsia="仿宋" w:cs="仿宋"/>
          <w:color w:val="000000"/>
          <w:sz w:val="32"/>
          <w:szCs w:val="32"/>
          <w:lang w:eastAsia="zh-CN"/>
        </w:rPr>
        <w:t>州</w:t>
      </w:r>
      <w:r>
        <w:rPr>
          <w:rFonts w:hint="eastAsia" w:ascii="仿宋" w:hAnsi="仿宋" w:eastAsia="仿宋" w:cs="仿宋"/>
          <w:color w:val="000000"/>
          <w:sz w:val="32"/>
          <w:szCs w:val="32"/>
        </w:rPr>
        <w:t>劳动模范的推荐、评选和管理工作；协助</w:t>
      </w:r>
      <w:r>
        <w:rPr>
          <w:rFonts w:hint="eastAsia" w:ascii="仿宋" w:hAnsi="仿宋" w:eastAsia="仿宋" w:cs="仿宋"/>
          <w:color w:val="000000"/>
          <w:sz w:val="32"/>
          <w:szCs w:val="32"/>
          <w:lang w:eastAsia="zh-CN"/>
        </w:rPr>
        <w:t>省</w:t>
      </w:r>
      <w:r>
        <w:rPr>
          <w:rFonts w:hint="eastAsia" w:ascii="仿宋" w:hAnsi="仿宋" w:eastAsia="仿宋" w:cs="仿宋"/>
          <w:color w:val="000000"/>
          <w:sz w:val="32"/>
          <w:szCs w:val="32"/>
        </w:rPr>
        <w:t>总工会做好在</w:t>
      </w:r>
      <w:r>
        <w:rPr>
          <w:rFonts w:hint="eastAsia" w:ascii="仿宋" w:hAnsi="仿宋" w:eastAsia="仿宋" w:cs="仿宋"/>
          <w:color w:val="000000"/>
          <w:sz w:val="32"/>
          <w:szCs w:val="32"/>
          <w:lang w:eastAsia="zh-CN"/>
        </w:rPr>
        <w:t>省</w:t>
      </w:r>
      <w:r>
        <w:rPr>
          <w:rFonts w:hint="eastAsia" w:ascii="仿宋" w:hAnsi="仿宋" w:eastAsia="仿宋" w:cs="仿宋"/>
          <w:color w:val="000000"/>
          <w:sz w:val="32"/>
          <w:szCs w:val="32"/>
        </w:rPr>
        <w:t>劳模和</w:t>
      </w:r>
      <w:r>
        <w:rPr>
          <w:rFonts w:hint="eastAsia" w:ascii="仿宋" w:hAnsi="仿宋" w:eastAsia="仿宋" w:cs="仿宋"/>
          <w:color w:val="000000"/>
          <w:sz w:val="32"/>
          <w:szCs w:val="32"/>
          <w:lang w:eastAsia="zh-CN"/>
        </w:rPr>
        <w:t>全国</w:t>
      </w:r>
      <w:r>
        <w:rPr>
          <w:rFonts w:hint="eastAsia" w:ascii="仿宋" w:hAnsi="仿宋" w:eastAsia="仿宋" w:cs="仿宋"/>
          <w:color w:val="000000"/>
          <w:sz w:val="32"/>
          <w:szCs w:val="32"/>
        </w:rPr>
        <w:t>五一劳动奖章、“五一劳动奖状”获得者的推荐、管理工作。</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负责全</w:t>
      </w:r>
      <w:r>
        <w:rPr>
          <w:rFonts w:hint="eastAsia" w:ascii="仿宋" w:hAnsi="仿宋" w:eastAsia="仿宋" w:cs="仿宋"/>
          <w:color w:val="000000"/>
          <w:sz w:val="32"/>
          <w:szCs w:val="32"/>
          <w:lang w:eastAsia="zh-CN"/>
        </w:rPr>
        <w:t>州</w:t>
      </w:r>
      <w:r>
        <w:rPr>
          <w:rFonts w:hint="eastAsia" w:ascii="仿宋" w:hAnsi="仿宋" w:eastAsia="仿宋" w:cs="仿宋"/>
          <w:color w:val="000000"/>
          <w:sz w:val="32"/>
          <w:szCs w:val="32"/>
        </w:rPr>
        <w:t>工会经费和工会资产的管理、审查、审计工作；研究、制定工会组织兴办职工劳动福利事业的有关制度和规定；负责对</w:t>
      </w:r>
      <w:r>
        <w:rPr>
          <w:rFonts w:hint="eastAsia" w:ascii="仿宋" w:hAnsi="仿宋" w:eastAsia="仿宋" w:cs="仿宋"/>
          <w:color w:val="000000"/>
          <w:sz w:val="32"/>
          <w:szCs w:val="32"/>
          <w:lang w:eastAsia="zh-CN"/>
        </w:rPr>
        <w:t>全</w:t>
      </w:r>
      <w:r>
        <w:rPr>
          <w:rFonts w:hint="eastAsia" w:ascii="仿宋" w:hAnsi="仿宋" w:eastAsia="仿宋" w:cs="仿宋"/>
          <w:color w:val="000000"/>
          <w:sz w:val="32"/>
          <w:szCs w:val="32"/>
        </w:rPr>
        <w:t>省工会职工劳动福利事业的指导、协调工作。</w:t>
      </w:r>
    </w:p>
    <w:p w14:paraId="2174DE49">
      <w:pPr>
        <w:keepNext w:val="0"/>
        <w:keepLines w:val="0"/>
        <w:pageBreakBefore w:val="0"/>
        <w:widowControl/>
        <w:numPr>
          <w:ilvl w:val="0"/>
          <w:numId w:val="4"/>
        </w:numPr>
        <w:kinsoku/>
        <w:wordWrap/>
        <w:overflowPunct/>
        <w:topLinePunct w:val="0"/>
        <w:autoSpaceDE/>
        <w:autoSpaceDN/>
        <w:bidi w:val="0"/>
        <w:adjustRightInd w:val="0"/>
        <w:snapToGrid w:val="0"/>
        <w:spacing w:line="560" w:lineRule="exact"/>
        <w:ind w:left="0" w:leftChars="0"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人员概况。</w:t>
      </w:r>
    </w:p>
    <w:p w14:paraId="0327964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sz w:val="32"/>
          <w:szCs w:val="32"/>
        </w:rPr>
        <w:t>我会现有在职职工人</w:t>
      </w:r>
      <w:r>
        <w:rPr>
          <w:rFonts w:hint="eastAsia" w:ascii="仿宋" w:hAnsi="仿宋" w:eastAsia="仿宋" w:cs="仿宋"/>
          <w:sz w:val="32"/>
          <w:szCs w:val="32"/>
          <w:lang w:val="en-US" w:eastAsia="zh-CN"/>
        </w:rPr>
        <w:t xml:space="preserve"> 20人，其中，</w:t>
      </w:r>
      <w:r>
        <w:rPr>
          <w:rFonts w:hint="eastAsia" w:ascii="仿宋" w:hAnsi="仿宋" w:eastAsia="仿宋" w:cs="仿宋"/>
          <w:sz w:val="32"/>
          <w:szCs w:val="32"/>
        </w:rPr>
        <w:t>行政编制</w:t>
      </w:r>
      <w:r>
        <w:rPr>
          <w:rFonts w:hint="eastAsia" w:ascii="仿宋" w:hAnsi="仿宋" w:eastAsia="仿宋" w:cs="仿宋"/>
          <w:sz w:val="32"/>
          <w:szCs w:val="32"/>
          <w:lang w:val="en-US" w:eastAsia="zh-CN"/>
        </w:rPr>
        <w:t xml:space="preserve">17 </w:t>
      </w:r>
      <w:r>
        <w:rPr>
          <w:rFonts w:hint="eastAsia" w:ascii="仿宋" w:hAnsi="仿宋" w:eastAsia="仿宋" w:cs="仿宋"/>
          <w:sz w:val="32"/>
          <w:szCs w:val="32"/>
        </w:rPr>
        <w:t>名，工勤</w:t>
      </w:r>
      <w:r>
        <w:rPr>
          <w:rFonts w:hint="eastAsia" w:ascii="仿宋" w:hAnsi="仿宋" w:eastAsia="仿宋" w:cs="仿宋"/>
          <w:sz w:val="32"/>
          <w:szCs w:val="32"/>
          <w:lang w:val="en-US" w:eastAsia="zh-CN"/>
        </w:rPr>
        <w:t xml:space="preserve"> 3</w:t>
      </w:r>
      <w:r>
        <w:rPr>
          <w:rFonts w:hint="eastAsia" w:ascii="仿宋" w:hAnsi="仿宋" w:eastAsia="仿宋" w:cs="仿宋"/>
          <w:sz w:val="32"/>
          <w:szCs w:val="32"/>
        </w:rPr>
        <w:t>名，退休人员</w:t>
      </w:r>
      <w:r>
        <w:rPr>
          <w:rFonts w:hint="eastAsia" w:ascii="仿宋" w:hAnsi="仿宋" w:eastAsia="仿宋" w:cs="仿宋"/>
          <w:sz w:val="32"/>
          <w:szCs w:val="32"/>
          <w:lang w:val="en-US" w:eastAsia="zh-CN"/>
        </w:rPr>
        <w:t xml:space="preserve">16 </w:t>
      </w:r>
      <w:r>
        <w:rPr>
          <w:rFonts w:hint="eastAsia" w:ascii="仿宋" w:hAnsi="仿宋" w:eastAsia="仿宋" w:cs="仿宋"/>
          <w:sz w:val="32"/>
          <w:szCs w:val="32"/>
        </w:rPr>
        <w:t>人。我会属财政全额预算单位。</w:t>
      </w:r>
    </w:p>
    <w:p w14:paraId="0EAAB804">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rPr>
          <w:rFonts w:hint="eastAsia" w:ascii="仿宋" w:hAnsi="仿宋" w:eastAsia="仿宋" w:cs="仿宋"/>
          <w:color w:val="000000"/>
          <w:kern w:val="0"/>
          <w:sz w:val="32"/>
          <w:szCs w:val="32"/>
          <w:shd w:val="clear" w:color="auto" w:fill="FFFFFF"/>
        </w:rPr>
      </w:pPr>
      <w:r>
        <w:rPr>
          <w:rFonts w:hint="eastAsia" w:ascii="仿宋" w:hAnsi="仿宋" w:eastAsia="仿宋" w:cs="仿宋"/>
          <w:b/>
          <w:bCs/>
          <w:color w:val="000000"/>
          <w:kern w:val="0"/>
          <w:sz w:val="32"/>
          <w:szCs w:val="32"/>
          <w:shd w:val="clear" w:color="auto" w:fill="FFFFFF"/>
        </w:rPr>
        <w:t>二、部门财政资金收支情况</w:t>
      </w:r>
    </w:p>
    <w:p w14:paraId="11088C5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（一）部门财政资金收入情况。</w:t>
      </w:r>
    </w:p>
    <w:p w14:paraId="474B359E">
      <w:pPr>
        <w:pStyle w:val="14"/>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45"/>
        <w:rPr>
          <w:rFonts w:hint="eastAsia" w:ascii="仿宋" w:hAnsi="仿宋" w:eastAsia="仿宋" w:cs="仿宋"/>
          <w:bCs/>
          <w:spacing w:val="-2"/>
          <w:kern w:val="2"/>
          <w:sz w:val="32"/>
          <w:szCs w:val="32"/>
          <w:lang w:val="en-US" w:eastAsia="zh-CN" w:bidi="ar-SA"/>
        </w:rPr>
      </w:pPr>
      <w:r>
        <w:rPr>
          <w:rFonts w:hint="eastAsia" w:ascii="仿宋" w:hAnsi="仿宋" w:eastAsia="仿宋" w:cs="仿宋"/>
          <w:bCs/>
          <w:spacing w:val="-2"/>
          <w:kern w:val="2"/>
          <w:sz w:val="32"/>
          <w:szCs w:val="32"/>
          <w:lang w:val="en-US" w:eastAsia="zh-CN" w:bidi="ar-SA"/>
        </w:rPr>
        <w:t>2020年一般公共预算拨款收入2305.04万元，</w:t>
      </w:r>
      <w:r>
        <w:rPr>
          <w:rFonts w:hint="eastAsia" w:ascii="仿宋" w:hAnsi="仿宋" w:eastAsia="仿宋" w:cs="仿宋"/>
          <w:color w:val="000000"/>
          <w:sz w:val="32"/>
          <w:szCs w:val="32"/>
        </w:rPr>
        <w:t>较上年增加</w:t>
      </w:r>
      <w:r>
        <w:rPr>
          <w:rFonts w:hint="eastAsia" w:ascii="仿宋" w:hAnsi="仿宋" w:eastAsia="仿宋" w:cs="仿宋"/>
          <w:color w:val="000000"/>
          <w:sz w:val="32"/>
          <w:szCs w:val="32"/>
          <w:lang w:val="en-US" w:eastAsia="zh-CN"/>
        </w:rPr>
        <w:t>224.92</w:t>
      </w:r>
      <w:r>
        <w:rPr>
          <w:rFonts w:hint="eastAsia" w:ascii="仿宋" w:hAnsi="仿宋" w:eastAsia="仿宋" w:cs="仿宋"/>
          <w:color w:val="000000"/>
          <w:sz w:val="32"/>
          <w:szCs w:val="32"/>
        </w:rPr>
        <w:t>万元，增长</w:t>
      </w:r>
      <w:r>
        <w:rPr>
          <w:rFonts w:hint="eastAsia" w:ascii="仿宋" w:hAnsi="仿宋" w:eastAsia="仿宋" w:cs="仿宋"/>
          <w:color w:val="000000"/>
          <w:sz w:val="32"/>
          <w:szCs w:val="32"/>
          <w:lang w:val="en-US" w:eastAsia="zh-CN"/>
        </w:rPr>
        <w:t>10.8</w:t>
      </w:r>
      <w:r>
        <w:rPr>
          <w:rFonts w:hint="eastAsia" w:ascii="仿宋" w:hAnsi="仿宋" w:eastAsia="仿宋" w:cs="仿宋"/>
          <w:color w:val="000000"/>
          <w:sz w:val="32"/>
          <w:szCs w:val="32"/>
        </w:rPr>
        <w:t>%。</w:t>
      </w:r>
    </w:p>
    <w:p w14:paraId="4C4DE603">
      <w:pPr>
        <w:keepNext w:val="0"/>
        <w:keepLines w:val="0"/>
        <w:pageBreakBefore w:val="0"/>
        <w:widowControl/>
        <w:numPr>
          <w:ilvl w:val="0"/>
          <w:numId w:val="5"/>
        </w:numPr>
        <w:kinsoku/>
        <w:wordWrap/>
        <w:overflowPunct/>
        <w:topLinePunct w:val="0"/>
        <w:autoSpaceDE/>
        <w:autoSpaceDN/>
        <w:bidi w:val="0"/>
        <w:adjustRightInd w:val="0"/>
        <w:snapToGrid w:val="0"/>
        <w:spacing w:line="56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部门财政资金支出情况。</w:t>
      </w:r>
    </w:p>
    <w:p w14:paraId="43F70CFC">
      <w:pPr>
        <w:pStyle w:val="14"/>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45"/>
        <w:rPr>
          <w:rFonts w:hint="eastAsia" w:ascii="仿宋" w:hAnsi="仿宋" w:eastAsia="仿宋" w:cs="仿宋"/>
          <w:color w:val="333333"/>
          <w:sz w:val="32"/>
          <w:szCs w:val="32"/>
          <w:lang w:val="en-US"/>
        </w:rPr>
      </w:pPr>
      <w:r>
        <w:rPr>
          <w:rFonts w:hint="eastAsia" w:ascii="仿宋" w:hAnsi="仿宋" w:eastAsia="仿宋" w:cs="仿宋"/>
          <w:bCs/>
          <w:color w:val="000000"/>
          <w:spacing w:val="-2"/>
          <w:kern w:val="2"/>
          <w:sz w:val="32"/>
          <w:szCs w:val="32"/>
          <w:lang w:val="en-US" w:eastAsia="zh-CN" w:bidi="ar-SA"/>
        </w:rPr>
        <w:t>2020年</w:t>
      </w:r>
      <w:r>
        <w:rPr>
          <w:rFonts w:hint="eastAsia" w:ascii="仿宋" w:hAnsi="仿宋" w:eastAsia="仿宋" w:cs="仿宋"/>
          <w:color w:val="000000"/>
          <w:sz w:val="32"/>
          <w:szCs w:val="32"/>
        </w:rPr>
        <w:t>一般公共预算财政拨款</w:t>
      </w:r>
      <w:r>
        <w:rPr>
          <w:rFonts w:hint="eastAsia" w:ascii="仿宋" w:hAnsi="仿宋" w:eastAsia="仿宋" w:cs="仿宋"/>
          <w:color w:val="000000"/>
          <w:sz w:val="32"/>
          <w:szCs w:val="32"/>
          <w:lang w:eastAsia="zh-CN"/>
        </w:rPr>
        <w:t>支出</w:t>
      </w:r>
      <w:r>
        <w:rPr>
          <w:rFonts w:hint="eastAsia" w:ascii="仿宋" w:hAnsi="仿宋" w:eastAsia="仿宋" w:cs="仿宋"/>
          <w:color w:val="000000"/>
          <w:sz w:val="32"/>
          <w:szCs w:val="32"/>
          <w:lang w:val="en-US" w:eastAsia="zh-CN"/>
        </w:rPr>
        <w:t>2378.33万元，其中，基本支出447.5万元（包括人员经费378.43万元，69.07万元），</w:t>
      </w:r>
      <w:r>
        <w:rPr>
          <w:rFonts w:hint="eastAsia" w:ascii="仿宋" w:hAnsi="仿宋" w:eastAsia="仿宋" w:cs="仿宋"/>
          <w:color w:val="000000"/>
          <w:sz w:val="32"/>
          <w:szCs w:val="32"/>
          <w:lang w:eastAsia="zh-CN"/>
        </w:rPr>
        <w:t>占财政拨款支出</w:t>
      </w:r>
      <w:r>
        <w:rPr>
          <w:rFonts w:hint="eastAsia" w:ascii="仿宋" w:hAnsi="仿宋" w:eastAsia="仿宋" w:cs="仿宋"/>
          <w:color w:val="000000"/>
          <w:sz w:val="32"/>
          <w:szCs w:val="32"/>
          <w:lang w:val="en-US" w:eastAsia="zh-CN"/>
        </w:rPr>
        <w:t>18.81%，项目支出1930.82万元，</w:t>
      </w:r>
      <w:r>
        <w:rPr>
          <w:rFonts w:hint="eastAsia" w:ascii="仿宋" w:hAnsi="仿宋" w:eastAsia="仿宋" w:cs="仿宋"/>
          <w:color w:val="000000"/>
          <w:sz w:val="32"/>
          <w:szCs w:val="32"/>
          <w:lang w:eastAsia="zh-CN"/>
        </w:rPr>
        <w:t>占财政拨款支出</w:t>
      </w:r>
      <w:r>
        <w:rPr>
          <w:rFonts w:hint="eastAsia" w:ascii="仿宋" w:hAnsi="仿宋" w:eastAsia="仿宋" w:cs="仿宋"/>
          <w:color w:val="000000"/>
          <w:sz w:val="32"/>
          <w:szCs w:val="32"/>
          <w:lang w:val="en-US" w:eastAsia="zh-CN"/>
        </w:rPr>
        <w:t>81.19%。</w:t>
      </w:r>
      <w:r>
        <w:rPr>
          <w:rFonts w:hint="eastAsia" w:ascii="仿宋" w:hAnsi="仿宋" w:eastAsia="仿宋" w:cs="仿宋"/>
          <w:color w:val="000000"/>
          <w:sz w:val="32"/>
          <w:szCs w:val="32"/>
        </w:rPr>
        <w:t>财政拨款</w:t>
      </w:r>
      <w:r>
        <w:rPr>
          <w:rFonts w:hint="eastAsia" w:ascii="仿宋" w:hAnsi="仿宋" w:eastAsia="仿宋" w:cs="仿宋"/>
          <w:color w:val="333333"/>
          <w:sz w:val="32"/>
          <w:szCs w:val="32"/>
        </w:rPr>
        <w:t>按经济分类</w:t>
      </w:r>
      <w:r>
        <w:rPr>
          <w:rFonts w:hint="eastAsia" w:ascii="仿宋" w:hAnsi="仿宋" w:eastAsia="仿宋" w:cs="仿宋"/>
          <w:color w:val="000000"/>
          <w:sz w:val="32"/>
          <w:szCs w:val="32"/>
          <w:lang w:eastAsia="zh-CN"/>
        </w:rPr>
        <w:t>：</w:t>
      </w:r>
      <w:r>
        <w:rPr>
          <w:rFonts w:hint="eastAsia" w:ascii="仿宋" w:hAnsi="仿宋" w:eastAsia="仿宋" w:cs="仿宋"/>
          <w:color w:val="333333"/>
          <w:sz w:val="32"/>
          <w:szCs w:val="32"/>
        </w:rPr>
        <w:t>工资福利支出</w:t>
      </w:r>
      <w:r>
        <w:rPr>
          <w:rFonts w:hint="eastAsia" w:ascii="仿宋" w:hAnsi="仿宋" w:eastAsia="仿宋" w:cs="仿宋"/>
          <w:color w:val="333333"/>
          <w:sz w:val="32"/>
          <w:szCs w:val="32"/>
          <w:lang w:val="en-US" w:eastAsia="zh-CN"/>
        </w:rPr>
        <w:t>353.45</w:t>
      </w:r>
      <w:r>
        <w:rPr>
          <w:rFonts w:hint="eastAsia" w:ascii="仿宋" w:hAnsi="仿宋" w:eastAsia="仿宋" w:cs="仿宋"/>
          <w:color w:val="333333"/>
          <w:sz w:val="32"/>
          <w:szCs w:val="32"/>
        </w:rPr>
        <w:t>万元,占总支出</w:t>
      </w:r>
      <w:r>
        <w:rPr>
          <w:rFonts w:hint="eastAsia" w:ascii="仿宋" w:hAnsi="仿宋" w:eastAsia="仿宋" w:cs="仿宋"/>
          <w:color w:val="333333"/>
          <w:sz w:val="32"/>
          <w:szCs w:val="32"/>
          <w:lang w:val="en-US" w:eastAsia="zh-CN"/>
        </w:rPr>
        <w:t>14.86</w:t>
      </w:r>
      <w:r>
        <w:rPr>
          <w:rFonts w:hint="eastAsia" w:ascii="仿宋" w:hAnsi="仿宋" w:eastAsia="仿宋" w:cs="仿宋"/>
          <w:color w:val="000000"/>
          <w:sz w:val="32"/>
          <w:szCs w:val="32"/>
          <w:lang w:val="en-US" w:eastAsia="zh-CN"/>
        </w:rPr>
        <w:t>%</w:t>
      </w:r>
      <w:r>
        <w:rPr>
          <w:rFonts w:hint="eastAsia" w:ascii="仿宋" w:hAnsi="仿宋" w:eastAsia="仿宋" w:cs="仿宋"/>
          <w:color w:val="333333"/>
          <w:sz w:val="32"/>
          <w:szCs w:val="32"/>
        </w:rPr>
        <w:t>；商品服务支出</w:t>
      </w:r>
      <w:r>
        <w:rPr>
          <w:rFonts w:hint="eastAsia" w:ascii="仿宋" w:hAnsi="仿宋" w:eastAsia="仿宋" w:cs="仿宋"/>
          <w:color w:val="333333"/>
          <w:sz w:val="32"/>
          <w:szCs w:val="32"/>
          <w:lang w:val="en-US" w:eastAsia="zh-CN"/>
        </w:rPr>
        <w:t>1599.07</w:t>
      </w:r>
      <w:r>
        <w:rPr>
          <w:rFonts w:hint="eastAsia" w:ascii="仿宋" w:hAnsi="仿宋" w:eastAsia="仿宋" w:cs="仿宋"/>
          <w:color w:val="333333"/>
          <w:sz w:val="32"/>
          <w:szCs w:val="32"/>
        </w:rPr>
        <w:t>万元,占总支出</w:t>
      </w:r>
      <w:r>
        <w:rPr>
          <w:rFonts w:hint="eastAsia" w:ascii="仿宋" w:hAnsi="仿宋" w:eastAsia="仿宋" w:cs="仿宋"/>
          <w:color w:val="333333"/>
          <w:sz w:val="32"/>
          <w:szCs w:val="32"/>
          <w:lang w:val="en-US" w:eastAsia="zh-CN"/>
        </w:rPr>
        <w:t>67.23</w:t>
      </w:r>
      <w:r>
        <w:rPr>
          <w:rFonts w:hint="eastAsia" w:ascii="仿宋" w:hAnsi="仿宋" w:eastAsia="仿宋" w:cs="仿宋"/>
          <w:color w:val="333333"/>
          <w:sz w:val="32"/>
          <w:szCs w:val="32"/>
        </w:rPr>
        <w:t xml:space="preserve"> %；对个人和家庭补助支出</w:t>
      </w:r>
      <w:r>
        <w:rPr>
          <w:rFonts w:hint="eastAsia" w:ascii="仿宋" w:hAnsi="仿宋" w:eastAsia="仿宋" w:cs="仿宋"/>
          <w:color w:val="333333"/>
          <w:sz w:val="32"/>
          <w:szCs w:val="32"/>
          <w:lang w:val="en-US" w:eastAsia="zh-CN"/>
        </w:rPr>
        <w:t>425.81</w:t>
      </w:r>
      <w:r>
        <w:rPr>
          <w:rFonts w:hint="eastAsia" w:ascii="仿宋" w:hAnsi="仿宋" w:eastAsia="仿宋" w:cs="仿宋"/>
          <w:color w:val="333333"/>
          <w:sz w:val="32"/>
          <w:szCs w:val="32"/>
        </w:rPr>
        <w:t>万元, 占总支出</w:t>
      </w:r>
      <w:r>
        <w:rPr>
          <w:rFonts w:hint="eastAsia" w:ascii="仿宋" w:hAnsi="仿宋" w:eastAsia="仿宋" w:cs="仿宋"/>
          <w:color w:val="333333"/>
          <w:sz w:val="32"/>
          <w:szCs w:val="32"/>
          <w:lang w:val="en-US" w:eastAsia="zh-CN"/>
        </w:rPr>
        <w:t>17.91</w:t>
      </w:r>
      <w:r>
        <w:rPr>
          <w:rFonts w:hint="eastAsia" w:ascii="仿宋" w:hAnsi="仿宋" w:eastAsia="仿宋" w:cs="仿宋"/>
          <w:color w:val="333333"/>
          <w:sz w:val="32"/>
          <w:szCs w:val="32"/>
        </w:rPr>
        <w:t>%。</w:t>
      </w:r>
    </w:p>
    <w:p w14:paraId="2A3177B5">
      <w:pPr>
        <w:keepNext w:val="0"/>
        <w:keepLines w:val="0"/>
        <w:pageBreakBefore w:val="0"/>
        <w:widowControl/>
        <w:numPr>
          <w:ilvl w:val="0"/>
          <w:numId w:val="6"/>
        </w:numPr>
        <w:kinsoku/>
        <w:wordWrap/>
        <w:overflowPunct/>
        <w:topLinePunct w:val="0"/>
        <w:autoSpaceDE/>
        <w:autoSpaceDN/>
        <w:bidi w:val="0"/>
        <w:adjustRightInd w:val="0"/>
        <w:snapToGrid w:val="0"/>
        <w:spacing w:line="560" w:lineRule="exact"/>
        <w:ind w:firstLine="643" w:firstLineChars="200"/>
        <w:contextualSpacing/>
        <w:jc w:val="left"/>
        <w:rPr>
          <w:rFonts w:hint="eastAsia" w:ascii="仿宋" w:hAnsi="仿宋" w:eastAsia="仿宋" w:cs="仿宋"/>
          <w:b/>
          <w:bCs/>
          <w:color w:val="000000"/>
          <w:kern w:val="0"/>
          <w:sz w:val="32"/>
          <w:szCs w:val="32"/>
          <w:shd w:val="clear" w:color="auto" w:fill="FFFFFF"/>
        </w:rPr>
      </w:pPr>
      <w:r>
        <w:rPr>
          <w:rFonts w:hint="eastAsia" w:ascii="仿宋" w:hAnsi="仿宋" w:eastAsia="仿宋" w:cs="仿宋"/>
          <w:b/>
          <w:bCs/>
          <w:color w:val="000000"/>
          <w:kern w:val="0"/>
          <w:sz w:val="32"/>
          <w:szCs w:val="32"/>
          <w:shd w:val="clear" w:color="auto" w:fill="FFFFFF"/>
        </w:rPr>
        <w:t>部门整体预算绩效管理情况</w:t>
      </w:r>
    </w:p>
    <w:p w14:paraId="09E9ACC3">
      <w:pPr>
        <w:keepNext w:val="0"/>
        <w:keepLines w:val="0"/>
        <w:pageBreakBefore w:val="0"/>
        <w:widowControl/>
        <w:numPr>
          <w:ilvl w:val="0"/>
          <w:numId w:val="7"/>
        </w:numPr>
        <w:kinsoku/>
        <w:wordWrap/>
        <w:overflowPunct/>
        <w:topLinePunct w:val="0"/>
        <w:autoSpaceDE/>
        <w:autoSpaceDN/>
        <w:bidi w:val="0"/>
        <w:adjustRightInd w:val="0"/>
        <w:snapToGrid w:val="0"/>
        <w:spacing w:line="560" w:lineRule="exact"/>
        <w:ind w:left="320" w:leftChars="0" w:firstLine="640" w:firstLineChars="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部门预算管理。</w:t>
      </w:r>
    </w:p>
    <w:p w14:paraId="1AE374BA">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rPr>
          <w:rFonts w:hint="eastAsia" w:ascii="仿宋" w:hAnsi="仿宋" w:eastAsia="仿宋" w:cs="仿宋"/>
          <w:sz w:val="32"/>
          <w:szCs w:val="32"/>
          <w:lang w:val="zh-CN"/>
        </w:rPr>
      </w:pPr>
      <w:r>
        <w:rPr>
          <w:rFonts w:hint="eastAsia" w:ascii="仿宋" w:hAnsi="仿宋" w:eastAsia="仿宋" w:cs="仿宋"/>
          <w:sz w:val="32"/>
          <w:szCs w:val="32"/>
          <w:lang w:val="zh-CN"/>
        </w:rPr>
        <w:t>绩效目标编制要素完整，共包含六个项目：工会专项业务费、工会经费、困难职工帮扶资金、送温暖资金、特困职工深度帮扶、州级劳模专项资金，其中，</w:t>
      </w:r>
      <w:r>
        <w:rPr>
          <w:rFonts w:hint="eastAsia" w:ascii="仿宋" w:hAnsi="仿宋" w:eastAsia="仿宋" w:cs="仿宋"/>
          <w:sz w:val="32"/>
          <w:szCs w:val="32"/>
          <w:lang w:val="en-US" w:eastAsia="zh-CN"/>
        </w:rPr>
        <w:t>工会经费1530万元，以保障各级基层工会能足额返还财政代扣代缴工会经费；</w:t>
      </w:r>
      <w:r>
        <w:rPr>
          <w:rFonts w:hint="eastAsia" w:ascii="仿宋" w:hAnsi="仿宋" w:eastAsia="仿宋" w:cs="仿宋"/>
          <w:b w:val="0"/>
          <w:bCs w:val="0"/>
          <w:sz w:val="32"/>
          <w:szCs w:val="32"/>
          <w:lang w:val="en-US" w:eastAsia="zh-CN"/>
        </w:rPr>
        <w:t>财政帮扶专项资金共175万，包括特困职工深度帮扶行动专项资金100万元，用于开展特困职工深度帮扶行动，困难职工帮扶资金40万、元旦春节送温暖资金35万，用于开展困难职工帮扶救助及元旦春节送温暖慰问活动；劳模专项资金29.4万，用于2020年州级劳模春节慰问、生活困难补助等。</w:t>
      </w:r>
      <w:r>
        <w:rPr>
          <w:rFonts w:hint="eastAsia" w:ascii="仿宋" w:hAnsi="仿宋" w:eastAsia="仿宋" w:cs="仿宋"/>
          <w:sz w:val="32"/>
          <w:szCs w:val="32"/>
          <w:lang w:val="zh-CN"/>
        </w:rPr>
        <w:t>绩效指标划分为三个部分：项目完成指标、效益指标、满意度指标，绩效指标</w:t>
      </w:r>
      <w:r>
        <w:rPr>
          <w:rFonts w:hint="eastAsia" w:ascii="仿宋" w:hAnsi="仿宋" w:eastAsia="仿宋" w:cs="仿宋"/>
          <w:sz w:val="32"/>
          <w:szCs w:val="32"/>
          <w:lang w:val="zh-CN" w:eastAsia="zh-CN"/>
        </w:rPr>
        <w:t>细化量化；截止</w:t>
      </w:r>
      <w:r>
        <w:rPr>
          <w:rFonts w:hint="eastAsia" w:ascii="仿宋" w:hAnsi="仿宋" w:eastAsia="仿宋" w:cs="仿宋"/>
          <w:bCs/>
          <w:spacing w:val="-2"/>
          <w:kern w:val="2"/>
          <w:sz w:val="32"/>
          <w:szCs w:val="32"/>
          <w:lang w:val="en-US" w:eastAsia="zh-CN" w:bidi="ar-SA"/>
        </w:rPr>
        <w:t>2020</w:t>
      </w:r>
      <w:r>
        <w:rPr>
          <w:rFonts w:hint="eastAsia" w:ascii="仿宋" w:hAnsi="仿宋" w:eastAsia="仿宋" w:cs="仿宋"/>
          <w:sz w:val="32"/>
          <w:szCs w:val="32"/>
          <w:lang w:val="en-US" w:eastAsia="zh-CN"/>
        </w:rPr>
        <w:t>年底</w:t>
      </w:r>
      <w:r>
        <w:rPr>
          <w:rFonts w:hint="eastAsia" w:ascii="仿宋" w:hAnsi="仿宋" w:eastAsia="仿宋" w:cs="仿宋"/>
          <w:sz w:val="32"/>
          <w:szCs w:val="32"/>
          <w:lang w:val="zh-CN"/>
        </w:rPr>
        <w:t>绩效目标全部实现，</w:t>
      </w:r>
      <w:r>
        <w:rPr>
          <w:rFonts w:hint="eastAsia" w:ascii="仿宋" w:hAnsi="仿宋" w:eastAsia="仿宋" w:cs="仿宋"/>
          <w:sz w:val="32"/>
          <w:szCs w:val="32"/>
          <w:lang w:val="en-US" w:eastAsia="zh-CN"/>
        </w:rPr>
        <w:t>实现程度</w:t>
      </w:r>
      <w:r>
        <w:rPr>
          <w:rFonts w:hint="eastAsia" w:ascii="仿宋" w:hAnsi="仿宋" w:eastAsia="仿宋" w:cs="仿宋"/>
          <w:sz w:val="32"/>
          <w:szCs w:val="32"/>
          <w:lang w:val="zh-CN"/>
        </w:rPr>
        <w:t>与预期目标</w:t>
      </w:r>
      <w:r>
        <w:rPr>
          <w:rFonts w:hint="eastAsia" w:ascii="仿宋" w:hAnsi="仿宋" w:eastAsia="仿宋" w:cs="仿宋"/>
          <w:sz w:val="32"/>
          <w:szCs w:val="32"/>
          <w:lang w:val="en-US" w:eastAsia="zh-CN"/>
        </w:rPr>
        <w:t>一致</w:t>
      </w:r>
      <w:r>
        <w:rPr>
          <w:rFonts w:hint="eastAsia" w:ascii="仿宋" w:hAnsi="仿宋" w:eastAsia="仿宋" w:cs="仿宋"/>
          <w:sz w:val="32"/>
          <w:szCs w:val="32"/>
          <w:lang w:val="zh-CN"/>
        </w:rPr>
        <w:t>不存在偏离，预算编制准确合理。在支出控制方面，部门日常公用经费年初预算数</w:t>
      </w:r>
      <w:r>
        <w:rPr>
          <w:rFonts w:hint="eastAsia" w:ascii="仿宋" w:hAnsi="仿宋" w:eastAsia="仿宋" w:cs="仿宋"/>
          <w:bCs/>
          <w:spacing w:val="-2"/>
          <w:kern w:val="2"/>
          <w:sz w:val="32"/>
          <w:szCs w:val="32"/>
          <w:lang w:val="en-US" w:eastAsia="zh-CN" w:bidi="ar-SA"/>
        </w:rPr>
        <w:t>69.07</w:t>
      </w:r>
      <w:r>
        <w:rPr>
          <w:rFonts w:hint="eastAsia" w:ascii="仿宋" w:hAnsi="仿宋" w:eastAsia="仿宋" w:cs="仿宋"/>
          <w:sz w:val="32"/>
          <w:szCs w:val="32"/>
          <w:lang w:val="en-US" w:eastAsia="zh-CN"/>
        </w:rPr>
        <w:t>万元决算数为</w:t>
      </w:r>
      <w:r>
        <w:rPr>
          <w:rFonts w:hint="eastAsia" w:ascii="仿宋" w:hAnsi="仿宋" w:eastAsia="仿宋" w:cs="仿宋"/>
          <w:bCs/>
          <w:spacing w:val="-2"/>
          <w:kern w:val="2"/>
          <w:sz w:val="32"/>
          <w:szCs w:val="32"/>
          <w:lang w:val="en-US" w:eastAsia="zh-CN" w:bidi="ar-SA"/>
        </w:rPr>
        <w:t>69,07</w:t>
      </w:r>
      <w:r>
        <w:rPr>
          <w:rFonts w:hint="eastAsia" w:ascii="仿宋" w:hAnsi="仿宋" w:eastAsia="仿宋" w:cs="仿宋"/>
          <w:sz w:val="32"/>
          <w:szCs w:val="32"/>
          <w:lang w:val="en-US" w:eastAsia="zh-CN"/>
        </w:rPr>
        <w:t>万元，年初预算数与决算数一致不存在偏离，</w:t>
      </w:r>
      <w:r>
        <w:rPr>
          <w:rFonts w:hint="eastAsia" w:ascii="仿宋" w:hAnsi="仿宋" w:eastAsia="仿宋" w:cs="仿宋"/>
          <w:sz w:val="32"/>
          <w:szCs w:val="32"/>
          <w:lang w:val="zh-CN"/>
        </w:rPr>
        <w:t>项目支出中办公费预算数为</w:t>
      </w:r>
      <w:r>
        <w:rPr>
          <w:rFonts w:hint="eastAsia" w:ascii="仿宋" w:hAnsi="仿宋" w:eastAsia="仿宋" w:cs="仿宋"/>
          <w:bCs/>
          <w:spacing w:val="-2"/>
          <w:kern w:val="2"/>
          <w:sz w:val="32"/>
          <w:szCs w:val="32"/>
          <w:lang w:val="en-US" w:eastAsia="zh-CN" w:bidi="ar-SA"/>
        </w:rPr>
        <w:t>17280元，决算数为71673.8</w:t>
      </w:r>
      <w:r>
        <w:rPr>
          <w:rFonts w:hint="eastAsia" w:ascii="仿宋" w:hAnsi="仿宋" w:eastAsia="仿宋" w:cs="仿宋"/>
          <w:sz w:val="32"/>
          <w:szCs w:val="32"/>
          <w:lang w:val="en-US" w:eastAsia="zh-CN"/>
        </w:rPr>
        <w:t>元，</w:t>
      </w:r>
      <w:r>
        <w:rPr>
          <w:rFonts w:hint="eastAsia" w:ascii="仿宋" w:hAnsi="仿宋" w:eastAsia="仿宋" w:cs="仿宋"/>
          <w:sz w:val="32"/>
          <w:szCs w:val="32"/>
          <w:lang w:val="zh-CN"/>
        </w:rPr>
        <w:t>水费预算数为</w:t>
      </w:r>
      <w:r>
        <w:rPr>
          <w:rFonts w:hint="eastAsia" w:ascii="仿宋" w:hAnsi="仿宋" w:eastAsia="仿宋" w:cs="仿宋"/>
          <w:bCs/>
          <w:spacing w:val="-2"/>
          <w:kern w:val="2"/>
          <w:sz w:val="32"/>
          <w:szCs w:val="32"/>
          <w:lang w:val="en-US" w:eastAsia="zh-CN" w:bidi="ar-SA"/>
        </w:rPr>
        <w:t>5184元决算数为44202.16元</w:t>
      </w:r>
      <w:r>
        <w:rPr>
          <w:rFonts w:hint="eastAsia" w:ascii="仿宋" w:hAnsi="仿宋" w:eastAsia="仿宋" w:cs="仿宋"/>
          <w:bCs/>
          <w:spacing w:val="-2"/>
          <w:kern w:val="2"/>
          <w:sz w:val="32"/>
          <w:szCs w:val="32"/>
          <w:lang w:val="zh-CN" w:eastAsia="zh-CN" w:bidi="ar-SA"/>
        </w:rPr>
        <w:t>、邮电费预算数为</w:t>
      </w:r>
      <w:r>
        <w:rPr>
          <w:rFonts w:hint="eastAsia" w:ascii="仿宋" w:hAnsi="仿宋" w:eastAsia="仿宋" w:cs="仿宋"/>
          <w:bCs/>
          <w:spacing w:val="-2"/>
          <w:kern w:val="2"/>
          <w:sz w:val="32"/>
          <w:szCs w:val="32"/>
          <w:lang w:val="en-US" w:eastAsia="zh-CN" w:bidi="ar-SA"/>
        </w:rPr>
        <w:t>61560元决算数为129924.95元</w:t>
      </w:r>
      <w:r>
        <w:rPr>
          <w:rFonts w:hint="eastAsia" w:ascii="仿宋" w:hAnsi="仿宋" w:eastAsia="仿宋" w:cs="仿宋"/>
          <w:bCs/>
          <w:spacing w:val="-2"/>
          <w:kern w:val="2"/>
          <w:sz w:val="32"/>
          <w:szCs w:val="32"/>
          <w:lang w:val="zh-CN" w:eastAsia="zh-CN" w:bidi="ar-SA"/>
        </w:rPr>
        <w:t>、与决算数偏差度均大于</w:t>
      </w:r>
      <w:r>
        <w:rPr>
          <w:rFonts w:hint="eastAsia" w:ascii="仿宋" w:hAnsi="仿宋" w:eastAsia="仿宋" w:cs="仿宋"/>
          <w:bCs/>
          <w:spacing w:val="-2"/>
          <w:kern w:val="2"/>
          <w:sz w:val="32"/>
          <w:szCs w:val="32"/>
          <w:lang w:val="en-US" w:eastAsia="zh-CN" w:bidi="ar-SA"/>
        </w:rPr>
        <w:t>20%，偏差度较大。动态调整方面，</w:t>
      </w:r>
      <w:r>
        <w:rPr>
          <w:rFonts w:hint="eastAsia" w:ascii="仿宋" w:hAnsi="仿宋" w:eastAsia="仿宋" w:cs="仿宋"/>
          <w:sz w:val="32"/>
          <w:szCs w:val="32"/>
        </w:rPr>
        <w:t>州总工会按照20</w:t>
      </w:r>
      <w:r>
        <w:rPr>
          <w:rFonts w:hint="eastAsia" w:ascii="仿宋" w:hAnsi="仿宋" w:eastAsia="仿宋" w:cs="仿宋"/>
          <w:sz w:val="32"/>
          <w:szCs w:val="32"/>
          <w:lang w:val="en-US" w:eastAsia="zh-CN"/>
        </w:rPr>
        <w:t>20</w:t>
      </w:r>
      <w:r>
        <w:rPr>
          <w:rFonts w:hint="eastAsia" w:ascii="仿宋" w:hAnsi="仿宋" w:eastAsia="仿宋" w:cs="仿宋"/>
          <w:sz w:val="32"/>
          <w:szCs w:val="32"/>
        </w:rPr>
        <w:t>年州本级预算安排和1-</w:t>
      </w:r>
      <w:r>
        <w:rPr>
          <w:rFonts w:hint="eastAsia" w:ascii="仿宋" w:hAnsi="仿宋" w:eastAsia="仿宋" w:cs="仿宋"/>
          <w:sz w:val="32"/>
          <w:szCs w:val="32"/>
          <w:lang w:val="en-US" w:eastAsia="zh-CN"/>
        </w:rPr>
        <w:t>8</w:t>
      </w:r>
      <w:r>
        <w:rPr>
          <w:rFonts w:hint="eastAsia" w:ascii="仿宋" w:hAnsi="仿宋" w:eastAsia="仿宋" w:cs="仿宋"/>
          <w:sz w:val="32"/>
          <w:szCs w:val="32"/>
        </w:rPr>
        <w:t>月预算实际执行数</w:t>
      </w:r>
      <w:r>
        <w:rPr>
          <w:rFonts w:hint="eastAsia" w:ascii="仿宋" w:hAnsi="仿宋" w:eastAsia="仿宋" w:cs="仿宋"/>
          <w:sz w:val="32"/>
          <w:szCs w:val="32"/>
          <w:lang w:val="en-US" w:eastAsia="zh-CN"/>
        </w:rPr>
        <w:t>及调入4人，致使人员经费增加，</w:t>
      </w:r>
      <w:r>
        <w:rPr>
          <w:rFonts w:hint="eastAsia" w:ascii="仿宋" w:hAnsi="仿宋" w:eastAsia="仿宋" w:cs="仿宋"/>
          <w:sz w:val="32"/>
          <w:szCs w:val="32"/>
        </w:rPr>
        <w:t>经测算需财政追加</w:t>
      </w:r>
      <w:r>
        <w:rPr>
          <w:rFonts w:hint="eastAsia" w:ascii="仿宋" w:hAnsi="仿宋" w:eastAsia="仿宋" w:cs="仿宋"/>
          <w:sz w:val="32"/>
          <w:szCs w:val="32"/>
          <w:lang w:eastAsia="zh-CN"/>
        </w:rPr>
        <w:t>人员经费</w:t>
      </w:r>
      <w:r>
        <w:rPr>
          <w:rFonts w:hint="eastAsia" w:ascii="仿宋" w:hAnsi="仿宋" w:eastAsia="仿宋" w:cs="仿宋"/>
          <w:sz w:val="32"/>
          <w:szCs w:val="32"/>
        </w:rPr>
        <w:t>资金缺口为</w:t>
      </w:r>
      <w:r>
        <w:rPr>
          <w:rFonts w:hint="eastAsia" w:ascii="仿宋" w:hAnsi="仿宋" w:eastAsia="仿宋" w:cs="仿宋"/>
          <w:sz w:val="32"/>
          <w:szCs w:val="32"/>
          <w:lang w:val="en-US" w:eastAsia="zh-CN"/>
        </w:rPr>
        <w:t>319,600.68</w:t>
      </w:r>
      <w:r>
        <w:rPr>
          <w:rFonts w:hint="eastAsia" w:ascii="仿宋" w:hAnsi="仿宋" w:eastAsia="仿宋" w:cs="仿宋"/>
          <w:sz w:val="32"/>
          <w:szCs w:val="32"/>
        </w:rPr>
        <w:t>元，其中：</w:t>
      </w:r>
      <w:r>
        <w:rPr>
          <w:rFonts w:hint="eastAsia" w:ascii="仿宋" w:hAnsi="仿宋" w:eastAsia="仿宋" w:cs="仿宋"/>
          <w:sz w:val="32"/>
          <w:szCs w:val="32"/>
          <w:lang w:eastAsia="zh-CN"/>
        </w:rPr>
        <w:t>职工基本医疗保险缴费</w:t>
      </w:r>
      <w:r>
        <w:rPr>
          <w:rFonts w:hint="eastAsia" w:ascii="仿宋" w:hAnsi="仿宋" w:eastAsia="仿宋" w:cs="仿宋"/>
          <w:sz w:val="32"/>
          <w:szCs w:val="32"/>
          <w:lang w:val="en-US" w:eastAsia="zh-CN"/>
        </w:rPr>
        <w:t>64,472.84</w:t>
      </w:r>
      <w:r>
        <w:rPr>
          <w:rFonts w:hint="eastAsia" w:ascii="仿宋" w:hAnsi="仿宋" w:eastAsia="仿宋" w:cs="仿宋"/>
          <w:sz w:val="32"/>
          <w:szCs w:val="32"/>
        </w:rPr>
        <w:t>元</w:t>
      </w:r>
      <w:r>
        <w:rPr>
          <w:rFonts w:hint="eastAsia" w:ascii="仿宋" w:hAnsi="仿宋" w:eastAsia="仿宋" w:cs="仿宋"/>
          <w:sz w:val="32"/>
          <w:szCs w:val="32"/>
          <w:lang w:eastAsia="zh-CN"/>
        </w:rPr>
        <w:t>；公务员医疗补助缴费</w:t>
      </w:r>
      <w:r>
        <w:rPr>
          <w:rFonts w:hint="eastAsia" w:ascii="仿宋" w:hAnsi="仿宋" w:eastAsia="仿宋" w:cs="仿宋"/>
          <w:sz w:val="32"/>
          <w:szCs w:val="32"/>
          <w:lang w:val="en-US" w:eastAsia="zh-CN"/>
        </w:rPr>
        <w:t>36,404.40</w:t>
      </w:r>
      <w:r>
        <w:rPr>
          <w:rFonts w:hint="eastAsia" w:ascii="仿宋" w:hAnsi="仿宋" w:eastAsia="仿宋" w:cs="仿宋"/>
          <w:sz w:val="32"/>
          <w:szCs w:val="32"/>
        </w:rPr>
        <w:t>元</w:t>
      </w:r>
      <w:r>
        <w:rPr>
          <w:rFonts w:hint="eastAsia" w:ascii="仿宋" w:hAnsi="仿宋" w:eastAsia="仿宋" w:cs="仿宋"/>
          <w:sz w:val="32"/>
          <w:szCs w:val="32"/>
          <w:lang w:eastAsia="zh-CN"/>
        </w:rPr>
        <w:t>；机关事业单位职业年金缴费</w:t>
      </w:r>
      <w:r>
        <w:rPr>
          <w:rFonts w:hint="eastAsia" w:ascii="仿宋" w:hAnsi="仿宋" w:eastAsia="仿宋" w:cs="仿宋"/>
          <w:sz w:val="32"/>
          <w:szCs w:val="32"/>
          <w:lang w:val="en-US" w:eastAsia="zh-CN"/>
        </w:rPr>
        <w:t>25,527.84</w:t>
      </w:r>
      <w:r>
        <w:rPr>
          <w:rFonts w:hint="eastAsia" w:ascii="仿宋" w:hAnsi="仿宋" w:eastAsia="仿宋" w:cs="仿宋"/>
          <w:sz w:val="32"/>
          <w:szCs w:val="32"/>
        </w:rPr>
        <w:t>元</w:t>
      </w:r>
      <w:r>
        <w:rPr>
          <w:rFonts w:hint="eastAsia" w:ascii="仿宋" w:hAnsi="仿宋" w:eastAsia="仿宋" w:cs="仿宋"/>
          <w:sz w:val="32"/>
          <w:szCs w:val="32"/>
          <w:lang w:eastAsia="zh-CN"/>
        </w:rPr>
        <w:t>；基本工资</w:t>
      </w:r>
      <w:r>
        <w:rPr>
          <w:rFonts w:hint="eastAsia" w:ascii="仿宋" w:hAnsi="仿宋" w:eastAsia="仿宋" w:cs="仿宋"/>
          <w:sz w:val="32"/>
          <w:szCs w:val="32"/>
          <w:lang w:val="en-US" w:eastAsia="zh-CN"/>
        </w:rPr>
        <w:t>177,080.60元;奖金16,115.00元</w:t>
      </w:r>
      <w:r>
        <w:rPr>
          <w:rFonts w:hint="eastAsia" w:ascii="仿宋" w:hAnsi="仿宋" w:eastAsia="仿宋" w:cs="仿宋"/>
          <w:sz w:val="32"/>
          <w:szCs w:val="32"/>
        </w:rPr>
        <w:t>。</w:t>
      </w:r>
      <w:r>
        <w:rPr>
          <w:rFonts w:hint="eastAsia" w:ascii="仿宋" w:hAnsi="仿宋" w:eastAsia="仿宋" w:cs="仿宋"/>
          <w:bCs/>
          <w:spacing w:val="-2"/>
          <w:kern w:val="2"/>
          <w:sz w:val="32"/>
          <w:szCs w:val="32"/>
          <w:lang w:val="zh-CN" w:eastAsia="zh-CN" w:bidi="ar-SA"/>
        </w:rPr>
        <w:t>执行进度方面，在6、9、11月实际支出进度分别达到</w:t>
      </w:r>
      <w:r>
        <w:rPr>
          <w:rFonts w:hint="eastAsia" w:ascii="仿宋" w:hAnsi="仿宋" w:eastAsia="仿宋" w:cs="仿宋"/>
          <w:bCs/>
          <w:spacing w:val="-2"/>
          <w:kern w:val="2"/>
          <w:sz w:val="32"/>
          <w:szCs w:val="32"/>
          <w:lang w:val="en-US" w:eastAsia="zh-CN" w:bidi="ar-SA"/>
        </w:rPr>
        <w:t>25.39</w:t>
      </w:r>
      <w:r>
        <w:rPr>
          <w:rFonts w:hint="eastAsia" w:ascii="仿宋" w:hAnsi="仿宋" w:eastAsia="仿宋" w:cs="仿宋"/>
          <w:bCs/>
          <w:spacing w:val="-2"/>
          <w:kern w:val="2"/>
          <w:sz w:val="32"/>
          <w:szCs w:val="32"/>
          <w:lang w:val="zh-CN" w:eastAsia="zh-CN" w:bidi="ar-SA"/>
        </w:rPr>
        <w:t>%、</w:t>
      </w:r>
      <w:r>
        <w:rPr>
          <w:rFonts w:hint="eastAsia" w:ascii="仿宋" w:hAnsi="仿宋" w:eastAsia="仿宋" w:cs="仿宋"/>
          <w:bCs/>
          <w:spacing w:val="-2"/>
          <w:kern w:val="2"/>
          <w:sz w:val="32"/>
          <w:szCs w:val="32"/>
          <w:lang w:val="en-US" w:eastAsia="zh-CN" w:bidi="ar-SA"/>
        </w:rPr>
        <w:t>45.83</w:t>
      </w:r>
      <w:r>
        <w:rPr>
          <w:rFonts w:hint="eastAsia" w:ascii="仿宋" w:hAnsi="仿宋" w:eastAsia="仿宋" w:cs="仿宋"/>
          <w:bCs/>
          <w:spacing w:val="-2"/>
          <w:kern w:val="2"/>
          <w:sz w:val="32"/>
          <w:szCs w:val="32"/>
          <w:lang w:val="zh-CN" w:eastAsia="zh-CN" w:bidi="ar-SA"/>
        </w:rPr>
        <w:t>%、8</w:t>
      </w:r>
      <w:r>
        <w:rPr>
          <w:rFonts w:hint="eastAsia" w:ascii="仿宋" w:hAnsi="仿宋" w:eastAsia="仿宋" w:cs="仿宋"/>
          <w:bCs/>
          <w:spacing w:val="-2"/>
          <w:kern w:val="2"/>
          <w:sz w:val="32"/>
          <w:szCs w:val="32"/>
          <w:lang w:val="en-US" w:eastAsia="zh-CN" w:bidi="ar-SA"/>
        </w:rPr>
        <w:t>3</w:t>
      </w:r>
      <w:r>
        <w:rPr>
          <w:rFonts w:hint="eastAsia" w:ascii="仿宋" w:hAnsi="仿宋" w:eastAsia="仿宋" w:cs="仿宋"/>
          <w:bCs/>
          <w:spacing w:val="-2"/>
          <w:kern w:val="2"/>
          <w:sz w:val="32"/>
          <w:szCs w:val="32"/>
          <w:lang w:val="zh-CN" w:eastAsia="zh-CN" w:bidi="ar-SA"/>
        </w:rPr>
        <w:t>.</w:t>
      </w:r>
      <w:r>
        <w:rPr>
          <w:rFonts w:hint="eastAsia" w:ascii="仿宋" w:hAnsi="仿宋" w:eastAsia="仿宋" w:cs="仿宋"/>
          <w:bCs/>
          <w:spacing w:val="-2"/>
          <w:kern w:val="2"/>
          <w:sz w:val="32"/>
          <w:szCs w:val="32"/>
          <w:lang w:val="en-US" w:eastAsia="zh-CN" w:bidi="ar-SA"/>
        </w:rPr>
        <w:t>3</w:t>
      </w:r>
      <w:r>
        <w:rPr>
          <w:rFonts w:hint="eastAsia" w:ascii="仿宋" w:hAnsi="仿宋" w:eastAsia="仿宋" w:cs="仿宋"/>
          <w:bCs/>
          <w:spacing w:val="-2"/>
          <w:kern w:val="2"/>
          <w:sz w:val="32"/>
          <w:szCs w:val="32"/>
          <w:lang w:val="zh-CN" w:eastAsia="zh-CN" w:bidi="ar-SA"/>
        </w:rPr>
        <w:t>5%，</w:t>
      </w:r>
      <w:r>
        <w:rPr>
          <w:rFonts w:hint="eastAsia" w:ascii="仿宋" w:hAnsi="仿宋" w:eastAsia="仿宋" w:cs="仿宋"/>
          <w:color w:val="000000"/>
          <w:sz w:val="32"/>
          <w:szCs w:val="32"/>
        </w:rPr>
        <w:t>2</w:t>
      </w:r>
      <w:r>
        <w:rPr>
          <w:rFonts w:hint="eastAsia" w:ascii="仿宋" w:hAnsi="仿宋" w:eastAsia="仿宋" w:cs="仿宋"/>
          <w:color w:val="000000"/>
          <w:sz w:val="32"/>
          <w:szCs w:val="32"/>
          <w:lang w:val="en-US" w:eastAsia="zh-CN"/>
        </w:rPr>
        <w:t>020</w:t>
      </w:r>
      <w:r>
        <w:rPr>
          <w:rFonts w:hint="eastAsia" w:ascii="仿宋" w:hAnsi="仿宋" w:eastAsia="仿宋" w:cs="仿宋"/>
          <w:color w:val="000000"/>
          <w:sz w:val="32"/>
          <w:szCs w:val="32"/>
        </w:rPr>
        <w:t>年阿坝州总工会执行收入预算为</w:t>
      </w:r>
      <w:r>
        <w:rPr>
          <w:rFonts w:hint="eastAsia" w:ascii="仿宋" w:hAnsi="仿宋" w:eastAsia="仿宋" w:cs="仿宋"/>
          <w:bCs/>
          <w:spacing w:val="-2"/>
          <w:kern w:val="2"/>
          <w:sz w:val="32"/>
          <w:szCs w:val="32"/>
          <w:lang w:val="en-US" w:eastAsia="zh-CN" w:bidi="ar-SA"/>
        </w:rPr>
        <w:t>2305.04</w:t>
      </w:r>
      <w:r>
        <w:rPr>
          <w:rFonts w:hint="eastAsia" w:ascii="仿宋" w:hAnsi="仿宋" w:eastAsia="仿宋" w:cs="仿宋"/>
          <w:color w:val="000000"/>
          <w:sz w:val="32"/>
          <w:szCs w:val="32"/>
        </w:rPr>
        <w:t>万元，执行支出预算合计</w:t>
      </w:r>
      <w:r>
        <w:rPr>
          <w:rFonts w:hint="eastAsia" w:ascii="仿宋" w:hAnsi="仿宋" w:eastAsia="仿宋" w:cs="仿宋"/>
          <w:color w:val="000000"/>
          <w:sz w:val="32"/>
          <w:szCs w:val="32"/>
          <w:lang w:val="en-US" w:eastAsia="zh-CN"/>
        </w:rPr>
        <w:t>2378.33</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，部门预算项目12月预算执行进度达到100%。</w:t>
      </w:r>
      <w:r>
        <w:rPr>
          <w:rFonts w:hint="eastAsia" w:ascii="仿宋" w:hAnsi="仿宋" w:eastAsia="仿宋" w:cs="仿宋"/>
          <w:bCs/>
          <w:spacing w:val="-2"/>
          <w:kern w:val="2"/>
          <w:sz w:val="32"/>
          <w:szCs w:val="32"/>
          <w:lang w:val="en-US" w:eastAsia="zh-CN" w:bidi="ar-SA"/>
        </w:rPr>
        <w:t>州总工会支出绩效自评87分，预算执行情况良好，无不良记录及违规违纪行为。</w:t>
      </w:r>
    </w:p>
    <w:p w14:paraId="0B9DF48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p>
    <w:p w14:paraId="1D4FB8E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p>
    <w:p w14:paraId="242AF05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（二）结果应用情况。</w:t>
      </w:r>
    </w:p>
    <w:p w14:paraId="5B49D62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对于</w:t>
      </w:r>
      <w:r>
        <w:rPr>
          <w:rFonts w:hint="eastAsia" w:ascii="仿宋" w:hAnsi="仿宋" w:eastAsia="仿宋" w:cs="仿宋"/>
          <w:color w:val="000000"/>
          <w:kern w:val="0"/>
          <w:sz w:val="32"/>
          <w:szCs w:val="32"/>
          <w:shd w:val="clear" w:color="auto" w:fill="FFFFFF"/>
          <w:lang w:val="en-US" w:eastAsia="zh-CN"/>
        </w:rPr>
        <w:t>2021年我会</w:t>
      </w:r>
      <w:r>
        <w:rPr>
          <w:rFonts w:hint="eastAsia" w:ascii="仿宋" w:hAnsi="仿宋" w:eastAsia="仿宋" w:cs="仿宋"/>
          <w:color w:val="000000"/>
          <w:kern w:val="0"/>
          <w:sz w:val="32"/>
          <w:szCs w:val="32"/>
          <w:shd w:val="clear" w:color="auto" w:fill="FFFFFF"/>
          <w:lang w:val="zh-CN"/>
        </w:rPr>
        <w:t>绩效自评按要求将部门整体绩效自评情况和自行组织的评价情况向社会公开，自觉接受有关部门和人民群众的监督；针对绩效管理过程中（包括绩效目标核查、绩效监控核查和重点绩效评价）提出的问题进行整改，将绩效管理结果应用于完善政策、改进管理、预算挂钩等，使我会绩效管理更加规范合理，我会也将按要求及时向财政部门反馈结果应用情况，提交绩效结果报告。</w:t>
      </w:r>
    </w:p>
    <w:p w14:paraId="5465DD08">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rPr>
          <w:rFonts w:hint="eastAsia" w:ascii="仿宋" w:hAnsi="仿宋" w:eastAsia="仿宋" w:cs="仿宋"/>
          <w:b/>
          <w:bCs/>
          <w:color w:val="000000"/>
          <w:kern w:val="0"/>
          <w:sz w:val="32"/>
          <w:szCs w:val="32"/>
          <w:shd w:val="clear" w:color="auto" w:fill="FFFFFF"/>
        </w:rPr>
      </w:pPr>
      <w:r>
        <w:rPr>
          <w:rFonts w:hint="eastAsia" w:ascii="仿宋" w:hAnsi="仿宋" w:eastAsia="仿宋" w:cs="仿宋"/>
          <w:b/>
          <w:bCs/>
          <w:color w:val="000000"/>
          <w:kern w:val="0"/>
          <w:sz w:val="32"/>
          <w:szCs w:val="32"/>
          <w:shd w:val="clear" w:color="auto" w:fill="FFFFFF"/>
        </w:rPr>
        <w:t>四、评价结论及建议</w:t>
      </w:r>
    </w:p>
    <w:p w14:paraId="41BC02B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（一）评价结论。</w:t>
      </w:r>
    </w:p>
    <w:p w14:paraId="18CC9083">
      <w:pPr>
        <w:pStyle w:val="14"/>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45"/>
        <w:rPr>
          <w:rFonts w:hint="eastAsia" w:ascii="仿宋" w:hAnsi="仿宋" w:eastAsia="仿宋" w:cs="仿宋"/>
          <w:sz w:val="32"/>
          <w:szCs w:val="32"/>
          <w:lang w:val="zh-CN"/>
        </w:rPr>
      </w:pPr>
      <w:r>
        <w:rPr>
          <w:rFonts w:hint="eastAsia" w:ascii="仿宋" w:hAnsi="仿宋" w:eastAsia="仿宋" w:cs="仿宋"/>
          <w:color w:val="000000"/>
          <w:sz w:val="32"/>
          <w:szCs w:val="32"/>
        </w:rPr>
        <w:t>从总体上看，20</w:t>
      </w:r>
      <w:r>
        <w:rPr>
          <w:rFonts w:hint="eastAsia" w:ascii="仿宋" w:hAnsi="仿宋" w:eastAsia="仿宋" w:cs="仿宋"/>
          <w:color w:val="000000"/>
          <w:sz w:val="32"/>
          <w:szCs w:val="32"/>
          <w:lang w:val="en-US" w:eastAsia="zh-CN"/>
        </w:rPr>
        <w:t>20</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州</w:t>
      </w:r>
      <w:r>
        <w:rPr>
          <w:rFonts w:hint="eastAsia" w:ascii="仿宋" w:hAnsi="仿宋" w:eastAsia="仿宋" w:cs="仿宋"/>
          <w:color w:val="000000"/>
          <w:sz w:val="32"/>
          <w:szCs w:val="32"/>
        </w:rPr>
        <w:t>总工会部门财政资金支出取得了较好的绩效，有力地保障了工会职能作用的正常发挥、工会机关的正常运行和各项工作的正常开展，使工会组织的桥梁、纽带作用得到了进一步体现，财政资金发挥了较好的效益。我会对整体支出进行了绩效评价，评价结果为预算编制及执行决算较为准确，支出管理较为规范，财务管理制度较完善，部门整体绩效较好，</w:t>
      </w:r>
      <w:r>
        <w:rPr>
          <w:rFonts w:hint="eastAsia" w:ascii="仿宋" w:hAnsi="仿宋" w:eastAsia="仿宋" w:cs="仿宋"/>
          <w:bCs/>
          <w:spacing w:val="-2"/>
          <w:kern w:val="2"/>
          <w:sz w:val="32"/>
          <w:szCs w:val="32"/>
          <w:lang w:val="en-US" w:eastAsia="zh-CN" w:bidi="ar-SA"/>
        </w:rPr>
        <w:t>预算执行情况良好，无不良记录及违规违纪行为。</w:t>
      </w:r>
    </w:p>
    <w:p w14:paraId="51CAD5B8">
      <w:pPr>
        <w:keepNext w:val="0"/>
        <w:keepLines w:val="0"/>
        <w:pageBreakBefore w:val="0"/>
        <w:widowControl/>
        <w:numPr>
          <w:ilvl w:val="0"/>
          <w:numId w:val="7"/>
        </w:numPr>
        <w:kinsoku/>
        <w:wordWrap/>
        <w:overflowPunct/>
        <w:topLinePunct w:val="0"/>
        <w:autoSpaceDE/>
        <w:autoSpaceDN/>
        <w:bidi w:val="0"/>
        <w:adjustRightInd w:val="0"/>
        <w:snapToGrid w:val="0"/>
        <w:spacing w:line="560" w:lineRule="exact"/>
        <w:ind w:left="320" w:leftChars="0" w:firstLine="640" w:firstLineChars="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存在问题。</w:t>
      </w:r>
    </w:p>
    <w:p w14:paraId="6C155F58">
      <w:pPr>
        <w:pStyle w:val="20"/>
        <w:keepNext w:val="0"/>
        <w:keepLines w:val="0"/>
        <w:pageBreakBefore w:val="0"/>
        <w:numPr>
          <w:ilvl w:val="0"/>
          <w:numId w:val="0"/>
        </w:numPr>
        <w:kinsoku/>
        <w:wordWrap/>
        <w:overflowPunct/>
        <w:topLinePunct w:val="0"/>
        <w:autoSpaceDE/>
        <w:autoSpaceDN/>
        <w:bidi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一是部分项目支出中存在的预决算不平衡，偏离度较大问题；二</w:t>
      </w:r>
      <w:r>
        <w:rPr>
          <w:rFonts w:hint="eastAsia" w:ascii="仿宋" w:hAnsi="仿宋" w:eastAsia="仿宋" w:cs="仿宋"/>
          <w:color w:val="000000"/>
          <w:sz w:val="32"/>
          <w:szCs w:val="32"/>
        </w:rPr>
        <w:t>是个别项目在支出执行进度上存在不均衡的问题</w:t>
      </w:r>
      <w:r>
        <w:rPr>
          <w:rFonts w:hint="eastAsia" w:ascii="仿宋" w:hAnsi="仿宋" w:eastAsia="仿宋" w:cs="仿宋"/>
          <w:color w:val="000000"/>
          <w:sz w:val="32"/>
          <w:szCs w:val="32"/>
          <w:lang w:eastAsia="zh-CN"/>
        </w:rPr>
        <w:t>。</w:t>
      </w:r>
    </w:p>
    <w:p w14:paraId="69565E7F">
      <w:pPr>
        <w:keepNext w:val="0"/>
        <w:keepLines w:val="0"/>
        <w:pageBreakBefore w:val="0"/>
        <w:widowControl/>
        <w:numPr>
          <w:ilvl w:val="0"/>
          <w:numId w:val="7"/>
        </w:numPr>
        <w:kinsoku/>
        <w:wordWrap/>
        <w:overflowPunct/>
        <w:topLinePunct w:val="0"/>
        <w:autoSpaceDE/>
        <w:autoSpaceDN/>
        <w:bidi w:val="0"/>
        <w:adjustRightInd w:val="0"/>
        <w:snapToGrid w:val="0"/>
        <w:spacing w:line="560" w:lineRule="exact"/>
        <w:ind w:left="320" w:leftChars="0" w:firstLine="640" w:firstLineChars="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改进建议。</w:t>
      </w:r>
    </w:p>
    <w:p w14:paraId="53AD5D98">
      <w:pPr>
        <w:keepNext w:val="0"/>
        <w:keepLines w:val="0"/>
        <w:pageBreakBefore w:val="0"/>
        <w:widowControl w:val="0"/>
        <w:kinsoku/>
        <w:wordWrap/>
        <w:overflowPunct/>
        <w:topLinePunct w:val="0"/>
        <w:autoSpaceDE/>
        <w:autoSpaceDN/>
        <w:bidi w:val="0"/>
        <w:spacing w:line="560" w:lineRule="exact"/>
        <w:ind w:firstLine="640" w:firstLineChars="200"/>
        <w:rPr>
          <w:rFonts w:hint="eastAsia" w:ascii="仿宋" w:hAnsi="仿宋" w:eastAsia="仿宋" w:cs="仿宋"/>
          <w:color w:val="000000"/>
          <w:sz w:val="32"/>
          <w:szCs w:val="32"/>
        </w:rPr>
      </w:pPr>
      <w:r>
        <w:rPr>
          <w:rFonts w:hint="eastAsia" w:ascii="仿宋" w:hAnsi="仿宋" w:eastAsia="仿宋" w:cs="仿宋"/>
          <w:sz w:val="32"/>
          <w:szCs w:val="32"/>
          <w:lang w:val="zh-CN"/>
        </w:rPr>
        <w:t>一是按当年工会重点工作计划安排, 准确、合理安排预算，制定预算项目实施情况表，按时间节点落实项目实施情况，加强预算执行力度；做好年度收支预算编制，积极争取省总财务部业务指导，进一步加强与州财政沟通衔接，将州工人文化宫房租收入结余资金纳入工会收入管理用于工会工作。按照《预算法》《工会预算管理办法》规定，严格执行支出预算，杜绝有预算无支出，无预算有支出现象发生。</w:t>
      </w:r>
      <w:r>
        <w:rPr>
          <w:rFonts w:hint="eastAsia" w:ascii="仿宋" w:hAnsi="仿宋" w:eastAsia="仿宋" w:cs="仿宋"/>
          <w:sz w:val="32"/>
          <w:szCs w:val="32"/>
        </w:rPr>
        <w:t>二是</w:t>
      </w:r>
      <w:r>
        <w:rPr>
          <w:rFonts w:hint="eastAsia" w:ascii="仿宋" w:hAnsi="仿宋" w:eastAsia="仿宋" w:cs="仿宋"/>
          <w:sz w:val="32"/>
          <w:szCs w:val="32"/>
          <w:lang w:eastAsia="zh-CN"/>
        </w:rPr>
        <w:t>强化评价结果应用</w:t>
      </w:r>
      <w:r>
        <w:rPr>
          <w:rFonts w:hint="eastAsia" w:ascii="仿宋" w:hAnsi="仿宋" w:eastAsia="仿宋" w:cs="仿宋"/>
          <w:color w:val="000000"/>
          <w:sz w:val="32"/>
          <w:szCs w:val="32"/>
          <w:lang w:eastAsia="zh-CN"/>
        </w:rPr>
        <w:t>。在下一步工作中，</w:t>
      </w:r>
      <w:r>
        <w:rPr>
          <w:rFonts w:hint="eastAsia" w:ascii="仿宋" w:hAnsi="仿宋" w:eastAsia="仿宋" w:cs="仿宋"/>
          <w:color w:val="000000"/>
          <w:sz w:val="32"/>
          <w:szCs w:val="32"/>
        </w:rPr>
        <w:t>开展绩效运行情况监控分析，</w:t>
      </w:r>
      <w:r>
        <w:rPr>
          <w:rFonts w:hint="eastAsia" w:ascii="仿宋" w:hAnsi="仿宋" w:eastAsia="仿宋" w:cs="仿宋"/>
          <w:color w:val="000000"/>
          <w:sz w:val="32"/>
          <w:szCs w:val="32"/>
          <w:lang w:eastAsia="zh-CN"/>
        </w:rPr>
        <w:t>切实强化</w:t>
      </w:r>
      <w:r>
        <w:rPr>
          <w:rFonts w:hint="eastAsia" w:ascii="仿宋" w:hAnsi="仿宋" w:eastAsia="仿宋" w:cs="仿宋"/>
          <w:color w:val="000000"/>
          <w:sz w:val="32"/>
          <w:szCs w:val="32"/>
        </w:rPr>
        <w:t>绩效评价结果</w:t>
      </w:r>
      <w:r>
        <w:rPr>
          <w:rFonts w:hint="eastAsia" w:ascii="仿宋" w:hAnsi="仿宋" w:eastAsia="仿宋" w:cs="仿宋"/>
          <w:color w:val="000000"/>
          <w:sz w:val="32"/>
          <w:szCs w:val="32"/>
          <w:lang w:eastAsia="zh-CN"/>
        </w:rPr>
        <w:t>应用，要将绩效管理实质性嵌入预算管理中，提升绩效目标质量</w:t>
      </w:r>
      <w:r>
        <w:rPr>
          <w:rFonts w:hint="eastAsia" w:ascii="仿宋" w:hAnsi="仿宋" w:eastAsia="仿宋" w:cs="仿宋"/>
          <w:color w:val="000000"/>
          <w:sz w:val="32"/>
          <w:szCs w:val="32"/>
        </w:rPr>
        <w:t>。</w:t>
      </w:r>
    </w:p>
    <w:p w14:paraId="7C1DF2B7">
      <w:pPr>
        <w:spacing w:line="600" w:lineRule="exact"/>
        <w:rPr>
          <w:rFonts w:ascii="仿宋" w:hAnsi="仿宋" w:eastAsia="仿宋" w:cs="仿宋"/>
          <w:bCs/>
          <w:spacing w:val="-2"/>
          <w:sz w:val="32"/>
          <w:szCs w:val="32"/>
        </w:rPr>
      </w:pPr>
    </w:p>
    <w:p w14:paraId="390E3569">
      <w:pPr>
        <w:ind w:firstLine="480" w:firstLineChars="150"/>
        <w:rPr>
          <w:rFonts w:ascii="仿宋" w:hAnsi="仿宋" w:eastAsia="仿宋"/>
          <w:sz w:val="32"/>
          <w:szCs w:val="32"/>
        </w:rPr>
      </w:pPr>
    </w:p>
    <w:p w14:paraId="104FE6EE">
      <w:pPr>
        <w:spacing w:line="600" w:lineRule="exact"/>
        <w:jc w:val="both"/>
        <w:outlineLvl w:val="0"/>
        <w:rPr>
          <w:rFonts w:hint="eastAsia" w:ascii="黑体" w:hAnsi="黑体" w:eastAsia="黑体"/>
          <w:color w:val="000000"/>
          <w:sz w:val="44"/>
          <w:szCs w:val="44"/>
        </w:rPr>
      </w:pPr>
      <w:bookmarkStart w:id="53" w:name="_Toc15396618"/>
    </w:p>
    <w:p w14:paraId="0EE99688">
      <w:pPr>
        <w:pStyle w:val="2"/>
        <w:rPr>
          <w:rFonts w:hint="eastAsia" w:ascii="黑体" w:hAnsi="黑体" w:eastAsia="黑体"/>
          <w:color w:val="000000"/>
          <w:sz w:val="44"/>
          <w:szCs w:val="44"/>
        </w:rPr>
      </w:pPr>
    </w:p>
    <w:p w14:paraId="52CDABB2">
      <w:pPr>
        <w:rPr>
          <w:rFonts w:hint="eastAsia" w:ascii="黑体" w:hAnsi="黑体" w:eastAsia="黑体"/>
          <w:color w:val="000000"/>
          <w:sz w:val="44"/>
          <w:szCs w:val="44"/>
        </w:rPr>
      </w:pPr>
    </w:p>
    <w:p w14:paraId="647A8524">
      <w:pPr>
        <w:pStyle w:val="2"/>
        <w:rPr>
          <w:rFonts w:hint="eastAsia" w:ascii="黑体" w:hAnsi="黑体" w:eastAsia="黑体"/>
          <w:color w:val="000000"/>
          <w:sz w:val="44"/>
          <w:szCs w:val="44"/>
        </w:rPr>
      </w:pPr>
    </w:p>
    <w:p w14:paraId="28144330">
      <w:pPr>
        <w:rPr>
          <w:rFonts w:hint="eastAsia" w:ascii="黑体" w:hAnsi="黑体" w:eastAsia="黑体"/>
          <w:color w:val="000000"/>
          <w:sz w:val="44"/>
          <w:szCs w:val="44"/>
        </w:rPr>
      </w:pPr>
    </w:p>
    <w:p w14:paraId="133B1B08">
      <w:pPr>
        <w:pStyle w:val="2"/>
        <w:rPr>
          <w:rFonts w:hint="eastAsia" w:ascii="黑体" w:hAnsi="黑体" w:eastAsia="黑体"/>
          <w:color w:val="000000"/>
          <w:sz w:val="44"/>
          <w:szCs w:val="44"/>
        </w:rPr>
      </w:pPr>
    </w:p>
    <w:p w14:paraId="598F3A00">
      <w:pPr>
        <w:rPr>
          <w:rFonts w:hint="eastAsia" w:ascii="黑体" w:hAnsi="黑体" w:eastAsia="黑体"/>
          <w:color w:val="000000"/>
          <w:sz w:val="44"/>
          <w:szCs w:val="44"/>
        </w:rPr>
      </w:pPr>
    </w:p>
    <w:p w14:paraId="5A8D672A">
      <w:pPr>
        <w:pStyle w:val="2"/>
        <w:rPr>
          <w:rFonts w:hint="eastAsia" w:ascii="黑体" w:hAnsi="黑体" w:eastAsia="黑体"/>
          <w:color w:val="000000"/>
          <w:sz w:val="44"/>
          <w:szCs w:val="44"/>
        </w:rPr>
      </w:pPr>
    </w:p>
    <w:p w14:paraId="27C2A7D5">
      <w:pPr>
        <w:rPr>
          <w:rFonts w:hint="eastAsia" w:ascii="黑体" w:hAnsi="黑体" w:eastAsia="黑体"/>
          <w:color w:val="000000"/>
          <w:sz w:val="44"/>
          <w:szCs w:val="44"/>
        </w:rPr>
      </w:pPr>
    </w:p>
    <w:p w14:paraId="07196DF8">
      <w:pPr>
        <w:pStyle w:val="2"/>
        <w:rPr>
          <w:rFonts w:hint="eastAsia" w:ascii="黑体" w:hAnsi="黑体" w:eastAsia="黑体"/>
          <w:color w:val="000000"/>
          <w:sz w:val="44"/>
          <w:szCs w:val="44"/>
        </w:rPr>
      </w:pPr>
    </w:p>
    <w:p w14:paraId="1B0E6B62">
      <w:pPr>
        <w:rPr>
          <w:rFonts w:hint="eastAsia" w:ascii="黑体" w:hAnsi="黑体" w:eastAsia="黑体"/>
          <w:color w:val="000000"/>
          <w:sz w:val="44"/>
          <w:szCs w:val="44"/>
        </w:rPr>
      </w:pPr>
    </w:p>
    <w:p w14:paraId="0F3D6F5B">
      <w:pPr>
        <w:pStyle w:val="2"/>
        <w:rPr>
          <w:rFonts w:hint="eastAsia" w:ascii="黑体" w:hAnsi="黑体" w:eastAsia="黑体"/>
          <w:color w:val="000000"/>
          <w:sz w:val="44"/>
          <w:szCs w:val="44"/>
        </w:rPr>
      </w:pPr>
    </w:p>
    <w:p w14:paraId="7CBA006A">
      <w:pPr>
        <w:rPr>
          <w:rFonts w:hint="eastAsia" w:ascii="黑体" w:hAnsi="黑体" w:eastAsia="黑体"/>
          <w:color w:val="000000"/>
          <w:sz w:val="44"/>
          <w:szCs w:val="44"/>
        </w:rPr>
      </w:pPr>
    </w:p>
    <w:p w14:paraId="43663BDD">
      <w:pPr>
        <w:pStyle w:val="2"/>
        <w:rPr>
          <w:rFonts w:hint="eastAsia" w:ascii="黑体" w:hAnsi="黑体" w:eastAsia="黑体"/>
          <w:color w:val="000000"/>
          <w:sz w:val="44"/>
          <w:szCs w:val="44"/>
        </w:rPr>
      </w:pPr>
    </w:p>
    <w:p w14:paraId="14C0E051">
      <w:pPr>
        <w:rPr>
          <w:rFonts w:hint="eastAsia"/>
        </w:rPr>
      </w:pPr>
    </w:p>
    <w:p w14:paraId="11E2886F">
      <w:pPr>
        <w:spacing w:line="600" w:lineRule="exact"/>
        <w:jc w:val="center"/>
        <w:outlineLvl w:val="0"/>
        <w:rPr>
          <w:rStyle w:val="29"/>
          <w:rFonts w:ascii="黑体" w:hAnsi="黑体" w:eastAsia="黑体"/>
          <w:b w:val="0"/>
        </w:rPr>
      </w:pPr>
      <w:r>
        <w:rPr>
          <w:rFonts w:hint="eastAsia" w:ascii="黑体" w:hAnsi="黑体" w:eastAsia="黑体"/>
          <w:color w:val="000000"/>
          <w:sz w:val="44"/>
          <w:szCs w:val="44"/>
        </w:rPr>
        <w:t>第</w:t>
      </w:r>
      <w:r>
        <w:rPr>
          <w:rStyle w:val="29"/>
          <w:rFonts w:hint="eastAsia" w:ascii="黑体" w:hAnsi="黑体" w:eastAsia="黑体"/>
          <w:b w:val="0"/>
        </w:rPr>
        <w:t>五部分 附表</w:t>
      </w:r>
      <w:bookmarkEnd w:id="51"/>
      <w:bookmarkEnd w:id="53"/>
    </w:p>
    <w:p w14:paraId="6D79A691">
      <w:pPr>
        <w:spacing w:line="600" w:lineRule="exact"/>
        <w:jc w:val="center"/>
        <w:outlineLvl w:val="0"/>
        <w:rPr>
          <w:rFonts w:ascii="仿宋" w:hAnsi="仿宋" w:eastAsia="仿宋"/>
          <w:b/>
          <w:color w:val="000000"/>
          <w:sz w:val="44"/>
          <w:szCs w:val="44"/>
        </w:rPr>
      </w:pPr>
    </w:p>
    <w:p w14:paraId="0E0D51EA">
      <w:pPr>
        <w:pStyle w:val="4"/>
        <w:rPr>
          <w:rFonts w:ascii="仿宋" w:hAnsi="仿宋" w:eastAsia="仿宋"/>
          <w:color w:val="000000"/>
        </w:rPr>
      </w:pPr>
      <w:bookmarkStart w:id="54" w:name="_Toc15396619"/>
      <w:r>
        <w:rPr>
          <w:rFonts w:hint="eastAsia" w:ascii="仿宋" w:hAnsi="仿宋" w:eastAsia="仿宋"/>
          <w:b w:val="0"/>
          <w:color w:val="000000"/>
        </w:rPr>
        <w:t>一、收</w:t>
      </w:r>
      <w:r>
        <w:rPr>
          <w:rStyle w:val="30"/>
          <w:rFonts w:hint="eastAsia" w:ascii="仿宋" w:hAnsi="仿宋" w:eastAsia="仿宋"/>
          <w:b w:val="0"/>
          <w:bCs w:val="0"/>
        </w:rPr>
        <w:t>入支出决算总表</w:t>
      </w:r>
      <w:bookmarkEnd w:id="54"/>
    </w:p>
    <w:p w14:paraId="6EF0BD1F">
      <w:pPr>
        <w:pStyle w:val="4"/>
        <w:rPr>
          <w:rFonts w:ascii="仿宋" w:hAnsi="仿宋" w:eastAsia="仿宋"/>
          <w:color w:val="000000"/>
        </w:rPr>
      </w:pPr>
      <w:bookmarkStart w:id="55" w:name="_Toc15396620"/>
      <w:r>
        <w:rPr>
          <w:rFonts w:hint="eastAsia" w:ascii="仿宋" w:hAnsi="仿宋" w:eastAsia="仿宋"/>
          <w:b w:val="0"/>
          <w:color w:val="000000"/>
        </w:rPr>
        <w:t>二、收</w:t>
      </w:r>
      <w:r>
        <w:rPr>
          <w:rStyle w:val="30"/>
          <w:rFonts w:hint="eastAsia" w:ascii="仿宋" w:hAnsi="仿宋" w:eastAsia="仿宋"/>
          <w:b w:val="0"/>
          <w:bCs w:val="0"/>
        </w:rPr>
        <w:t>入总表</w:t>
      </w:r>
      <w:bookmarkEnd w:id="55"/>
    </w:p>
    <w:p w14:paraId="5916B147">
      <w:pPr>
        <w:pStyle w:val="4"/>
        <w:rPr>
          <w:rFonts w:ascii="仿宋" w:hAnsi="仿宋" w:eastAsia="仿宋"/>
          <w:color w:val="000000"/>
        </w:rPr>
      </w:pPr>
      <w:bookmarkStart w:id="56" w:name="_Toc15396621"/>
      <w:r>
        <w:rPr>
          <w:rStyle w:val="30"/>
          <w:rFonts w:hint="eastAsia" w:ascii="仿宋" w:hAnsi="仿宋" w:eastAsia="仿宋"/>
          <w:b w:val="0"/>
          <w:bCs w:val="0"/>
        </w:rPr>
        <w:t>三、</w:t>
      </w:r>
      <w:r>
        <w:rPr>
          <w:rFonts w:hint="eastAsia" w:ascii="仿宋" w:hAnsi="仿宋" w:eastAsia="仿宋"/>
          <w:b w:val="0"/>
          <w:color w:val="000000"/>
        </w:rPr>
        <w:t>支</w:t>
      </w:r>
      <w:r>
        <w:rPr>
          <w:rStyle w:val="30"/>
          <w:rFonts w:hint="eastAsia" w:ascii="仿宋" w:hAnsi="仿宋" w:eastAsia="仿宋"/>
          <w:b w:val="0"/>
          <w:bCs w:val="0"/>
        </w:rPr>
        <w:t>出总表</w:t>
      </w:r>
      <w:bookmarkEnd w:id="56"/>
    </w:p>
    <w:p w14:paraId="2CED0914">
      <w:pPr>
        <w:pStyle w:val="4"/>
        <w:rPr>
          <w:rFonts w:ascii="仿宋" w:hAnsi="仿宋" w:eastAsia="仿宋"/>
          <w:b w:val="0"/>
          <w:color w:val="000000"/>
        </w:rPr>
      </w:pPr>
      <w:bookmarkStart w:id="57" w:name="_Toc15396622"/>
      <w:r>
        <w:rPr>
          <w:rStyle w:val="30"/>
          <w:rFonts w:hint="eastAsia" w:ascii="仿宋" w:hAnsi="仿宋" w:eastAsia="仿宋"/>
          <w:b w:val="0"/>
          <w:bCs w:val="0"/>
        </w:rPr>
        <w:t>四、</w:t>
      </w:r>
      <w:r>
        <w:rPr>
          <w:rFonts w:hint="eastAsia" w:ascii="仿宋" w:hAnsi="仿宋" w:eastAsia="仿宋"/>
          <w:b w:val="0"/>
          <w:color w:val="000000"/>
        </w:rPr>
        <w:t>财</w:t>
      </w:r>
      <w:r>
        <w:rPr>
          <w:rStyle w:val="30"/>
          <w:rFonts w:hint="eastAsia" w:ascii="仿宋" w:hAnsi="仿宋" w:eastAsia="仿宋"/>
          <w:b w:val="0"/>
          <w:bCs w:val="0"/>
        </w:rPr>
        <w:t>政拨款收入支出决算总表</w:t>
      </w:r>
      <w:bookmarkEnd w:id="57"/>
    </w:p>
    <w:p w14:paraId="6D0A3192">
      <w:pPr>
        <w:pStyle w:val="4"/>
        <w:rPr>
          <w:rFonts w:ascii="仿宋" w:hAnsi="仿宋" w:eastAsia="仿宋"/>
          <w:color w:val="000000"/>
        </w:rPr>
      </w:pPr>
      <w:bookmarkStart w:id="58" w:name="_Toc15396623"/>
      <w:r>
        <w:rPr>
          <w:rStyle w:val="30"/>
          <w:rFonts w:hint="eastAsia" w:ascii="仿宋" w:hAnsi="仿宋" w:eastAsia="仿宋"/>
          <w:b w:val="0"/>
          <w:bCs w:val="0"/>
        </w:rPr>
        <w:t>五、</w:t>
      </w:r>
      <w:r>
        <w:rPr>
          <w:rFonts w:hint="eastAsia" w:ascii="仿宋" w:hAnsi="仿宋" w:eastAsia="仿宋"/>
          <w:b w:val="0"/>
          <w:color w:val="000000"/>
        </w:rPr>
        <w:t>财</w:t>
      </w:r>
      <w:r>
        <w:rPr>
          <w:rStyle w:val="30"/>
          <w:rFonts w:hint="eastAsia" w:ascii="仿宋" w:hAnsi="仿宋" w:eastAsia="仿宋"/>
          <w:b w:val="0"/>
          <w:bCs w:val="0"/>
        </w:rPr>
        <w:t>政拨款支出决算明细表（政府经济分类科目）</w:t>
      </w:r>
      <w:bookmarkEnd w:id="58"/>
    </w:p>
    <w:p w14:paraId="378540BC">
      <w:pPr>
        <w:pStyle w:val="4"/>
        <w:rPr>
          <w:rFonts w:ascii="仿宋" w:hAnsi="仿宋" w:eastAsia="仿宋"/>
          <w:color w:val="000000"/>
        </w:rPr>
      </w:pPr>
      <w:bookmarkStart w:id="59" w:name="_Toc15396624"/>
      <w:r>
        <w:rPr>
          <w:rStyle w:val="30"/>
          <w:rFonts w:hint="eastAsia" w:ascii="仿宋" w:hAnsi="仿宋" w:eastAsia="仿宋"/>
          <w:b w:val="0"/>
          <w:bCs w:val="0"/>
        </w:rPr>
        <w:t>六、</w:t>
      </w:r>
      <w:r>
        <w:rPr>
          <w:rFonts w:hint="eastAsia" w:ascii="仿宋" w:hAnsi="仿宋" w:eastAsia="仿宋"/>
          <w:b w:val="0"/>
          <w:color w:val="000000"/>
        </w:rPr>
        <w:t>一</w:t>
      </w:r>
      <w:r>
        <w:rPr>
          <w:rStyle w:val="30"/>
          <w:rFonts w:hint="eastAsia" w:ascii="仿宋" w:hAnsi="仿宋" w:eastAsia="仿宋"/>
          <w:b w:val="0"/>
          <w:bCs w:val="0"/>
        </w:rPr>
        <w:t>般公共预算财政拨款支出决算表</w:t>
      </w:r>
      <w:bookmarkEnd w:id="59"/>
    </w:p>
    <w:p w14:paraId="259945C6">
      <w:pPr>
        <w:pStyle w:val="4"/>
        <w:rPr>
          <w:rFonts w:ascii="仿宋" w:hAnsi="仿宋" w:eastAsia="仿宋"/>
          <w:color w:val="000000"/>
        </w:rPr>
      </w:pPr>
      <w:bookmarkStart w:id="60" w:name="_Toc15396625"/>
      <w:r>
        <w:rPr>
          <w:rStyle w:val="30"/>
          <w:rFonts w:hint="eastAsia" w:ascii="仿宋" w:hAnsi="仿宋" w:eastAsia="仿宋"/>
          <w:b w:val="0"/>
          <w:bCs w:val="0"/>
        </w:rPr>
        <w:t>七、</w:t>
      </w:r>
      <w:r>
        <w:rPr>
          <w:rFonts w:hint="eastAsia" w:ascii="仿宋" w:hAnsi="仿宋" w:eastAsia="仿宋"/>
          <w:b w:val="0"/>
          <w:color w:val="000000"/>
        </w:rPr>
        <w:t>一</w:t>
      </w:r>
      <w:r>
        <w:rPr>
          <w:rStyle w:val="30"/>
          <w:rFonts w:hint="eastAsia" w:ascii="仿宋" w:hAnsi="仿宋" w:eastAsia="仿宋"/>
          <w:b w:val="0"/>
          <w:bCs w:val="0"/>
        </w:rPr>
        <w:t>般公共预算财政拨款支出决算明细表</w:t>
      </w:r>
      <w:bookmarkEnd w:id="60"/>
    </w:p>
    <w:p w14:paraId="0A52DFC5">
      <w:pPr>
        <w:pStyle w:val="4"/>
        <w:rPr>
          <w:rFonts w:ascii="仿宋" w:hAnsi="仿宋" w:eastAsia="仿宋"/>
          <w:color w:val="000000"/>
        </w:rPr>
      </w:pPr>
      <w:bookmarkStart w:id="61" w:name="_Toc15396626"/>
      <w:r>
        <w:rPr>
          <w:rStyle w:val="30"/>
          <w:rFonts w:hint="eastAsia" w:ascii="仿宋" w:hAnsi="仿宋" w:eastAsia="仿宋"/>
          <w:b w:val="0"/>
          <w:bCs w:val="0"/>
        </w:rPr>
        <w:t>八、</w:t>
      </w:r>
      <w:r>
        <w:rPr>
          <w:rFonts w:hint="eastAsia" w:ascii="仿宋" w:hAnsi="仿宋" w:eastAsia="仿宋"/>
          <w:b w:val="0"/>
          <w:color w:val="000000"/>
        </w:rPr>
        <w:t>一</w:t>
      </w:r>
      <w:r>
        <w:rPr>
          <w:rStyle w:val="30"/>
          <w:rFonts w:hint="eastAsia" w:ascii="仿宋" w:hAnsi="仿宋" w:eastAsia="仿宋"/>
          <w:b w:val="0"/>
          <w:bCs w:val="0"/>
        </w:rPr>
        <w:t>般公共预算财政拨款基本支出决算表</w:t>
      </w:r>
      <w:bookmarkEnd w:id="61"/>
    </w:p>
    <w:p w14:paraId="3C376DF8">
      <w:pPr>
        <w:pStyle w:val="4"/>
        <w:rPr>
          <w:rFonts w:ascii="仿宋" w:hAnsi="仿宋" w:eastAsia="仿宋"/>
          <w:color w:val="000000"/>
        </w:rPr>
      </w:pPr>
      <w:bookmarkStart w:id="62" w:name="_Toc15396627"/>
      <w:r>
        <w:rPr>
          <w:rStyle w:val="30"/>
          <w:rFonts w:hint="eastAsia" w:ascii="仿宋" w:hAnsi="仿宋" w:eastAsia="仿宋"/>
          <w:b w:val="0"/>
          <w:bCs w:val="0"/>
        </w:rPr>
        <w:t>九、</w:t>
      </w:r>
      <w:r>
        <w:rPr>
          <w:rFonts w:hint="eastAsia" w:ascii="仿宋" w:hAnsi="仿宋" w:eastAsia="仿宋"/>
          <w:b w:val="0"/>
          <w:color w:val="000000"/>
        </w:rPr>
        <w:t>一</w:t>
      </w:r>
      <w:r>
        <w:rPr>
          <w:rStyle w:val="30"/>
          <w:rFonts w:hint="eastAsia" w:ascii="仿宋" w:hAnsi="仿宋" w:eastAsia="仿宋"/>
          <w:b w:val="0"/>
          <w:bCs w:val="0"/>
        </w:rPr>
        <w:t>般公共预算财政拨款项目支出决算表</w:t>
      </w:r>
      <w:bookmarkEnd w:id="62"/>
    </w:p>
    <w:p w14:paraId="45202EB9">
      <w:pPr>
        <w:pStyle w:val="4"/>
        <w:rPr>
          <w:rFonts w:ascii="仿宋" w:hAnsi="仿宋" w:eastAsia="仿宋"/>
          <w:color w:val="000000"/>
        </w:rPr>
      </w:pPr>
      <w:bookmarkStart w:id="63" w:name="_Toc15396628"/>
      <w:r>
        <w:rPr>
          <w:rStyle w:val="30"/>
          <w:rFonts w:hint="eastAsia" w:ascii="仿宋" w:hAnsi="仿宋" w:eastAsia="仿宋"/>
          <w:b w:val="0"/>
          <w:bCs w:val="0"/>
        </w:rPr>
        <w:t>十、</w:t>
      </w:r>
      <w:r>
        <w:rPr>
          <w:rFonts w:hint="eastAsia" w:ascii="仿宋" w:hAnsi="仿宋" w:eastAsia="仿宋"/>
          <w:b w:val="0"/>
          <w:color w:val="000000"/>
        </w:rPr>
        <w:t>一</w:t>
      </w:r>
      <w:r>
        <w:rPr>
          <w:rStyle w:val="30"/>
          <w:rFonts w:hint="eastAsia" w:ascii="仿宋" w:hAnsi="仿宋" w:eastAsia="仿宋"/>
          <w:b w:val="0"/>
          <w:bCs w:val="0"/>
        </w:rPr>
        <w:t>般公共预算财政拨款“三公”经费支出决算表</w:t>
      </w:r>
      <w:bookmarkEnd w:id="63"/>
    </w:p>
    <w:p w14:paraId="5430F0C9">
      <w:pPr>
        <w:pStyle w:val="4"/>
        <w:rPr>
          <w:rFonts w:ascii="仿宋" w:hAnsi="仿宋" w:eastAsia="仿宋"/>
          <w:color w:val="000000"/>
        </w:rPr>
      </w:pPr>
      <w:bookmarkStart w:id="64" w:name="_Toc15396629"/>
      <w:bookmarkStart w:id="65" w:name="_Toc15396630"/>
      <w:r>
        <w:rPr>
          <w:rStyle w:val="30"/>
          <w:rFonts w:hint="eastAsia" w:ascii="仿宋" w:hAnsi="仿宋" w:eastAsia="仿宋"/>
          <w:b w:val="0"/>
          <w:bCs w:val="0"/>
        </w:rPr>
        <w:t>十一、</w:t>
      </w:r>
      <w:r>
        <w:rPr>
          <w:rFonts w:hint="eastAsia" w:ascii="仿宋" w:hAnsi="仿宋" w:eastAsia="仿宋"/>
          <w:b w:val="0"/>
          <w:color w:val="000000"/>
        </w:rPr>
        <w:t>政</w:t>
      </w:r>
      <w:r>
        <w:rPr>
          <w:rStyle w:val="30"/>
          <w:rFonts w:hint="eastAsia" w:ascii="仿宋" w:hAnsi="仿宋" w:eastAsia="仿宋"/>
          <w:b w:val="0"/>
          <w:bCs w:val="0"/>
        </w:rPr>
        <w:t>府性基金预算财政拨款收入支出决算表</w:t>
      </w:r>
      <w:bookmarkEnd w:id="64"/>
    </w:p>
    <w:p w14:paraId="1C923E76">
      <w:pPr>
        <w:pStyle w:val="4"/>
        <w:rPr>
          <w:rFonts w:ascii="仿宋" w:hAnsi="仿宋" w:eastAsia="仿宋"/>
          <w:color w:val="000000"/>
        </w:rPr>
      </w:pPr>
      <w:r>
        <w:rPr>
          <w:rStyle w:val="30"/>
          <w:rFonts w:hint="eastAsia" w:ascii="仿宋" w:hAnsi="仿宋" w:eastAsia="仿宋"/>
          <w:b w:val="0"/>
          <w:bCs w:val="0"/>
        </w:rPr>
        <w:t>十二、</w:t>
      </w:r>
      <w:r>
        <w:rPr>
          <w:rFonts w:hint="eastAsia" w:ascii="仿宋" w:hAnsi="仿宋" w:eastAsia="仿宋"/>
          <w:b w:val="0"/>
          <w:color w:val="000000"/>
        </w:rPr>
        <w:t>政</w:t>
      </w:r>
      <w:r>
        <w:rPr>
          <w:rStyle w:val="30"/>
          <w:rFonts w:hint="eastAsia" w:ascii="仿宋" w:hAnsi="仿宋" w:eastAsia="仿宋"/>
          <w:b w:val="0"/>
          <w:bCs w:val="0"/>
        </w:rPr>
        <w:t>府性基金预算财政拨款“三公”经费支出决算表</w:t>
      </w:r>
      <w:bookmarkEnd w:id="65"/>
    </w:p>
    <w:p w14:paraId="264F6DAD">
      <w:pPr>
        <w:pStyle w:val="4"/>
        <w:rPr>
          <w:rFonts w:ascii="仿宋" w:hAnsi="仿宋" w:eastAsia="仿宋"/>
          <w:color w:val="000000" w:themeColor="text1"/>
          <w14:textFill>
            <w14:solidFill>
              <w14:schemeClr w14:val="tx1"/>
            </w14:solidFill>
          </w14:textFill>
        </w:rPr>
      </w:pPr>
      <w:bookmarkStart w:id="66" w:name="_Toc15396631"/>
      <w:r>
        <w:rPr>
          <w:rStyle w:val="30"/>
          <w:rFonts w:hint="eastAsia" w:ascii="仿宋" w:hAnsi="仿宋" w:eastAsia="仿宋"/>
          <w:b w:val="0"/>
          <w:bCs w:val="0"/>
        </w:rPr>
        <w:t>十三、</w:t>
      </w:r>
      <w:r>
        <w:rPr>
          <w:rFonts w:hint="eastAsia" w:ascii="仿宋" w:hAnsi="仿宋" w:eastAsia="仿宋"/>
          <w:b w:val="0"/>
          <w:color w:val="000000"/>
        </w:rPr>
        <w:t>国</w:t>
      </w:r>
      <w:r>
        <w:rPr>
          <w:rStyle w:val="30"/>
          <w:rFonts w:hint="eastAsia" w:ascii="仿宋" w:hAnsi="仿宋" w:eastAsia="仿宋"/>
          <w:b w:val="0"/>
          <w:bCs w:val="0"/>
        </w:rPr>
        <w:t>有资本经营预算支出决算表</w:t>
      </w:r>
      <w:bookmarkEnd w:id="66"/>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方正楷体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2DBFCE64">
        <w:pPr>
          <w:pStyle w:val="10"/>
          <w:jc w:val="center"/>
        </w:pPr>
        <w:r>
          <w:fldChar w:fldCharType="begin"/>
        </w:r>
        <w:r>
          <w:instrText xml:space="preserve">PAGE   \* MERGEFORMAT</w:instrText>
        </w:r>
        <w:r>
          <w:fldChar w:fldCharType="separate"/>
        </w:r>
        <w:r>
          <w:rPr>
            <w:lang w:val="zh-CN"/>
          </w:rPr>
          <w:t>14</w:t>
        </w:r>
        <w:r>
          <w:rPr>
            <w:lang w:val="zh-CN"/>
          </w:rPr>
          <w:fldChar w:fldCharType="end"/>
        </w:r>
      </w:p>
    </w:sdtContent>
  </w:sdt>
  <w:p w14:paraId="36B1875F">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DFC67">
    <w:pPr>
      <w:pStyle w:val="11"/>
      <w:pBdr>
        <w:bottom w:val="none" w:color="auto" w:sz="0" w:space="0"/>
      </w:pBdr>
      <w:tabs>
        <w:tab w:val="left" w:pos="480"/>
      </w:tabs>
      <w:jc w:val="both"/>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1295A130"/>
    <w:multiLevelType w:val="singleLevel"/>
    <w:tmpl w:val="1295A130"/>
    <w:lvl w:ilvl="0" w:tentative="0">
      <w:start w:val="3"/>
      <w:numFmt w:val="chineseCounting"/>
      <w:suff w:val="nothing"/>
      <w:lvlText w:val="%1、"/>
      <w:lvlJc w:val="left"/>
      <w:rPr>
        <w:rFonts w:hint="eastAsia"/>
      </w:rPr>
    </w:lvl>
  </w:abstractNum>
  <w:abstractNum w:abstractNumId="2">
    <w:nsid w:val="1A2BFB30"/>
    <w:multiLevelType w:val="singleLevel"/>
    <w:tmpl w:val="1A2BFB30"/>
    <w:lvl w:ilvl="0" w:tentative="0">
      <w:start w:val="1"/>
      <w:numFmt w:val="decimal"/>
      <w:lvlText w:val="%1."/>
      <w:lvlJc w:val="left"/>
      <w:pPr>
        <w:tabs>
          <w:tab w:val="left" w:pos="312"/>
        </w:tabs>
      </w:pPr>
    </w:lvl>
  </w:abstractNum>
  <w:abstractNum w:abstractNumId="3">
    <w:nsid w:val="1C383A7C"/>
    <w:multiLevelType w:val="singleLevel"/>
    <w:tmpl w:val="1C383A7C"/>
    <w:lvl w:ilvl="0" w:tentative="0">
      <w:start w:val="1"/>
      <w:numFmt w:val="chineseCounting"/>
      <w:suff w:val="nothing"/>
      <w:lvlText w:val="（%1）"/>
      <w:lvlJc w:val="left"/>
      <w:pPr>
        <w:ind w:left="320"/>
      </w:pPr>
      <w:rPr>
        <w:rFonts w:hint="eastAsia"/>
      </w:rPr>
    </w:lvl>
  </w:abstractNum>
  <w:abstractNum w:abstractNumId="4">
    <w:nsid w:val="42478D30"/>
    <w:multiLevelType w:val="singleLevel"/>
    <w:tmpl w:val="42478D30"/>
    <w:lvl w:ilvl="0" w:tentative="0">
      <w:start w:val="1"/>
      <w:numFmt w:val="decimal"/>
      <w:lvlText w:val="%1."/>
      <w:lvlJc w:val="left"/>
      <w:pPr>
        <w:tabs>
          <w:tab w:val="left" w:pos="312"/>
        </w:tabs>
      </w:pPr>
    </w:lvl>
  </w:abstractNum>
  <w:abstractNum w:abstractNumId="5">
    <w:nsid w:val="51A8A251"/>
    <w:multiLevelType w:val="singleLevel"/>
    <w:tmpl w:val="51A8A251"/>
    <w:lvl w:ilvl="0" w:tentative="0">
      <w:start w:val="2"/>
      <w:numFmt w:val="chineseCounting"/>
      <w:suff w:val="nothing"/>
      <w:lvlText w:val="（%1）"/>
      <w:lvlJc w:val="left"/>
      <w:rPr>
        <w:rFonts w:hint="eastAsia"/>
      </w:rPr>
    </w:lvl>
  </w:abstractNum>
  <w:abstractNum w:abstractNumId="6">
    <w:nsid w:val="6741C49F"/>
    <w:multiLevelType w:val="singleLevel"/>
    <w:tmpl w:val="6741C49F"/>
    <w:lvl w:ilvl="0" w:tentative="0">
      <w:start w:val="2"/>
      <w:numFmt w:val="chineseCounting"/>
      <w:suff w:val="nothing"/>
      <w:lvlText w:val="（%1）"/>
      <w:lvlJc w:val="left"/>
      <w:rPr>
        <w:rFonts w:hint="eastAsia"/>
      </w:rPr>
    </w:lvl>
  </w:abstractNum>
  <w:num w:numId="1">
    <w:abstractNumId w:val="0"/>
  </w:num>
  <w:num w:numId="2">
    <w:abstractNumId w:val="2"/>
  </w:num>
  <w:num w:numId="3">
    <w:abstractNumId w:val="4"/>
  </w:num>
  <w:num w:numId="4">
    <w:abstractNumId w:val="5"/>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mZTA4ZTEzMWE5OTU2YTk3YzgxYTk3OWNhYjZkZTUifQ=="/>
  </w:docVars>
  <w:rsids>
    <w:rsidRoot w:val="00F1361C"/>
    <w:rsid w:val="000023AA"/>
    <w:rsid w:val="00004AF6"/>
    <w:rsid w:val="0001564F"/>
    <w:rsid w:val="00020288"/>
    <w:rsid w:val="000222C6"/>
    <w:rsid w:val="000227CF"/>
    <w:rsid w:val="0002549F"/>
    <w:rsid w:val="000319C4"/>
    <w:rsid w:val="00036E08"/>
    <w:rsid w:val="0004045C"/>
    <w:rsid w:val="0006487A"/>
    <w:rsid w:val="00065F8F"/>
    <w:rsid w:val="000702A3"/>
    <w:rsid w:val="000713A1"/>
    <w:rsid w:val="000768F2"/>
    <w:rsid w:val="0009184B"/>
    <w:rsid w:val="00094517"/>
    <w:rsid w:val="0009593C"/>
    <w:rsid w:val="000A2644"/>
    <w:rsid w:val="000B047F"/>
    <w:rsid w:val="000B5923"/>
    <w:rsid w:val="000B5A48"/>
    <w:rsid w:val="000B6FF3"/>
    <w:rsid w:val="000C29BE"/>
    <w:rsid w:val="000C2AB9"/>
    <w:rsid w:val="000C3467"/>
    <w:rsid w:val="000C3CA6"/>
    <w:rsid w:val="000D1267"/>
    <w:rsid w:val="000D1D50"/>
    <w:rsid w:val="000D4036"/>
    <w:rsid w:val="000D5782"/>
    <w:rsid w:val="000E41C0"/>
    <w:rsid w:val="000E6613"/>
    <w:rsid w:val="000E7119"/>
    <w:rsid w:val="000F3DB7"/>
    <w:rsid w:val="00114E9B"/>
    <w:rsid w:val="00115BCD"/>
    <w:rsid w:val="001223E8"/>
    <w:rsid w:val="00122A43"/>
    <w:rsid w:val="0014729F"/>
    <w:rsid w:val="00152BBB"/>
    <w:rsid w:val="00157BAB"/>
    <w:rsid w:val="001654D1"/>
    <w:rsid w:val="0018106D"/>
    <w:rsid w:val="00181ED3"/>
    <w:rsid w:val="001877A7"/>
    <w:rsid w:val="00191536"/>
    <w:rsid w:val="00196687"/>
    <w:rsid w:val="001A4CEA"/>
    <w:rsid w:val="001C0962"/>
    <w:rsid w:val="001C5C7E"/>
    <w:rsid w:val="001D7531"/>
    <w:rsid w:val="001E737D"/>
    <w:rsid w:val="001F0592"/>
    <w:rsid w:val="001F5A76"/>
    <w:rsid w:val="001F7506"/>
    <w:rsid w:val="002006CD"/>
    <w:rsid w:val="00202B36"/>
    <w:rsid w:val="00204B7A"/>
    <w:rsid w:val="0021101A"/>
    <w:rsid w:val="00220536"/>
    <w:rsid w:val="00232019"/>
    <w:rsid w:val="00235629"/>
    <w:rsid w:val="00235DC1"/>
    <w:rsid w:val="00252705"/>
    <w:rsid w:val="00260C38"/>
    <w:rsid w:val="002616C0"/>
    <w:rsid w:val="002662AA"/>
    <w:rsid w:val="00280496"/>
    <w:rsid w:val="002838F1"/>
    <w:rsid w:val="002900A4"/>
    <w:rsid w:val="00295495"/>
    <w:rsid w:val="002A36FB"/>
    <w:rsid w:val="002B2613"/>
    <w:rsid w:val="002D7E49"/>
    <w:rsid w:val="002E3CB5"/>
    <w:rsid w:val="002E5821"/>
    <w:rsid w:val="002F1818"/>
    <w:rsid w:val="002F327D"/>
    <w:rsid w:val="002F567B"/>
    <w:rsid w:val="003216A9"/>
    <w:rsid w:val="00322931"/>
    <w:rsid w:val="0037013F"/>
    <w:rsid w:val="00371F8B"/>
    <w:rsid w:val="00380C92"/>
    <w:rsid w:val="0038618A"/>
    <w:rsid w:val="0039783C"/>
    <w:rsid w:val="003A484F"/>
    <w:rsid w:val="003B0BE0"/>
    <w:rsid w:val="003B0C1B"/>
    <w:rsid w:val="003B688C"/>
    <w:rsid w:val="003C0291"/>
    <w:rsid w:val="003C39AE"/>
    <w:rsid w:val="003C7B60"/>
    <w:rsid w:val="003D1FB2"/>
    <w:rsid w:val="003D66DA"/>
    <w:rsid w:val="003E11AB"/>
    <w:rsid w:val="003E1310"/>
    <w:rsid w:val="003E6F55"/>
    <w:rsid w:val="00400BD3"/>
    <w:rsid w:val="0040503F"/>
    <w:rsid w:val="00406254"/>
    <w:rsid w:val="0041029B"/>
    <w:rsid w:val="004223DE"/>
    <w:rsid w:val="00424BC2"/>
    <w:rsid w:val="00434489"/>
    <w:rsid w:val="0043502E"/>
    <w:rsid w:val="00437085"/>
    <w:rsid w:val="00442893"/>
    <w:rsid w:val="00443880"/>
    <w:rsid w:val="004464F4"/>
    <w:rsid w:val="00463A95"/>
    <w:rsid w:val="00471401"/>
    <w:rsid w:val="00473F31"/>
    <w:rsid w:val="0048083A"/>
    <w:rsid w:val="0048263A"/>
    <w:rsid w:val="00487E5D"/>
    <w:rsid w:val="004A711F"/>
    <w:rsid w:val="004B199D"/>
    <w:rsid w:val="004B4468"/>
    <w:rsid w:val="004B4690"/>
    <w:rsid w:val="004E0A2D"/>
    <w:rsid w:val="004E206B"/>
    <w:rsid w:val="004E6DF7"/>
    <w:rsid w:val="004F0FBD"/>
    <w:rsid w:val="004F110F"/>
    <w:rsid w:val="00500EB1"/>
    <w:rsid w:val="00502F32"/>
    <w:rsid w:val="00505A47"/>
    <w:rsid w:val="005125AD"/>
    <w:rsid w:val="00512FDA"/>
    <w:rsid w:val="00520DA0"/>
    <w:rsid w:val="00547083"/>
    <w:rsid w:val="0055179C"/>
    <w:rsid w:val="005547C2"/>
    <w:rsid w:val="005606F6"/>
    <w:rsid w:val="005649CC"/>
    <w:rsid w:val="005664BB"/>
    <w:rsid w:val="0057011B"/>
    <w:rsid w:val="0057481D"/>
    <w:rsid w:val="0058486E"/>
    <w:rsid w:val="005C0156"/>
    <w:rsid w:val="005D1C8B"/>
    <w:rsid w:val="005D5CED"/>
    <w:rsid w:val="005F1A4C"/>
    <w:rsid w:val="005F1EBC"/>
    <w:rsid w:val="00605688"/>
    <w:rsid w:val="006070AF"/>
    <w:rsid w:val="00607E6C"/>
    <w:rsid w:val="006101B1"/>
    <w:rsid w:val="00614E44"/>
    <w:rsid w:val="006177E0"/>
    <w:rsid w:val="00622830"/>
    <w:rsid w:val="00630AEF"/>
    <w:rsid w:val="006325F8"/>
    <w:rsid w:val="00634C9A"/>
    <w:rsid w:val="00641275"/>
    <w:rsid w:val="006440E4"/>
    <w:rsid w:val="0066343B"/>
    <w:rsid w:val="00664777"/>
    <w:rsid w:val="006748A4"/>
    <w:rsid w:val="006759C4"/>
    <w:rsid w:val="00676A35"/>
    <w:rsid w:val="00683E73"/>
    <w:rsid w:val="00686499"/>
    <w:rsid w:val="00697F11"/>
    <w:rsid w:val="006A090B"/>
    <w:rsid w:val="006A3141"/>
    <w:rsid w:val="006A5E34"/>
    <w:rsid w:val="006B2422"/>
    <w:rsid w:val="006B2B9A"/>
    <w:rsid w:val="006B2D3D"/>
    <w:rsid w:val="006B49AC"/>
    <w:rsid w:val="006C1937"/>
    <w:rsid w:val="006E211D"/>
    <w:rsid w:val="006E3DAA"/>
    <w:rsid w:val="006F020C"/>
    <w:rsid w:val="00711E0A"/>
    <w:rsid w:val="007127B7"/>
    <w:rsid w:val="0073224B"/>
    <w:rsid w:val="00740D95"/>
    <w:rsid w:val="007416B6"/>
    <w:rsid w:val="00744239"/>
    <w:rsid w:val="00746F48"/>
    <w:rsid w:val="0075331B"/>
    <w:rsid w:val="0075404D"/>
    <w:rsid w:val="0076182A"/>
    <w:rsid w:val="00767B7E"/>
    <w:rsid w:val="007770C3"/>
    <w:rsid w:val="00784D24"/>
    <w:rsid w:val="00785FBA"/>
    <w:rsid w:val="00786E4A"/>
    <w:rsid w:val="007875EB"/>
    <w:rsid w:val="0079260E"/>
    <w:rsid w:val="0079426B"/>
    <w:rsid w:val="007A2E13"/>
    <w:rsid w:val="007A4B9B"/>
    <w:rsid w:val="007B44EB"/>
    <w:rsid w:val="007D00AC"/>
    <w:rsid w:val="007D312A"/>
    <w:rsid w:val="007D3F19"/>
    <w:rsid w:val="007E23B0"/>
    <w:rsid w:val="007E3A99"/>
    <w:rsid w:val="007F1991"/>
    <w:rsid w:val="007F2C2F"/>
    <w:rsid w:val="007F55FC"/>
    <w:rsid w:val="007F5665"/>
    <w:rsid w:val="00800112"/>
    <w:rsid w:val="00801E31"/>
    <w:rsid w:val="008136AE"/>
    <w:rsid w:val="00813B46"/>
    <w:rsid w:val="008253BB"/>
    <w:rsid w:val="0083706E"/>
    <w:rsid w:val="00840A74"/>
    <w:rsid w:val="008423A5"/>
    <w:rsid w:val="00850625"/>
    <w:rsid w:val="00853718"/>
    <w:rsid w:val="00855221"/>
    <w:rsid w:val="00860645"/>
    <w:rsid w:val="00864382"/>
    <w:rsid w:val="00867199"/>
    <w:rsid w:val="00871F71"/>
    <w:rsid w:val="00885AF4"/>
    <w:rsid w:val="008939CD"/>
    <w:rsid w:val="008B768C"/>
    <w:rsid w:val="008C3439"/>
    <w:rsid w:val="008C4DB1"/>
    <w:rsid w:val="008C4EAF"/>
    <w:rsid w:val="008C5176"/>
    <w:rsid w:val="008C6CBA"/>
    <w:rsid w:val="008C7FD0"/>
    <w:rsid w:val="008E1DE7"/>
    <w:rsid w:val="008E707C"/>
    <w:rsid w:val="00900B08"/>
    <w:rsid w:val="00902155"/>
    <w:rsid w:val="00902FA3"/>
    <w:rsid w:val="00906F0B"/>
    <w:rsid w:val="00923564"/>
    <w:rsid w:val="0092392E"/>
    <w:rsid w:val="009315F9"/>
    <w:rsid w:val="00946945"/>
    <w:rsid w:val="00951248"/>
    <w:rsid w:val="0095152F"/>
    <w:rsid w:val="00954C49"/>
    <w:rsid w:val="00964E87"/>
    <w:rsid w:val="0097099F"/>
    <w:rsid w:val="00971997"/>
    <w:rsid w:val="00971FFC"/>
    <w:rsid w:val="00976769"/>
    <w:rsid w:val="00977DF8"/>
    <w:rsid w:val="0098660A"/>
    <w:rsid w:val="009931C3"/>
    <w:rsid w:val="009A1EB2"/>
    <w:rsid w:val="009B2C43"/>
    <w:rsid w:val="009B4EAE"/>
    <w:rsid w:val="009B7573"/>
    <w:rsid w:val="009C12F5"/>
    <w:rsid w:val="009C22F4"/>
    <w:rsid w:val="009C2E98"/>
    <w:rsid w:val="009D3447"/>
    <w:rsid w:val="009D4711"/>
    <w:rsid w:val="009F1185"/>
    <w:rsid w:val="009F18CD"/>
    <w:rsid w:val="009F2A13"/>
    <w:rsid w:val="00A04EB0"/>
    <w:rsid w:val="00A13CC1"/>
    <w:rsid w:val="00A13F1F"/>
    <w:rsid w:val="00A16847"/>
    <w:rsid w:val="00A237D8"/>
    <w:rsid w:val="00A255F8"/>
    <w:rsid w:val="00A25BFD"/>
    <w:rsid w:val="00A268C4"/>
    <w:rsid w:val="00A307CD"/>
    <w:rsid w:val="00A40A00"/>
    <w:rsid w:val="00A4142F"/>
    <w:rsid w:val="00A505B6"/>
    <w:rsid w:val="00A56DF2"/>
    <w:rsid w:val="00A67AB5"/>
    <w:rsid w:val="00A75B20"/>
    <w:rsid w:val="00A84CA8"/>
    <w:rsid w:val="00A91760"/>
    <w:rsid w:val="00A93B00"/>
    <w:rsid w:val="00A93C21"/>
    <w:rsid w:val="00AB60F8"/>
    <w:rsid w:val="00AC3C6A"/>
    <w:rsid w:val="00AD5620"/>
    <w:rsid w:val="00AD7C1B"/>
    <w:rsid w:val="00AE16BA"/>
    <w:rsid w:val="00AE1EBE"/>
    <w:rsid w:val="00AE6639"/>
    <w:rsid w:val="00AF26CB"/>
    <w:rsid w:val="00AF5249"/>
    <w:rsid w:val="00B03C9D"/>
    <w:rsid w:val="00B060AE"/>
    <w:rsid w:val="00B10517"/>
    <w:rsid w:val="00B10BD4"/>
    <w:rsid w:val="00B14E76"/>
    <w:rsid w:val="00B161B8"/>
    <w:rsid w:val="00B2048C"/>
    <w:rsid w:val="00B24A2B"/>
    <w:rsid w:val="00B26737"/>
    <w:rsid w:val="00B310B9"/>
    <w:rsid w:val="00B35F3F"/>
    <w:rsid w:val="00B36CBB"/>
    <w:rsid w:val="00B425E0"/>
    <w:rsid w:val="00B440AA"/>
    <w:rsid w:val="00B44B70"/>
    <w:rsid w:val="00B514EB"/>
    <w:rsid w:val="00B53C56"/>
    <w:rsid w:val="00B60D09"/>
    <w:rsid w:val="00B77EA6"/>
    <w:rsid w:val="00B81598"/>
    <w:rsid w:val="00B841F1"/>
    <w:rsid w:val="00B944D6"/>
    <w:rsid w:val="00BB0682"/>
    <w:rsid w:val="00BB4DF0"/>
    <w:rsid w:val="00BC289F"/>
    <w:rsid w:val="00BC5361"/>
    <w:rsid w:val="00BC5460"/>
    <w:rsid w:val="00BC5F9E"/>
    <w:rsid w:val="00BC6B50"/>
    <w:rsid w:val="00BD0E25"/>
    <w:rsid w:val="00BF2E5C"/>
    <w:rsid w:val="00BF5BD6"/>
    <w:rsid w:val="00C002BD"/>
    <w:rsid w:val="00C03E31"/>
    <w:rsid w:val="00C10939"/>
    <w:rsid w:val="00C159EF"/>
    <w:rsid w:val="00C16C83"/>
    <w:rsid w:val="00C22C8F"/>
    <w:rsid w:val="00C33E72"/>
    <w:rsid w:val="00C354B2"/>
    <w:rsid w:val="00C35554"/>
    <w:rsid w:val="00C42709"/>
    <w:rsid w:val="00C533CC"/>
    <w:rsid w:val="00C5751C"/>
    <w:rsid w:val="00C577CB"/>
    <w:rsid w:val="00C61BFC"/>
    <w:rsid w:val="00C62B85"/>
    <w:rsid w:val="00C65438"/>
    <w:rsid w:val="00C91CBB"/>
    <w:rsid w:val="00C95E17"/>
    <w:rsid w:val="00CC09B6"/>
    <w:rsid w:val="00CC666F"/>
    <w:rsid w:val="00CD1E3F"/>
    <w:rsid w:val="00CE08F5"/>
    <w:rsid w:val="00CE3CEC"/>
    <w:rsid w:val="00CE44F6"/>
    <w:rsid w:val="00CE49DA"/>
    <w:rsid w:val="00CE6790"/>
    <w:rsid w:val="00CE7B61"/>
    <w:rsid w:val="00D00095"/>
    <w:rsid w:val="00D021B0"/>
    <w:rsid w:val="00D03911"/>
    <w:rsid w:val="00D06ECE"/>
    <w:rsid w:val="00D12650"/>
    <w:rsid w:val="00D1386A"/>
    <w:rsid w:val="00D20620"/>
    <w:rsid w:val="00D26091"/>
    <w:rsid w:val="00D34E7C"/>
    <w:rsid w:val="00D35489"/>
    <w:rsid w:val="00D51276"/>
    <w:rsid w:val="00D54D65"/>
    <w:rsid w:val="00D6618E"/>
    <w:rsid w:val="00D7035F"/>
    <w:rsid w:val="00D9351A"/>
    <w:rsid w:val="00DA0A2C"/>
    <w:rsid w:val="00DA65AC"/>
    <w:rsid w:val="00DB01F0"/>
    <w:rsid w:val="00DB1913"/>
    <w:rsid w:val="00DB3D9F"/>
    <w:rsid w:val="00DC410D"/>
    <w:rsid w:val="00DC68CA"/>
    <w:rsid w:val="00DC7CBA"/>
    <w:rsid w:val="00DD73B7"/>
    <w:rsid w:val="00DF28BC"/>
    <w:rsid w:val="00DF34B9"/>
    <w:rsid w:val="00E01053"/>
    <w:rsid w:val="00E07ACF"/>
    <w:rsid w:val="00E132C8"/>
    <w:rsid w:val="00E26850"/>
    <w:rsid w:val="00E305A2"/>
    <w:rsid w:val="00E331A1"/>
    <w:rsid w:val="00E33202"/>
    <w:rsid w:val="00E336A9"/>
    <w:rsid w:val="00E452C2"/>
    <w:rsid w:val="00E50624"/>
    <w:rsid w:val="00E568DF"/>
    <w:rsid w:val="00E64269"/>
    <w:rsid w:val="00E82267"/>
    <w:rsid w:val="00E84545"/>
    <w:rsid w:val="00E85C9C"/>
    <w:rsid w:val="00EA010F"/>
    <w:rsid w:val="00EB340C"/>
    <w:rsid w:val="00EC2788"/>
    <w:rsid w:val="00ED1890"/>
    <w:rsid w:val="00ED1B63"/>
    <w:rsid w:val="00ED29BE"/>
    <w:rsid w:val="00ED3C1F"/>
    <w:rsid w:val="00ED4085"/>
    <w:rsid w:val="00ED420E"/>
    <w:rsid w:val="00EE2C74"/>
    <w:rsid w:val="00EE2F57"/>
    <w:rsid w:val="00EE47D4"/>
    <w:rsid w:val="00EF2CC8"/>
    <w:rsid w:val="00EF4C34"/>
    <w:rsid w:val="00EF77C6"/>
    <w:rsid w:val="00F05438"/>
    <w:rsid w:val="00F1361C"/>
    <w:rsid w:val="00F160C7"/>
    <w:rsid w:val="00F16F6D"/>
    <w:rsid w:val="00F34ED1"/>
    <w:rsid w:val="00F36D8F"/>
    <w:rsid w:val="00F417B1"/>
    <w:rsid w:val="00F44D18"/>
    <w:rsid w:val="00F602DF"/>
    <w:rsid w:val="00F81FD9"/>
    <w:rsid w:val="00F841AA"/>
    <w:rsid w:val="00F90690"/>
    <w:rsid w:val="00F9670D"/>
    <w:rsid w:val="00F97714"/>
    <w:rsid w:val="00FA23E8"/>
    <w:rsid w:val="00FB6F49"/>
    <w:rsid w:val="00FC262C"/>
    <w:rsid w:val="00FD3CC1"/>
    <w:rsid w:val="00FD5E46"/>
    <w:rsid w:val="00FF1763"/>
    <w:rsid w:val="00FF1E02"/>
    <w:rsid w:val="00FF30B4"/>
    <w:rsid w:val="016A281F"/>
    <w:rsid w:val="01F12453"/>
    <w:rsid w:val="056A1A97"/>
    <w:rsid w:val="092927A2"/>
    <w:rsid w:val="0A226548"/>
    <w:rsid w:val="0D2F009F"/>
    <w:rsid w:val="0F596C84"/>
    <w:rsid w:val="0F9E6341"/>
    <w:rsid w:val="10C055FF"/>
    <w:rsid w:val="10F955A4"/>
    <w:rsid w:val="12456638"/>
    <w:rsid w:val="12591BF9"/>
    <w:rsid w:val="16BB723D"/>
    <w:rsid w:val="16BB740F"/>
    <w:rsid w:val="17063A3F"/>
    <w:rsid w:val="18556822"/>
    <w:rsid w:val="1C000EC0"/>
    <w:rsid w:val="1E8D7AB3"/>
    <w:rsid w:val="1E9B5E89"/>
    <w:rsid w:val="1F631701"/>
    <w:rsid w:val="1FB06686"/>
    <w:rsid w:val="202F50EF"/>
    <w:rsid w:val="20CB4123"/>
    <w:rsid w:val="223428F7"/>
    <w:rsid w:val="240371BF"/>
    <w:rsid w:val="24816F24"/>
    <w:rsid w:val="25E47148"/>
    <w:rsid w:val="26AB4E30"/>
    <w:rsid w:val="27263C45"/>
    <w:rsid w:val="29E4020D"/>
    <w:rsid w:val="29FD04D3"/>
    <w:rsid w:val="2A090A84"/>
    <w:rsid w:val="2A3B1962"/>
    <w:rsid w:val="2F8C58AF"/>
    <w:rsid w:val="319F7F4E"/>
    <w:rsid w:val="31A15888"/>
    <w:rsid w:val="32597099"/>
    <w:rsid w:val="330F61CA"/>
    <w:rsid w:val="336A7CE6"/>
    <w:rsid w:val="387C5B90"/>
    <w:rsid w:val="3A3C72CD"/>
    <w:rsid w:val="3B4848FC"/>
    <w:rsid w:val="3CA35018"/>
    <w:rsid w:val="3F163B89"/>
    <w:rsid w:val="40F41C4F"/>
    <w:rsid w:val="439366E9"/>
    <w:rsid w:val="43BD4215"/>
    <w:rsid w:val="48447C4B"/>
    <w:rsid w:val="49894A56"/>
    <w:rsid w:val="4A9F3A07"/>
    <w:rsid w:val="4C2C2712"/>
    <w:rsid w:val="4E427287"/>
    <w:rsid w:val="4F2E0CC3"/>
    <w:rsid w:val="4FAA2E95"/>
    <w:rsid w:val="4FB5557F"/>
    <w:rsid w:val="4FC106C1"/>
    <w:rsid w:val="50654524"/>
    <w:rsid w:val="51B7155E"/>
    <w:rsid w:val="530E5617"/>
    <w:rsid w:val="534616E3"/>
    <w:rsid w:val="53CF7DFD"/>
    <w:rsid w:val="573C4515"/>
    <w:rsid w:val="574008DA"/>
    <w:rsid w:val="589B5339"/>
    <w:rsid w:val="5B770BF2"/>
    <w:rsid w:val="5BC141B5"/>
    <w:rsid w:val="5D89232B"/>
    <w:rsid w:val="5F4D2BC8"/>
    <w:rsid w:val="600C13FE"/>
    <w:rsid w:val="61F52FEC"/>
    <w:rsid w:val="635D0083"/>
    <w:rsid w:val="642A59E9"/>
    <w:rsid w:val="64DC035F"/>
    <w:rsid w:val="65CD2CC0"/>
    <w:rsid w:val="65F209DA"/>
    <w:rsid w:val="67CF4EC0"/>
    <w:rsid w:val="69314F05"/>
    <w:rsid w:val="6A76439A"/>
    <w:rsid w:val="6C013C89"/>
    <w:rsid w:val="6F256873"/>
    <w:rsid w:val="7142501B"/>
    <w:rsid w:val="755339DB"/>
    <w:rsid w:val="77EC544C"/>
    <w:rsid w:val="7A1C4567"/>
    <w:rsid w:val="7ABA32F4"/>
    <w:rsid w:val="7D4E5375"/>
    <w:rsid w:val="7F1347A3"/>
    <w:rsid w:val="7F40596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unhideWhenUsed/>
    <w:qFormat/>
    <w:uiPriority w:val="99"/>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qFormat/>
    <w:uiPriority w:val="0"/>
    <w:pPr>
      <w:spacing w:before="100" w:beforeAutospacing="1" w:after="100" w:afterAutospacing="1"/>
      <w:jc w:val="left"/>
    </w:pPr>
    <w:rPr>
      <w:kern w:val="0"/>
      <w:sz w:val="24"/>
    </w:rPr>
  </w:style>
  <w:style w:type="paragraph" w:styleId="15">
    <w:name w:val="Body Text First Indent 2"/>
    <w:basedOn w:val="7"/>
    <w:next w:val="1"/>
    <w:unhideWhenUsed/>
    <w:qFormat/>
    <w:uiPriority w:val="99"/>
    <w:pPr>
      <w:widowControl w:val="0"/>
      <w:spacing w:before="100" w:beforeAutospacing="1" w:after="0" w:line="540" w:lineRule="exact"/>
      <w:ind w:left="0" w:leftChars="0" w:firstLine="420" w:firstLineChars="200"/>
      <w:jc w:val="both"/>
    </w:pPr>
    <w:rPr>
      <w:rFonts w:ascii="Times New Roman" w:hAnsi="Times New Roman" w:eastAsia="宋体" w:cs="Times New Roman"/>
      <w:kern w:val="2"/>
      <w:sz w:val="32"/>
      <w:szCs w:val="32"/>
      <w:lang w:val="en-US" w:eastAsia="zh-CN" w:bidi="ar-SA"/>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文档正文"/>
    <w:basedOn w:val="1"/>
    <w:qFormat/>
    <w:uiPriority w:val="0"/>
    <w:pPr>
      <w:adjustRightInd w:val="0"/>
      <w:spacing w:line="480" w:lineRule="atLeast"/>
      <w:textAlignment w:val="baseline"/>
    </w:pPr>
    <w:rPr>
      <w:rFonts w:ascii="Arial" w:hAnsi="Arial"/>
      <w:kern w:val="0"/>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公文主体"/>
    <w:basedOn w:val="1"/>
    <w:qFormat/>
    <w:uiPriority w:val="0"/>
    <w:pPr>
      <w:spacing w:line="580" w:lineRule="exact"/>
      <w:ind w:firstLine="200" w:firstLineChars="200"/>
    </w:pPr>
    <w:rPr>
      <w:rFonts w:eastAsia="仿宋_GB2312"/>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oleObject1.bin"/><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900">
                <a:latin typeface="仿宋" panose="02010609060101010101" charset="-122"/>
                <a:ea typeface="仿宋" panose="02010609060101010101" charset="-122"/>
              </a:rPr>
              <a:t>收入、支出总计</a:t>
            </a:r>
            <a:endParaRPr lang="zh-CN" altLang="en-US" sz="900">
              <a:latin typeface="仿宋" panose="02010609060101010101" charset="-122"/>
              <a:ea typeface="仿宋" panose="02010609060101010101" charset="-122"/>
            </a:endParaRPr>
          </a:p>
        </c:rich>
      </c:tx>
      <c:layout/>
      <c:overlay val="0"/>
    </c:title>
    <c:autoTitleDeleted val="0"/>
    <c:plotArea>
      <c:layout/>
      <c:barChart>
        <c:barDir val="col"/>
        <c:grouping val="clustered"/>
        <c:varyColors val="0"/>
        <c:ser>
          <c:idx val="0"/>
          <c:order val="0"/>
          <c:tx>
            <c:strRef>
              <c:f>Sheet1!$B$1</c:f>
              <c:strCache>
                <c:ptCount val="1"/>
                <c:pt idx="0">
                  <c:v>收入</c:v>
                </c:pt>
              </c:strCache>
            </c:strRef>
          </c:tx>
          <c:invertIfNegative val="0"/>
          <c:dLbls>
            <c:delete val="1"/>
          </c:dLbls>
          <c:cat>
            <c:numRef>
              <c:f>Sheet1!$A$2:$A$5</c:f>
              <c:numCache>
                <c:formatCode>General</c:formatCode>
                <c:ptCount val="2"/>
                <c:pt idx="0">
                  <c:v>2019</c:v>
                </c:pt>
                <c:pt idx="1">
                  <c:v>2020</c:v>
                </c:pt>
              </c:numCache>
            </c:numRef>
          </c:cat>
          <c:val>
            <c:numRef>
              <c:f>Sheet1!$B$2:$B$5</c:f>
              <c:numCache>
                <c:formatCode>General</c:formatCode>
                <c:ptCount val="2"/>
                <c:pt idx="0">
                  <c:v>2161.12</c:v>
                </c:pt>
                <c:pt idx="1">
                  <c:v>2378.33</c:v>
                </c:pt>
              </c:numCache>
            </c:numRef>
          </c:val>
        </c:ser>
        <c:ser>
          <c:idx val="1"/>
          <c:order val="1"/>
          <c:tx>
            <c:strRef>
              <c:f>Sheet1!$C$1</c:f>
              <c:strCache>
                <c:ptCount val="1"/>
                <c:pt idx="0">
                  <c:v>支出</c:v>
                </c:pt>
              </c:strCache>
            </c:strRef>
          </c:tx>
          <c:invertIfNegative val="0"/>
          <c:dLbls>
            <c:delete val="1"/>
          </c:dLbls>
          <c:cat>
            <c:numRef>
              <c:f>Sheet1!$A$2:$A$5</c:f>
              <c:numCache>
                <c:formatCode>General</c:formatCode>
                <c:ptCount val="2"/>
                <c:pt idx="0">
                  <c:v>2019</c:v>
                </c:pt>
                <c:pt idx="1">
                  <c:v>2020</c:v>
                </c:pt>
              </c:numCache>
            </c:numRef>
          </c:cat>
          <c:val>
            <c:numRef>
              <c:f>Sheet1!$C$2:$C$5</c:f>
              <c:numCache>
                <c:formatCode>General</c:formatCode>
                <c:ptCount val="2"/>
                <c:pt idx="0">
                  <c:v>2161.12</c:v>
                </c:pt>
                <c:pt idx="1">
                  <c:v>2378.33</c:v>
                </c:pt>
              </c:numCache>
            </c:numRef>
          </c:val>
        </c:ser>
        <c:ser>
          <c:idx val="2"/>
          <c:order val="2"/>
          <c:tx>
            <c:strRef>
              <c:f>Sheet1!$D$1</c:f>
              <c:strCache>
                <c:ptCount val="1"/>
                <c:pt idx="0">
                  <c:v>系列 3</c:v>
                </c:pt>
              </c:strCache>
            </c:strRef>
          </c:tx>
          <c:invertIfNegative val="0"/>
          <c:dLbls>
            <c:delete val="1"/>
          </c:dLbls>
          <c:cat>
            <c:numRef>
              <c:f>Sheet1!$A$2:$A$5</c:f>
              <c:numCache>
                <c:formatCode>General</c:formatCode>
                <c:ptCount val="2"/>
                <c:pt idx="0">
                  <c:v>2019</c:v>
                </c:pt>
                <c:pt idx="1">
                  <c:v>2020</c:v>
                </c:pt>
              </c:numCache>
            </c:numRef>
          </c:cat>
          <c:val>
            <c:numRef>
              <c:f>Sheet1!$D$2:$D$5</c:f>
            </c:numRef>
          </c:val>
        </c:ser>
        <c:dLbls>
          <c:showLegendKey val="0"/>
          <c:showVal val="0"/>
          <c:showCatName val="0"/>
          <c:showSerName val="0"/>
          <c:showPercent val="0"/>
          <c:showBubbleSize val="0"/>
        </c:dLbls>
        <c:gapWidth val="150"/>
        <c:axId val="170203008"/>
        <c:axId val="170279680"/>
      </c:barChart>
      <c:catAx>
        <c:axId val="170203008"/>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70279680"/>
        <c:crosses val="autoZero"/>
        <c:auto val="1"/>
        <c:lblAlgn val="ctr"/>
        <c:lblOffset val="100"/>
        <c:noMultiLvlLbl val="0"/>
      </c:catAx>
      <c:valAx>
        <c:axId val="170279680"/>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70203008"/>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b00e4f3-efd7-4f3f-b026-72a410099a92}"/>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c:v>
                </c:pt>
              </c:strCache>
            </c:strRef>
          </c:tx>
          <c:spPr/>
          <c:explosion val="0"/>
          <c:dPt>
            <c:idx val="0"/>
            <c:bubble3D val="0"/>
            <c:explosion val="14"/>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explosion val="10"/>
            <c:spPr>
              <a:solidFill>
                <a:schemeClr val="accent4"/>
              </a:solidFill>
              <a:ln w="19050">
                <a:solidFill>
                  <a:schemeClr val="lt1"/>
                </a:solidFill>
              </a:ln>
              <a:effectLst/>
            </c:spPr>
          </c:dPt>
          <c:dLbls>
            <c:delete val="1"/>
          </c:dLbls>
          <c:cat>
            <c:strRef>
              <c:f>Sheet1!$A$2:$A$5</c:f>
              <c:strCache>
                <c:ptCount val="4"/>
                <c:pt idx="0">
                  <c:v>财政拨款收入</c:v>
                </c:pt>
                <c:pt idx="1">
                  <c:v>年初结转和结余</c:v>
                </c:pt>
                <c:pt idx="2">
                  <c:v>经营收入</c:v>
                </c:pt>
                <c:pt idx="3">
                  <c:v>事业收入</c:v>
                </c:pt>
              </c:strCache>
            </c:strRef>
          </c:cat>
          <c:val>
            <c:numRef>
              <c:f>Sheet1!$B$2:$B$5</c:f>
              <c:numCache>
                <c:formatCode>0%</c:formatCode>
                <c:ptCount val="4"/>
                <c:pt idx="0">
                  <c:v>0.97</c:v>
                </c:pt>
                <c:pt idx="1">
                  <c:v>0.03</c:v>
                </c:pt>
                <c:pt idx="2" c:formatCode="General">
                  <c:v>0</c:v>
                </c:pt>
                <c:pt idx="3" c:formatCode="General">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e47f235-9756-4e68-a0b5-d139224c5a6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invertIfNegative val="0"/>
          <c:dLbls>
            <c:delete val="1"/>
          </c:dLbls>
          <c:cat>
            <c:numRef>
              <c:f>Sheet1!$A$2:$A$5</c:f>
              <c:numCache>
                <c:formatCode>General</c:formatCode>
                <c:ptCount val="2"/>
                <c:pt idx="0">
                  <c:v>2019</c:v>
                </c:pt>
                <c:pt idx="1">
                  <c:v>2020</c:v>
                </c:pt>
              </c:numCache>
            </c:numRef>
          </c:cat>
          <c:val>
            <c:numRef>
              <c:f>Sheet1!$B$2:$B$5</c:f>
              <c:numCache>
                <c:formatCode>General</c:formatCode>
                <c:ptCount val="2"/>
                <c:pt idx="0">
                  <c:v>2161.12</c:v>
                </c:pt>
                <c:pt idx="1">
                  <c:v>2378.33</c:v>
                </c:pt>
              </c:numCache>
            </c:numRef>
          </c:val>
        </c:ser>
        <c:ser>
          <c:idx val="1"/>
          <c:order val="1"/>
          <c:tx>
            <c:strRef>
              <c:f>Sheet1!$C$1</c:f>
              <c:strCache>
                <c:ptCount val="1"/>
                <c:pt idx="0">
                  <c:v>支出 </c:v>
                </c:pt>
              </c:strCache>
            </c:strRef>
          </c:tx>
          <c:invertIfNegative val="0"/>
          <c:dLbls>
            <c:delete val="1"/>
          </c:dLbls>
          <c:cat>
            <c:numRef>
              <c:f>Sheet1!$A$2:$A$5</c:f>
              <c:numCache>
                <c:formatCode>General</c:formatCode>
                <c:ptCount val="2"/>
                <c:pt idx="0">
                  <c:v>2019</c:v>
                </c:pt>
                <c:pt idx="1">
                  <c:v>2020</c:v>
                </c:pt>
              </c:numCache>
            </c:numRef>
          </c:cat>
          <c:val>
            <c:numRef>
              <c:f>Sheet1!$C$2:$C$5</c:f>
              <c:numCache>
                <c:formatCode>General</c:formatCode>
                <c:ptCount val="2"/>
                <c:pt idx="0">
                  <c:v>2161.12</c:v>
                </c:pt>
                <c:pt idx="1">
                  <c:v>2378.33</c:v>
                </c:pt>
              </c:numCache>
            </c:numRef>
          </c:val>
        </c:ser>
        <c:ser>
          <c:idx val="2"/>
          <c:order val="2"/>
          <c:tx>
            <c:strRef>
              <c:f>Sheet1!$D$1</c:f>
              <c:strCache>
                <c:ptCount val="1"/>
                <c:pt idx="0">
                  <c:v>系列 3</c:v>
                </c:pt>
              </c:strCache>
            </c:strRef>
          </c:tx>
          <c:invertIfNegative val="0"/>
          <c:dLbls>
            <c:delete val="1"/>
          </c:dLbls>
          <c:cat>
            <c:numRef>
              <c:f>Sheet1!$A$2:$A$5</c:f>
              <c:numCache>
                <c:formatCode>General</c:formatCode>
                <c:ptCount val="2"/>
                <c:pt idx="0">
                  <c:v>2019</c:v>
                </c:pt>
                <c:pt idx="1">
                  <c:v>2020</c:v>
                </c:pt>
              </c:numCache>
            </c:numRef>
          </c:cat>
          <c:val>
            <c:numRef>
              <c:f>Sheet1!$D$2:$D$5</c:f>
            </c:numRef>
          </c:val>
        </c:ser>
        <c:dLbls>
          <c:showLegendKey val="0"/>
          <c:showVal val="0"/>
          <c:showCatName val="0"/>
          <c:showSerName val="0"/>
          <c:showPercent val="0"/>
          <c:showBubbleSize val="0"/>
        </c:dLbls>
        <c:gapWidth val="150"/>
        <c:axId val="180357376"/>
        <c:axId val="182348800"/>
      </c:barChart>
      <c:catAx>
        <c:axId val="180357376"/>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82348800"/>
        <c:crosses val="autoZero"/>
        <c:auto val="1"/>
        <c:lblAlgn val="ctr"/>
        <c:lblOffset val="100"/>
        <c:noMultiLvlLbl val="0"/>
      </c:catAx>
      <c:valAx>
        <c:axId val="18234880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80357376"/>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1e2a5d6-ff8c-488b-a74e-e056366ce18c}"/>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支出</c:v>
                </c:pt>
              </c:strCache>
            </c:strRef>
          </c:tx>
          <c:invertIfNegative val="0"/>
          <c:dLbls>
            <c:delete val="1"/>
          </c:dLbls>
          <c:cat>
            <c:numRef>
              <c:f>Sheet1!$A$2:$A$5</c:f>
              <c:numCache>
                <c:formatCode>General</c:formatCode>
                <c:ptCount val="2"/>
                <c:pt idx="0">
                  <c:v>2019</c:v>
                </c:pt>
                <c:pt idx="1">
                  <c:v>2020</c:v>
                </c:pt>
              </c:numCache>
            </c:numRef>
          </c:cat>
          <c:val>
            <c:numRef>
              <c:f>Sheet1!$B$2:$B$5</c:f>
              <c:numCache>
                <c:formatCode>General</c:formatCode>
                <c:ptCount val="2"/>
                <c:pt idx="0">
                  <c:v>2161.12</c:v>
                </c:pt>
                <c:pt idx="1">
                  <c:v>2378.33</c:v>
                </c:pt>
              </c:numCache>
            </c:numRef>
          </c:val>
        </c:ser>
        <c:ser>
          <c:idx val="1"/>
          <c:order val="1"/>
          <c:tx>
            <c:strRef>
              <c:f>Sheet1!$C$1</c:f>
              <c:strCache>
                <c:ptCount val="1"/>
                <c:pt idx="0">
                  <c:v>系列 2</c:v>
                </c:pt>
              </c:strCache>
            </c:strRef>
          </c:tx>
          <c:invertIfNegative val="0"/>
          <c:dLbls>
            <c:delete val="1"/>
          </c:dLbls>
          <c:cat>
            <c:numRef>
              <c:f>Sheet1!$A$2:$A$5</c:f>
              <c:numCache>
                <c:formatCode>General</c:formatCode>
                <c:ptCount val="2"/>
                <c:pt idx="0">
                  <c:v>2019</c:v>
                </c:pt>
                <c:pt idx="1">
                  <c:v>2020</c:v>
                </c:pt>
              </c:numCache>
            </c:numRef>
          </c:cat>
          <c:val>
            <c:numRef>
              <c:f>Sheet1!$C$2:$C$5</c:f>
            </c:numRef>
          </c:val>
        </c:ser>
        <c:ser>
          <c:idx val="2"/>
          <c:order val="2"/>
          <c:tx>
            <c:strRef>
              <c:f>Sheet1!$D$1</c:f>
              <c:strCache>
                <c:ptCount val="1"/>
                <c:pt idx="0">
                  <c:v>系列 3</c:v>
                </c:pt>
              </c:strCache>
            </c:strRef>
          </c:tx>
          <c:invertIfNegative val="0"/>
          <c:dLbls>
            <c:delete val="1"/>
          </c:dLbls>
          <c:cat>
            <c:numRef>
              <c:f>Sheet1!$A$2:$A$5</c:f>
              <c:numCache>
                <c:formatCode>General</c:formatCode>
                <c:ptCount val="2"/>
                <c:pt idx="0">
                  <c:v>2019</c:v>
                </c:pt>
                <c:pt idx="1">
                  <c:v>2020</c:v>
                </c:pt>
              </c:numCache>
            </c:numRef>
          </c:cat>
          <c:val>
            <c:numRef>
              <c:f>Sheet1!$D$2:$D$5</c:f>
            </c:numRef>
          </c:val>
        </c:ser>
        <c:dLbls>
          <c:showLegendKey val="0"/>
          <c:showVal val="0"/>
          <c:showCatName val="0"/>
          <c:showSerName val="0"/>
          <c:showPercent val="0"/>
          <c:showBubbleSize val="0"/>
        </c:dLbls>
        <c:gapWidth val="75"/>
        <c:axId val="182368512"/>
        <c:axId val="182390784"/>
      </c:barChart>
      <c:catAx>
        <c:axId val="18236851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82390784"/>
        <c:crosses val="autoZero"/>
        <c:auto val="1"/>
        <c:lblAlgn val="ctr"/>
        <c:lblOffset val="100"/>
        <c:noMultiLvlLbl val="0"/>
      </c:catAx>
      <c:valAx>
        <c:axId val="182390784"/>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82368512"/>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9e7d8a6-81d5-4a4c-a8c8-95c2529fd0fc}"/>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支出</c:v>
                </c:pt>
              </c:strCache>
            </c:strRef>
          </c:tx>
          <c:explosion val="0"/>
          <c:dPt>
            <c:idx val="0"/>
            <c:bubble3D val="0"/>
          </c:dPt>
          <c:dPt>
            <c:idx val="1"/>
            <c:bubble3D val="0"/>
          </c:dPt>
          <c:dPt>
            <c:idx val="2"/>
            <c:bubble3D val="0"/>
          </c:dPt>
          <c:dPt>
            <c:idx val="3"/>
            <c:bubble3D val="0"/>
          </c:dPt>
          <c:dPt>
            <c:idx val="4"/>
            <c:bubble3D val="0"/>
          </c:dPt>
          <c:dLbls>
            <c:delete val="1"/>
          </c:dLbls>
          <c:cat>
            <c:strRef>
              <c:f>Sheet1!$A$2:$A$6</c:f>
              <c:strCache>
                <c:ptCount val="5"/>
                <c:pt idx="0">
                  <c:v>一般公共服务支出</c:v>
                </c:pt>
                <c:pt idx="1">
                  <c:v>其他应急管理支出</c:v>
                </c:pt>
                <c:pt idx="2">
                  <c:v>社会保障和就业支出</c:v>
                </c:pt>
                <c:pt idx="3">
                  <c:v>医疗卫生支出</c:v>
                </c:pt>
                <c:pt idx="4">
                  <c:v>住房保障支出</c:v>
                </c:pt>
              </c:strCache>
            </c:strRef>
          </c:cat>
          <c:val>
            <c:numRef>
              <c:f>Sheet1!$B$2:$B$6</c:f>
              <c:numCache>
                <c:formatCode>0.00%</c:formatCode>
                <c:ptCount val="5"/>
                <c:pt idx="0">
                  <c:v>0.9775</c:v>
                </c:pt>
                <c:pt idx="1">
                  <c:v>0.0003</c:v>
                </c:pt>
                <c:pt idx="2">
                  <c:v>0.0188</c:v>
                </c:pt>
                <c:pt idx="3">
                  <c:v>0.0102</c:v>
                </c:pt>
                <c:pt idx="4">
                  <c:v>0.0135</c:v>
                </c:pt>
              </c:numCache>
            </c:numRef>
          </c:val>
        </c:ser>
        <c:ser>
          <c:idx val="1"/>
          <c:order val="1"/>
          <c:tx>
            <c:strRef>
              <c:f>Sheet1!$C$1</c:f>
              <c:strCache>
                <c:ptCount val="1"/>
                <c:pt idx="0">
                  <c:v>列1</c:v>
                </c:pt>
              </c:strCache>
            </c:strRef>
          </c:tx>
          <c:explosion val="0"/>
          <c:dLbls>
            <c:delete val="1"/>
          </c:dLbls>
          <c:cat>
            <c:strRef>
              <c:f>Sheet1!$A$2:$A$6</c:f>
              <c:strCache>
                <c:ptCount val="5"/>
                <c:pt idx="0">
                  <c:v>一般公共服务支出</c:v>
                </c:pt>
                <c:pt idx="1">
                  <c:v>其他应急管理支出</c:v>
                </c:pt>
                <c:pt idx="2">
                  <c:v>社会保障和就业支出</c:v>
                </c:pt>
                <c:pt idx="3">
                  <c:v>医疗卫生支出</c:v>
                </c:pt>
                <c:pt idx="4">
                  <c:v>住房保障支出</c:v>
                </c:pt>
              </c:strCache>
            </c:strRef>
          </c:cat>
          <c:val>
            <c:numRef>
              <c:f>Sheet1!$C$2:$C$6</c:f>
            </c:numRef>
          </c:val>
        </c:ser>
        <c:ser>
          <c:idx val="2"/>
          <c:order val="2"/>
          <c:tx>
            <c:strRef>
              <c:f>Sheet1!$D$1</c:f>
              <c:strCache>
                <c:ptCount val="1"/>
                <c:pt idx="0">
                  <c:v>列2</c:v>
                </c:pt>
              </c:strCache>
            </c:strRef>
          </c:tx>
          <c:explosion val="0"/>
          <c:dLbls>
            <c:delete val="1"/>
          </c:dLbls>
          <c:cat>
            <c:strRef>
              <c:f>Sheet1!$A$2:$A$6</c:f>
              <c:strCache>
                <c:ptCount val="5"/>
                <c:pt idx="0">
                  <c:v>一般公共服务支出</c:v>
                </c:pt>
                <c:pt idx="1">
                  <c:v>其他应急管理支出</c:v>
                </c:pt>
                <c:pt idx="2">
                  <c:v>社会保障和就业支出</c:v>
                </c:pt>
                <c:pt idx="3">
                  <c:v>医疗卫生支出</c:v>
                </c:pt>
                <c:pt idx="4">
                  <c:v>住房保障支出</c:v>
                </c:pt>
              </c:strCache>
            </c:strRef>
          </c:cat>
          <c:val>
            <c:numRef>
              <c:f>Sheet1!$D$2:$D$6</c:f>
            </c:numRef>
          </c:val>
        </c:ser>
        <c:dLbls>
          <c:showLegendKey val="0"/>
          <c:showVal val="0"/>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f2881a48-78e0-4b39-9210-87112cfda37d}"/>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Lbls>
            <c:delete val="1"/>
          </c:dLbls>
          <c:cat>
            <c:strRef>
              <c:f>Sheet1!$A$2:$A$5</c:f>
              <c:strCache>
                <c:ptCount val="4"/>
                <c:pt idx="0">
                  <c:v>公车运行及维护</c:v>
                </c:pt>
                <c:pt idx="1">
                  <c:v>公务接待</c:v>
                </c:pt>
              </c:strCache>
            </c:strRef>
          </c:cat>
          <c:val>
            <c:numRef>
              <c:f>Sheet1!$B$2:$B$5</c:f>
              <c:numCache>
                <c:formatCode>0%</c:formatCode>
                <c:ptCount val="4"/>
                <c:pt idx="0">
                  <c:v>0.9648</c:v>
                </c:pt>
                <c:pt idx="1" c:formatCode="0.00%">
                  <c:v>0.0352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eef333c-fda4-467e-925d-3eb09a3d53e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9218A2-9C13-4597-A895-4F4670059034}">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31</Pages>
  <Words>13116</Words>
  <Characters>14373</Characters>
  <Lines>106</Lines>
  <Paragraphs>29</Paragraphs>
  <TotalTime>37</TotalTime>
  <ScaleCrop>false</ScaleCrop>
  <LinksUpToDate>false</LinksUpToDate>
  <CharactersWithSpaces>14452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2021-09-17T08:47:00Z</dcterms:created>
  <dc:creator>张彬茜</dc:creator>
  <cp:lastModifiedBy>一个笨蛋</cp:lastModifiedBy>
  <cp:lastPrinted>2021-09-23T03:20:00Z</cp:lastPrinted>
  <dcterms:modified xsi:type="dcterms:W3CDTF">2026-08-31T08:35:16Z</dcterms:modified>
  <dc:title>四川省***</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CE8A90F55B8D4266AFCA856C05C7DB3C</vt:lpwstr>
  </property>
  <property fmtid="{D5CDD505-2E9C-101B-9397-08002B2CF9AE}" pid="4" name="KSOTemplateDocerSaveRecord">
    <vt:lpwstr>eyJoZGlkIjoiYjllZGNkZWEzYjg0NDNmNTQ5MjkzNjk0ODlhNmVkYzAiLCJ1c2VySWQiOiI0MTAxMDQ4MDkifQ==</vt:lpwstr>
  </property>
</Properties>
</file>