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87367">
      <w:pPr>
        <w:spacing w:line="600" w:lineRule="exact"/>
        <w:jc w:val="center"/>
        <w:outlineLvl w:val="0"/>
        <w:rPr>
          <w:rFonts w:ascii="方正小标宋简体" w:hAnsi="宋体" w:eastAsia="方正小标宋简体"/>
          <w:sz w:val="72"/>
          <w:szCs w:val="72"/>
        </w:rPr>
      </w:pPr>
      <w:bookmarkStart w:id="0" w:name="_Toc15396597"/>
      <w:bookmarkStart w:id="1" w:name="_Toc15377425"/>
      <w:bookmarkStart w:id="2" w:name="_Toc15378441"/>
      <w:bookmarkStart w:id="3" w:name="_Toc15396475"/>
      <w:bookmarkStart w:id="4" w:name="_Toc15377193"/>
      <w:bookmarkStart w:id="5" w:name="_Toc15306267"/>
    </w:p>
    <w:p w14:paraId="04EA986B">
      <w:pPr>
        <w:pStyle w:val="13"/>
      </w:pPr>
    </w:p>
    <w:p w14:paraId="38CFB453">
      <w:pPr>
        <w:adjustRightInd w:val="0"/>
        <w:snapToGrid w:val="0"/>
        <w:spacing w:line="360" w:lineRule="auto"/>
        <w:ind w:firstLine="2160" w:firstLineChars="300"/>
        <w:jc w:val="both"/>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p w14:paraId="31240517">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96476"/>
      <w:bookmarkStart w:id="8" w:name="_Toc15378442"/>
      <w:bookmarkStart w:id="9" w:name="_Toc15377426"/>
      <w:bookmarkStart w:id="10" w:name="_Toc15396598"/>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lang w:val="en-US" w:eastAsia="zh-CN"/>
        </w:rPr>
        <w:t>大熊猫国家公园阿坝管理分局</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14:paraId="2CC1C78E">
      <w:pPr>
        <w:widowControl/>
        <w:jc w:val="center"/>
        <w:rPr>
          <w:rFonts w:hint="eastAsia" w:ascii="黑体" w:hAnsi="黑体" w:eastAsia="黑体"/>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14:paraId="36EB3814">
      <w:pPr>
        <w:widowControl/>
        <w:jc w:val="center"/>
        <w:rPr>
          <w:rFonts w:ascii="黑体" w:hAnsi="黑体" w:eastAsia="黑体"/>
          <w:sz w:val="48"/>
          <w:szCs w:val="48"/>
        </w:rPr>
      </w:pPr>
      <w:r>
        <w:rPr>
          <w:rFonts w:hint="eastAsia" w:ascii="黑体" w:hAnsi="黑体" w:eastAsia="黑体"/>
          <w:sz w:val="48"/>
          <w:szCs w:val="48"/>
        </w:rPr>
        <w:t>目录</w:t>
      </w:r>
    </w:p>
    <w:p w14:paraId="39BB6EC1">
      <w:pPr>
        <w:widowControl/>
        <w:jc w:val="center"/>
        <w:rPr>
          <w:rFonts w:ascii="黑体" w:hAnsi="黑体" w:eastAsia="黑体" w:cstheme="minorBidi"/>
          <w:sz w:val="28"/>
          <w:szCs w:val="28"/>
        </w:rPr>
      </w:pPr>
    </w:p>
    <w:p w14:paraId="642F8CF3">
      <w:pPr>
        <w:pStyle w:val="13"/>
        <w:rPr>
          <w:rFonts w:hint="eastAsia" w:ascii="仿宋_GB2312" w:hAnsi="仿宋_GB2312" w:eastAsia="仿宋_GB2312" w:cs="仿宋_GB2312"/>
        </w:rPr>
      </w:pPr>
      <w:r>
        <w:rPr>
          <w:rFonts w:hint="eastAsia" w:ascii="仿宋_GB2312" w:hAnsi="仿宋_GB2312" w:eastAsia="仿宋_GB2312" w:cs="仿宋_GB2312"/>
        </w:rPr>
        <w:t>公开时间：2023年</w:t>
      </w:r>
      <w:r>
        <w:rPr>
          <w:rFonts w:hint="eastAsia" w:ascii="仿宋_GB2312" w:hAnsi="仿宋_GB2312" w:eastAsia="仿宋_GB2312" w:cs="仿宋_GB2312"/>
          <w:lang w:val="en-US" w:eastAsia="zh-CN"/>
        </w:rPr>
        <w:t>9</w:t>
      </w:r>
      <w:r>
        <w:rPr>
          <w:rFonts w:hint="eastAsia" w:ascii="仿宋_GB2312" w:hAnsi="仿宋_GB2312" w:eastAsia="仿宋_GB2312" w:cs="仿宋_GB2312"/>
        </w:rPr>
        <w:t>月</w:t>
      </w:r>
      <w:r>
        <w:rPr>
          <w:rFonts w:hint="eastAsia" w:ascii="仿宋_GB2312" w:hAnsi="仿宋_GB2312" w:eastAsia="仿宋_GB2312" w:cs="仿宋_GB2312"/>
          <w:lang w:val="en-US" w:eastAsia="zh-CN"/>
        </w:rPr>
        <w:t>18</w:t>
      </w:r>
      <w:r>
        <w:rPr>
          <w:rFonts w:hint="eastAsia" w:ascii="仿宋_GB2312" w:hAnsi="仿宋_GB2312" w:eastAsia="仿宋_GB2312" w:cs="仿宋_GB2312"/>
        </w:rPr>
        <w:t>日</w:t>
      </w:r>
    </w:p>
    <w:p w14:paraId="5ECED4B5">
      <w:pPr>
        <w:rPr>
          <w:rFonts w:hint="eastAsia" w:ascii="仿宋_GB2312" w:hAnsi="仿宋_GB2312" w:eastAsia="仿宋_GB2312" w:cs="仿宋_GB2312"/>
        </w:rPr>
      </w:pPr>
    </w:p>
    <w:p w14:paraId="60AE96D7">
      <w:pPr>
        <w:pStyle w:val="13"/>
        <w:adjustRightInd w:val="0"/>
        <w:snapToGrid w:val="0"/>
        <w:spacing w:before="0" w:line="44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rPr>
        <w:t>第一部分 部门概况</w:t>
      </w:r>
      <w:r>
        <w:rPr>
          <w:rFonts w:hint="eastAsia" w:ascii="仿宋_GB2312" w:hAnsi="仿宋_GB2312" w:eastAsia="仿宋_GB2312" w:cs="仿宋_GB2312"/>
          <w:sz w:val="24"/>
          <w:lang w:val="en-US" w:eastAsia="zh-CN"/>
        </w:rPr>
        <w:t>.............................................3</w:t>
      </w:r>
    </w:p>
    <w:p w14:paraId="5584F9C1">
      <w:pPr>
        <w:pStyle w:val="14"/>
        <w:adjustRightInd w:val="0"/>
        <w:snapToGrid w:val="0"/>
        <w:spacing w:line="44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一、部门职责</w:t>
      </w:r>
      <w:r>
        <w:rPr>
          <w:rFonts w:hint="eastAsia" w:ascii="仿宋_GB2312" w:hAnsi="仿宋_GB2312" w:eastAsia="仿宋_GB2312" w:cs="仿宋_GB2312"/>
          <w:sz w:val="24"/>
          <w:lang w:val="en-US" w:eastAsia="zh-CN"/>
        </w:rPr>
        <w:t>..............................................3</w:t>
      </w:r>
    </w:p>
    <w:p w14:paraId="5F999257">
      <w:pPr>
        <w:pStyle w:val="14"/>
        <w:adjustRightInd w:val="0"/>
        <w:snapToGrid w:val="0"/>
        <w:spacing w:line="44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二、机构设置</w:t>
      </w:r>
      <w:r>
        <w:rPr>
          <w:rFonts w:hint="eastAsia" w:ascii="仿宋_GB2312" w:hAnsi="仿宋_GB2312" w:eastAsia="仿宋_GB2312" w:cs="仿宋_GB2312"/>
          <w:sz w:val="24"/>
          <w:lang w:val="en-US" w:eastAsia="zh-CN"/>
        </w:rPr>
        <w:t>..............................................4</w:t>
      </w:r>
    </w:p>
    <w:p w14:paraId="36F19417">
      <w:pPr>
        <w:pStyle w:val="13"/>
        <w:adjustRightInd w:val="0"/>
        <w:snapToGrid w:val="0"/>
        <w:spacing w:before="0" w:line="44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rPr>
        <w:t>第二部分 2023年度部门决算情况说明</w:t>
      </w:r>
      <w:r>
        <w:rPr>
          <w:rFonts w:hint="eastAsia" w:ascii="仿宋_GB2312" w:hAnsi="仿宋_GB2312" w:eastAsia="仿宋_GB2312" w:cs="仿宋_GB2312"/>
          <w:sz w:val="24"/>
          <w:lang w:val="en-US" w:eastAsia="zh-CN"/>
        </w:rPr>
        <w:t>............................5</w:t>
      </w:r>
    </w:p>
    <w:p w14:paraId="216F64D9">
      <w:pPr>
        <w:pStyle w:val="14"/>
        <w:adjustRightInd w:val="0"/>
        <w:snapToGrid w:val="0"/>
        <w:spacing w:line="44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一、收入支出决算总体情况说明</w:t>
      </w:r>
      <w:r>
        <w:rPr>
          <w:rFonts w:hint="eastAsia" w:ascii="仿宋_GB2312" w:hAnsi="仿宋_GB2312" w:eastAsia="仿宋_GB2312" w:cs="仿宋_GB2312"/>
          <w:sz w:val="24"/>
          <w:lang w:val="en-US" w:eastAsia="zh-CN"/>
        </w:rPr>
        <w:t>..............................6</w:t>
      </w:r>
    </w:p>
    <w:p w14:paraId="10AE5891">
      <w:pPr>
        <w:pStyle w:val="14"/>
        <w:adjustRightInd w:val="0"/>
        <w:snapToGrid w:val="0"/>
        <w:spacing w:line="44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二、收入决算情况说明</w:t>
      </w:r>
      <w:r>
        <w:rPr>
          <w:rFonts w:hint="eastAsia" w:ascii="仿宋_GB2312" w:hAnsi="仿宋_GB2312" w:eastAsia="仿宋_GB2312" w:cs="仿宋_GB2312"/>
          <w:sz w:val="24"/>
          <w:lang w:val="en-US" w:eastAsia="zh-CN"/>
        </w:rPr>
        <w:t>......................................6</w:t>
      </w:r>
    </w:p>
    <w:p w14:paraId="2059FB58">
      <w:pPr>
        <w:pStyle w:val="14"/>
        <w:adjustRightInd w:val="0"/>
        <w:snapToGrid w:val="0"/>
        <w:spacing w:line="44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三、支出决算情况说明</w:t>
      </w:r>
      <w:r>
        <w:rPr>
          <w:rFonts w:hint="eastAsia" w:ascii="仿宋_GB2312" w:hAnsi="仿宋_GB2312" w:eastAsia="仿宋_GB2312" w:cs="仿宋_GB2312"/>
          <w:sz w:val="24"/>
          <w:lang w:val="en-US" w:eastAsia="zh-CN"/>
        </w:rPr>
        <w:t>......................................6</w:t>
      </w:r>
    </w:p>
    <w:p w14:paraId="225C7715">
      <w:pPr>
        <w:pStyle w:val="14"/>
        <w:adjustRightInd w:val="0"/>
        <w:snapToGrid w:val="0"/>
        <w:spacing w:line="44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四、财政拨款收入支出决算总体情况说明</w:t>
      </w:r>
      <w:r>
        <w:rPr>
          <w:rFonts w:hint="eastAsia" w:ascii="仿宋_GB2312" w:hAnsi="仿宋_GB2312" w:eastAsia="仿宋_GB2312" w:cs="仿宋_GB2312"/>
          <w:sz w:val="24"/>
          <w:lang w:val="en-US" w:eastAsia="zh-CN"/>
        </w:rPr>
        <w:t>......................6</w:t>
      </w:r>
    </w:p>
    <w:p w14:paraId="4BC02CDA">
      <w:pPr>
        <w:pStyle w:val="14"/>
        <w:adjustRightInd w:val="0"/>
        <w:snapToGrid w:val="0"/>
        <w:spacing w:line="44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五、一般公共预算财政拨款支出决算情况说明</w:t>
      </w:r>
      <w:r>
        <w:rPr>
          <w:rFonts w:hint="eastAsia" w:ascii="仿宋_GB2312" w:hAnsi="仿宋_GB2312" w:eastAsia="仿宋_GB2312" w:cs="仿宋_GB2312"/>
          <w:sz w:val="24"/>
          <w:lang w:val="en-US" w:eastAsia="zh-CN"/>
        </w:rPr>
        <w:t>..................7</w:t>
      </w:r>
    </w:p>
    <w:p w14:paraId="11C33F34">
      <w:pPr>
        <w:pStyle w:val="14"/>
        <w:adjustRightInd w:val="0"/>
        <w:snapToGrid w:val="0"/>
        <w:spacing w:line="44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六、一般公共预算财政拨款基本支出决算情况说明</w:t>
      </w:r>
      <w:r>
        <w:rPr>
          <w:rFonts w:hint="eastAsia" w:ascii="仿宋_GB2312" w:hAnsi="仿宋_GB2312" w:eastAsia="仿宋_GB2312" w:cs="仿宋_GB2312"/>
          <w:sz w:val="24"/>
          <w:lang w:val="en-US" w:eastAsia="zh-CN"/>
        </w:rPr>
        <w:t>..............10</w:t>
      </w:r>
    </w:p>
    <w:p w14:paraId="5EF8D213">
      <w:pPr>
        <w:pStyle w:val="14"/>
        <w:adjustRightInd w:val="0"/>
        <w:snapToGrid w:val="0"/>
        <w:spacing w:line="44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七、财政拨款“三公”经费支出决算情况说明</w:t>
      </w:r>
      <w:r>
        <w:rPr>
          <w:rFonts w:hint="eastAsia" w:ascii="仿宋_GB2312" w:hAnsi="仿宋_GB2312" w:eastAsia="仿宋_GB2312" w:cs="仿宋_GB2312"/>
          <w:sz w:val="24"/>
          <w:lang w:val="en-US" w:eastAsia="zh-CN"/>
        </w:rPr>
        <w:t>..................11</w:t>
      </w:r>
    </w:p>
    <w:p w14:paraId="2DF4034D">
      <w:pPr>
        <w:pStyle w:val="14"/>
        <w:adjustRightInd w:val="0"/>
        <w:snapToGrid w:val="0"/>
        <w:spacing w:line="44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八、政府性基金预算支出决算情况说明</w:t>
      </w:r>
      <w:r>
        <w:rPr>
          <w:rFonts w:hint="eastAsia" w:ascii="仿宋_GB2312" w:hAnsi="仿宋_GB2312" w:eastAsia="仿宋_GB2312" w:cs="仿宋_GB2312"/>
          <w:sz w:val="24"/>
          <w:lang w:val="en-US" w:eastAsia="zh-CN"/>
        </w:rPr>
        <w:t>........................13</w:t>
      </w:r>
    </w:p>
    <w:p w14:paraId="7959CB5B">
      <w:pPr>
        <w:pStyle w:val="14"/>
        <w:adjustRightInd w:val="0"/>
        <w:snapToGrid w:val="0"/>
        <w:spacing w:line="440" w:lineRule="exact"/>
        <w:ind w:leftChars="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九、国有资本经营预算支出决算情况说明</w:t>
      </w:r>
      <w:r>
        <w:rPr>
          <w:rFonts w:hint="eastAsia" w:ascii="仿宋_GB2312" w:hAnsi="仿宋_GB2312" w:eastAsia="仿宋_GB2312" w:cs="仿宋_GB2312"/>
          <w:sz w:val="24"/>
          <w:lang w:val="en-US" w:eastAsia="zh-CN"/>
        </w:rPr>
        <w:t>......................13</w:t>
      </w:r>
    </w:p>
    <w:p w14:paraId="42B464EA">
      <w:pPr>
        <w:adjustRightInd w:val="0"/>
        <w:snapToGrid w:val="0"/>
        <w:spacing w:line="440" w:lineRule="exact"/>
        <w:ind w:firstLine="420" w:firstLineChars="175"/>
        <w:jc w:val="left"/>
        <w:rPr>
          <w:rFonts w:hint="default" w:ascii="仿宋_GB2312" w:hAnsi="仿宋_GB2312" w:eastAsia="仿宋_GB2312" w:cs="仿宋_GB2312"/>
          <w:sz w:val="24"/>
          <w:lang w:val="en-US"/>
        </w:rPr>
      </w:pPr>
      <w:r>
        <w:rPr>
          <w:rStyle w:val="21"/>
          <w:rFonts w:hint="eastAsia" w:ascii="仿宋_GB2312" w:hAnsi="仿宋_GB2312" w:eastAsia="仿宋_GB2312" w:cs="仿宋_GB2312"/>
          <w:color w:val="auto"/>
          <w:sz w:val="24"/>
          <w:u w:val="none"/>
        </w:rPr>
        <w:t>十、</w:t>
      </w:r>
      <w:r>
        <w:rPr>
          <w:rFonts w:hint="eastAsia" w:ascii="仿宋_GB2312" w:hAnsi="仿宋_GB2312" w:eastAsia="仿宋_GB2312" w:cs="仿宋_GB2312"/>
          <w:sz w:val="24"/>
        </w:rPr>
        <w:t>其他重要事项的情况说明</w:t>
      </w:r>
      <w:r>
        <w:rPr>
          <w:rFonts w:hint="eastAsia" w:ascii="仿宋_GB2312" w:hAnsi="仿宋_GB2312" w:eastAsia="仿宋_GB2312" w:cs="仿宋_GB2312"/>
          <w:sz w:val="24"/>
          <w:lang w:val="en-US" w:eastAsia="zh-CN"/>
        </w:rPr>
        <w:t>................................13</w:t>
      </w:r>
    </w:p>
    <w:p w14:paraId="55AE8301">
      <w:pPr>
        <w:pStyle w:val="13"/>
        <w:adjustRightInd w:val="0"/>
        <w:snapToGrid w:val="0"/>
        <w:spacing w:before="0" w:line="44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rPr>
        <w:t>第三部分 名词解释</w:t>
      </w:r>
      <w:r>
        <w:rPr>
          <w:rFonts w:hint="eastAsia" w:ascii="仿宋_GB2312" w:hAnsi="仿宋_GB2312" w:eastAsia="仿宋_GB2312" w:cs="仿宋_GB2312"/>
          <w:sz w:val="24"/>
          <w:lang w:val="en-US" w:eastAsia="zh-CN"/>
        </w:rPr>
        <w:t>.............................................21</w:t>
      </w:r>
    </w:p>
    <w:p w14:paraId="79D62F31">
      <w:pPr>
        <w:pStyle w:val="13"/>
        <w:adjustRightInd w:val="0"/>
        <w:snapToGrid w:val="0"/>
        <w:spacing w:before="0" w:line="44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第四部分 附件</w:t>
      </w:r>
      <w:r>
        <w:rPr>
          <w:rFonts w:hint="eastAsia" w:ascii="仿宋_GB2312" w:hAnsi="仿宋_GB2312" w:eastAsia="仿宋_GB2312" w:cs="仿宋_GB2312"/>
          <w:sz w:val="24"/>
          <w:lang w:val="en-US" w:eastAsia="zh-CN"/>
        </w:rPr>
        <w:t>.................................................25</w:t>
      </w:r>
    </w:p>
    <w:p w14:paraId="7CCDCAA9">
      <w:pPr>
        <w:pStyle w:val="13"/>
        <w:adjustRightInd w:val="0"/>
        <w:snapToGrid w:val="0"/>
        <w:spacing w:before="0" w:line="44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rPr>
        <w:t>第五部分 附表</w:t>
      </w:r>
      <w:r>
        <w:rPr>
          <w:rFonts w:hint="eastAsia" w:ascii="仿宋_GB2312" w:hAnsi="仿宋_GB2312" w:eastAsia="仿宋_GB2312" w:cs="仿宋_GB2312"/>
          <w:sz w:val="24"/>
          <w:lang w:val="en-US" w:eastAsia="zh-CN"/>
        </w:rPr>
        <w:t>.................................................64</w:t>
      </w:r>
    </w:p>
    <w:p w14:paraId="28D1BEAF">
      <w:pPr>
        <w:pStyle w:val="14"/>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一、收入支出决算总表</w:t>
      </w:r>
    </w:p>
    <w:p w14:paraId="58D5C046">
      <w:pPr>
        <w:pStyle w:val="14"/>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二、收入决算表</w:t>
      </w:r>
    </w:p>
    <w:p w14:paraId="6C25D761">
      <w:pPr>
        <w:pStyle w:val="14"/>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三、支出决算表</w:t>
      </w:r>
    </w:p>
    <w:p w14:paraId="7824F2C3">
      <w:pPr>
        <w:pStyle w:val="14"/>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四、财政拨款收入支出决算总表</w:t>
      </w:r>
    </w:p>
    <w:p w14:paraId="223A3640">
      <w:pPr>
        <w:pStyle w:val="14"/>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五、财政拨款支出决算明细表</w:t>
      </w:r>
    </w:p>
    <w:p w14:paraId="685A0DB6">
      <w:pPr>
        <w:pStyle w:val="14"/>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六、一般公共预算财政拨款支出决算表</w:t>
      </w:r>
    </w:p>
    <w:p w14:paraId="5B064828">
      <w:pPr>
        <w:pStyle w:val="14"/>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七、一般公共预算财政拨款支出决算明细表</w:t>
      </w:r>
    </w:p>
    <w:p w14:paraId="513E1EAA">
      <w:pPr>
        <w:pStyle w:val="14"/>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八、一般公共预算财政拨款基本支出决算明细表</w:t>
      </w:r>
    </w:p>
    <w:p w14:paraId="15F23A2E">
      <w:pPr>
        <w:pStyle w:val="14"/>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九、一般公共预算财政拨款项目支出决算表</w:t>
      </w:r>
    </w:p>
    <w:p w14:paraId="15585A8D">
      <w:pPr>
        <w:pStyle w:val="14"/>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十、政府性基金预算财政拨款收入支出决算表</w:t>
      </w:r>
    </w:p>
    <w:p w14:paraId="5CC07563">
      <w:pPr>
        <w:pStyle w:val="14"/>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十一、国有资本经营预算财政拨款收入支出决算表</w:t>
      </w:r>
    </w:p>
    <w:p w14:paraId="5DA83546">
      <w:pPr>
        <w:pStyle w:val="14"/>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十二、国有资本经营预算财政拨款支出决算表</w:t>
      </w:r>
    </w:p>
    <w:p w14:paraId="632E7590">
      <w:pPr>
        <w:pStyle w:val="14"/>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十三、财政拨款“三公”经费支出决算表</w:t>
      </w:r>
    </w:p>
    <w:p w14:paraId="38F13416">
      <w:pPr>
        <w:widowControl/>
        <w:adjustRightInd w:val="0"/>
        <w:snapToGrid w:val="0"/>
        <w:spacing w:line="440" w:lineRule="exact"/>
        <w:ind w:firstLine="1320" w:firstLineChars="550"/>
        <w:jc w:val="left"/>
        <w:rPr>
          <w:rFonts w:hint="eastAsia" w:ascii="仿宋_GB2312" w:hAnsi="仿宋_GB2312" w:eastAsia="仿宋_GB2312" w:cs="仿宋_GB2312"/>
          <w:sz w:val="24"/>
        </w:rPr>
      </w:pPr>
      <w:r>
        <w:rPr>
          <w:rFonts w:hint="eastAsia" w:ascii="仿宋_GB2312" w:hAnsi="仿宋_GB2312" w:eastAsia="仿宋_GB2312" w:cs="仿宋_GB2312"/>
          <w:sz w:val="24"/>
        </w:rPr>
        <w:t>(注：请部门根据实际注明页码)</w:t>
      </w:r>
    </w:p>
    <w:p w14:paraId="26536F0A">
      <w:pPr>
        <w:widowControl/>
        <w:spacing w:line="440" w:lineRule="exact"/>
        <w:jc w:val="left"/>
        <w:rPr>
          <w:rFonts w:hint="eastAsia" w:ascii="仿宋_GB2312" w:hAnsi="仿宋_GB2312" w:eastAsia="仿宋_GB2312" w:cs="仿宋_GB2312"/>
          <w:bCs/>
          <w:kern w:val="44"/>
          <w:sz w:val="24"/>
        </w:rPr>
      </w:pPr>
      <w:bookmarkStart w:id="12" w:name="_Toc15377196"/>
      <w:bookmarkStart w:id="13" w:name="_Toc15396599"/>
      <w:r>
        <w:rPr>
          <w:rFonts w:hint="eastAsia" w:ascii="仿宋_GB2312" w:hAnsi="仿宋_GB2312" w:eastAsia="仿宋_GB2312" w:cs="仿宋_GB2312"/>
          <w:b/>
          <w:sz w:val="24"/>
        </w:rPr>
        <w:br w:type="page"/>
      </w:r>
    </w:p>
    <w:p w14:paraId="334247FB">
      <w:pPr>
        <w:pStyle w:val="2"/>
        <w:jc w:val="center"/>
        <w:rPr>
          <w:rStyle w:val="31"/>
          <w:rFonts w:ascii="黑体" w:hAnsi="黑体" w:eastAsia="黑体"/>
          <w:b/>
          <w:bCs w:val="0"/>
        </w:rPr>
      </w:pPr>
      <w:r>
        <w:rPr>
          <w:rFonts w:hint="eastAsia" w:ascii="黑体" w:hAnsi="黑体" w:eastAsia="黑体"/>
          <w:b w:val="0"/>
        </w:rPr>
        <w:t xml:space="preserve">第一部分 </w:t>
      </w:r>
      <w:r>
        <w:rPr>
          <w:rStyle w:val="31"/>
          <w:rFonts w:hint="eastAsia" w:ascii="黑体" w:hAnsi="黑体" w:eastAsia="黑体"/>
          <w:b w:val="0"/>
          <w:bCs w:val="0"/>
        </w:rPr>
        <w:t>部门概况</w:t>
      </w:r>
      <w:bookmarkEnd w:id="12"/>
      <w:bookmarkEnd w:id="13"/>
    </w:p>
    <w:p w14:paraId="7F2E126F">
      <w:pPr>
        <w:widowControl/>
        <w:jc w:val="left"/>
        <w:rPr>
          <w:rFonts w:ascii="黑体" w:eastAsia="黑体"/>
          <w:sz w:val="32"/>
          <w:szCs w:val="32"/>
        </w:rPr>
      </w:pPr>
    </w:p>
    <w:p w14:paraId="1FF7BCAD">
      <w:pPr>
        <w:pStyle w:val="3"/>
        <w:numPr>
          <w:ilvl w:val="0"/>
          <w:numId w:val="1"/>
        </w:numPr>
        <w:rPr>
          <w:rFonts w:hint="eastAsia" w:ascii="黑体" w:hAnsi="黑体" w:eastAsia="黑体"/>
          <w:b w:val="0"/>
        </w:rPr>
      </w:pPr>
      <w:r>
        <w:rPr>
          <w:rFonts w:hint="eastAsia" w:ascii="黑体" w:hAnsi="黑体" w:eastAsia="黑体"/>
          <w:b w:val="0"/>
        </w:rPr>
        <w:t>部门职责</w:t>
      </w:r>
    </w:p>
    <w:p w14:paraId="1A72657D">
      <w:pPr>
        <w:adjustRightInd w:val="0"/>
        <w:snapToGrid w:val="0"/>
        <w:spacing w:line="56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根据《四川省大熊猫国家公园管理机构设置实施方案》（省委厅〔2019〕2号）、《四川省大熊猫国家公园各管理分局运行机制意见》（川林发〔2019〕20号）、《中共四川省委机构编制委员会办公室关于大熊猫公家公园管理分局有关机构编制事项的批复》（川编办发〔2019〕161号）、《中共阿坝州委机构编制委员会关于大熊猫国家公园阿坝管理分局有关机构编制事项的批复》（阿编发〔2020〕12号）和《中共阿坝州委机构编制委员会关于调整大熊猫国家公园阿坝管理分局有关机构编制事项的通知》（阿编发〔2020〕36号），设立大熊猫国家公园阿坝管理分局。大熊猫国家公园阿坝管理分局为大熊猫国家公园四川省管理局的派出机构，实行四川省林业和草原局（大熊猫国家公园四川省管理局）与州人民政府双重领导，以州人民政府管理为主的管理体制。大熊猫国家公园阿坝管理分局按行政单位管理，人员按进入该单位前的身份进行管理，待中央和省明确政策后逐步规范。</w:t>
      </w:r>
    </w:p>
    <w:p w14:paraId="7ED6637B">
      <w:pPr>
        <w:adjustRightInd w:val="0"/>
        <w:snapToGrid w:val="0"/>
        <w:spacing w:line="56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主要职责是：具体承担辖区内大熊猫国家公园体制试点工作。负责以大熊猫为核心的生物多样性保护和资源环境综合执法；负责项目审查；组织实施特许经营和社会参与，建立社区可持续发展机制；配合地方政府落实国家公园内生产经营设施退出和生态移民搬迁工作；开展巡护监测、科学研究、生态体验和科普教育；组织实施生态工程、保护设施建设。完成省局交办的其他工作。</w:t>
      </w:r>
    </w:p>
    <w:p w14:paraId="20A709F8">
      <w:pPr>
        <w:pStyle w:val="3"/>
        <w:ind w:firstLine="640" w:firstLineChars="200"/>
        <w:rPr>
          <w:rStyle w:val="32"/>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4"/>
      <w:bookmarkEnd w:id="15"/>
    </w:p>
    <w:p w14:paraId="5FEFFE95">
      <w:pPr>
        <w:ind w:firstLine="640" w:firstLineChars="200"/>
        <w:rPr>
          <w:rFonts w:ascii="仿宋" w:hAnsi="仿宋" w:eastAsia="仿宋"/>
          <w:sz w:val="32"/>
          <w:szCs w:val="32"/>
        </w:rPr>
      </w:pPr>
      <w:r>
        <w:rPr>
          <w:rFonts w:hint="eastAsia" w:ascii="仿宋_GB2312" w:hAnsi="仿宋_GB2312" w:eastAsia="仿宋_GB2312" w:cs="仿宋_GB2312"/>
          <w:sz w:val="32"/>
          <w:szCs w:val="32"/>
        </w:rPr>
        <w:t>大熊猫国家公园阿坝管理分局下属</w:t>
      </w:r>
      <w:r>
        <w:rPr>
          <w:rFonts w:hint="eastAsia" w:ascii="仿宋" w:hAnsi="仿宋" w:eastAsia="仿宋"/>
          <w:sz w:val="32"/>
          <w:szCs w:val="32"/>
        </w:rPr>
        <w:t>二级预算单位</w:t>
      </w:r>
      <w:r>
        <w:rPr>
          <w:rFonts w:hint="eastAsia"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14:paraId="4CB39531">
      <w:pPr>
        <w:adjustRightInd w:val="0"/>
        <w:snapToGrid w:val="0"/>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大熊猫国家公园阿坝管理分局属一级预算单位，无下属二级预算单位,内设机构7个,</w:t>
      </w:r>
      <w:r>
        <w:rPr>
          <w:rFonts w:hint="eastAsia" w:ascii="仿宋_GB2312" w:hAnsi="楷体_GB2312" w:eastAsia="仿宋_GB2312"/>
          <w:bCs/>
          <w:color w:val="000000" w:themeColor="text1"/>
          <w:sz w:val="32"/>
          <w:szCs w:val="32"/>
          <w14:textFill>
            <w14:solidFill>
              <w14:schemeClr w14:val="tx1"/>
            </w14:solidFill>
          </w14:textFill>
        </w:rPr>
        <w:t xml:space="preserve"> 办公室、</w:t>
      </w:r>
      <w:r>
        <w:rPr>
          <w:rFonts w:hint="eastAsia" w:ascii="仿宋_GB2312" w:eastAsia="仿宋_GB2312"/>
          <w:bCs/>
          <w:color w:val="000000" w:themeColor="text1"/>
          <w:sz w:val="32"/>
          <w:szCs w:val="32"/>
          <w14:textFill>
            <w14:solidFill>
              <w14:schemeClr w14:val="tx1"/>
            </w14:solidFill>
          </w14:textFill>
        </w:rPr>
        <w:t>野生动植物保护部、</w:t>
      </w:r>
      <w:r>
        <w:rPr>
          <w:rFonts w:hint="eastAsia" w:ascii="仿宋_GB2312" w:hAnsi="楷体_GB2312" w:eastAsia="仿宋_GB2312"/>
          <w:bCs/>
          <w:color w:val="000000" w:themeColor="text1"/>
          <w:sz w:val="32"/>
          <w:szCs w:val="32"/>
          <w14:textFill>
            <w14:solidFill>
              <w14:schemeClr w14:val="tx1"/>
            </w14:solidFill>
          </w14:textFill>
        </w:rPr>
        <w:t>栖息地保护部、科研教育部、社会协调发展部、法规督查部、建设管理部</w:t>
      </w:r>
      <w:r>
        <w:rPr>
          <w:rFonts w:hint="eastAsia" w:ascii="仿宋_GB2312" w:hAnsi="仿宋" w:eastAsia="仿宋_GB2312"/>
          <w:color w:val="000000" w:themeColor="text1"/>
          <w:sz w:val="32"/>
          <w:szCs w:val="32"/>
          <w14:textFill>
            <w14:solidFill>
              <w14:schemeClr w14:val="tx1"/>
            </w14:solidFill>
          </w14:textFill>
        </w:rPr>
        <w:t>。</w:t>
      </w:r>
    </w:p>
    <w:p w14:paraId="6636C2BB">
      <w:pPr>
        <w:adjustRightInd w:val="0"/>
        <w:snapToGrid w:val="0"/>
        <w:spacing w:line="56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themeColor="text1"/>
          <w:sz w:val="32"/>
          <w:szCs w:val="32"/>
          <w14:textFill>
            <w14:solidFill>
              <w14:schemeClr w14:val="tx1"/>
            </w14:solidFill>
          </w14:textFill>
        </w:rPr>
        <w:t>根据</w:t>
      </w:r>
      <w:r>
        <w:rPr>
          <w:rFonts w:hint="eastAsia" w:ascii="仿宋_GB2312" w:hAnsi="仿宋_GB2312" w:eastAsia="仿宋_GB2312" w:cs="仿宋"/>
          <w:color w:val="000000" w:themeColor="text1"/>
          <w:sz w:val="32"/>
          <w:szCs w:val="32"/>
          <w14:textFill>
            <w14:solidFill>
              <w14:schemeClr w14:val="tx1"/>
            </w14:solidFill>
          </w14:textFill>
        </w:rPr>
        <w:t>中共阿坝州委机构编制委员会</w:t>
      </w:r>
      <w:r>
        <w:rPr>
          <w:rFonts w:hint="eastAsia" w:ascii="仿宋_GB2312" w:hAnsi="仿宋" w:eastAsia="仿宋_GB2312"/>
          <w:color w:val="000000" w:themeColor="text1"/>
          <w:sz w:val="32"/>
          <w:szCs w:val="32"/>
          <w14:textFill>
            <w14:solidFill>
              <w14:schemeClr w14:val="tx1"/>
            </w14:solidFill>
          </w14:textFill>
        </w:rPr>
        <w:t>核准，事业编制24名。目前事业编制使用</w:t>
      </w:r>
      <w:r>
        <w:rPr>
          <w:rFonts w:hint="eastAsia" w:ascii="仿宋_GB2312" w:hAnsi="仿宋" w:eastAsia="仿宋_GB2312"/>
          <w:sz w:val="32"/>
          <w:szCs w:val="32"/>
        </w:rPr>
        <w:t>23</w:t>
      </w:r>
      <w:r>
        <w:rPr>
          <w:rFonts w:hint="eastAsia" w:ascii="仿宋_GB2312" w:hAnsi="仿宋" w:eastAsia="仿宋_GB2312"/>
          <w:color w:val="000000" w:themeColor="text1"/>
          <w:sz w:val="32"/>
          <w:szCs w:val="32"/>
          <w14:textFill>
            <w14:solidFill>
              <w14:schemeClr w14:val="tx1"/>
            </w14:solidFill>
          </w14:textFill>
        </w:rPr>
        <w:t>名。</w:t>
      </w:r>
      <w:r>
        <w:rPr>
          <w:rFonts w:hint="eastAsia" w:ascii="仿宋_GB2312" w:eastAsia="仿宋_GB2312"/>
          <w:sz w:val="32"/>
          <w:szCs w:val="32"/>
        </w:rPr>
        <w:t>本单位本年度纳入本套决算编制范围的独立编制机构数共1个，独立核算机构数共1个，无变化。本单位本年度年末实有人数为</w:t>
      </w:r>
      <w:r>
        <w:rPr>
          <w:rFonts w:hint="eastAsia" w:ascii="仿宋_GB2312" w:eastAsia="仿宋_GB2312"/>
          <w:sz w:val="32"/>
          <w:szCs w:val="32"/>
          <w:lang w:val="en-US" w:eastAsia="zh-CN"/>
        </w:rPr>
        <w:t>21</w:t>
      </w:r>
      <w:r>
        <w:rPr>
          <w:rFonts w:hint="eastAsia" w:ascii="仿宋_GB2312" w:eastAsia="仿宋_GB2312"/>
          <w:sz w:val="32"/>
          <w:szCs w:val="32"/>
        </w:rPr>
        <w:t>人，</w:t>
      </w:r>
      <w:r>
        <w:rPr>
          <w:rFonts w:hint="eastAsia" w:ascii="仿宋_GB2312" w:eastAsia="仿宋_GB2312"/>
          <w:sz w:val="32"/>
          <w:szCs w:val="32"/>
          <w:lang w:val="en-US" w:eastAsia="zh-CN"/>
        </w:rPr>
        <w:t>同</w:t>
      </w:r>
      <w:r>
        <w:rPr>
          <w:rFonts w:hint="eastAsia" w:ascii="仿宋_GB2312" w:eastAsia="仿宋_GB2312"/>
          <w:sz w:val="32"/>
          <w:szCs w:val="32"/>
        </w:rPr>
        <w:t>比上年</w:t>
      </w:r>
      <w:r>
        <w:rPr>
          <w:rFonts w:hint="eastAsia" w:ascii="仿宋_GB2312" w:eastAsia="仿宋_GB2312"/>
          <w:sz w:val="32"/>
          <w:szCs w:val="32"/>
          <w:lang w:val="en-US" w:eastAsia="zh-CN"/>
        </w:rPr>
        <w:t>减少2人，2023年4-5月退休2人</w:t>
      </w:r>
      <w:r>
        <w:rPr>
          <w:rFonts w:hint="eastAsia" w:ascii="仿宋_GB2312" w:eastAsia="仿宋_GB2312"/>
          <w:sz w:val="32"/>
          <w:szCs w:val="32"/>
        </w:rPr>
        <w:t>；年末实有离退休人数为</w:t>
      </w:r>
      <w:r>
        <w:rPr>
          <w:rFonts w:hint="eastAsia" w:ascii="仿宋_GB2312" w:eastAsia="仿宋_GB2312"/>
          <w:sz w:val="32"/>
          <w:szCs w:val="32"/>
          <w:lang w:val="en-US" w:eastAsia="zh-CN"/>
        </w:rPr>
        <w:t>2</w:t>
      </w:r>
      <w:r>
        <w:rPr>
          <w:rFonts w:hint="eastAsia" w:ascii="仿宋_GB2312" w:eastAsia="仿宋_GB2312"/>
          <w:sz w:val="32"/>
          <w:szCs w:val="32"/>
        </w:rPr>
        <w:t>人，比上年增加</w:t>
      </w:r>
      <w:r>
        <w:rPr>
          <w:rFonts w:hint="eastAsia" w:ascii="仿宋_GB2312" w:eastAsia="仿宋_GB2312"/>
          <w:sz w:val="32"/>
          <w:szCs w:val="32"/>
          <w:lang w:val="en-US" w:eastAsia="zh-CN"/>
        </w:rPr>
        <w:t>2</w:t>
      </w:r>
      <w:r>
        <w:rPr>
          <w:rFonts w:hint="eastAsia" w:ascii="仿宋_GB2312" w:eastAsia="仿宋_GB2312"/>
          <w:sz w:val="32"/>
          <w:szCs w:val="32"/>
        </w:rPr>
        <w:t>人；临聘伙食团厨师1人</w:t>
      </w:r>
      <w:r>
        <w:rPr>
          <w:rFonts w:hint="eastAsia" w:ascii="仿宋_GB2312" w:eastAsia="仿宋_GB2312"/>
          <w:sz w:val="32"/>
          <w:szCs w:val="32"/>
          <w:u w:val="single"/>
          <w:lang w:eastAsia="zh-CN"/>
        </w:rPr>
        <w:t>，</w:t>
      </w:r>
      <w:r>
        <w:rPr>
          <w:rFonts w:hint="eastAsia" w:ascii="仿宋_GB2312" w:eastAsia="仿宋_GB2312"/>
          <w:sz w:val="32"/>
          <w:szCs w:val="32"/>
          <w:u w:val="single"/>
          <w:lang w:val="en-US" w:eastAsia="zh-CN"/>
        </w:rPr>
        <w:t>同比上年无变化</w:t>
      </w:r>
      <w:r>
        <w:rPr>
          <w:rFonts w:hint="eastAsia" w:ascii="仿宋_GB2312" w:eastAsia="仿宋_GB2312"/>
          <w:sz w:val="32"/>
          <w:szCs w:val="32"/>
          <w:lang w:val="en-US" w:eastAsia="zh-CN"/>
        </w:rPr>
        <w:t>。</w:t>
      </w:r>
    </w:p>
    <w:p w14:paraId="6FC867E0">
      <w:pPr>
        <w:widowControl/>
        <w:jc w:val="left"/>
        <w:rPr>
          <w:rFonts w:ascii="仿宋" w:hAnsi="仿宋" w:eastAsia="仿宋"/>
          <w:kern w:val="0"/>
          <w:sz w:val="32"/>
          <w:szCs w:val="32"/>
        </w:rPr>
      </w:pPr>
      <w:r>
        <w:rPr>
          <w:rFonts w:ascii="仿宋" w:hAnsi="仿宋" w:eastAsia="仿宋"/>
          <w:sz w:val="32"/>
          <w:szCs w:val="32"/>
        </w:rPr>
        <w:br w:type="page"/>
      </w:r>
    </w:p>
    <w:p w14:paraId="7E456A1D">
      <w:pPr>
        <w:pStyle w:val="2"/>
        <w:ind w:right="440"/>
        <w:jc w:val="center"/>
        <w:rPr>
          <w:rStyle w:val="31"/>
          <w:rFonts w:ascii="黑体" w:hAnsi="黑体" w:eastAsia="黑体"/>
          <w:b w:val="0"/>
          <w:bCs/>
        </w:rPr>
      </w:pPr>
      <w:bookmarkStart w:id="16" w:name="_Toc15396602"/>
      <w:bookmarkStart w:id="17" w:name="_Toc15377204"/>
      <w:r>
        <w:rPr>
          <w:rFonts w:hint="eastAsia" w:ascii="黑体" w:hAnsi="黑体" w:eastAsia="黑体"/>
          <w:b w:val="0"/>
        </w:rPr>
        <w:t>第二部分 2023年度</w:t>
      </w:r>
      <w:r>
        <w:rPr>
          <w:rStyle w:val="31"/>
          <w:rFonts w:hint="eastAsia" w:ascii="黑体" w:hAnsi="黑体" w:eastAsia="黑体"/>
          <w:b w:val="0"/>
          <w:bCs/>
        </w:rPr>
        <w:t>部门决算情况说明</w:t>
      </w:r>
      <w:bookmarkEnd w:id="16"/>
      <w:bookmarkEnd w:id="17"/>
    </w:p>
    <w:p w14:paraId="46E37277"/>
    <w:p w14:paraId="63273943">
      <w:pPr>
        <w:pStyle w:val="30"/>
        <w:numPr>
          <w:ilvl w:val="0"/>
          <w:numId w:val="2"/>
        </w:numPr>
        <w:spacing w:line="600" w:lineRule="exact"/>
        <w:ind w:firstLineChars="0"/>
        <w:outlineLvl w:val="1"/>
        <w:rPr>
          <w:rStyle w:val="32"/>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32"/>
          <w:rFonts w:hint="eastAsia" w:ascii="黑体" w:hAnsi="黑体" w:eastAsia="黑体"/>
          <w:b w:val="0"/>
        </w:rPr>
        <w:t>入支出决算总体情况说明</w:t>
      </w:r>
      <w:bookmarkEnd w:id="18"/>
      <w:bookmarkEnd w:id="19"/>
    </w:p>
    <w:p w14:paraId="006553E6">
      <w:pPr>
        <w:shd w:val="clear" w:color="auto" w:fill="FFFFFF"/>
        <w:adjustRightInd w:val="0"/>
        <w:snapToGrid w:val="0"/>
        <w:spacing w:line="560" w:lineRule="exact"/>
        <w:ind w:firstLine="640" w:firstLineChars="200"/>
        <w:rPr>
          <w:rFonts w:ascii="仿宋_GB2312" w:hAnsi="仿宋" w:eastAsia="仿宋_GB2312"/>
          <w:b/>
          <w:color w:val="000000"/>
          <w:sz w:val="32"/>
          <w:szCs w:val="32"/>
        </w:rPr>
      </w:pPr>
      <w:r>
        <w:rPr>
          <w:rFonts w:hint="eastAsia" w:ascii="仿宋" w:hAnsi="仿宋" w:eastAsia="仿宋"/>
          <w:sz w:val="32"/>
          <w:szCs w:val="32"/>
        </w:rPr>
        <w:t>2023年度</w:t>
      </w:r>
      <w:r>
        <w:rPr>
          <w:rFonts w:hint="eastAsia" w:ascii="仿宋" w:hAnsi="仿宋" w:eastAsia="仿宋"/>
          <w:sz w:val="32"/>
          <w:szCs w:val="32"/>
          <w:lang w:val="en-US" w:eastAsia="zh-CN"/>
        </w:rPr>
        <w:t>全年预算数</w:t>
      </w:r>
      <w:r>
        <w:rPr>
          <w:rFonts w:hint="eastAsia" w:ascii="仿宋" w:hAnsi="仿宋" w:eastAsia="仿宋"/>
          <w:sz w:val="32"/>
          <w:szCs w:val="32"/>
        </w:rPr>
        <w:t>收</w:t>
      </w:r>
      <w:r>
        <w:rPr>
          <w:rFonts w:hint="eastAsia" w:ascii="仿宋" w:hAnsi="仿宋" w:eastAsia="仿宋"/>
          <w:sz w:val="32"/>
          <w:szCs w:val="32"/>
          <w:lang w:val="en-US" w:eastAsia="zh-CN"/>
        </w:rPr>
        <w:t>入868.81万元，与2022年相比收入增加175.02万元，</w:t>
      </w:r>
      <w:r>
        <w:rPr>
          <w:rFonts w:hint="eastAsia" w:ascii="仿宋" w:hAnsi="仿宋" w:eastAsia="仿宋"/>
          <w:sz w:val="32"/>
          <w:szCs w:val="32"/>
        </w:rPr>
        <w:t>增长</w:t>
      </w:r>
      <w:r>
        <w:rPr>
          <w:rFonts w:hint="eastAsia" w:ascii="仿宋" w:hAnsi="仿宋" w:eastAsia="仿宋"/>
          <w:sz w:val="32"/>
          <w:szCs w:val="32"/>
          <w:lang w:val="en-US" w:eastAsia="zh-CN"/>
        </w:rPr>
        <w:t>25.22</w:t>
      </w:r>
      <w:r>
        <w:rPr>
          <w:rFonts w:ascii="仿宋" w:hAnsi="仿宋" w:eastAsia="仿宋"/>
          <w:sz w:val="32"/>
          <w:szCs w:val="32"/>
        </w:rPr>
        <w:t>%</w:t>
      </w:r>
      <w:r>
        <w:rPr>
          <w:rFonts w:hint="eastAsia" w:ascii="仿宋" w:hAnsi="仿宋" w:eastAsia="仿宋"/>
          <w:sz w:val="32"/>
          <w:szCs w:val="32"/>
          <w:lang w:eastAsia="zh-CN"/>
        </w:rPr>
        <w:t>，</w:t>
      </w:r>
      <w:r>
        <w:rPr>
          <w:rFonts w:hint="eastAsia" w:ascii="仿宋_GB2312" w:hAnsi="仿宋" w:eastAsia="仿宋_GB2312"/>
          <w:color w:val="000000"/>
          <w:sz w:val="32"/>
          <w:szCs w:val="32"/>
        </w:rPr>
        <w:t>主要变动原因是</w:t>
      </w:r>
      <w:r>
        <w:rPr>
          <w:rFonts w:hint="eastAsia" w:ascii="仿宋_GB2312" w:hAnsi="仿宋" w:eastAsia="仿宋_GB2312"/>
          <w:color w:val="000000"/>
          <w:sz w:val="32"/>
          <w:szCs w:val="32"/>
          <w:lang w:val="en-US" w:eastAsia="zh-CN"/>
        </w:rPr>
        <w:t>人员经费增加和项目经费的增加</w:t>
      </w:r>
      <w:r>
        <w:rPr>
          <w:rStyle w:val="20"/>
          <w:rFonts w:hint="eastAsia" w:ascii="仿宋_GB2312" w:eastAsia="仿宋_GB2312"/>
          <w:b w:val="0"/>
          <w:sz w:val="32"/>
          <w:szCs w:val="32"/>
        </w:rPr>
        <w:t>。</w:t>
      </w:r>
    </w:p>
    <w:p w14:paraId="0FFF0ABA">
      <w:pPr>
        <w:shd w:val="clear" w:color="auto" w:fill="FFFFFF"/>
        <w:adjustRightInd w:val="0"/>
        <w:snapToGrid w:val="0"/>
        <w:spacing w:line="560" w:lineRule="exact"/>
        <w:ind w:firstLine="640" w:firstLineChars="200"/>
        <w:rPr>
          <w:rFonts w:ascii="仿宋_GB2312" w:hAnsi="仿宋" w:eastAsia="仿宋_GB2312"/>
          <w:b/>
          <w:color w:val="000000"/>
          <w:sz w:val="32"/>
          <w:szCs w:val="32"/>
        </w:rPr>
      </w:pPr>
      <w:r>
        <w:rPr>
          <w:rFonts w:hint="eastAsia" w:ascii="仿宋" w:hAnsi="仿宋" w:eastAsia="仿宋"/>
          <w:sz w:val="32"/>
          <w:szCs w:val="32"/>
          <w:lang w:val="en-US" w:eastAsia="zh-CN"/>
        </w:rPr>
        <w:t>2023年度</w:t>
      </w:r>
      <w:r>
        <w:rPr>
          <w:rFonts w:hint="eastAsia" w:ascii="仿宋" w:hAnsi="仿宋" w:eastAsia="仿宋"/>
          <w:sz w:val="32"/>
          <w:szCs w:val="32"/>
        </w:rPr>
        <w:t>支</w:t>
      </w:r>
      <w:r>
        <w:rPr>
          <w:rFonts w:hint="eastAsia" w:ascii="仿宋" w:hAnsi="仿宋" w:eastAsia="仿宋"/>
          <w:sz w:val="32"/>
          <w:szCs w:val="32"/>
          <w:lang w:val="en-US" w:eastAsia="zh-CN"/>
        </w:rPr>
        <w:t>出</w:t>
      </w:r>
      <w:r>
        <w:rPr>
          <w:rFonts w:hint="eastAsia" w:ascii="仿宋" w:hAnsi="仿宋" w:eastAsia="仿宋"/>
          <w:sz w:val="32"/>
          <w:szCs w:val="32"/>
        </w:rPr>
        <w:t>总计为</w:t>
      </w:r>
      <w:r>
        <w:rPr>
          <w:rFonts w:hint="eastAsia"/>
          <w:sz w:val="32"/>
          <w:szCs w:val="32"/>
        </w:rPr>
        <w:t>868.81</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与2022年度相比，支</w:t>
      </w:r>
      <w:r>
        <w:rPr>
          <w:rFonts w:hint="eastAsia" w:ascii="仿宋" w:hAnsi="仿宋" w:eastAsia="仿宋"/>
          <w:sz w:val="32"/>
          <w:szCs w:val="32"/>
          <w:lang w:val="en-US" w:eastAsia="zh-CN"/>
        </w:rPr>
        <w:t>出</w:t>
      </w:r>
      <w:r>
        <w:rPr>
          <w:rFonts w:hint="eastAsia" w:ascii="仿宋" w:hAnsi="仿宋" w:eastAsia="仿宋"/>
          <w:sz w:val="32"/>
          <w:szCs w:val="32"/>
        </w:rPr>
        <w:t>增加</w:t>
      </w:r>
      <w:r>
        <w:rPr>
          <w:rFonts w:hint="eastAsia" w:ascii="仿宋" w:hAnsi="仿宋" w:eastAsia="仿宋"/>
          <w:sz w:val="32"/>
          <w:szCs w:val="32"/>
          <w:lang w:val="en-US" w:eastAsia="zh-CN"/>
        </w:rPr>
        <w:t>175.02</w:t>
      </w:r>
      <w:r>
        <w:rPr>
          <w:rFonts w:hint="eastAsia" w:ascii="仿宋" w:hAnsi="仿宋" w:eastAsia="仿宋"/>
          <w:sz w:val="32"/>
          <w:szCs w:val="32"/>
        </w:rPr>
        <w:t>万元，增长</w:t>
      </w:r>
      <w:r>
        <w:rPr>
          <w:rFonts w:hint="eastAsia" w:ascii="仿宋" w:hAnsi="仿宋" w:eastAsia="仿宋"/>
          <w:sz w:val="32"/>
          <w:szCs w:val="32"/>
          <w:lang w:val="en-US" w:eastAsia="zh-CN"/>
        </w:rPr>
        <w:t>25.22</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color w:val="000000"/>
          <w:sz w:val="32"/>
          <w:szCs w:val="32"/>
          <w:lang w:val="en-US" w:eastAsia="zh-CN"/>
        </w:rPr>
        <w:t>人员经费增加和项目经费的增加</w:t>
      </w:r>
      <w:r>
        <w:rPr>
          <w:rStyle w:val="20"/>
          <w:rFonts w:hint="eastAsia" w:ascii="仿宋_GB2312" w:eastAsia="仿宋_GB2312"/>
          <w:b w:val="0"/>
          <w:sz w:val="32"/>
          <w:szCs w:val="32"/>
        </w:rPr>
        <w:t>。</w:t>
      </w:r>
    </w:p>
    <w:p w14:paraId="45017485">
      <w:pPr>
        <w:keepNext w:val="0"/>
        <w:keepLines w:val="0"/>
        <w:widowControl/>
        <w:suppressLineNumbers w:val="0"/>
        <w:jc w:val="left"/>
      </w:pPr>
    </w:p>
    <w:p w14:paraId="6B59B0E2">
      <w:pPr>
        <w:keepNext w:val="0"/>
        <w:keepLines w:val="0"/>
        <w:widowControl/>
        <w:suppressLineNumbers w:val="0"/>
        <w:jc w:val="left"/>
      </w:pP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3087370" cy="1504950"/>
            <wp:effectExtent l="0" t="0" r="6350" b="381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a:stretch>
                      <a:fillRect/>
                    </a:stretch>
                  </pic:blipFill>
                  <pic:spPr>
                    <a:xfrm>
                      <a:off x="0" y="0"/>
                      <a:ext cx="3087370" cy="1504950"/>
                    </a:xfrm>
                    <a:prstGeom prst="rect">
                      <a:avLst/>
                    </a:prstGeom>
                    <a:noFill/>
                    <a:ln w="9525">
                      <a:noFill/>
                    </a:ln>
                  </pic:spPr>
                </pic:pic>
              </a:graphicData>
            </a:graphic>
          </wp:inline>
        </w:drawing>
      </w:r>
    </w:p>
    <w:p w14:paraId="503B3803">
      <w:pPr>
        <w:spacing w:line="600" w:lineRule="exact"/>
        <w:ind w:firstLine="960" w:firstLineChars="3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18F45E1E">
      <w:pPr>
        <w:pStyle w:val="30"/>
        <w:numPr>
          <w:ilvl w:val="0"/>
          <w:numId w:val="2"/>
        </w:numPr>
        <w:spacing w:line="600" w:lineRule="exact"/>
        <w:ind w:firstLineChars="0"/>
        <w:outlineLvl w:val="1"/>
        <w:rPr>
          <w:rStyle w:val="32"/>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2"/>
          <w:rFonts w:hint="eastAsia" w:ascii="黑体" w:hAnsi="黑体" w:eastAsia="黑体"/>
          <w:b w:val="0"/>
        </w:rPr>
        <w:t>入决算情况说明</w:t>
      </w:r>
      <w:bookmarkEnd w:id="20"/>
      <w:bookmarkEnd w:id="21"/>
    </w:p>
    <w:p w14:paraId="0C51A75F">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868.81</w:t>
      </w:r>
      <w:r>
        <w:rPr>
          <w:rFonts w:hint="eastAsia" w:ascii="仿宋" w:hAnsi="仿宋" w:eastAsia="仿宋"/>
          <w:sz w:val="32"/>
          <w:szCs w:val="32"/>
        </w:rPr>
        <w:t>万元，其中：一般公共预算财政拨款收入</w:t>
      </w:r>
      <w:r>
        <w:rPr>
          <w:sz w:val="32"/>
          <w:szCs w:val="32"/>
        </w:rPr>
        <w:t>868.81</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19B44EF0">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14:paraId="08F93552">
      <w:pPr>
        <w:keepNext w:val="0"/>
        <w:keepLines w:val="0"/>
        <w:widowControl/>
        <w:suppressLineNumbers w:val="0"/>
        <w:jc w:val="left"/>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 xml:space="preserve">              </w:t>
      </w:r>
    </w:p>
    <w:p w14:paraId="554699A6">
      <w:pPr>
        <w:keepNext w:val="0"/>
        <w:keepLines w:val="0"/>
        <w:widowControl/>
        <w:suppressLineNumbers w:val="0"/>
        <w:jc w:val="left"/>
      </w:pP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2828925" cy="1461770"/>
            <wp:effectExtent l="0" t="0" r="5715" b="127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9"/>
                    <a:stretch>
                      <a:fillRect/>
                    </a:stretch>
                  </pic:blipFill>
                  <pic:spPr>
                    <a:xfrm>
                      <a:off x="0" y="0"/>
                      <a:ext cx="2828925" cy="1461770"/>
                    </a:xfrm>
                    <a:prstGeom prst="rect">
                      <a:avLst/>
                    </a:prstGeom>
                    <a:noFill/>
                    <a:ln w="9525">
                      <a:noFill/>
                    </a:ln>
                  </pic:spPr>
                </pic:pic>
              </a:graphicData>
            </a:graphic>
          </wp:inline>
        </w:drawing>
      </w:r>
    </w:p>
    <w:p w14:paraId="032C9D93">
      <w:pPr>
        <w:spacing w:line="600" w:lineRule="exact"/>
        <w:rPr>
          <w:rFonts w:ascii="仿宋_GB2312" w:eastAsia="仿宋_GB2312"/>
          <w:sz w:val="32"/>
          <w:szCs w:val="32"/>
        </w:rPr>
      </w:pPr>
      <w:r>
        <w:rPr>
          <w:rFonts w:hint="eastAsia" w:ascii="仿宋" w:hAnsi="仿宋" w:eastAsia="仿宋"/>
          <w:sz w:val="32"/>
          <w:szCs w:val="32"/>
        </w:rPr>
        <w:t>（图2：收入决算结构图）（饼状图）</w:t>
      </w:r>
    </w:p>
    <w:p w14:paraId="06FF99FB">
      <w:pPr>
        <w:pStyle w:val="30"/>
        <w:numPr>
          <w:ilvl w:val="0"/>
          <w:numId w:val="2"/>
        </w:numPr>
        <w:spacing w:line="600" w:lineRule="exact"/>
        <w:ind w:firstLineChars="0"/>
        <w:outlineLvl w:val="1"/>
        <w:rPr>
          <w:rStyle w:val="32"/>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32"/>
          <w:rFonts w:hint="eastAsia" w:ascii="黑体" w:hAnsi="黑体" w:eastAsia="黑体"/>
          <w:b w:val="0"/>
        </w:rPr>
        <w:t>出决算情况说明</w:t>
      </w:r>
      <w:bookmarkEnd w:id="22"/>
      <w:bookmarkEnd w:id="23"/>
    </w:p>
    <w:p w14:paraId="4D4BEACE">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sz w:val="32"/>
          <w:szCs w:val="32"/>
        </w:rPr>
        <w:t>868.81</w:t>
      </w:r>
      <w:r>
        <w:rPr>
          <w:rFonts w:hint="eastAsia" w:ascii="仿宋" w:hAnsi="仿宋" w:eastAsia="仿宋"/>
          <w:sz w:val="32"/>
          <w:szCs w:val="32"/>
        </w:rPr>
        <w:t>万元，其中：基本支出</w:t>
      </w:r>
      <w:r>
        <w:rPr>
          <w:sz w:val="32"/>
          <w:szCs w:val="32"/>
        </w:rPr>
        <w:t>560.17</w:t>
      </w:r>
      <w:r>
        <w:rPr>
          <w:rFonts w:hint="eastAsia" w:ascii="仿宋" w:hAnsi="仿宋" w:eastAsia="仿宋"/>
          <w:sz w:val="32"/>
          <w:szCs w:val="32"/>
        </w:rPr>
        <w:t>万元，占</w:t>
      </w:r>
      <w:r>
        <w:rPr>
          <w:sz w:val="32"/>
          <w:szCs w:val="32"/>
        </w:rPr>
        <w:t>64.47</w:t>
      </w:r>
      <w:r>
        <w:rPr>
          <w:rFonts w:ascii="仿宋" w:hAnsi="仿宋" w:eastAsia="仿宋"/>
          <w:sz w:val="32"/>
          <w:szCs w:val="32"/>
        </w:rPr>
        <w:t>%</w:t>
      </w:r>
      <w:r>
        <w:rPr>
          <w:rFonts w:hint="eastAsia" w:ascii="仿宋" w:hAnsi="仿宋" w:eastAsia="仿宋"/>
          <w:sz w:val="32"/>
          <w:szCs w:val="32"/>
        </w:rPr>
        <w:t>；项目支出</w:t>
      </w:r>
      <w:r>
        <w:rPr>
          <w:sz w:val="32"/>
          <w:szCs w:val="32"/>
        </w:rPr>
        <w:t>308.64</w:t>
      </w:r>
      <w:r>
        <w:rPr>
          <w:rFonts w:hint="eastAsia" w:ascii="仿宋" w:hAnsi="仿宋" w:eastAsia="仿宋"/>
          <w:sz w:val="32"/>
          <w:szCs w:val="32"/>
        </w:rPr>
        <w:t>万元，占</w:t>
      </w:r>
      <w:r>
        <w:rPr>
          <w:sz w:val="32"/>
          <w:szCs w:val="32"/>
        </w:rPr>
        <w:t>35.52</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252E7A4C">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14:paraId="5B218387">
      <w:pPr>
        <w:keepNext w:val="0"/>
        <w:keepLines w:val="0"/>
        <w:widowControl/>
        <w:suppressLineNumbers w:val="0"/>
        <w:jc w:val="left"/>
      </w:pP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2808605" cy="1588770"/>
            <wp:effectExtent l="0" t="0" r="10795" b="1143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0"/>
                    <a:stretch>
                      <a:fillRect/>
                    </a:stretch>
                  </pic:blipFill>
                  <pic:spPr>
                    <a:xfrm>
                      <a:off x="0" y="0"/>
                      <a:ext cx="2808605" cy="1588770"/>
                    </a:xfrm>
                    <a:prstGeom prst="rect">
                      <a:avLst/>
                    </a:prstGeom>
                    <a:noFill/>
                    <a:ln w="9525">
                      <a:noFill/>
                    </a:ln>
                  </pic:spPr>
                </pic:pic>
              </a:graphicData>
            </a:graphic>
          </wp:inline>
        </w:drawing>
      </w:r>
    </w:p>
    <w:p w14:paraId="0B1B3F06">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6C070A96">
      <w:pPr>
        <w:spacing w:line="600" w:lineRule="exact"/>
        <w:ind w:firstLine="640" w:firstLineChars="200"/>
        <w:outlineLvl w:val="1"/>
        <w:rPr>
          <w:rStyle w:val="32"/>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4"/>
      <w:bookmarkEnd w:id="25"/>
    </w:p>
    <w:p w14:paraId="65179443">
      <w:pPr>
        <w:spacing w:line="600" w:lineRule="exact"/>
        <w:ind w:firstLine="640"/>
        <w:rPr>
          <w:rFonts w:hint="eastAsia" w:ascii="仿宋" w:hAnsi="仿宋" w:eastAsia="仿宋"/>
          <w:sz w:val="32"/>
          <w:szCs w:val="32"/>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年财政拨款收入总计</w:t>
      </w:r>
      <w:r>
        <w:rPr>
          <w:rFonts w:hint="eastAsia" w:ascii="仿宋_GB2312" w:hAnsi="仿宋" w:eastAsia="仿宋_GB2312"/>
          <w:color w:val="000000"/>
          <w:sz w:val="32"/>
          <w:szCs w:val="32"/>
          <w:lang w:val="en-US" w:eastAsia="zh-CN"/>
        </w:rPr>
        <w:t>868.81</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val="en-US" w:eastAsia="zh-CN"/>
        </w:rPr>
        <w:t>与2022年度相比</w:t>
      </w:r>
      <w:r>
        <w:rPr>
          <w:rFonts w:hint="eastAsia" w:ascii="仿宋" w:hAnsi="仿宋" w:eastAsia="仿宋"/>
          <w:sz w:val="32"/>
          <w:szCs w:val="32"/>
        </w:rPr>
        <w:t>财政拨款收</w:t>
      </w:r>
      <w:r>
        <w:rPr>
          <w:rFonts w:hint="eastAsia" w:ascii="仿宋" w:hAnsi="仿宋" w:eastAsia="仿宋"/>
          <w:sz w:val="32"/>
          <w:szCs w:val="32"/>
          <w:lang w:val="en-US" w:eastAsia="zh-CN"/>
        </w:rPr>
        <w:t>入</w:t>
      </w:r>
      <w:r>
        <w:rPr>
          <w:rFonts w:hint="eastAsia" w:ascii="仿宋" w:hAnsi="仿宋" w:eastAsia="仿宋"/>
          <w:sz w:val="32"/>
          <w:szCs w:val="32"/>
        </w:rPr>
        <w:t>增加</w:t>
      </w:r>
      <w:r>
        <w:rPr>
          <w:rFonts w:hint="eastAsia" w:ascii="仿宋" w:hAnsi="仿宋" w:eastAsia="仿宋"/>
          <w:sz w:val="32"/>
          <w:szCs w:val="32"/>
          <w:lang w:val="en-US" w:eastAsia="zh-CN"/>
        </w:rPr>
        <w:t>175.02</w:t>
      </w:r>
      <w:r>
        <w:rPr>
          <w:rFonts w:hint="eastAsia" w:ascii="仿宋" w:hAnsi="仿宋" w:eastAsia="仿宋"/>
          <w:sz w:val="32"/>
          <w:szCs w:val="32"/>
        </w:rPr>
        <w:t>万元，增长</w:t>
      </w:r>
      <w:r>
        <w:rPr>
          <w:rFonts w:hint="eastAsia" w:ascii="仿宋" w:hAnsi="仿宋" w:eastAsia="仿宋"/>
          <w:sz w:val="32"/>
          <w:szCs w:val="32"/>
          <w:lang w:val="en-US" w:eastAsia="zh-CN"/>
        </w:rPr>
        <w:t>25.22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2023年度人员经费和项目经费的增加。</w:t>
      </w:r>
    </w:p>
    <w:p w14:paraId="779BDB44">
      <w:pPr>
        <w:spacing w:line="600" w:lineRule="exact"/>
        <w:ind w:firstLine="640"/>
        <w:rPr>
          <w:rFonts w:hint="eastAsia" w:ascii="仿宋" w:hAnsi="仿宋" w:eastAsia="仿宋"/>
          <w:sz w:val="32"/>
          <w:szCs w:val="32"/>
        </w:rPr>
      </w:pPr>
      <w:r>
        <w:rPr>
          <w:rFonts w:hint="eastAsia" w:ascii="仿宋" w:hAnsi="仿宋" w:eastAsia="仿宋"/>
          <w:sz w:val="32"/>
          <w:szCs w:val="32"/>
        </w:rPr>
        <w:t>2023年度财政拨款支</w:t>
      </w:r>
      <w:r>
        <w:rPr>
          <w:rFonts w:hint="eastAsia" w:ascii="仿宋" w:hAnsi="仿宋" w:eastAsia="仿宋"/>
          <w:sz w:val="32"/>
          <w:szCs w:val="32"/>
          <w:lang w:val="en-US" w:eastAsia="zh-CN"/>
        </w:rPr>
        <w:t>出</w:t>
      </w:r>
      <w:r>
        <w:rPr>
          <w:rFonts w:hint="eastAsia" w:ascii="仿宋" w:hAnsi="仿宋" w:eastAsia="仿宋"/>
          <w:sz w:val="32"/>
          <w:szCs w:val="32"/>
        </w:rPr>
        <w:t>总计为</w:t>
      </w:r>
      <w:r>
        <w:rPr>
          <w:sz w:val="32"/>
          <w:szCs w:val="32"/>
        </w:rPr>
        <w:t>868.81</w:t>
      </w:r>
      <w:r>
        <w:rPr>
          <w:rFonts w:hint="eastAsia" w:ascii="仿宋" w:hAnsi="仿宋" w:eastAsia="仿宋"/>
          <w:sz w:val="32"/>
          <w:szCs w:val="32"/>
        </w:rPr>
        <w:t>万元。与2022年度相比，财政拨款支</w:t>
      </w:r>
      <w:r>
        <w:rPr>
          <w:rFonts w:hint="eastAsia" w:ascii="仿宋" w:hAnsi="仿宋" w:eastAsia="仿宋"/>
          <w:sz w:val="32"/>
          <w:szCs w:val="32"/>
          <w:lang w:val="en-US" w:eastAsia="zh-CN"/>
        </w:rPr>
        <w:t>出</w:t>
      </w:r>
      <w:r>
        <w:rPr>
          <w:rFonts w:hint="eastAsia" w:ascii="仿宋" w:hAnsi="仿宋" w:eastAsia="仿宋"/>
          <w:sz w:val="32"/>
          <w:szCs w:val="32"/>
        </w:rPr>
        <w:t>总计增加</w:t>
      </w:r>
      <w:r>
        <w:rPr>
          <w:rFonts w:hint="eastAsia" w:ascii="仿宋" w:hAnsi="仿宋" w:eastAsia="仿宋"/>
          <w:sz w:val="32"/>
          <w:szCs w:val="32"/>
          <w:lang w:val="en-US" w:eastAsia="zh-CN"/>
        </w:rPr>
        <w:t>175.02</w:t>
      </w:r>
      <w:r>
        <w:rPr>
          <w:rFonts w:hint="eastAsia" w:ascii="仿宋" w:hAnsi="仿宋" w:eastAsia="仿宋"/>
          <w:sz w:val="32"/>
          <w:szCs w:val="32"/>
        </w:rPr>
        <w:t>万元，增长</w:t>
      </w:r>
      <w:r>
        <w:rPr>
          <w:rFonts w:hint="eastAsia" w:ascii="仿宋" w:hAnsi="仿宋" w:eastAsia="仿宋"/>
          <w:sz w:val="32"/>
          <w:szCs w:val="32"/>
          <w:lang w:val="en-US" w:eastAsia="zh-CN"/>
        </w:rPr>
        <w:t>25.22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人员经费和项目经费的增加。</w:t>
      </w:r>
    </w:p>
    <w:p w14:paraId="593C4BF4">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764E1987">
      <w:pPr>
        <w:keepNext w:val="0"/>
        <w:keepLines w:val="0"/>
        <w:widowControl/>
        <w:suppressLineNumbers w:val="0"/>
        <w:jc w:val="left"/>
      </w:pPr>
    </w:p>
    <w:p w14:paraId="798172C1">
      <w:pPr>
        <w:keepNext w:val="0"/>
        <w:keepLines w:val="0"/>
        <w:widowControl/>
        <w:suppressLineNumbers w:val="0"/>
        <w:jc w:val="left"/>
      </w:pP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2814320" cy="1769745"/>
            <wp:effectExtent l="0" t="0" r="5080" b="13335"/>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11"/>
                    <a:stretch>
                      <a:fillRect/>
                    </a:stretch>
                  </pic:blipFill>
                  <pic:spPr>
                    <a:xfrm>
                      <a:off x="0" y="0"/>
                      <a:ext cx="2814320" cy="1769745"/>
                    </a:xfrm>
                    <a:prstGeom prst="rect">
                      <a:avLst/>
                    </a:prstGeom>
                    <a:noFill/>
                    <a:ln w="9525">
                      <a:noFill/>
                    </a:ln>
                  </pic:spPr>
                </pic:pic>
              </a:graphicData>
            </a:graphic>
          </wp:inline>
        </w:drawing>
      </w:r>
    </w:p>
    <w:p w14:paraId="5B3D02BE">
      <w:pPr>
        <w:spacing w:line="600" w:lineRule="exact"/>
        <w:ind w:firstLine="320" w:firstLineChars="100"/>
        <w:rPr>
          <w:rFonts w:ascii="仿宋" w:hAnsi="仿宋" w:eastAsia="仿宋"/>
          <w:sz w:val="32"/>
          <w:szCs w:val="32"/>
        </w:rPr>
      </w:pPr>
      <w:r>
        <w:rPr>
          <w:rFonts w:hint="eastAsia" w:ascii="仿宋" w:hAnsi="仿宋" w:eastAsia="仿宋"/>
          <w:sz w:val="32"/>
          <w:szCs w:val="32"/>
        </w:rPr>
        <w:t>（图4：财政拨款收、支决算总计变动情况）（柱状图）</w:t>
      </w:r>
    </w:p>
    <w:p w14:paraId="4CD1EF17">
      <w:pPr>
        <w:spacing w:line="600" w:lineRule="exact"/>
        <w:ind w:firstLine="640" w:firstLineChars="200"/>
        <w:outlineLvl w:val="1"/>
        <w:rPr>
          <w:rStyle w:val="32"/>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26"/>
      <w:bookmarkEnd w:id="27"/>
    </w:p>
    <w:p w14:paraId="29F0FB61">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3C5040C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2023年度一般公共预算财政拨款支出</w:t>
      </w:r>
      <w:r>
        <w:rPr>
          <w:sz w:val="32"/>
          <w:szCs w:val="32"/>
        </w:rPr>
        <w:t>868.81</w:t>
      </w:r>
      <w:r>
        <w:rPr>
          <w:rFonts w:hint="eastAsia" w:ascii="仿宋" w:hAnsi="仿宋" w:eastAsia="仿宋"/>
          <w:sz w:val="32"/>
          <w:szCs w:val="32"/>
        </w:rPr>
        <w:t>万元，占本年支出合计的</w:t>
      </w:r>
      <w:r>
        <w:rPr>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175.02</w:t>
      </w:r>
      <w:r>
        <w:rPr>
          <w:rFonts w:hint="eastAsia" w:ascii="仿宋" w:hAnsi="仿宋" w:eastAsia="仿宋"/>
          <w:sz w:val="32"/>
          <w:szCs w:val="32"/>
        </w:rPr>
        <w:t>万元，增长</w:t>
      </w:r>
      <w:r>
        <w:rPr>
          <w:rFonts w:hint="eastAsia" w:ascii="仿宋" w:hAnsi="仿宋" w:eastAsia="仿宋"/>
          <w:sz w:val="32"/>
          <w:szCs w:val="32"/>
          <w:lang w:val="en-US" w:eastAsia="zh-CN"/>
        </w:rPr>
        <w:t>25.22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人员经费和项目经费的增加。</w:t>
      </w:r>
      <w:r>
        <w:rPr>
          <w:rFonts w:hint="eastAsia" w:ascii="仿宋" w:hAnsi="仿宋" w:eastAsia="仿宋"/>
          <w:sz w:val="32"/>
          <w:szCs w:val="32"/>
        </w:rPr>
        <w:t>（图5：一般公共预算财政拨款支出决算变动情况）（柱状图）</w:t>
      </w:r>
    </w:p>
    <w:p w14:paraId="54C996ED">
      <w:pPr>
        <w:keepNext w:val="0"/>
        <w:keepLines w:val="0"/>
        <w:widowControl/>
        <w:suppressLineNumbers w:val="0"/>
        <w:jc w:val="left"/>
      </w:pP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3315335" cy="1747520"/>
            <wp:effectExtent l="0" t="0" r="6985" b="5080"/>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12"/>
                    <a:stretch>
                      <a:fillRect/>
                    </a:stretch>
                  </pic:blipFill>
                  <pic:spPr>
                    <a:xfrm>
                      <a:off x="0" y="0"/>
                      <a:ext cx="3315335" cy="1747520"/>
                    </a:xfrm>
                    <a:prstGeom prst="rect">
                      <a:avLst/>
                    </a:prstGeom>
                    <a:noFill/>
                    <a:ln w="9525">
                      <a:noFill/>
                    </a:ln>
                  </pic:spPr>
                </pic:pic>
              </a:graphicData>
            </a:graphic>
          </wp:inline>
        </w:drawing>
      </w:r>
    </w:p>
    <w:p w14:paraId="0BFFC79E">
      <w:pPr>
        <w:spacing w:line="600" w:lineRule="exact"/>
        <w:ind w:firstLine="321" w:firstLineChars="1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288F1803">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868.81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71.59</w:t>
      </w:r>
      <w:r>
        <w:rPr>
          <w:rFonts w:hint="eastAsia" w:ascii="仿宋" w:hAnsi="仿宋" w:eastAsia="仿宋"/>
          <w:sz w:val="32"/>
          <w:szCs w:val="32"/>
        </w:rPr>
        <w:t>万元，占</w:t>
      </w:r>
      <w:r>
        <w:rPr>
          <w:rFonts w:hint="eastAsia" w:ascii="仿宋" w:hAnsi="仿宋" w:eastAsia="仿宋"/>
          <w:sz w:val="32"/>
          <w:szCs w:val="32"/>
          <w:lang w:val="en-US" w:eastAsia="zh-CN"/>
        </w:rPr>
        <w:t>8.24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27.01</w:t>
      </w:r>
      <w:r>
        <w:rPr>
          <w:rFonts w:hint="eastAsia" w:ascii="仿宋" w:hAnsi="仿宋" w:eastAsia="仿宋"/>
          <w:sz w:val="32"/>
          <w:szCs w:val="32"/>
        </w:rPr>
        <w:t>万元，占</w:t>
      </w:r>
      <w:r>
        <w:rPr>
          <w:rFonts w:hint="eastAsia" w:ascii="仿宋" w:hAnsi="仿宋" w:eastAsia="仿宋"/>
          <w:sz w:val="32"/>
          <w:szCs w:val="32"/>
          <w:lang w:val="en-US" w:eastAsia="zh-CN"/>
        </w:rPr>
        <w:t>3.11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38.12</w:t>
      </w:r>
      <w:r>
        <w:rPr>
          <w:rFonts w:hint="eastAsia" w:ascii="仿宋" w:hAnsi="仿宋" w:eastAsia="仿宋"/>
          <w:sz w:val="32"/>
          <w:szCs w:val="32"/>
        </w:rPr>
        <w:t>万元，占</w:t>
      </w:r>
      <w:r>
        <w:rPr>
          <w:rFonts w:hint="eastAsia" w:ascii="仿宋" w:hAnsi="仿宋" w:eastAsia="仿宋"/>
          <w:sz w:val="32"/>
          <w:szCs w:val="32"/>
          <w:lang w:val="en-US" w:eastAsia="zh-CN"/>
        </w:rPr>
        <w:t>4.39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val="en-US" w:eastAsia="zh-CN"/>
        </w:rPr>
        <w:t>农林水支出</w:t>
      </w:r>
      <w:r>
        <w:rPr>
          <w:rFonts w:hint="eastAsia" w:ascii="仿宋" w:hAnsi="仿宋" w:eastAsia="仿宋"/>
          <w:b w:val="0"/>
          <w:bCs w:val="0"/>
          <w:sz w:val="32"/>
          <w:szCs w:val="32"/>
          <w:lang w:val="en-US" w:eastAsia="zh-CN"/>
        </w:rPr>
        <w:t>534.72万元，占61.54%；</w:t>
      </w:r>
      <w:r>
        <w:rPr>
          <w:rFonts w:hint="eastAsia" w:ascii="仿宋" w:hAnsi="仿宋" w:eastAsia="仿宋"/>
          <w:b/>
          <w:bCs/>
          <w:sz w:val="32"/>
          <w:szCs w:val="32"/>
          <w:lang w:val="en-US" w:eastAsia="zh-CN"/>
        </w:rPr>
        <w:t>节能环保支出</w:t>
      </w:r>
      <w:r>
        <w:rPr>
          <w:rFonts w:hint="eastAsia" w:ascii="仿宋" w:hAnsi="仿宋" w:eastAsia="仿宋"/>
          <w:b w:val="0"/>
          <w:bCs w:val="0"/>
          <w:sz w:val="32"/>
          <w:szCs w:val="32"/>
          <w:lang w:val="en-US" w:eastAsia="zh-CN"/>
        </w:rPr>
        <w:t>197.36万元，</w:t>
      </w:r>
      <w:r>
        <w:rPr>
          <w:rFonts w:hint="eastAsia" w:ascii="仿宋" w:hAnsi="仿宋" w:eastAsia="仿宋"/>
          <w:sz w:val="32"/>
          <w:szCs w:val="32"/>
        </w:rPr>
        <w:t>占</w:t>
      </w:r>
      <w:r>
        <w:rPr>
          <w:rFonts w:hint="eastAsia" w:ascii="仿宋" w:hAnsi="仿宋" w:eastAsia="仿宋"/>
          <w:sz w:val="32"/>
          <w:szCs w:val="32"/>
          <w:lang w:val="en-US" w:eastAsia="zh-CN"/>
        </w:rPr>
        <w:t>22.72</w:t>
      </w:r>
      <w:r>
        <w:rPr>
          <w:rFonts w:ascii="仿宋" w:hAnsi="仿宋" w:eastAsia="仿宋"/>
          <w:sz w:val="32"/>
          <w:szCs w:val="32"/>
        </w:rPr>
        <w:t>%</w:t>
      </w:r>
      <w:r>
        <w:rPr>
          <w:rFonts w:hint="eastAsia" w:ascii="仿宋" w:hAnsi="仿宋" w:eastAsia="仿宋"/>
          <w:b/>
          <w:bCs/>
          <w:sz w:val="32"/>
          <w:szCs w:val="32"/>
          <w:lang w:val="en-US" w:eastAsia="zh-CN"/>
        </w:rPr>
        <w:t xml:space="preserve"> </w:t>
      </w:r>
      <w:r>
        <w:rPr>
          <w:rFonts w:hint="eastAsia" w:ascii="仿宋" w:hAnsi="仿宋" w:eastAsia="仿宋"/>
          <w:sz w:val="32"/>
          <w:szCs w:val="32"/>
        </w:rPr>
        <w:t>。</w:t>
      </w:r>
    </w:p>
    <w:p w14:paraId="3C642A2E">
      <w:pPr>
        <w:spacing w:line="600" w:lineRule="exact"/>
        <w:ind w:firstLine="640"/>
        <w:rPr>
          <w:rFonts w:ascii="仿宋" w:hAnsi="仿宋" w:eastAsia="仿宋"/>
          <w:sz w:val="32"/>
          <w:szCs w:val="32"/>
        </w:rPr>
      </w:pPr>
      <w:r>
        <w:rPr>
          <w:rFonts w:hint="eastAsia" w:ascii="仿宋" w:hAnsi="仿宋" w:eastAsia="仿宋"/>
          <w:b/>
          <w:sz w:val="32"/>
          <w:szCs w:val="32"/>
        </w:rPr>
        <w:t>（注：数据来源于财决01-1表，仅罗列本部门涉及的全部功能分类科目，至类级。）</w:t>
      </w:r>
      <w:r>
        <w:rPr>
          <w:rFonts w:hint="eastAsia" w:ascii="仿宋" w:hAnsi="仿宋" w:eastAsia="仿宋"/>
          <w:sz w:val="32"/>
          <w:szCs w:val="32"/>
        </w:rPr>
        <w:t>（图6：一般公共预算财政拨款支出决算结构）（饼状图）</w:t>
      </w:r>
    </w:p>
    <w:p w14:paraId="41A2E849">
      <w:pPr>
        <w:keepNext w:val="0"/>
        <w:keepLines w:val="0"/>
        <w:widowControl/>
        <w:suppressLineNumbers w:val="0"/>
        <w:jc w:val="left"/>
      </w:pP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3435350" cy="1878330"/>
            <wp:effectExtent l="0" t="0" r="8890" b="11430"/>
            <wp:docPr id="9"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56"/>
                    <pic:cNvPicPr>
                      <a:picLocks noChangeAspect="1"/>
                    </pic:cNvPicPr>
                  </pic:nvPicPr>
                  <pic:blipFill>
                    <a:blip r:embed="rId13"/>
                    <a:stretch>
                      <a:fillRect/>
                    </a:stretch>
                  </pic:blipFill>
                  <pic:spPr>
                    <a:xfrm>
                      <a:off x="0" y="0"/>
                      <a:ext cx="3435350" cy="1878330"/>
                    </a:xfrm>
                    <a:prstGeom prst="rect">
                      <a:avLst/>
                    </a:prstGeom>
                    <a:noFill/>
                    <a:ln w="9525">
                      <a:noFill/>
                    </a:ln>
                  </pic:spPr>
                </pic:pic>
              </a:graphicData>
            </a:graphic>
          </wp:inline>
        </w:drawing>
      </w:r>
    </w:p>
    <w:p w14:paraId="57544DC2">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3AC7F82F">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2023年度一般公共预算支出决算数为</w:t>
      </w:r>
      <w:r>
        <w:rPr>
          <w:sz w:val="32"/>
          <w:szCs w:val="32"/>
        </w:rPr>
        <w:t>868.81</w:t>
      </w:r>
      <w:r>
        <w:rPr>
          <w:rFonts w:hint="eastAsia" w:ascii="仿宋" w:hAnsi="仿宋" w:eastAsia="仿宋"/>
          <w:sz w:val="32"/>
          <w:szCs w:val="32"/>
        </w:rPr>
        <w:t>，</w:t>
      </w:r>
      <w:r>
        <w:rPr>
          <w:rStyle w:val="20"/>
          <w:rFonts w:hint="eastAsia" w:ascii="仿宋" w:hAnsi="仿宋" w:eastAsia="仿宋"/>
          <w:bCs/>
          <w:sz w:val="32"/>
          <w:szCs w:val="32"/>
        </w:rPr>
        <w:t>完成预算</w:t>
      </w:r>
      <w:r>
        <w:rPr>
          <w:rStyle w:val="20"/>
          <w:rFonts w:hint="eastAsia" w:ascii="仿宋" w:hAnsi="仿宋" w:eastAsia="仿宋"/>
          <w:bCs/>
          <w:sz w:val="32"/>
          <w:szCs w:val="32"/>
          <w:lang w:val="en-US" w:eastAsia="zh-CN"/>
        </w:rPr>
        <w:t>100</w:t>
      </w:r>
      <w:r>
        <w:rPr>
          <w:rStyle w:val="20"/>
          <w:rFonts w:ascii="仿宋" w:hAnsi="仿宋" w:eastAsia="仿宋"/>
          <w:bCs/>
          <w:sz w:val="32"/>
          <w:szCs w:val="32"/>
        </w:rPr>
        <w:t>%</w:t>
      </w:r>
      <w:r>
        <w:rPr>
          <w:rStyle w:val="20"/>
          <w:rFonts w:hint="eastAsia" w:ascii="仿宋" w:hAnsi="仿宋" w:eastAsia="仿宋"/>
          <w:bCs/>
          <w:sz w:val="32"/>
          <w:szCs w:val="32"/>
        </w:rPr>
        <w:t>。其中：</w:t>
      </w:r>
      <w:bookmarkEnd w:id="31"/>
      <w:bookmarkEnd w:id="32"/>
      <w:bookmarkEnd w:id="33"/>
    </w:p>
    <w:p w14:paraId="0C2AD804">
      <w:pPr>
        <w:spacing w:line="600" w:lineRule="exact"/>
        <w:ind w:firstLine="643" w:firstLineChars="200"/>
        <w:rPr>
          <w:rFonts w:ascii="仿宋" w:hAnsi="仿宋" w:eastAsia="仿宋"/>
          <w:b/>
          <w:sz w:val="32"/>
          <w:szCs w:val="32"/>
        </w:rPr>
      </w:pPr>
      <w:r>
        <w:rPr>
          <w:rStyle w:val="20"/>
          <w:rFonts w:ascii="仿宋" w:hAnsi="仿宋" w:eastAsia="仿宋"/>
          <w:bCs/>
          <w:sz w:val="32"/>
          <w:szCs w:val="32"/>
        </w:rPr>
        <w:t>1.</w:t>
      </w:r>
      <w:r>
        <w:rPr>
          <w:rStyle w:val="20"/>
          <w:rFonts w:hint="eastAsia" w:ascii="仿宋" w:hAnsi="仿宋" w:eastAsia="仿宋"/>
          <w:bCs/>
          <w:sz w:val="32"/>
          <w:szCs w:val="32"/>
        </w:rPr>
        <w:t>一般公共服务（类）</w:t>
      </w:r>
      <w:r>
        <w:rPr>
          <w:rStyle w:val="20"/>
          <w:rFonts w:ascii="仿宋" w:hAnsi="仿宋" w:eastAsia="仿宋"/>
          <w:bCs/>
          <w:sz w:val="32"/>
          <w:szCs w:val="32"/>
        </w:rPr>
        <w:t>***</w:t>
      </w:r>
      <w:r>
        <w:rPr>
          <w:rStyle w:val="20"/>
          <w:rFonts w:hint="eastAsia" w:ascii="仿宋" w:hAnsi="仿宋" w:eastAsia="仿宋"/>
          <w:bCs/>
          <w:sz w:val="32"/>
          <w:szCs w:val="32"/>
        </w:rPr>
        <w:t>（款）</w:t>
      </w:r>
      <w:r>
        <w:rPr>
          <w:rStyle w:val="20"/>
          <w:rFonts w:ascii="仿宋" w:hAnsi="仿宋" w:eastAsia="仿宋"/>
          <w:bCs/>
          <w:sz w:val="32"/>
          <w:szCs w:val="32"/>
        </w:rPr>
        <w:t>***</w:t>
      </w:r>
      <w:r>
        <w:rPr>
          <w:rStyle w:val="20"/>
          <w:rFonts w:hint="eastAsia" w:ascii="仿宋" w:hAnsi="仿宋" w:eastAsia="仿宋"/>
          <w:bCs/>
          <w:sz w:val="32"/>
          <w:szCs w:val="32"/>
        </w:rPr>
        <w:t>（项）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0</w:t>
      </w:r>
      <w:r>
        <w:rPr>
          <w:rStyle w:val="20"/>
          <w:rFonts w:ascii="仿宋" w:hAnsi="仿宋" w:eastAsia="仿宋"/>
          <w:b w:val="0"/>
          <w:bCs/>
          <w:sz w:val="32"/>
          <w:szCs w:val="32"/>
        </w:rPr>
        <w:t>%</w:t>
      </w:r>
      <w:r>
        <w:rPr>
          <w:rStyle w:val="20"/>
          <w:rFonts w:hint="eastAsia" w:ascii="仿宋" w:hAnsi="仿宋" w:eastAsia="仿宋"/>
          <w:b w:val="0"/>
          <w:bCs/>
          <w:sz w:val="32"/>
          <w:szCs w:val="32"/>
        </w:rPr>
        <w:t>，决算数小于</w:t>
      </w:r>
      <w:r>
        <w:rPr>
          <w:rStyle w:val="20"/>
          <w:rFonts w:ascii="仿宋" w:hAnsi="仿宋" w:eastAsia="仿宋"/>
          <w:b w:val="0"/>
          <w:bCs/>
          <w:sz w:val="32"/>
          <w:szCs w:val="32"/>
        </w:rPr>
        <w:t>/</w:t>
      </w:r>
      <w:r>
        <w:rPr>
          <w:rStyle w:val="20"/>
          <w:rFonts w:hint="eastAsia" w:ascii="仿宋" w:hAnsi="仿宋" w:eastAsia="仿宋"/>
          <w:b w:val="0"/>
          <w:bCs/>
          <w:sz w:val="32"/>
          <w:szCs w:val="32"/>
        </w:rPr>
        <w:t>等于预算数的主要原因是…。</w:t>
      </w:r>
    </w:p>
    <w:p w14:paraId="69D9A609">
      <w:pPr>
        <w:spacing w:line="600" w:lineRule="exact"/>
        <w:ind w:firstLine="643" w:firstLineChars="200"/>
        <w:rPr>
          <w:rFonts w:ascii="仿宋" w:hAnsi="仿宋" w:eastAsia="仿宋"/>
          <w:b/>
          <w:sz w:val="32"/>
          <w:szCs w:val="32"/>
        </w:rPr>
      </w:pPr>
      <w:r>
        <w:rPr>
          <w:rStyle w:val="20"/>
          <w:rFonts w:ascii="仿宋" w:hAnsi="仿宋" w:eastAsia="仿宋"/>
          <w:bCs/>
          <w:sz w:val="32"/>
          <w:szCs w:val="32"/>
        </w:rPr>
        <w:t>2.</w:t>
      </w:r>
      <w:r>
        <w:rPr>
          <w:rStyle w:val="20"/>
          <w:rFonts w:hint="eastAsia" w:ascii="仿宋" w:hAnsi="仿宋" w:eastAsia="仿宋"/>
          <w:bCs/>
          <w:sz w:val="32"/>
          <w:szCs w:val="32"/>
        </w:rPr>
        <w:t>教育（类）</w:t>
      </w:r>
      <w:r>
        <w:rPr>
          <w:rStyle w:val="20"/>
          <w:rFonts w:ascii="仿宋" w:hAnsi="仿宋" w:eastAsia="仿宋"/>
          <w:bCs/>
          <w:sz w:val="32"/>
          <w:szCs w:val="32"/>
        </w:rPr>
        <w:t>***</w:t>
      </w:r>
      <w:r>
        <w:rPr>
          <w:rStyle w:val="20"/>
          <w:rFonts w:hint="eastAsia" w:ascii="仿宋" w:hAnsi="仿宋" w:eastAsia="仿宋"/>
          <w:bCs/>
          <w:sz w:val="32"/>
          <w:szCs w:val="32"/>
        </w:rPr>
        <w:t>（款）</w:t>
      </w:r>
      <w:r>
        <w:rPr>
          <w:rStyle w:val="20"/>
          <w:rFonts w:ascii="仿宋" w:hAnsi="仿宋" w:eastAsia="仿宋"/>
          <w:bCs/>
          <w:sz w:val="32"/>
          <w:szCs w:val="32"/>
        </w:rPr>
        <w:t>***</w:t>
      </w:r>
      <w:r>
        <w:rPr>
          <w:rStyle w:val="20"/>
          <w:rFonts w:hint="eastAsia" w:ascii="仿宋" w:hAnsi="仿宋" w:eastAsia="仿宋"/>
          <w:bCs/>
          <w:sz w:val="32"/>
          <w:szCs w:val="32"/>
        </w:rPr>
        <w:t>（项）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0</w:t>
      </w:r>
      <w:r>
        <w:rPr>
          <w:rStyle w:val="20"/>
          <w:rFonts w:ascii="仿宋" w:hAnsi="仿宋" w:eastAsia="仿宋"/>
          <w:b w:val="0"/>
          <w:bCs/>
          <w:sz w:val="32"/>
          <w:szCs w:val="32"/>
        </w:rPr>
        <w:t>%</w:t>
      </w:r>
      <w:r>
        <w:rPr>
          <w:rStyle w:val="20"/>
          <w:rFonts w:hint="eastAsia" w:ascii="仿宋" w:hAnsi="仿宋" w:eastAsia="仿宋"/>
          <w:b w:val="0"/>
          <w:bCs/>
          <w:sz w:val="32"/>
          <w:szCs w:val="32"/>
        </w:rPr>
        <w:t>，决算数小于</w:t>
      </w:r>
      <w:r>
        <w:rPr>
          <w:rStyle w:val="20"/>
          <w:rFonts w:ascii="仿宋" w:hAnsi="仿宋" w:eastAsia="仿宋"/>
          <w:b w:val="0"/>
          <w:bCs/>
          <w:sz w:val="32"/>
          <w:szCs w:val="32"/>
        </w:rPr>
        <w:t>/</w:t>
      </w:r>
      <w:r>
        <w:rPr>
          <w:rStyle w:val="20"/>
          <w:rFonts w:hint="eastAsia" w:ascii="仿宋" w:hAnsi="仿宋" w:eastAsia="仿宋"/>
          <w:b w:val="0"/>
          <w:bCs/>
          <w:sz w:val="32"/>
          <w:szCs w:val="32"/>
        </w:rPr>
        <w:t>等于预算数的主要原因是…。</w:t>
      </w:r>
    </w:p>
    <w:p w14:paraId="3B5DC13D">
      <w:pPr>
        <w:spacing w:line="600" w:lineRule="exact"/>
        <w:ind w:firstLine="643" w:firstLineChars="200"/>
        <w:rPr>
          <w:rFonts w:ascii="仿宋" w:hAnsi="仿宋" w:eastAsia="仿宋"/>
          <w:b/>
          <w:sz w:val="32"/>
          <w:szCs w:val="32"/>
        </w:rPr>
      </w:pPr>
      <w:r>
        <w:rPr>
          <w:rStyle w:val="20"/>
          <w:rFonts w:ascii="仿宋" w:hAnsi="仿宋" w:eastAsia="仿宋"/>
          <w:bCs/>
          <w:sz w:val="32"/>
          <w:szCs w:val="32"/>
        </w:rPr>
        <w:t>3.</w:t>
      </w:r>
      <w:r>
        <w:rPr>
          <w:rStyle w:val="20"/>
          <w:rFonts w:hint="eastAsia" w:ascii="仿宋" w:hAnsi="仿宋" w:eastAsia="仿宋"/>
          <w:bCs/>
          <w:sz w:val="32"/>
          <w:szCs w:val="32"/>
        </w:rPr>
        <w:t>科学技术（类）</w:t>
      </w:r>
      <w:r>
        <w:rPr>
          <w:rStyle w:val="20"/>
          <w:rFonts w:ascii="仿宋" w:hAnsi="仿宋" w:eastAsia="仿宋"/>
          <w:bCs/>
          <w:sz w:val="32"/>
          <w:szCs w:val="32"/>
        </w:rPr>
        <w:t>***</w:t>
      </w:r>
      <w:r>
        <w:rPr>
          <w:rStyle w:val="20"/>
          <w:rFonts w:hint="eastAsia" w:ascii="仿宋" w:hAnsi="仿宋" w:eastAsia="仿宋"/>
          <w:bCs/>
          <w:sz w:val="32"/>
          <w:szCs w:val="32"/>
        </w:rPr>
        <w:t>（款）</w:t>
      </w:r>
      <w:r>
        <w:rPr>
          <w:rStyle w:val="20"/>
          <w:rFonts w:ascii="仿宋" w:hAnsi="仿宋" w:eastAsia="仿宋"/>
          <w:bCs/>
          <w:sz w:val="32"/>
          <w:szCs w:val="32"/>
        </w:rPr>
        <w:t>***</w:t>
      </w:r>
      <w:r>
        <w:rPr>
          <w:rStyle w:val="20"/>
          <w:rFonts w:hint="eastAsia" w:ascii="仿宋" w:hAnsi="仿宋" w:eastAsia="仿宋"/>
          <w:bCs/>
          <w:sz w:val="32"/>
          <w:szCs w:val="32"/>
        </w:rPr>
        <w:t>（项）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0</w:t>
      </w:r>
      <w:r>
        <w:rPr>
          <w:rStyle w:val="20"/>
          <w:rFonts w:ascii="仿宋" w:hAnsi="仿宋" w:eastAsia="仿宋"/>
          <w:b w:val="0"/>
          <w:bCs/>
          <w:sz w:val="32"/>
          <w:szCs w:val="32"/>
        </w:rPr>
        <w:t>%</w:t>
      </w:r>
      <w:r>
        <w:rPr>
          <w:rStyle w:val="20"/>
          <w:rFonts w:hint="eastAsia" w:ascii="仿宋" w:hAnsi="仿宋" w:eastAsia="仿宋"/>
          <w:b w:val="0"/>
          <w:bCs/>
          <w:sz w:val="32"/>
          <w:szCs w:val="32"/>
        </w:rPr>
        <w:t>，决算数小于</w:t>
      </w:r>
      <w:r>
        <w:rPr>
          <w:rStyle w:val="20"/>
          <w:rFonts w:ascii="仿宋" w:hAnsi="仿宋" w:eastAsia="仿宋"/>
          <w:b w:val="0"/>
          <w:bCs/>
          <w:sz w:val="32"/>
          <w:szCs w:val="32"/>
        </w:rPr>
        <w:t>/</w:t>
      </w:r>
      <w:r>
        <w:rPr>
          <w:rStyle w:val="20"/>
          <w:rFonts w:hint="eastAsia" w:ascii="仿宋" w:hAnsi="仿宋" w:eastAsia="仿宋"/>
          <w:b w:val="0"/>
          <w:bCs/>
          <w:sz w:val="32"/>
          <w:szCs w:val="32"/>
        </w:rPr>
        <w:t>等于预算数的主要原因是…。</w:t>
      </w:r>
    </w:p>
    <w:p w14:paraId="1E97CA5D">
      <w:pPr>
        <w:spacing w:line="600" w:lineRule="exact"/>
        <w:ind w:firstLine="643" w:firstLineChars="200"/>
        <w:rPr>
          <w:rFonts w:ascii="仿宋" w:hAnsi="仿宋" w:eastAsia="仿宋"/>
          <w:b/>
          <w:sz w:val="32"/>
          <w:szCs w:val="32"/>
        </w:rPr>
      </w:pPr>
      <w:r>
        <w:rPr>
          <w:rStyle w:val="20"/>
          <w:rFonts w:ascii="仿宋" w:hAnsi="仿宋" w:eastAsia="仿宋"/>
          <w:bCs/>
          <w:sz w:val="32"/>
          <w:szCs w:val="32"/>
        </w:rPr>
        <w:t>4.</w:t>
      </w:r>
      <w:r>
        <w:rPr>
          <w:rStyle w:val="20"/>
          <w:rFonts w:hint="eastAsia" w:ascii="仿宋" w:hAnsi="仿宋" w:eastAsia="仿宋"/>
          <w:bCs/>
          <w:sz w:val="32"/>
          <w:szCs w:val="32"/>
        </w:rPr>
        <w:t>文化旅游体育与传媒（类）</w:t>
      </w:r>
      <w:r>
        <w:rPr>
          <w:rStyle w:val="20"/>
          <w:rFonts w:ascii="仿宋" w:hAnsi="仿宋" w:eastAsia="仿宋"/>
          <w:bCs/>
          <w:sz w:val="32"/>
          <w:szCs w:val="32"/>
        </w:rPr>
        <w:t>***</w:t>
      </w:r>
      <w:r>
        <w:rPr>
          <w:rStyle w:val="20"/>
          <w:rFonts w:hint="eastAsia" w:ascii="仿宋" w:hAnsi="仿宋" w:eastAsia="仿宋"/>
          <w:bCs/>
          <w:sz w:val="32"/>
          <w:szCs w:val="32"/>
        </w:rPr>
        <w:t>（款）</w:t>
      </w:r>
      <w:r>
        <w:rPr>
          <w:rStyle w:val="20"/>
          <w:rFonts w:ascii="仿宋" w:hAnsi="仿宋" w:eastAsia="仿宋"/>
          <w:bCs/>
          <w:sz w:val="32"/>
          <w:szCs w:val="32"/>
        </w:rPr>
        <w:t>***</w:t>
      </w:r>
      <w:r>
        <w:rPr>
          <w:rStyle w:val="20"/>
          <w:rFonts w:hint="eastAsia" w:ascii="仿宋" w:hAnsi="仿宋" w:eastAsia="仿宋"/>
          <w:bCs/>
          <w:sz w:val="32"/>
          <w:szCs w:val="32"/>
        </w:rPr>
        <w:t>（项）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0</w:t>
      </w:r>
      <w:r>
        <w:rPr>
          <w:rStyle w:val="20"/>
          <w:rFonts w:ascii="仿宋" w:hAnsi="仿宋" w:eastAsia="仿宋"/>
          <w:b w:val="0"/>
          <w:bCs/>
          <w:sz w:val="32"/>
          <w:szCs w:val="32"/>
        </w:rPr>
        <w:t>%</w:t>
      </w:r>
      <w:r>
        <w:rPr>
          <w:rStyle w:val="20"/>
          <w:rFonts w:hint="eastAsia" w:ascii="仿宋" w:hAnsi="仿宋" w:eastAsia="仿宋"/>
          <w:b w:val="0"/>
          <w:bCs/>
          <w:sz w:val="32"/>
          <w:szCs w:val="32"/>
        </w:rPr>
        <w:t>，决算数小于</w:t>
      </w:r>
      <w:r>
        <w:rPr>
          <w:rStyle w:val="20"/>
          <w:rFonts w:ascii="仿宋" w:hAnsi="仿宋" w:eastAsia="仿宋"/>
          <w:b w:val="0"/>
          <w:bCs/>
          <w:sz w:val="32"/>
          <w:szCs w:val="32"/>
        </w:rPr>
        <w:t>/</w:t>
      </w:r>
      <w:r>
        <w:rPr>
          <w:rStyle w:val="20"/>
          <w:rFonts w:hint="eastAsia" w:ascii="仿宋" w:hAnsi="仿宋" w:eastAsia="仿宋"/>
          <w:b w:val="0"/>
          <w:bCs/>
          <w:sz w:val="32"/>
          <w:szCs w:val="32"/>
        </w:rPr>
        <w:t>等于预算数的主要原因是…。</w:t>
      </w:r>
    </w:p>
    <w:p w14:paraId="414E8235">
      <w:pPr>
        <w:spacing w:line="600" w:lineRule="exact"/>
        <w:ind w:firstLine="643" w:firstLineChars="200"/>
        <w:rPr>
          <w:rStyle w:val="20"/>
          <w:rFonts w:hint="default" w:ascii="仿宋" w:hAnsi="仿宋" w:eastAsia="仿宋"/>
          <w:b w:val="0"/>
          <w:bCs/>
          <w:sz w:val="32"/>
          <w:szCs w:val="32"/>
          <w:lang w:val="en-US"/>
        </w:rPr>
      </w:pPr>
      <w:r>
        <w:rPr>
          <w:rStyle w:val="20"/>
          <w:rFonts w:ascii="仿宋" w:hAnsi="仿宋" w:eastAsia="仿宋"/>
          <w:bCs/>
          <w:sz w:val="32"/>
          <w:szCs w:val="32"/>
        </w:rPr>
        <w:t>5.</w:t>
      </w:r>
      <w:r>
        <w:rPr>
          <w:rStyle w:val="20"/>
          <w:rFonts w:hint="eastAsia" w:ascii="仿宋" w:hAnsi="仿宋" w:eastAsia="仿宋"/>
          <w:bCs/>
          <w:sz w:val="32"/>
          <w:szCs w:val="32"/>
        </w:rPr>
        <w:t>社会保障和就业</w:t>
      </w:r>
      <w:r>
        <w:rPr>
          <w:rStyle w:val="20"/>
          <w:rFonts w:hint="eastAsia" w:ascii="仿宋_GB2312" w:hAnsi="仿宋" w:eastAsia="仿宋_GB2312"/>
          <w:bCs w:val="0"/>
          <w:color w:val="000000"/>
          <w:sz w:val="32"/>
          <w:szCs w:val="32"/>
        </w:rPr>
        <w:t>（类）行政事业单位养老支出（款）机关事业单位基本养老保险缴费支出（项）:支出决算为</w:t>
      </w:r>
      <w:r>
        <w:rPr>
          <w:rStyle w:val="20"/>
          <w:rFonts w:hint="eastAsia" w:ascii="仿宋_GB2312" w:hAnsi="仿宋" w:eastAsia="仿宋_GB2312"/>
          <w:bCs w:val="0"/>
          <w:color w:val="000000"/>
          <w:sz w:val="32"/>
          <w:szCs w:val="32"/>
          <w:lang w:val="en-US" w:eastAsia="zh-CN"/>
        </w:rPr>
        <w:t>71.59</w:t>
      </w:r>
      <w:r>
        <w:rPr>
          <w:rStyle w:val="20"/>
          <w:rFonts w:hint="eastAsia" w:ascii="仿宋_GB2312" w:hAnsi="仿宋" w:eastAsia="仿宋_GB2312"/>
          <w:bCs w:val="0"/>
          <w:color w:val="000000"/>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91.99</w:t>
      </w:r>
      <w:r>
        <w:rPr>
          <w:rStyle w:val="20"/>
          <w:rFonts w:ascii="仿宋" w:hAnsi="仿宋" w:eastAsia="仿宋"/>
          <w:b w:val="0"/>
          <w:bCs/>
          <w:sz w:val="32"/>
          <w:szCs w:val="32"/>
        </w:rPr>
        <w:t>%</w:t>
      </w:r>
      <w:r>
        <w:rPr>
          <w:rStyle w:val="20"/>
          <w:rFonts w:hint="eastAsia" w:ascii="仿宋" w:hAnsi="仿宋" w:eastAsia="仿宋"/>
          <w:b w:val="0"/>
          <w:bCs/>
          <w:sz w:val="32"/>
          <w:szCs w:val="32"/>
        </w:rPr>
        <w:t>，决算数小于预算数的主要原因是</w:t>
      </w:r>
      <w:r>
        <w:rPr>
          <w:rStyle w:val="20"/>
          <w:rFonts w:hint="eastAsia" w:ascii="仿宋" w:hAnsi="仿宋" w:eastAsia="仿宋"/>
          <w:b w:val="0"/>
          <w:bCs/>
          <w:sz w:val="32"/>
          <w:szCs w:val="32"/>
          <w:lang w:val="en-US" w:eastAsia="zh-CN"/>
        </w:rPr>
        <w:t>2023年4-5月有2人退休，故决算数小于预算数。</w:t>
      </w:r>
    </w:p>
    <w:p w14:paraId="36EF7CAB">
      <w:pPr>
        <w:widowControl w:val="0"/>
        <w:numPr>
          <w:ilvl w:val="0"/>
          <w:numId w:val="0"/>
        </w:numPr>
        <w:adjustRightInd w:val="0"/>
        <w:snapToGrid w:val="0"/>
        <w:spacing w:line="560" w:lineRule="exact"/>
        <w:ind w:firstLine="643" w:firstLineChars="200"/>
        <w:jc w:val="both"/>
        <w:rPr>
          <w:rStyle w:val="20"/>
          <w:rFonts w:hint="eastAsia" w:ascii="仿宋" w:hAnsi="仿宋" w:eastAsia="仿宋"/>
          <w:b w:val="0"/>
          <w:bCs/>
          <w:sz w:val="32"/>
          <w:szCs w:val="32"/>
        </w:rPr>
      </w:pPr>
      <w:r>
        <w:rPr>
          <w:rStyle w:val="20"/>
          <w:rFonts w:ascii="仿宋" w:hAnsi="仿宋" w:eastAsia="仿宋"/>
          <w:bCs/>
          <w:sz w:val="32"/>
          <w:szCs w:val="32"/>
        </w:rPr>
        <w:t>6.</w:t>
      </w:r>
      <w:r>
        <w:rPr>
          <w:rFonts w:hint="eastAsia" w:ascii="仿宋" w:hAnsi="仿宋" w:eastAsia="仿宋"/>
          <w:b/>
          <w:bCs/>
          <w:sz w:val="32"/>
          <w:szCs w:val="32"/>
        </w:rPr>
        <w:t>卫生健康</w:t>
      </w:r>
      <w:r>
        <w:rPr>
          <w:rStyle w:val="20"/>
          <w:rFonts w:hint="eastAsia" w:ascii="仿宋_GB2312" w:hAnsi="仿宋" w:eastAsia="仿宋_GB2312"/>
          <w:bCs w:val="0"/>
          <w:color w:val="000000"/>
          <w:sz w:val="32"/>
          <w:szCs w:val="32"/>
        </w:rPr>
        <w:t>（类）行政事业单位医疗（款） 其他行政事业单位医疗支出（项）:支出决算为</w:t>
      </w:r>
      <w:r>
        <w:rPr>
          <w:rStyle w:val="20"/>
          <w:rFonts w:hint="eastAsia" w:ascii="仿宋_GB2312" w:hAnsi="仿宋" w:eastAsia="仿宋_GB2312"/>
          <w:bCs w:val="0"/>
          <w:color w:val="000000"/>
          <w:sz w:val="32"/>
          <w:szCs w:val="32"/>
          <w:lang w:val="en-US" w:eastAsia="zh-CN"/>
        </w:rPr>
        <w:t>27.01</w:t>
      </w:r>
      <w:r>
        <w:rPr>
          <w:rStyle w:val="20"/>
          <w:rFonts w:hint="eastAsia" w:ascii="仿宋_GB2312" w:hAnsi="仿宋" w:eastAsia="仿宋_GB2312"/>
          <w:bCs w:val="0"/>
          <w:color w:val="000000"/>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97.86</w:t>
      </w:r>
      <w:r>
        <w:rPr>
          <w:rStyle w:val="20"/>
          <w:rFonts w:ascii="仿宋" w:hAnsi="仿宋" w:eastAsia="仿宋"/>
          <w:b w:val="0"/>
          <w:bCs/>
          <w:sz w:val="32"/>
          <w:szCs w:val="32"/>
        </w:rPr>
        <w:t>%</w:t>
      </w:r>
      <w:r>
        <w:rPr>
          <w:rStyle w:val="20"/>
          <w:rFonts w:hint="eastAsia" w:ascii="仿宋" w:hAnsi="仿宋" w:eastAsia="仿宋"/>
          <w:b w:val="0"/>
          <w:bCs/>
          <w:sz w:val="32"/>
          <w:szCs w:val="32"/>
        </w:rPr>
        <w:t>，决算数小于预算数的主要原因是</w:t>
      </w:r>
      <w:r>
        <w:rPr>
          <w:rStyle w:val="20"/>
          <w:rFonts w:hint="eastAsia" w:ascii="仿宋" w:hAnsi="仿宋" w:eastAsia="仿宋"/>
          <w:b w:val="0"/>
          <w:bCs/>
          <w:sz w:val="32"/>
          <w:szCs w:val="32"/>
          <w:lang w:val="en-US" w:eastAsia="zh-CN"/>
        </w:rPr>
        <w:t>2023年4-5月有2人退休，故决算数小于预算数</w:t>
      </w:r>
      <w:r>
        <w:rPr>
          <w:rStyle w:val="20"/>
          <w:rFonts w:hint="eastAsia" w:ascii="仿宋" w:hAnsi="仿宋" w:eastAsia="仿宋"/>
          <w:b w:val="0"/>
          <w:bCs/>
          <w:sz w:val="32"/>
          <w:szCs w:val="32"/>
        </w:rPr>
        <w:t>。</w:t>
      </w:r>
    </w:p>
    <w:p w14:paraId="33AF18C6">
      <w:pPr>
        <w:widowControl w:val="0"/>
        <w:numPr>
          <w:ilvl w:val="0"/>
          <w:numId w:val="0"/>
        </w:numPr>
        <w:adjustRightInd w:val="0"/>
        <w:snapToGrid w:val="0"/>
        <w:spacing w:line="560" w:lineRule="exact"/>
        <w:ind w:firstLine="643" w:firstLineChars="200"/>
        <w:jc w:val="both"/>
        <w:rPr>
          <w:rStyle w:val="20"/>
          <w:rFonts w:hint="eastAsia" w:ascii="仿宋" w:hAnsi="仿宋" w:eastAsia="仿宋"/>
          <w:b w:val="0"/>
          <w:bCs/>
          <w:sz w:val="32"/>
          <w:szCs w:val="32"/>
        </w:rPr>
      </w:pPr>
      <w:r>
        <w:rPr>
          <w:rFonts w:hint="eastAsia" w:ascii="仿宋_GB2312" w:hAnsi="仿宋" w:eastAsia="仿宋_GB2312"/>
          <w:b/>
          <w:bCs/>
          <w:color w:val="000000"/>
          <w:sz w:val="32"/>
          <w:szCs w:val="32"/>
          <w:lang w:val="en-US" w:eastAsia="zh-CN"/>
        </w:rPr>
        <w:t>7.</w:t>
      </w:r>
      <w:r>
        <w:rPr>
          <w:rFonts w:hint="eastAsia" w:ascii="仿宋_GB2312" w:hAnsi="仿宋" w:eastAsia="仿宋_GB2312"/>
          <w:b/>
          <w:bCs/>
          <w:color w:val="000000"/>
          <w:sz w:val="32"/>
          <w:szCs w:val="32"/>
        </w:rPr>
        <w:t>住房保障支出</w:t>
      </w:r>
      <w:r>
        <w:rPr>
          <w:rStyle w:val="20"/>
          <w:rFonts w:hint="eastAsia" w:ascii="仿宋_GB2312" w:hAnsi="仿宋" w:eastAsia="仿宋_GB2312"/>
          <w:bCs w:val="0"/>
          <w:color w:val="000000"/>
          <w:sz w:val="32"/>
          <w:szCs w:val="32"/>
        </w:rPr>
        <w:t>（类）住房改革支出（款）住房公积金（项）:支出决算为</w:t>
      </w:r>
      <w:r>
        <w:rPr>
          <w:rStyle w:val="20"/>
          <w:rFonts w:hint="eastAsia" w:ascii="仿宋_GB2312" w:hAnsi="仿宋" w:eastAsia="仿宋_GB2312"/>
          <w:bCs w:val="0"/>
          <w:color w:val="000000"/>
          <w:sz w:val="32"/>
          <w:szCs w:val="32"/>
          <w:lang w:val="en-US" w:eastAsia="zh-CN"/>
        </w:rPr>
        <w:t>38.12</w:t>
      </w:r>
      <w:r>
        <w:rPr>
          <w:rStyle w:val="20"/>
          <w:rFonts w:hint="eastAsia" w:ascii="仿宋_GB2312" w:hAnsi="仿宋" w:eastAsia="仿宋_GB2312"/>
          <w:bCs w:val="0"/>
          <w:color w:val="000000"/>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82.28</w:t>
      </w:r>
      <w:r>
        <w:rPr>
          <w:rStyle w:val="20"/>
          <w:rFonts w:ascii="仿宋" w:hAnsi="仿宋" w:eastAsia="仿宋"/>
          <w:b w:val="0"/>
          <w:bCs/>
          <w:sz w:val="32"/>
          <w:szCs w:val="32"/>
        </w:rPr>
        <w:t>%</w:t>
      </w:r>
      <w:r>
        <w:rPr>
          <w:rStyle w:val="20"/>
          <w:rFonts w:hint="eastAsia" w:ascii="仿宋" w:hAnsi="仿宋" w:eastAsia="仿宋"/>
          <w:b w:val="0"/>
          <w:bCs/>
          <w:sz w:val="32"/>
          <w:szCs w:val="32"/>
        </w:rPr>
        <w:t>，决算数小于预算数的主要原因是</w:t>
      </w:r>
      <w:r>
        <w:rPr>
          <w:rStyle w:val="20"/>
          <w:rFonts w:hint="eastAsia" w:ascii="仿宋" w:hAnsi="仿宋" w:eastAsia="仿宋"/>
          <w:b w:val="0"/>
          <w:bCs/>
          <w:sz w:val="32"/>
          <w:szCs w:val="32"/>
          <w:lang w:val="en-US" w:eastAsia="zh-CN"/>
        </w:rPr>
        <w:t>2023年4-5月有2人退休，故决算数小于预算数</w:t>
      </w:r>
      <w:r>
        <w:rPr>
          <w:rStyle w:val="20"/>
          <w:rFonts w:hint="eastAsia" w:ascii="仿宋" w:hAnsi="仿宋" w:eastAsia="仿宋"/>
          <w:b w:val="0"/>
          <w:bCs/>
          <w:sz w:val="32"/>
          <w:szCs w:val="32"/>
        </w:rPr>
        <w:t>。</w:t>
      </w:r>
    </w:p>
    <w:p w14:paraId="4F26EF82">
      <w:pPr>
        <w:widowControl w:val="0"/>
        <w:numPr>
          <w:ilvl w:val="0"/>
          <w:numId w:val="0"/>
        </w:numPr>
        <w:adjustRightInd w:val="0"/>
        <w:snapToGrid w:val="0"/>
        <w:spacing w:line="560" w:lineRule="exact"/>
        <w:ind w:firstLine="643" w:firstLineChars="200"/>
        <w:jc w:val="both"/>
        <w:rPr>
          <w:rStyle w:val="20"/>
          <w:rFonts w:hint="eastAsia" w:ascii="仿宋" w:hAnsi="仿宋" w:eastAsia="仿宋"/>
          <w:b w:val="0"/>
          <w:bCs/>
          <w:sz w:val="32"/>
          <w:szCs w:val="32"/>
        </w:rPr>
      </w:pPr>
      <w:r>
        <w:rPr>
          <w:rStyle w:val="20"/>
          <w:rFonts w:hint="eastAsia" w:ascii="仿宋_GB2312" w:hAnsi="仿宋" w:eastAsia="仿宋_GB2312"/>
          <w:bCs w:val="0"/>
          <w:color w:val="000000"/>
          <w:sz w:val="32"/>
          <w:szCs w:val="32"/>
          <w:lang w:val="en-US" w:eastAsia="zh-CN"/>
        </w:rPr>
        <w:t>8.</w:t>
      </w:r>
      <w:r>
        <w:rPr>
          <w:rStyle w:val="20"/>
          <w:rFonts w:hint="eastAsia" w:ascii="仿宋_GB2312" w:hAnsi="仿宋" w:eastAsia="仿宋_GB2312"/>
          <w:bCs w:val="0"/>
          <w:color w:val="000000"/>
          <w:sz w:val="32"/>
          <w:szCs w:val="32"/>
        </w:rPr>
        <w:t>农林水支出（类）林业和草原（款） 事业机构（项）:支出决算为</w:t>
      </w:r>
      <w:r>
        <w:rPr>
          <w:rStyle w:val="20"/>
          <w:rFonts w:hint="eastAsia" w:ascii="仿宋_GB2312" w:hAnsi="仿宋" w:eastAsia="仿宋_GB2312"/>
          <w:bCs w:val="0"/>
          <w:color w:val="000000"/>
          <w:sz w:val="32"/>
          <w:szCs w:val="32"/>
          <w:lang w:val="en-US" w:eastAsia="zh-CN"/>
        </w:rPr>
        <w:t>534.72</w:t>
      </w:r>
      <w:r>
        <w:rPr>
          <w:rStyle w:val="20"/>
          <w:rFonts w:hint="eastAsia" w:ascii="仿宋_GB2312" w:hAnsi="仿宋" w:eastAsia="仿宋_GB2312"/>
          <w:bCs w:val="0"/>
          <w:color w:val="000000"/>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95</w:t>
      </w:r>
      <w:r>
        <w:rPr>
          <w:rStyle w:val="20"/>
          <w:rFonts w:ascii="仿宋" w:hAnsi="仿宋" w:eastAsia="仿宋"/>
          <w:b w:val="0"/>
          <w:bCs/>
          <w:sz w:val="32"/>
          <w:szCs w:val="32"/>
        </w:rPr>
        <w:t>%</w:t>
      </w:r>
      <w:r>
        <w:rPr>
          <w:rStyle w:val="20"/>
          <w:rFonts w:hint="eastAsia" w:ascii="仿宋" w:hAnsi="仿宋" w:eastAsia="仿宋"/>
          <w:b w:val="0"/>
          <w:bCs/>
          <w:sz w:val="32"/>
          <w:szCs w:val="32"/>
        </w:rPr>
        <w:t>，决算数小于预算数的主要原因是</w:t>
      </w:r>
      <w:r>
        <w:rPr>
          <w:rStyle w:val="20"/>
          <w:rFonts w:hint="eastAsia" w:ascii="仿宋" w:hAnsi="仿宋" w:eastAsia="仿宋"/>
          <w:b w:val="0"/>
          <w:bCs/>
          <w:sz w:val="32"/>
          <w:szCs w:val="32"/>
          <w:lang w:val="en-US" w:eastAsia="zh-CN"/>
        </w:rPr>
        <w:t>2023年4-5月有2人退休，故决算数小于预算数</w:t>
      </w:r>
      <w:r>
        <w:rPr>
          <w:rStyle w:val="20"/>
          <w:rFonts w:hint="eastAsia" w:ascii="仿宋" w:hAnsi="仿宋" w:eastAsia="仿宋"/>
          <w:b w:val="0"/>
          <w:bCs/>
          <w:sz w:val="32"/>
          <w:szCs w:val="32"/>
        </w:rPr>
        <w:t>。</w:t>
      </w:r>
    </w:p>
    <w:p w14:paraId="3FA20CAA">
      <w:pPr>
        <w:widowControl w:val="0"/>
        <w:numPr>
          <w:ilvl w:val="0"/>
          <w:numId w:val="0"/>
        </w:numPr>
        <w:adjustRightInd w:val="0"/>
        <w:snapToGrid w:val="0"/>
        <w:spacing w:line="560" w:lineRule="exact"/>
        <w:ind w:firstLine="643" w:firstLineChars="200"/>
        <w:jc w:val="both"/>
        <w:rPr>
          <w:rStyle w:val="20"/>
          <w:rFonts w:hint="default" w:ascii="仿宋" w:hAnsi="仿宋" w:eastAsia="仿宋"/>
          <w:b w:val="0"/>
          <w:bCs/>
          <w:sz w:val="32"/>
          <w:szCs w:val="32"/>
          <w:lang w:val="en-US" w:eastAsia="zh-CN"/>
        </w:rPr>
      </w:pPr>
      <w:r>
        <w:rPr>
          <w:rStyle w:val="20"/>
          <w:rFonts w:hint="eastAsia" w:ascii="仿宋_GB2312" w:hAnsi="仿宋" w:eastAsia="仿宋_GB2312"/>
          <w:bCs w:val="0"/>
          <w:color w:val="000000"/>
          <w:sz w:val="32"/>
          <w:szCs w:val="32"/>
          <w:lang w:val="en-US" w:eastAsia="zh-CN"/>
        </w:rPr>
        <w:t>9.</w:t>
      </w:r>
      <w:r>
        <w:rPr>
          <w:rStyle w:val="20"/>
          <w:rFonts w:hint="eastAsia" w:ascii="仿宋_GB2312" w:hAnsi="仿宋" w:eastAsia="仿宋_GB2312"/>
          <w:bCs w:val="0"/>
          <w:color w:val="000000" w:themeColor="text1"/>
          <w:sz w:val="32"/>
          <w:szCs w:val="32"/>
          <w:lang w:val="en-US" w:eastAsia="zh-CN"/>
          <w14:textFill>
            <w14:solidFill>
              <w14:schemeClr w14:val="tx1"/>
            </w14:solidFill>
          </w14:textFill>
        </w:rPr>
        <w:t>节能环保支出</w:t>
      </w:r>
      <w:r>
        <w:rPr>
          <w:rStyle w:val="20"/>
          <w:rFonts w:hint="eastAsia" w:ascii="仿宋_GB2312" w:hAnsi="仿宋" w:eastAsia="仿宋_GB2312"/>
          <w:bCs w:val="0"/>
          <w:color w:val="000000" w:themeColor="text1"/>
          <w:sz w:val="32"/>
          <w:szCs w:val="32"/>
          <w14:textFill>
            <w14:solidFill>
              <w14:schemeClr w14:val="tx1"/>
            </w14:solidFill>
          </w14:textFill>
        </w:rPr>
        <w:t>（类）</w:t>
      </w:r>
      <w:r>
        <w:rPr>
          <w:rStyle w:val="20"/>
          <w:rFonts w:hint="eastAsia" w:ascii="仿宋_GB2312" w:hAnsi="仿宋" w:eastAsia="仿宋_GB2312"/>
          <w:bCs w:val="0"/>
          <w:color w:val="000000" w:themeColor="text1"/>
          <w:sz w:val="32"/>
          <w:szCs w:val="32"/>
          <w:lang w:val="en-US" w:eastAsia="zh-CN"/>
          <w14:textFill>
            <w14:solidFill>
              <w14:schemeClr w14:val="tx1"/>
            </w14:solidFill>
          </w14:textFill>
        </w:rPr>
        <w:t>自然生态保护</w:t>
      </w:r>
      <w:r>
        <w:rPr>
          <w:rStyle w:val="20"/>
          <w:rFonts w:hint="eastAsia" w:ascii="仿宋_GB2312" w:hAnsi="仿宋" w:eastAsia="仿宋_GB2312"/>
          <w:bCs w:val="0"/>
          <w:color w:val="000000" w:themeColor="text1"/>
          <w:sz w:val="32"/>
          <w:szCs w:val="32"/>
          <w14:textFill>
            <w14:solidFill>
              <w14:schemeClr w14:val="tx1"/>
            </w14:solidFill>
          </w14:textFill>
        </w:rPr>
        <w:t>（款）</w:t>
      </w:r>
      <w:r>
        <w:rPr>
          <w:rStyle w:val="20"/>
          <w:rFonts w:hint="eastAsia" w:ascii="仿宋_GB2312" w:hAnsi="仿宋" w:eastAsia="仿宋_GB2312"/>
          <w:bCs w:val="0"/>
          <w:color w:val="000000" w:themeColor="text1"/>
          <w:sz w:val="32"/>
          <w:szCs w:val="32"/>
          <w:lang w:val="en-US" w:eastAsia="zh-CN"/>
          <w14:textFill>
            <w14:solidFill>
              <w14:schemeClr w14:val="tx1"/>
            </w14:solidFill>
          </w14:textFill>
        </w:rPr>
        <w:t>自然保护地</w:t>
      </w:r>
      <w:r>
        <w:rPr>
          <w:rStyle w:val="20"/>
          <w:rFonts w:hint="eastAsia" w:ascii="仿宋_GB2312" w:hAnsi="仿宋" w:eastAsia="仿宋_GB2312"/>
          <w:bCs w:val="0"/>
          <w:color w:val="000000" w:themeColor="text1"/>
          <w:sz w:val="32"/>
          <w:szCs w:val="32"/>
          <w14:textFill>
            <w14:solidFill>
              <w14:schemeClr w14:val="tx1"/>
            </w14:solidFill>
          </w14:textFill>
        </w:rPr>
        <w:t>（项）</w:t>
      </w:r>
      <w:r>
        <w:rPr>
          <w:rStyle w:val="20"/>
          <w:rFonts w:hint="eastAsia" w:ascii="仿宋_GB2312" w:hAnsi="仿宋" w:eastAsia="仿宋_GB2312"/>
          <w:bCs w:val="0"/>
          <w:color w:val="000000"/>
          <w:sz w:val="32"/>
          <w:szCs w:val="32"/>
        </w:rPr>
        <w:t>:支出决算为</w:t>
      </w:r>
      <w:r>
        <w:rPr>
          <w:rStyle w:val="20"/>
          <w:rFonts w:hint="eastAsia" w:ascii="仿宋_GB2312" w:hAnsi="仿宋" w:eastAsia="仿宋_GB2312"/>
          <w:bCs w:val="0"/>
          <w:color w:val="000000"/>
          <w:sz w:val="32"/>
          <w:szCs w:val="32"/>
          <w:lang w:val="en-US" w:eastAsia="zh-CN"/>
        </w:rPr>
        <w:t>197.36</w:t>
      </w:r>
      <w:r>
        <w:rPr>
          <w:rStyle w:val="20"/>
          <w:rFonts w:hint="eastAsia" w:ascii="仿宋_GB2312" w:hAnsi="仿宋" w:eastAsia="仿宋_GB2312"/>
          <w:bCs w:val="0"/>
          <w:color w:val="000000"/>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69</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r>
        <w:rPr>
          <w:rStyle w:val="20"/>
          <w:rFonts w:hint="eastAsia" w:ascii="仿宋" w:hAnsi="仿宋" w:eastAsia="仿宋"/>
          <w:b w:val="0"/>
          <w:bCs/>
          <w:sz w:val="32"/>
          <w:szCs w:val="32"/>
          <w:lang w:val="en-US" w:eastAsia="zh-CN"/>
        </w:rPr>
        <w:t>2023年4月、8月新增追加的</w:t>
      </w:r>
      <w:r>
        <w:rPr>
          <w:rFonts w:hint="eastAsia" w:ascii="仿宋_GB2312" w:hAnsi="仿宋_GB2312" w:eastAsia="仿宋_GB2312" w:cs="仿宋_GB2312"/>
          <w:sz w:val="32"/>
          <w:szCs w:val="32"/>
          <w:lang w:val="en-US" w:eastAsia="zh-CN"/>
        </w:rPr>
        <w:t>中央财政林业草原生态保护恢复资金286万元，用于雪豹监测费用支出，2023年已支付红外线相机采购88万元、存储卡和电池4.78万元、调查费60%支付104.58万元，剩余40%调查费于2024年10月底前支付。</w:t>
      </w:r>
    </w:p>
    <w:p w14:paraId="5F77E122">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14:paraId="33C2C0FF">
      <w:pPr>
        <w:tabs>
          <w:tab w:val="right" w:pos="8306"/>
        </w:tabs>
        <w:spacing w:line="600" w:lineRule="exact"/>
        <w:ind w:firstLine="640" w:firstLineChars="200"/>
        <w:outlineLvl w:val="1"/>
        <w:rPr>
          <w:rStyle w:val="32"/>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34"/>
      <w:bookmarkEnd w:id="35"/>
      <w:r>
        <w:rPr>
          <w:rStyle w:val="32"/>
          <w:rFonts w:ascii="黑体" w:hAnsi="黑体" w:eastAsia="黑体"/>
          <w:b w:val="0"/>
        </w:rPr>
        <w:tab/>
      </w:r>
    </w:p>
    <w:p w14:paraId="03D86E3D">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560.17</w:t>
      </w:r>
      <w:r>
        <w:rPr>
          <w:rFonts w:hint="eastAsia" w:ascii="仿宋" w:hAnsi="仿宋" w:eastAsia="仿宋"/>
          <w:sz w:val="32"/>
          <w:szCs w:val="32"/>
        </w:rPr>
        <w:t>万元，其中：</w:t>
      </w:r>
    </w:p>
    <w:p w14:paraId="3D9A62A3">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516.28</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43.89</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E67FB1A">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14:paraId="2781010A">
      <w:pPr>
        <w:spacing w:line="600" w:lineRule="exact"/>
        <w:ind w:firstLine="640"/>
        <w:outlineLvl w:val="1"/>
        <w:rPr>
          <w:rStyle w:val="32"/>
          <w:rFonts w:ascii="黑体" w:hAnsi="黑体" w:eastAsia="黑体"/>
          <w:b w:val="0"/>
        </w:rPr>
      </w:pPr>
      <w:bookmarkStart w:id="36" w:name="_Toc15396609"/>
      <w:bookmarkStart w:id="37" w:name="_Toc15377215"/>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36"/>
      <w:bookmarkEnd w:id="37"/>
    </w:p>
    <w:p w14:paraId="0113A007">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4EE840A1">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17.37</w:t>
      </w:r>
      <w:r>
        <w:rPr>
          <w:rFonts w:hint="eastAsia" w:ascii="仿宋" w:hAnsi="仿宋" w:eastAsia="仿宋"/>
          <w:sz w:val="32"/>
          <w:szCs w:val="32"/>
        </w:rPr>
        <w:t>万元，完成预算</w:t>
      </w:r>
      <w:r>
        <w:rPr>
          <w:sz w:val="32"/>
          <w:szCs w:val="32"/>
        </w:rPr>
        <w:t>84.77</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1.93</w:t>
      </w:r>
      <w:r>
        <w:rPr>
          <w:rFonts w:hint="eastAsia" w:ascii="仿宋" w:hAnsi="仿宋" w:eastAsia="仿宋"/>
          <w:sz w:val="32"/>
          <w:szCs w:val="32"/>
        </w:rPr>
        <w:t>万元，增长</w:t>
      </w:r>
      <w:r>
        <w:rPr>
          <w:rFonts w:hint="eastAsia" w:ascii="仿宋" w:hAnsi="仿宋" w:eastAsia="仿宋"/>
          <w:sz w:val="32"/>
          <w:szCs w:val="32"/>
          <w:lang w:val="en-US" w:eastAsia="zh-CN"/>
        </w:rPr>
        <w:t>12.5</w:t>
      </w:r>
      <w:r>
        <w:rPr>
          <w:rFonts w:hint="eastAsia" w:ascii="仿宋" w:hAnsi="仿宋" w:eastAsia="仿宋"/>
          <w:sz w:val="32"/>
          <w:szCs w:val="32"/>
        </w:rPr>
        <w:t>%。决算数小于预算数的主要原因是</w:t>
      </w:r>
      <w:r>
        <w:rPr>
          <w:rFonts w:hint="eastAsia" w:ascii="仿宋" w:hAnsi="仿宋" w:eastAsia="仿宋"/>
          <w:sz w:val="32"/>
          <w:szCs w:val="32"/>
          <w:lang w:eastAsia="zh-CN"/>
        </w:rPr>
        <w:t>：</w:t>
      </w:r>
      <w:r>
        <w:rPr>
          <w:rFonts w:hint="eastAsia" w:ascii="仿宋" w:hAnsi="仿宋" w:eastAsia="仿宋"/>
          <w:sz w:val="32"/>
          <w:szCs w:val="32"/>
          <w:lang w:val="en-US" w:eastAsia="zh-CN"/>
        </w:rPr>
        <w:t>2023年卧龙体制改革工作经费里预算有5万元公务用车运行维护费未列支完</w:t>
      </w:r>
      <w:r>
        <w:rPr>
          <w:rFonts w:hint="eastAsia" w:ascii="仿宋" w:hAnsi="仿宋" w:eastAsia="仿宋"/>
          <w:sz w:val="32"/>
          <w:szCs w:val="32"/>
        </w:rPr>
        <w:t>。</w:t>
      </w:r>
    </w:p>
    <w:p w14:paraId="705DF9BB">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31E11A5C">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6A202854">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17.27</w:t>
      </w:r>
      <w:r>
        <w:rPr>
          <w:rFonts w:hint="eastAsia" w:ascii="仿宋" w:hAnsi="仿宋" w:eastAsia="仿宋"/>
          <w:sz w:val="32"/>
          <w:szCs w:val="32"/>
        </w:rPr>
        <w:t>万元，占</w:t>
      </w:r>
      <w:r>
        <w:rPr>
          <w:sz w:val="32"/>
          <w:szCs w:val="32"/>
        </w:rPr>
        <w:t>99.44</w:t>
      </w:r>
      <w:r>
        <w:rPr>
          <w:rFonts w:ascii="仿宋" w:hAnsi="仿宋" w:eastAsia="仿宋"/>
          <w:sz w:val="32"/>
          <w:szCs w:val="32"/>
        </w:rPr>
        <w:t>%</w:t>
      </w:r>
      <w:r>
        <w:rPr>
          <w:rFonts w:hint="eastAsia" w:ascii="仿宋" w:hAnsi="仿宋" w:eastAsia="仿宋"/>
          <w:sz w:val="32"/>
          <w:szCs w:val="32"/>
        </w:rPr>
        <w:t>；公务接待费支出决算</w:t>
      </w:r>
      <w:r>
        <w:rPr>
          <w:sz w:val="32"/>
          <w:szCs w:val="32"/>
        </w:rPr>
        <w:t>0.1</w:t>
      </w:r>
      <w:r>
        <w:rPr>
          <w:rFonts w:hint="eastAsia" w:ascii="仿宋" w:hAnsi="仿宋" w:eastAsia="仿宋"/>
          <w:sz w:val="32"/>
          <w:szCs w:val="32"/>
        </w:rPr>
        <w:t>万元，占</w:t>
      </w:r>
      <w:r>
        <w:rPr>
          <w:sz w:val="32"/>
          <w:szCs w:val="32"/>
        </w:rPr>
        <w:t>0.55</w:t>
      </w:r>
      <w:r>
        <w:rPr>
          <w:rFonts w:ascii="仿宋" w:hAnsi="仿宋" w:eastAsia="仿宋"/>
          <w:sz w:val="32"/>
          <w:szCs w:val="32"/>
        </w:rPr>
        <w:t>%</w:t>
      </w:r>
      <w:r>
        <w:rPr>
          <w:rFonts w:hint="eastAsia" w:ascii="仿宋" w:hAnsi="仿宋" w:eastAsia="仿宋"/>
          <w:sz w:val="32"/>
          <w:szCs w:val="32"/>
        </w:rPr>
        <w:t>。具体情况如下：</w:t>
      </w:r>
    </w:p>
    <w:p w14:paraId="4BF7CAFF">
      <w:pPr>
        <w:spacing w:line="600" w:lineRule="exact"/>
        <w:ind w:firstLine="640"/>
        <w:rPr>
          <w:rFonts w:ascii="仿宋_GB2312" w:eastAsia="仿宋_GB2312"/>
          <w:b/>
          <w:sz w:val="32"/>
          <w:szCs w:val="32"/>
        </w:rPr>
      </w:pPr>
      <w:r>
        <w:rPr>
          <w:rFonts w:hint="eastAsia" w:ascii="仿宋" w:hAnsi="仿宋" w:eastAsia="仿宋"/>
          <w:sz w:val="32"/>
          <w:szCs w:val="32"/>
        </w:rPr>
        <w:t>（图7：“三公”经费财政拨款支出结构）（饼状图）</w:t>
      </w:r>
    </w:p>
    <w:p w14:paraId="692EA2E6">
      <w:pPr>
        <w:keepNext w:val="0"/>
        <w:keepLines w:val="0"/>
        <w:widowControl/>
        <w:suppressLineNumbers w:val="0"/>
        <w:jc w:val="left"/>
      </w:pP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2679700" cy="1659890"/>
            <wp:effectExtent l="0" t="0" r="2540" b="1270"/>
            <wp:docPr id="14"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descr="IMG_256"/>
                    <pic:cNvPicPr>
                      <a:picLocks noChangeAspect="1"/>
                    </pic:cNvPicPr>
                  </pic:nvPicPr>
                  <pic:blipFill>
                    <a:blip r:embed="rId14"/>
                    <a:stretch>
                      <a:fillRect/>
                    </a:stretch>
                  </pic:blipFill>
                  <pic:spPr>
                    <a:xfrm>
                      <a:off x="0" y="0"/>
                      <a:ext cx="2679700" cy="1659890"/>
                    </a:xfrm>
                    <a:prstGeom prst="rect">
                      <a:avLst/>
                    </a:prstGeom>
                    <a:noFill/>
                    <a:ln w="9525">
                      <a:noFill/>
                    </a:ln>
                  </pic:spPr>
                </pic:pic>
              </a:graphicData>
            </a:graphic>
          </wp:inline>
        </w:drawing>
      </w:r>
    </w:p>
    <w:p w14:paraId="39F12CCA">
      <w:pPr>
        <w:spacing w:line="600" w:lineRule="exact"/>
        <w:ind w:firstLine="643" w:firstLineChars="200"/>
        <w:rPr>
          <w:rFonts w:hint="eastAsia"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sz w:val="32"/>
          <w:szCs w:val="32"/>
        </w:rPr>
        <w:t>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2023年无此费用支出</w:t>
      </w:r>
      <w:r>
        <w:rPr>
          <w:rFonts w:hint="eastAsia" w:ascii="仿宋_GB2312" w:eastAsia="仿宋_GB2312"/>
          <w:sz w:val="32"/>
          <w:szCs w:val="32"/>
        </w:rPr>
        <w:t>。开支内容包括：</w:t>
      </w:r>
      <w:r>
        <w:rPr>
          <w:rFonts w:hint="eastAsia" w:ascii="仿宋_GB2312" w:eastAsia="仿宋_GB2312"/>
          <w:sz w:val="32"/>
          <w:szCs w:val="32"/>
          <w:lang w:val="en-US" w:eastAsia="zh-CN"/>
        </w:rPr>
        <w:t>2023年无此费用支出</w:t>
      </w:r>
      <w:r>
        <w:rPr>
          <w:rFonts w:hint="eastAsia" w:ascii="仿宋_GB2312" w:eastAsia="仿宋_GB2312"/>
          <w:sz w:val="32"/>
          <w:szCs w:val="32"/>
        </w:rPr>
        <w:t>。</w:t>
      </w:r>
    </w:p>
    <w:p w14:paraId="007D3E0A">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17.27</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sz w:val="32"/>
          <w:szCs w:val="32"/>
        </w:rPr>
        <w:t>89.04</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1.83</w:t>
      </w:r>
      <w:r>
        <w:rPr>
          <w:rFonts w:hint="eastAsia" w:ascii="仿宋_GB2312" w:eastAsia="仿宋_GB2312"/>
          <w:sz w:val="32"/>
          <w:szCs w:val="32"/>
        </w:rPr>
        <w:t>万元，增长</w:t>
      </w:r>
      <w:r>
        <w:rPr>
          <w:rFonts w:hint="eastAsia" w:ascii="仿宋_GB2312" w:eastAsia="仿宋_GB2312"/>
          <w:sz w:val="32"/>
          <w:szCs w:val="32"/>
          <w:lang w:val="en-US" w:eastAsia="zh-CN"/>
        </w:rPr>
        <w:t>11.85</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sz w:val="32"/>
          <w:szCs w:val="32"/>
          <w:lang w:val="en-US" w:eastAsia="zh-CN"/>
        </w:rPr>
        <w:t>2023年公务外出到四县管理总站检查督导工作、到省局对接工作、开会、上级检查指导工作较多</w:t>
      </w:r>
      <w:r>
        <w:rPr>
          <w:rFonts w:hint="eastAsia" w:ascii="仿宋_GB2312" w:eastAsia="仿宋_GB2312"/>
          <w:sz w:val="32"/>
          <w:szCs w:val="32"/>
        </w:rPr>
        <w:t>。</w:t>
      </w:r>
    </w:p>
    <w:p w14:paraId="13781FC3">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2</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2</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73EAA395">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17.27</w:t>
      </w:r>
      <w:r>
        <w:rPr>
          <w:rFonts w:hint="eastAsia" w:ascii="仿宋_GB2312" w:eastAsia="仿宋_GB2312"/>
          <w:sz w:val="32"/>
          <w:szCs w:val="32"/>
        </w:rPr>
        <w:t>万元。主要用于</w:t>
      </w:r>
      <w:r>
        <w:rPr>
          <w:rFonts w:hint="eastAsia" w:ascii="仿宋_GB2312" w:eastAsia="仿宋_GB2312"/>
          <w:sz w:val="32"/>
          <w:szCs w:val="32"/>
          <w:lang w:val="en-US" w:eastAsia="zh-CN"/>
        </w:rPr>
        <w:t>2023年公务外出到四县管理总站检查督导工作、到省局对接工作、开会、上级检查指导工作外出</w:t>
      </w:r>
      <w:r>
        <w:rPr>
          <w:rFonts w:hint="eastAsia" w:ascii="仿宋_GB2312" w:eastAsia="仿宋_GB2312"/>
          <w:sz w:val="32"/>
          <w:szCs w:val="32"/>
        </w:rPr>
        <w:t>所需的公务用车燃料费、维修费、过路过桥费、保险费等支出。</w:t>
      </w:r>
    </w:p>
    <w:p w14:paraId="7F4C79DE">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0.1</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sz w:val="32"/>
          <w:szCs w:val="32"/>
        </w:rPr>
        <w:t>8.8%</w:t>
      </w:r>
      <w:r>
        <w:rPr>
          <w:rStyle w:val="20"/>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0.1</w:t>
      </w:r>
      <w:r>
        <w:rPr>
          <w:rFonts w:hint="eastAsia" w:ascii="仿宋_GB2312" w:eastAsia="仿宋_GB2312"/>
          <w:sz w:val="32"/>
          <w:szCs w:val="32"/>
        </w:rPr>
        <w:t>万元，</w:t>
      </w:r>
      <w:r>
        <w:rPr>
          <w:rFonts w:hint="eastAsia" w:ascii="仿宋_GB2312" w:eastAsia="仿宋_GB2312"/>
          <w:sz w:val="32"/>
          <w:szCs w:val="32"/>
          <w:lang w:val="en-US" w:eastAsia="zh-CN"/>
        </w:rPr>
        <w:t>2022年无公务接待费支出</w:t>
      </w:r>
      <w:r>
        <w:rPr>
          <w:rFonts w:hint="eastAsia" w:ascii="仿宋_GB2312" w:eastAsia="仿宋_GB2312"/>
          <w:sz w:val="32"/>
          <w:szCs w:val="32"/>
        </w:rPr>
        <w:t>。主要原因是</w:t>
      </w:r>
      <w:r>
        <w:rPr>
          <w:rFonts w:hint="eastAsia" w:ascii="仿宋_GB2312" w:eastAsia="仿宋_GB2312"/>
          <w:sz w:val="32"/>
          <w:szCs w:val="32"/>
          <w:lang w:val="en-US" w:eastAsia="zh-CN"/>
        </w:rPr>
        <w:t>2023年有一批次接待</w:t>
      </w:r>
      <w:r>
        <w:rPr>
          <w:rFonts w:hint="eastAsia" w:ascii="仿宋_GB2312" w:eastAsia="仿宋_GB2312"/>
          <w:sz w:val="32"/>
          <w:szCs w:val="32"/>
        </w:rPr>
        <w:t>。其中：</w:t>
      </w:r>
    </w:p>
    <w:p w14:paraId="57E90108">
      <w:pPr>
        <w:spacing w:line="600" w:lineRule="exact"/>
        <w:ind w:firstLine="640"/>
        <w:rPr>
          <w:rFonts w:ascii="仿宋_GB2312" w:eastAsia="仿宋_GB2312"/>
          <w:sz w:val="32"/>
          <w:szCs w:val="32"/>
        </w:rPr>
      </w:pPr>
      <w:r>
        <w:rPr>
          <w:rFonts w:hint="eastAsia" w:ascii="仿宋" w:hAnsi="仿宋" w:eastAsia="仿宋"/>
          <w:b/>
          <w:color w:val="000000" w:themeColor="text1"/>
          <w:sz w:val="32"/>
          <w:szCs w:val="32"/>
          <w14:textFill>
            <w14:solidFill>
              <w14:schemeClr w14:val="tx1"/>
            </w14:solidFill>
          </w14:textFill>
        </w:rPr>
        <w:t>国内公务接待支出</w:t>
      </w:r>
      <w:r>
        <w:rPr>
          <w:rFonts w:hint="eastAsia" w:ascii="仿宋" w:hAnsi="仿宋" w:eastAsia="仿宋"/>
          <w:b/>
          <w:color w:val="000000" w:themeColor="text1"/>
          <w:sz w:val="32"/>
          <w:szCs w:val="32"/>
          <w:lang w:val="en-US" w:eastAsia="zh-CN"/>
          <w14:textFill>
            <w14:solidFill>
              <w14:schemeClr w14:val="tx1"/>
            </w14:solidFill>
          </w14:textFill>
        </w:rPr>
        <w:t>0.1</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val="en-US" w:eastAsia="zh-CN"/>
          <w14:textFill>
            <w14:solidFill>
              <w14:schemeClr w14:val="tx1"/>
            </w14:solidFill>
          </w14:textFill>
        </w:rPr>
        <w:t>接待国家林业和草原局成都专员办人员来阿坝分局卧龙和九寨沟片区开展科研、监测方面相关专题讲座培训、座谈交流和互动实践，对基层管护人员进行科技指导，推动科研成果在大熊猫国家公园推广应用所产生的</w:t>
      </w:r>
      <w:r>
        <w:rPr>
          <w:rFonts w:hint="eastAsia" w:ascii="仿宋_GB2312" w:eastAsia="仿宋_GB2312"/>
          <w:color w:val="000000" w:themeColor="text1"/>
          <w:sz w:val="32"/>
          <w:szCs w:val="32"/>
          <w14:textFill>
            <w14:solidFill>
              <w14:schemeClr w14:val="tx1"/>
            </w14:solidFill>
          </w14:textFill>
        </w:rPr>
        <w:t>用餐费</w:t>
      </w:r>
      <w:r>
        <w:rPr>
          <w:rFonts w:hint="eastAsia" w:ascii="仿宋_GB2312" w:eastAsia="仿宋_GB2312"/>
          <w:sz w:val="32"/>
          <w:szCs w:val="32"/>
        </w:rPr>
        <w:t>。国内公务接待</w:t>
      </w:r>
      <w:r>
        <w:rPr>
          <w:rFonts w:hint="eastAsia" w:ascii="仿宋_GB2312" w:eastAsia="仿宋_GB2312"/>
          <w:sz w:val="32"/>
          <w:szCs w:val="32"/>
          <w:lang w:val="en-US" w:eastAsia="zh-CN"/>
        </w:rPr>
        <w:t>1</w:t>
      </w:r>
      <w:r>
        <w:rPr>
          <w:rFonts w:hint="eastAsia" w:ascii="仿宋_GB2312" w:eastAsia="仿宋_GB2312"/>
          <w:sz w:val="32"/>
          <w:szCs w:val="32"/>
        </w:rPr>
        <w:t>批次，</w:t>
      </w:r>
      <w:r>
        <w:rPr>
          <w:rFonts w:hint="eastAsia" w:ascii="仿宋_GB2312" w:eastAsia="仿宋_GB2312"/>
          <w:sz w:val="32"/>
          <w:szCs w:val="32"/>
          <w:lang w:val="en-US" w:eastAsia="zh-CN"/>
        </w:rPr>
        <w:t>7</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0.1</w:t>
      </w:r>
      <w:r>
        <w:rPr>
          <w:rFonts w:hint="eastAsia" w:ascii="仿宋_GB2312" w:eastAsia="仿宋_GB2312"/>
          <w:sz w:val="32"/>
          <w:szCs w:val="32"/>
        </w:rPr>
        <w:t>万元，具体内容包括：</w:t>
      </w:r>
      <w:r>
        <w:rPr>
          <w:rFonts w:hint="eastAsia" w:ascii="仿宋_GB2312" w:eastAsia="仿宋_GB2312"/>
          <w:color w:val="000000" w:themeColor="text1"/>
          <w:sz w:val="32"/>
          <w:szCs w:val="32"/>
          <w14:textFill>
            <w14:solidFill>
              <w14:schemeClr w14:val="tx1"/>
            </w14:solidFill>
          </w14:textFill>
        </w:rPr>
        <w:t>主要用于</w:t>
      </w:r>
      <w:r>
        <w:rPr>
          <w:rFonts w:hint="eastAsia" w:ascii="仿宋_GB2312" w:eastAsia="仿宋_GB2312"/>
          <w:color w:val="000000" w:themeColor="text1"/>
          <w:sz w:val="32"/>
          <w:szCs w:val="32"/>
          <w:lang w:val="en-US" w:eastAsia="zh-CN"/>
          <w14:textFill>
            <w14:solidFill>
              <w14:schemeClr w14:val="tx1"/>
            </w14:solidFill>
          </w14:textFill>
        </w:rPr>
        <w:t>接待国家林业和草原局成都专员办人员来阿坝分局卧龙和九寨沟片区开展科研、监测方面相关专题讲座培训、座谈交流和互动实践，对基层管护人员进行科技指导，推动科研成果在大熊猫国家公园推广应用所产生的</w:t>
      </w:r>
      <w:r>
        <w:rPr>
          <w:rFonts w:hint="eastAsia" w:ascii="仿宋_GB2312" w:eastAsia="仿宋_GB2312"/>
          <w:color w:val="000000" w:themeColor="text1"/>
          <w:sz w:val="32"/>
          <w:szCs w:val="32"/>
          <w14:textFill>
            <w14:solidFill>
              <w14:schemeClr w14:val="tx1"/>
            </w14:solidFill>
          </w14:textFill>
        </w:rPr>
        <w:t>用餐费</w:t>
      </w:r>
      <w:r>
        <w:rPr>
          <w:rFonts w:hint="eastAsia" w:ascii="仿宋_GB2312" w:eastAsia="仿宋_GB2312"/>
          <w:color w:val="000000" w:themeColor="text1"/>
          <w:sz w:val="32"/>
          <w:szCs w:val="32"/>
          <w:lang w:val="en-US" w:eastAsia="zh-CN"/>
          <w14:textFill>
            <w14:solidFill>
              <w14:schemeClr w14:val="tx1"/>
            </w14:solidFill>
          </w14:textFill>
        </w:rPr>
        <w:t>0.1万元</w:t>
      </w:r>
      <w:r>
        <w:rPr>
          <w:rFonts w:hint="eastAsia" w:ascii="仿宋_GB2312" w:eastAsia="仿宋_GB2312"/>
          <w:sz w:val="32"/>
          <w:szCs w:val="32"/>
        </w:rPr>
        <w:t>。</w:t>
      </w:r>
    </w:p>
    <w:p w14:paraId="60132170">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0B2F5894">
      <w:pPr>
        <w:keepNext w:val="0"/>
        <w:keepLines w:val="0"/>
        <w:widowControl/>
        <w:suppressLineNumbers w:val="0"/>
        <w:jc w:val="left"/>
        <w:rPr>
          <w:rStyle w:val="32"/>
          <w:rFonts w:ascii="黑体" w:hAnsi="黑体" w:eastAsia="黑体"/>
        </w:rPr>
      </w:pPr>
      <w:bookmarkStart w:id="40" w:name="_Toc15377218"/>
      <w:bookmarkStart w:id="41" w:name="_Toc15396610"/>
      <w:r>
        <w:rPr>
          <w:rFonts w:hint="eastAsia" w:ascii="宋体" w:hAnsi="宋体" w:cs="宋体"/>
          <w:kern w:val="0"/>
          <w:sz w:val="24"/>
          <w:szCs w:val="24"/>
          <w:lang w:val="en-US" w:eastAsia="zh-CN" w:bidi="ar"/>
        </w:rPr>
        <w:t xml:space="preserve">      </w:t>
      </w:r>
      <w:r>
        <w:rPr>
          <w:rFonts w:hint="eastAsia" w:ascii="黑体" w:eastAsia="黑体"/>
          <w:sz w:val="32"/>
          <w:szCs w:val="32"/>
        </w:rPr>
        <w:t>八、</w:t>
      </w:r>
      <w:r>
        <w:rPr>
          <w:rStyle w:val="32"/>
          <w:rFonts w:hint="eastAsia" w:ascii="黑体" w:hAnsi="黑体" w:eastAsia="黑体"/>
          <w:b w:val="0"/>
        </w:rPr>
        <w:t>政府性基金预算支出决算情况说明</w:t>
      </w:r>
      <w:bookmarkEnd w:id="40"/>
      <w:bookmarkEnd w:id="41"/>
    </w:p>
    <w:p w14:paraId="465ECA36">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0</w:t>
      </w:r>
      <w:r>
        <w:rPr>
          <w:rFonts w:hint="eastAsia" w:ascii="仿宋_GB2312" w:eastAsia="仿宋_GB2312"/>
          <w:sz w:val="32"/>
          <w:szCs w:val="32"/>
        </w:rPr>
        <w:t>万元。</w:t>
      </w:r>
      <w:r>
        <w:rPr>
          <w:rFonts w:hint="eastAsia" w:ascii="仿宋_GB2312" w:eastAsia="仿宋_GB2312"/>
          <w:sz w:val="32"/>
          <w:szCs w:val="32"/>
          <w:lang w:val="en-US" w:eastAsia="zh-CN"/>
        </w:rPr>
        <w:t>本部门无政府性基金预算支出。</w:t>
      </w:r>
    </w:p>
    <w:p w14:paraId="31B33C2D">
      <w:pPr>
        <w:numPr>
          <w:ilvl w:val="0"/>
          <w:numId w:val="3"/>
        </w:numPr>
        <w:spacing w:line="600" w:lineRule="exact"/>
        <w:ind w:firstLine="640"/>
        <w:outlineLvl w:val="1"/>
        <w:rPr>
          <w:rStyle w:val="32"/>
          <w:rFonts w:ascii="黑体" w:hAnsi="黑体" w:eastAsia="黑体"/>
          <w:b w:val="0"/>
        </w:rPr>
      </w:pPr>
      <w:bookmarkStart w:id="42" w:name="_Toc15396611"/>
      <w:bookmarkStart w:id="43" w:name="_Toc15377219"/>
      <w:r>
        <w:rPr>
          <w:rStyle w:val="32"/>
          <w:rFonts w:hint="eastAsia" w:ascii="黑体" w:hAnsi="黑体" w:eastAsia="黑体"/>
          <w:b w:val="0"/>
        </w:rPr>
        <w:t>国有资本经营预算支出决算情况说明</w:t>
      </w:r>
      <w:bookmarkEnd w:id="42"/>
      <w:bookmarkEnd w:id="43"/>
    </w:p>
    <w:p w14:paraId="43BA63D4">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r>
        <w:rPr>
          <w:rFonts w:hint="eastAsia" w:ascii="仿宋_GB2312" w:eastAsia="仿宋_GB2312"/>
          <w:sz w:val="32"/>
          <w:szCs w:val="32"/>
          <w:lang w:val="en-US" w:eastAsia="zh-CN"/>
        </w:rPr>
        <w:t>本部门无国有资本经营预算支出。</w:t>
      </w:r>
    </w:p>
    <w:p w14:paraId="303E2BF6">
      <w:pPr>
        <w:numPr>
          <w:ilvl w:val="0"/>
          <w:numId w:val="3"/>
        </w:numPr>
        <w:spacing w:line="600" w:lineRule="exact"/>
        <w:ind w:firstLine="640"/>
        <w:outlineLvl w:val="1"/>
        <w:rPr>
          <w:rStyle w:val="32"/>
          <w:rFonts w:ascii="黑体" w:hAnsi="黑体" w:eastAsia="黑体"/>
          <w:b w:val="0"/>
        </w:rPr>
      </w:pPr>
      <w:bookmarkStart w:id="44" w:name="_Toc15396612"/>
      <w:bookmarkStart w:id="45" w:name="_Toc15377221"/>
      <w:r>
        <w:rPr>
          <w:rStyle w:val="32"/>
          <w:rFonts w:hint="eastAsia" w:ascii="黑体" w:hAnsi="黑体" w:eastAsia="黑体"/>
          <w:b w:val="0"/>
        </w:rPr>
        <w:t>其他重要事项的情况说明</w:t>
      </w:r>
      <w:bookmarkEnd w:id="44"/>
      <w:bookmarkEnd w:id="45"/>
    </w:p>
    <w:p w14:paraId="2D50AF0A">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162EB883">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大熊猫国家公园阿坝管理分局</w:t>
      </w:r>
      <w:r>
        <w:rPr>
          <w:rFonts w:hint="eastAsia" w:ascii="仿宋_GB2312" w:eastAsia="仿宋_GB2312"/>
          <w:sz w:val="32"/>
          <w:szCs w:val="32"/>
        </w:rPr>
        <w:t>机关运行经费支出</w:t>
      </w:r>
      <w:r>
        <w:rPr>
          <w:sz w:val="32"/>
          <w:szCs w:val="32"/>
        </w:rPr>
        <w:t>0</w:t>
      </w:r>
      <w:r>
        <w:rPr>
          <w:rFonts w:hint="eastAsia" w:ascii="仿宋_GB2312" w:eastAsia="仿宋_GB2312"/>
          <w:sz w:val="32"/>
          <w:szCs w:val="32"/>
        </w:rPr>
        <w:t>万元，比2022年度增加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（或与2022年度决算数持平）。主要原因是</w:t>
      </w:r>
      <w:r>
        <w:rPr>
          <w:rFonts w:hint="eastAsia" w:ascii="仿宋_GB2312" w:eastAsia="仿宋_GB2312"/>
          <w:sz w:val="32"/>
          <w:szCs w:val="32"/>
          <w:lang w:val="en-US" w:eastAsia="zh-CN"/>
        </w:rPr>
        <w:t>本部门无机关运行经费支出</w:t>
      </w:r>
      <w:r>
        <w:rPr>
          <w:rFonts w:hint="eastAsia" w:ascii="仿宋_GB2312" w:eastAsia="仿宋_GB2312"/>
          <w:sz w:val="32"/>
          <w:szCs w:val="32"/>
        </w:rPr>
        <w:t>。</w:t>
      </w:r>
    </w:p>
    <w:p w14:paraId="38625B5B">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2CF31162">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13F2D3EB">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2023年度，大熊猫国家公园阿坝管理分局</w:t>
      </w:r>
      <w:r>
        <w:rPr>
          <w:rFonts w:hint="eastAsia" w:ascii="仿宋_GB2312" w:eastAsia="仿宋_GB2312"/>
          <w:sz w:val="32"/>
          <w:szCs w:val="32"/>
        </w:rPr>
        <w:t>政府采购支出总额</w:t>
      </w:r>
      <w:r>
        <w:rPr>
          <w:sz w:val="32"/>
          <w:szCs w:val="32"/>
        </w:rPr>
        <w:t>232.08</w:t>
      </w:r>
      <w:r>
        <w:rPr>
          <w:rFonts w:hint="eastAsia" w:ascii="仿宋_GB2312" w:eastAsia="仿宋_GB2312"/>
          <w:sz w:val="32"/>
          <w:szCs w:val="32"/>
        </w:rPr>
        <w:t>万元，其中：政府采购货物支出</w:t>
      </w:r>
      <w:r>
        <w:rPr>
          <w:sz w:val="32"/>
          <w:szCs w:val="32"/>
        </w:rPr>
        <w:t>88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其中：红外线相机83.6万元、存储卡3.99万元、电池0.78万元</w:t>
      </w:r>
      <w:r>
        <w:rPr>
          <w:rFonts w:hint="eastAsia" w:ascii="仿宋_GB2312" w:eastAsia="仿宋_GB2312"/>
          <w:sz w:val="32"/>
          <w:szCs w:val="32"/>
          <w:lang w:eastAsia="zh-CN"/>
        </w:rPr>
        <w:t>）</w:t>
      </w:r>
      <w:r>
        <w:rPr>
          <w:rFonts w:hint="eastAsia" w:ascii="仿宋_GB2312" w:eastAsia="仿宋_GB2312"/>
          <w:sz w:val="32"/>
          <w:szCs w:val="32"/>
        </w:rPr>
        <w:t>、政府采购工程支出</w:t>
      </w:r>
      <w:r>
        <w:rPr>
          <w:sz w:val="32"/>
          <w:szCs w:val="32"/>
        </w:rPr>
        <w:t>0</w:t>
      </w:r>
      <w:r>
        <w:rPr>
          <w:rFonts w:hint="eastAsia" w:ascii="仿宋_GB2312" w:eastAsia="仿宋_GB2312"/>
          <w:sz w:val="32"/>
          <w:szCs w:val="32"/>
        </w:rPr>
        <w:t>万元、政府采购服务支出</w:t>
      </w:r>
      <w:r>
        <w:rPr>
          <w:sz w:val="32"/>
          <w:szCs w:val="32"/>
        </w:rPr>
        <w:t>144.08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其中：雪豹调查监测服务费委托业务费104.57万元、片区规划委托业务费39.5万元</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val="en-US" w:eastAsia="zh-CN"/>
        </w:rPr>
        <w:t>采购雪豹调查红外线相机、存储卡、电池；雪豹调查监测服务费、片区规划委托业务费</w:t>
      </w:r>
      <w:r>
        <w:rPr>
          <w:rFonts w:hint="eastAsia" w:ascii="仿宋_GB2312" w:eastAsia="仿宋_GB2312"/>
          <w:sz w:val="32"/>
          <w:szCs w:val="32"/>
        </w:rPr>
        <w:t>。授予中小企业合同金额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14:paraId="1E9CE544">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1223C254">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7F0E0974">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大熊猫国家公园阿坝管理分局</w:t>
      </w:r>
      <w:r>
        <w:rPr>
          <w:rFonts w:hint="eastAsia" w:ascii="仿宋_GB2312" w:eastAsia="仿宋_GB2312"/>
          <w:sz w:val="32"/>
          <w:szCs w:val="32"/>
        </w:rPr>
        <w:t>共有车辆</w:t>
      </w:r>
      <w:r>
        <w:rPr>
          <w:rFonts w:ascii="仿宋_GB2312" w:eastAsia="仿宋_GB2312"/>
          <w:sz w:val="32"/>
          <w:szCs w:val="32"/>
        </w:rPr>
        <w:t>2</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2</w:t>
      </w:r>
      <w:r>
        <w:rPr>
          <w:rFonts w:hint="eastAsia" w:ascii="仿宋_GB2312" w:eastAsia="仿宋_GB2312"/>
          <w:sz w:val="32"/>
          <w:szCs w:val="32"/>
        </w:rPr>
        <w:t>辆，其他用车主要是用于</w:t>
      </w:r>
      <w:r>
        <w:rPr>
          <w:rFonts w:hint="eastAsia" w:ascii="仿宋_GB2312" w:eastAsia="仿宋_GB2312"/>
          <w:sz w:val="32"/>
          <w:szCs w:val="32"/>
          <w:lang w:val="en-US" w:eastAsia="zh-CN"/>
        </w:rPr>
        <w:t>局领导及职工公务出行使用</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14:paraId="3C0AB3DA">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14:paraId="6CCE3456">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051D308D">
      <w:pPr>
        <w:spacing w:line="580" w:lineRule="exact"/>
        <w:ind w:firstLine="640" w:firstLineChars="200"/>
        <w:rPr>
          <w:rFonts w:asci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hAnsi="仿宋_GB2312" w:eastAsia="仿宋_GB2312" w:cs="仿宋_GB2312"/>
          <w:sz w:val="32"/>
          <w:szCs w:val="32"/>
          <w:lang w:val="en-US" w:eastAsia="zh-CN"/>
        </w:rPr>
        <w:t>6个</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分别为：保护保障工作经费、卧龙体制改革工作经费、办公用房租赁费、聘请法律顾问、宣传教育、大熊猫国家公园阿坝片区规划</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val="en-US" w:eastAsia="zh-CN"/>
        </w:rPr>
        <w:t>2023年4月财政下达2023年中央财政林业草原生态保护恢复资金预算286万元，用于雪豹监测支出，2023年8月财政下达2023年省级财政林业草原生态保护恢复资金50万元，用于巡护终端采购支出。</w:t>
      </w:r>
      <w:r>
        <w:rPr>
          <w:rFonts w:hint="eastAsia" w:ascii="仿宋_GB2312" w:eastAsia="仿宋_GB2312" w:cs="仿宋_GB2312"/>
          <w:sz w:val="32"/>
          <w:szCs w:val="32"/>
        </w:rPr>
        <w:t>年终执行完毕后，对</w:t>
      </w:r>
      <w:r>
        <w:rPr>
          <w:rFonts w:hint="eastAsia" w:ascii="仿宋_GB2312" w:eastAsia="仿宋_GB2312" w:cs="仿宋_GB2312"/>
          <w:sz w:val="32"/>
          <w:szCs w:val="32"/>
          <w:lang w:val="en-US" w:eastAsia="zh-CN"/>
        </w:rPr>
        <w:t>以上8</w:t>
      </w:r>
      <w:r>
        <w:rPr>
          <w:rFonts w:hint="eastAsia" w:ascii="仿宋_GB2312" w:eastAsia="仿宋_GB2312" w:cs="仿宋_GB2312"/>
          <w:sz w:val="32"/>
          <w:szCs w:val="32"/>
        </w:rPr>
        <w:t>个项目开展了绩效目标完成情况自评。</w:t>
      </w:r>
    </w:p>
    <w:p w14:paraId="7C039CBF">
      <w:pPr>
        <w:keepNext w:val="0"/>
        <w:keepLines w:val="0"/>
        <w:pageBreakBefore w:val="0"/>
        <w:widowControl w:val="0"/>
        <w:suppressLineNumbers w:val="0"/>
        <w:suppressAutoHyphens w:val="0"/>
        <w:spacing w:line="520" w:lineRule="exact"/>
        <w:ind w:left="0" w:firstLine="640" w:firstLineChars="200"/>
        <w:rPr>
          <w:rFonts w:hint="eastAsia" w:ascii="仿宋_GB2312" w:eastAsia="仿宋_GB2312" w:cs="Times New Roman"/>
          <w:color w:val="000000"/>
          <w:sz w:val="32"/>
          <w:szCs w:val="32"/>
          <w:lang w:bidi="ar-SA"/>
        </w:rPr>
      </w:pPr>
      <w:r>
        <w:rPr>
          <w:rFonts w:hint="eastAsia" w:ascii="仿宋_GB2312" w:eastAsia="仿宋_GB2312" w:cs="仿宋_GB2312"/>
          <w:sz w:val="32"/>
          <w:szCs w:val="32"/>
        </w:rPr>
        <w:t>本部门按要求对202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年部门整体支出开展绩效自评，从评价情况来看</w:t>
      </w:r>
      <w:r>
        <w:rPr>
          <w:rFonts w:hint="eastAsia" w:ascii="仿宋_GB2312" w:eastAsia="仿宋_GB2312"/>
          <w:sz w:val="32"/>
          <w:szCs w:val="32"/>
        </w:rPr>
        <w:t>大熊猫国家公园阿坝管理分局始终坚持以生物多样性保护为主的发展战略，202</w:t>
      </w:r>
      <w:r>
        <w:rPr>
          <w:rFonts w:hint="eastAsia" w:ascii="仿宋_GB2312" w:eastAsia="仿宋_GB2312"/>
          <w:sz w:val="32"/>
          <w:szCs w:val="32"/>
          <w:lang w:val="en-US" w:eastAsia="zh-CN"/>
        </w:rPr>
        <w:t>3</w:t>
      </w:r>
      <w:r>
        <w:rPr>
          <w:rFonts w:hint="eastAsia" w:ascii="仿宋_GB2312" w:eastAsia="仿宋_GB2312"/>
          <w:sz w:val="32"/>
          <w:szCs w:val="32"/>
        </w:rPr>
        <w:t>年主要工作：</w:t>
      </w:r>
      <w:r>
        <w:rPr>
          <w:rFonts w:hint="default" w:ascii="Times New Roman" w:hAnsi="Times New Roman" w:eastAsia="楷体_GB2312" w:cs="Times New Roman"/>
          <w:b/>
          <w:bCs/>
          <w:color w:val="000000"/>
          <w:sz w:val="32"/>
          <w:szCs w:val="32"/>
          <w:lang w:eastAsia="zh-CN" w:bidi="ar-SA"/>
        </w:rPr>
        <w:t>（一）夯实党建根基，弘扬清风正气。</w:t>
      </w:r>
      <w:r>
        <w:rPr>
          <w:rFonts w:hint="default" w:ascii="Times New Roman" w:hAnsi="Times New Roman" w:eastAsia="仿宋_GB2312" w:cs="Times New Roman"/>
          <w:color w:val="000000"/>
          <w:sz w:val="32"/>
          <w:szCs w:val="32"/>
          <w:lang w:bidi="ar-SA"/>
        </w:rPr>
        <w:t>坚持以</w:t>
      </w:r>
      <w:r>
        <w:rPr>
          <w:rFonts w:ascii="Times New Roman" w:hAnsi="Times New Roman" w:eastAsia="仿宋_GB2312" w:cs="Times New Roman"/>
          <w:color w:val="000000"/>
          <w:sz w:val="32"/>
          <w:szCs w:val="32"/>
          <w:lang w:bidi="ar-SA"/>
        </w:rPr>
        <w:t>习</w:t>
      </w:r>
      <w:r>
        <w:rPr>
          <w:rFonts w:hint="default" w:ascii="Times New Roman" w:hAnsi="Times New Roman" w:eastAsia="仿宋_GB2312" w:cs="Times New Roman"/>
          <w:color w:val="000000"/>
          <w:sz w:val="32"/>
          <w:szCs w:val="32"/>
          <w:lang w:bidi="ar-SA"/>
        </w:rPr>
        <w:t>近平新时代中国特色社会主义思想为指导，学习贯彻党的二十大精神</w:t>
      </w:r>
      <w:r>
        <w:rPr>
          <w:rFonts w:ascii="Times New Roman" w:hAnsi="Times New Roman" w:eastAsia="仿宋_GB2312" w:cs="Times New Roman"/>
          <w:color w:val="000000"/>
          <w:sz w:val="32"/>
          <w:szCs w:val="32"/>
          <w:lang w:bidi="ar-SA"/>
        </w:rPr>
        <w:t>和省委十二届三次、州委十二届三次全会精神，</w:t>
      </w:r>
      <w:r>
        <w:rPr>
          <w:rFonts w:hint="eastAsia" w:ascii="仿宋_GB2312" w:eastAsia="仿宋_GB2312" w:cs="仿宋_GB2312"/>
          <w:color w:val="000000"/>
          <w:sz w:val="32"/>
          <w:szCs w:val="32"/>
          <w:lang w:val="en-US" w:eastAsia="zh-CN" w:bidi="ar-SA"/>
        </w:rPr>
        <w:t>贯彻落实党中央、省委关于主题教育重要指示精神，推动执行州委关于主题教育的安排部署。2023年</w:t>
      </w:r>
      <w:r>
        <w:rPr>
          <w:rFonts w:hint="eastAsia" w:ascii="仿宋_GB2312" w:eastAsia="仿宋_GB2312" w:cs="Times New Roman"/>
          <w:color w:val="000000"/>
          <w:sz w:val="32"/>
          <w:szCs w:val="32"/>
          <w:lang w:bidi="ar-SA"/>
        </w:rPr>
        <w:t>分局共</w:t>
      </w:r>
      <w:r>
        <w:rPr>
          <w:rFonts w:hint="eastAsia" w:ascii="仿宋_GB2312" w:eastAsia="仿宋_GB2312" w:cs="Times New Roman"/>
          <w:color w:val="000000"/>
          <w:sz w:val="32"/>
          <w:szCs w:val="32"/>
          <w:lang w:val="en-US" w:eastAsia="zh-CN" w:bidi="ar-SA"/>
        </w:rPr>
        <w:t>召开党组会10次，党组中心组学习11次，局务会3次，</w:t>
      </w:r>
      <w:r>
        <w:rPr>
          <w:rFonts w:hint="eastAsia" w:ascii="仿宋_GB2312" w:eastAsia="仿宋_GB2312" w:cs="Times New Roman"/>
          <w:color w:val="000000"/>
          <w:sz w:val="32"/>
          <w:szCs w:val="32"/>
          <w:lang w:eastAsia="zh-CN" w:bidi="ar-SA"/>
        </w:rPr>
        <w:t>支部委员会</w:t>
      </w:r>
      <w:r>
        <w:rPr>
          <w:rFonts w:hint="eastAsia" w:ascii="仿宋_GB2312" w:eastAsia="仿宋_GB2312" w:cs="Times New Roman"/>
          <w:color w:val="000000"/>
          <w:sz w:val="32"/>
          <w:szCs w:val="32"/>
          <w:lang w:val="en-US" w:eastAsia="zh-CN" w:bidi="ar-SA"/>
        </w:rPr>
        <w:t>12次，党员大会6次，党组副书记讲党课3次，支部书记讲党课2次，开展主题党日12次，集中学习25次；强化党风廉政教育。制定《2023年度党风廉政建设工作方案》，签订党风廉政责任书6份，</w:t>
      </w:r>
      <w:r>
        <w:rPr>
          <w:rFonts w:hint="eastAsia" w:ascii="仿宋_GB2312" w:eastAsia="仿宋_GB2312" w:cs="Times New Roman"/>
          <w:color w:val="000000"/>
          <w:sz w:val="32"/>
          <w:szCs w:val="32"/>
          <w:lang w:eastAsia="zh-CN" w:bidi="ar-SA"/>
        </w:rPr>
        <w:t>对重点岗位、重点领域的党风廉政建设进行了风险排查</w:t>
      </w:r>
      <w:r>
        <w:rPr>
          <w:rFonts w:hint="eastAsia" w:ascii="仿宋_GB2312" w:eastAsia="仿宋_GB2312" w:cs="Times New Roman"/>
          <w:color w:val="000000"/>
          <w:sz w:val="32"/>
          <w:szCs w:val="32"/>
          <w:lang w:val="en-US" w:eastAsia="zh-CN" w:bidi="ar-SA"/>
        </w:rPr>
        <w:t>。开展“三察三治”工作，强化</w:t>
      </w:r>
      <w:r>
        <w:rPr>
          <w:rFonts w:hint="eastAsia" w:ascii="仿宋_GB2312" w:eastAsia="仿宋_GB2312" w:cs="Times New Roman"/>
          <w:color w:val="000000"/>
          <w:sz w:val="32"/>
          <w:szCs w:val="32"/>
          <w:lang w:bidi="ar-SA"/>
        </w:rPr>
        <w:t>意识形态引领，观看警示教育片</w:t>
      </w:r>
      <w:r>
        <w:rPr>
          <w:rFonts w:hint="eastAsia" w:ascii="仿宋_GB2312" w:eastAsia="仿宋_GB2312" w:cs="Times New Roman"/>
          <w:color w:val="000000"/>
          <w:sz w:val="32"/>
          <w:szCs w:val="32"/>
          <w:lang w:val="en-US" w:eastAsia="zh-CN" w:bidi="ar-SA"/>
        </w:rPr>
        <w:t>5</w:t>
      </w:r>
      <w:r>
        <w:rPr>
          <w:rFonts w:hint="eastAsia" w:ascii="仿宋_GB2312" w:eastAsia="仿宋_GB2312" w:cs="Times New Roman"/>
          <w:color w:val="000000"/>
          <w:sz w:val="32"/>
          <w:szCs w:val="32"/>
          <w:lang w:bidi="ar-SA"/>
        </w:rPr>
        <w:t>次，通报学习典型案例</w:t>
      </w:r>
      <w:r>
        <w:rPr>
          <w:rFonts w:hint="eastAsia" w:ascii="仿宋_GB2312" w:eastAsia="仿宋_GB2312" w:cs="Times New Roman"/>
          <w:color w:val="000000"/>
          <w:sz w:val="32"/>
          <w:szCs w:val="32"/>
          <w:lang w:val="en-US" w:eastAsia="zh-CN" w:bidi="ar-SA"/>
        </w:rPr>
        <w:t>6</w:t>
      </w:r>
      <w:r>
        <w:rPr>
          <w:rFonts w:hint="eastAsia" w:ascii="仿宋_GB2312" w:eastAsia="仿宋_GB2312" w:cs="Times New Roman"/>
          <w:color w:val="000000"/>
          <w:sz w:val="32"/>
          <w:szCs w:val="32"/>
          <w:lang w:bidi="ar-SA"/>
        </w:rPr>
        <w:t>次，开展廉政党课2次、谈心谈话4次，撰写心得体会10篇，</w:t>
      </w:r>
      <w:r>
        <w:rPr>
          <w:rFonts w:hint="eastAsia" w:ascii="仿宋_GB2312" w:eastAsia="仿宋_GB2312" w:cs="Times New Roman"/>
          <w:color w:val="000000"/>
          <w:sz w:val="32"/>
          <w:szCs w:val="32"/>
          <w:lang w:val="en-US" w:eastAsia="zh-CN" w:bidi="ar-SA"/>
        </w:rPr>
        <w:t>撰写剖析材料15</w:t>
      </w:r>
      <w:r>
        <w:rPr>
          <w:rFonts w:hint="eastAsia" w:ascii="仿宋_GB2312" w:eastAsia="仿宋_GB2312" w:cs="Times New Roman"/>
          <w:color w:val="000000"/>
          <w:sz w:val="32"/>
          <w:szCs w:val="32"/>
          <w:lang w:bidi="ar-SA"/>
        </w:rPr>
        <w:t>篇（其中：班子1篇，个人14篇）。</w:t>
      </w:r>
      <w:r>
        <w:rPr>
          <w:rFonts w:hint="eastAsia" w:ascii="仿宋_GB2312" w:eastAsia="仿宋_GB2312" w:cs="Times New Roman"/>
          <w:color w:val="000000"/>
          <w:sz w:val="32"/>
          <w:szCs w:val="32"/>
          <w:lang w:val="en-US" w:eastAsia="zh-CN" w:bidi="ar-SA"/>
        </w:rPr>
        <w:t>发展预备党员1名。</w:t>
      </w:r>
      <w:r>
        <w:rPr>
          <w:rFonts w:hint="eastAsia" w:ascii="仿宋_GB2312" w:eastAsia="仿宋_GB2312" w:cs="Times New Roman"/>
          <w:color w:val="000000"/>
          <w:sz w:val="32"/>
          <w:szCs w:val="32"/>
          <w:lang w:bidi="ar-SA"/>
        </w:rPr>
        <w:t>抓好“两联一进”</w:t>
      </w:r>
      <w:r>
        <w:rPr>
          <w:rFonts w:hint="eastAsia" w:ascii="仿宋_GB2312" w:eastAsia="仿宋_GB2312" w:cs="Times New Roman"/>
          <w:color w:val="000000"/>
          <w:sz w:val="32"/>
          <w:szCs w:val="32"/>
          <w:lang w:val="en-US" w:eastAsia="zh-CN" w:bidi="ar-SA"/>
        </w:rPr>
        <w:t>“双报到”等</w:t>
      </w:r>
      <w:r>
        <w:rPr>
          <w:rFonts w:hint="eastAsia" w:ascii="仿宋_GB2312" w:eastAsia="仿宋_GB2312" w:cs="Times New Roman"/>
          <w:color w:val="000000"/>
          <w:sz w:val="32"/>
          <w:szCs w:val="32"/>
          <w:lang w:bidi="ar-SA"/>
        </w:rPr>
        <w:t>工作，走访慰问</w:t>
      </w:r>
      <w:r>
        <w:rPr>
          <w:rFonts w:hint="eastAsia" w:ascii="仿宋_GB2312" w:eastAsia="仿宋_GB2312" w:cs="Times New Roman"/>
          <w:color w:val="000000"/>
          <w:sz w:val="32"/>
          <w:szCs w:val="32"/>
          <w:lang w:val="en-US" w:eastAsia="zh-CN" w:bidi="ar-SA"/>
        </w:rPr>
        <w:t>14</w:t>
      </w:r>
      <w:r>
        <w:rPr>
          <w:rFonts w:hint="eastAsia" w:ascii="仿宋_GB2312" w:eastAsia="仿宋_GB2312" w:cs="Times New Roman"/>
          <w:color w:val="000000"/>
          <w:sz w:val="32"/>
          <w:szCs w:val="32"/>
          <w:lang w:bidi="ar-SA"/>
        </w:rPr>
        <w:t>次。</w:t>
      </w:r>
    </w:p>
    <w:p w14:paraId="3F9A87AD">
      <w:pPr>
        <w:keepNext w:val="0"/>
        <w:keepLines w:val="0"/>
        <w:pageBreakBefore w:val="0"/>
        <w:widowControl w:val="0"/>
        <w:suppressLineNumbers w:val="0"/>
        <w:tabs>
          <w:tab w:val="left" w:pos="2520"/>
        </w:tabs>
        <w:suppressAutoHyphens w:val="0"/>
        <w:spacing w:line="520" w:lineRule="exact"/>
        <w:ind w:left="0" w:firstLine="643" w:firstLineChars="200"/>
        <w:rPr>
          <w:rFonts w:ascii="Times New Roman" w:hAnsi="Times New Roman" w:eastAsia="仿宋_GB2312" w:cs="Times New Roman"/>
          <w:color w:val="000000"/>
          <w:sz w:val="32"/>
          <w:szCs w:val="32"/>
          <w:lang w:bidi="ar-SA"/>
        </w:rPr>
      </w:pPr>
      <w:r>
        <w:rPr>
          <w:rFonts w:hint="default" w:ascii="Times New Roman" w:hAnsi="Times New Roman" w:eastAsia="楷体_GB2312" w:cs="Times New Roman"/>
          <w:b/>
          <w:bCs/>
          <w:color w:val="000000"/>
          <w:sz w:val="32"/>
          <w:szCs w:val="32"/>
          <w:lang w:eastAsia="zh-CN" w:bidi="ar-SA"/>
        </w:rPr>
        <w:t>（</w:t>
      </w:r>
      <w:r>
        <w:rPr>
          <w:rFonts w:hint="default" w:ascii="Times New Roman" w:hAnsi="Times New Roman" w:eastAsia="楷体_GB2312" w:cs="Times New Roman"/>
          <w:b/>
          <w:bCs/>
          <w:color w:val="000000"/>
          <w:sz w:val="32"/>
          <w:szCs w:val="32"/>
          <w:lang w:bidi="ar-SA"/>
        </w:rPr>
        <w:t>二</w:t>
      </w:r>
      <w:r>
        <w:rPr>
          <w:rFonts w:hint="default" w:ascii="Times New Roman" w:hAnsi="Times New Roman" w:eastAsia="楷体_GB2312" w:cs="Times New Roman"/>
          <w:b/>
          <w:bCs/>
          <w:color w:val="000000"/>
          <w:sz w:val="32"/>
          <w:szCs w:val="32"/>
          <w:lang w:eastAsia="zh-CN" w:bidi="ar-SA"/>
        </w:rPr>
        <w:t>）筑牢防火底线，确保生态安全。</w:t>
      </w:r>
      <w:r>
        <w:rPr>
          <w:rFonts w:hint="eastAsia" w:ascii="仿宋_GB2312" w:eastAsia="仿宋_GB2312" w:cs="Times New Roman"/>
          <w:color w:val="000000"/>
          <w:sz w:val="32"/>
          <w:szCs w:val="32"/>
          <w:lang w:bidi="ar-SA"/>
        </w:rPr>
        <w:t>落实责任。</w:t>
      </w:r>
      <w:r>
        <w:rPr>
          <w:rFonts w:hint="eastAsia" w:ascii="仿宋_GB2312" w:eastAsia="仿宋_GB2312" w:cs="Times New Roman"/>
          <w:color w:val="000000"/>
          <w:sz w:val="32"/>
          <w:szCs w:val="32"/>
          <w:lang w:val="en-US" w:eastAsia="zh-CN" w:bidi="ar-SA"/>
        </w:rPr>
        <w:t>按照“三管三必须”要求，制定部门森林草原防灭火分片区监管责任任务清单。划定州级责任片区和县级责任片区，落实2名州级责任人、15名县级责任人</w:t>
      </w:r>
      <w:r>
        <w:rPr>
          <w:rFonts w:hint="eastAsia" w:ascii="仿宋_GB2312" w:eastAsia="仿宋_GB2312" w:cs="Times New Roman"/>
          <w:color w:val="000000"/>
          <w:sz w:val="32"/>
          <w:szCs w:val="32"/>
          <w:lang w:bidi="ar-SA"/>
        </w:rPr>
        <w:t>。由分局领导带队，通过实地查看、查阅资料等方式对辖区内森林草原</w:t>
      </w:r>
      <w:r>
        <w:rPr>
          <w:rFonts w:hint="eastAsia" w:ascii="仿宋_GB2312" w:eastAsia="仿宋_GB2312" w:cs="Times New Roman"/>
          <w:color w:val="000000"/>
          <w:sz w:val="32"/>
          <w:szCs w:val="32"/>
          <w:lang w:val="en-US" w:eastAsia="zh-CN" w:bidi="ar-SA"/>
        </w:rPr>
        <w:t>防</w:t>
      </w:r>
      <w:r>
        <w:rPr>
          <w:rFonts w:hint="eastAsia" w:ascii="仿宋_GB2312" w:eastAsia="仿宋_GB2312" w:cs="Times New Roman"/>
          <w:color w:val="000000"/>
          <w:sz w:val="32"/>
          <w:szCs w:val="32"/>
          <w:lang w:bidi="ar-SA"/>
        </w:rPr>
        <w:t>灭火责任落实、宣传、隐患排查、监测预警等进行</w:t>
      </w:r>
      <w:r>
        <w:rPr>
          <w:rFonts w:hint="eastAsia" w:ascii="仿宋_GB2312" w:eastAsia="仿宋_GB2312" w:cs="Times New Roman"/>
          <w:color w:val="000000"/>
          <w:sz w:val="32"/>
          <w:szCs w:val="32"/>
          <w:lang w:val="en-US" w:eastAsia="zh-CN" w:bidi="ar-SA"/>
        </w:rPr>
        <w:t>2次</w:t>
      </w:r>
      <w:r>
        <w:rPr>
          <w:rFonts w:hint="eastAsia" w:ascii="仿宋_GB2312" w:eastAsia="仿宋_GB2312" w:cs="Times New Roman"/>
          <w:color w:val="000000"/>
          <w:sz w:val="32"/>
          <w:szCs w:val="32"/>
          <w:lang w:bidi="ar-SA"/>
        </w:rPr>
        <w:t>督导检查。</w:t>
      </w:r>
      <w:r>
        <w:rPr>
          <w:rFonts w:hint="eastAsia" w:ascii="仿宋_GB2312" w:eastAsia="仿宋_GB2312" w:cs="Times New Roman"/>
          <w:color w:val="000000"/>
          <w:sz w:val="32"/>
          <w:szCs w:val="32"/>
          <w:lang w:val="en-US" w:eastAsia="zh-CN" w:bidi="ar-SA"/>
        </w:rPr>
        <w:t>设置固定标牌30座、张贴宣传横幅99条、LED滚动宣传屏4处、新闻宣传报道4次、发布宣传视频18条、开展校园宣传活动2次、发放宣传单1万余份、入户宣传2千余次、出动宣传车3千余车次</w:t>
      </w:r>
      <w:r>
        <w:rPr>
          <w:rFonts w:hint="eastAsia" w:ascii="仿宋_GB2312" w:eastAsia="仿宋_GB2312" w:cs="Times New Roman"/>
          <w:color w:val="000000"/>
          <w:sz w:val="32"/>
          <w:szCs w:val="32"/>
          <w:lang w:bidi="ar-SA"/>
        </w:rPr>
        <w:t>。对重点人群、</w:t>
      </w:r>
      <w:r>
        <w:rPr>
          <w:rFonts w:hint="eastAsia" w:ascii="仿宋_GB2312" w:eastAsia="仿宋_GB2312" w:cs="Times New Roman"/>
          <w:bCs/>
          <w:color w:val="000000"/>
          <w:sz w:val="32"/>
          <w:szCs w:val="32"/>
          <w:lang w:val="en-US" w:eastAsia="zh-CN" w:bidi="ar-SA"/>
        </w:rPr>
        <w:t>输变电线路</w:t>
      </w:r>
      <w:r>
        <w:rPr>
          <w:rFonts w:hint="eastAsia" w:ascii="仿宋_GB2312" w:eastAsia="仿宋_GB2312" w:cs="Times New Roman"/>
          <w:color w:val="000000"/>
          <w:sz w:val="32"/>
          <w:szCs w:val="32"/>
          <w:lang w:bidi="ar-SA"/>
        </w:rPr>
        <w:t>、人员聚集区等重点区域进行全面的排查，对发现的隐患进行清理，排除隐患，</w:t>
      </w:r>
      <w:r>
        <w:rPr>
          <w:rFonts w:hint="eastAsia" w:ascii="仿宋_GB2312" w:eastAsia="仿宋_GB2312" w:cs="Times New Roman"/>
          <w:color w:val="000000"/>
          <w:sz w:val="32"/>
          <w:szCs w:val="32"/>
          <w:lang w:val="en-US" w:eastAsia="zh-CN" w:bidi="ar-SA"/>
        </w:rPr>
        <w:t>建立施工企业监管台账。</w:t>
      </w:r>
      <w:r>
        <w:rPr>
          <w:rFonts w:hint="eastAsia" w:ascii="仿宋_GB2312" w:eastAsia="仿宋_GB2312" w:cs="Times New Roman"/>
          <w:color w:val="000000"/>
          <w:sz w:val="32"/>
          <w:szCs w:val="32"/>
          <w:lang w:bidi="ar-SA"/>
        </w:rPr>
        <w:t>加强巡护、巡查，通过日常巡护、监测及防火的专项巡查，及时发现问题，及时处理，做到防患于未然。关键时段管理。紧盯春节</w:t>
      </w:r>
      <w:r>
        <w:rPr>
          <w:rFonts w:hint="eastAsia" w:ascii="仿宋_GB2312" w:eastAsia="仿宋_GB2312" w:cs="Times New Roman"/>
          <w:color w:val="000000"/>
          <w:sz w:val="32"/>
          <w:szCs w:val="32"/>
          <w:lang w:eastAsia="zh-CN" w:bidi="ar-SA"/>
        </w:rPr>
        <w:t>、“</w:t>
      </w:r>
      <w:r>
        <w:rPr>
          <w:rFonts w:hint="eastAsia" w:ascii="仿宋_GB2312" w:eastAsia="仿宋_GB2312" w:cs="Times New Roman"/>
          <w:color w:val="000000"/>
          <w:sz w:val="32"/>
          <w:szCs w:val="32"/>
          <w:lang w:val="en-US" w:eastAsia="zh-CN" w:bidi="ar-SA"/>
        </w:rPr>
        <w:t>3.30”、清明节、五一节、国庆节、全国两会</w:t>
      </w:r>
      <w:bookmarkStart w:id="50" w:name="_GoBack"/>
      <w:bookmarkEnd w:id="50"/>
      <w:r>
        <w:rPr>
          <w:rFonts w:hint="eastAsia" w:ascii="仿宋_GB2312" w:eastAsia="仿宋_GB2312" w:cs="Times New Roman"/>
          <w:color w:val="000000"/>
          <w:sz w:val="32"/>
          <w:szCs w:val="32"/>
          <w:lang w:val="en-US" w:eastAsia="zh-CN" w:bidi="ar-SA"/>
        </w:rPr>
        <w:t>等</w:t>
      </w:r>
      <w:r>
        <w:rPr>
          <w:rFonts w:hint="eastAsia" w:ascii="仿宋_GB2312" w:eastAsia="仿宋_GB2312" w:cs="Times New Roman"/>
          <w:color w:val="000000"/>
          <w:sz w:val="32"/>
          <w:szCs w:val="32"/>
          <w:lang w:bidi="ar-SA"/>
        </w:rPr>
        <w:t>关键时段，强化宣传，倡导文明祭扫，在重点时段、重点路口、重点山头、坟墓集中区、进林区主要路口等部位设立临时防火宣传检查卡点，对于祭祀人员和车辆进行认真排查，同时进一步加强护林防火巡查巡护。</w:t>
      </w:r>
    </w:p>
    <w:p w14:paraId="36710166">
      <w:pPr>
        <w:keepNext w:val="0"/>
        <w:keepLines w:val="0"/>
        <w:pageBreakBefore w:val="0"/>
        <w:widowControl w:val="0"/>
        <w:suppressLineNumbers w:val="0"/>
        <w:suppressAutoHyphens w:val="0"/>
        <w:spacing w:line="520" w:lineRule="exact"/>
        <w:ind w:left="0" w:firstLine="643" w:firstLineChars="200"/>
        <w:rPr>
          <w:rFonts w:hint="eastAsia" w:ascii="仿宋_GB2312" w:eastAsia="仿宋_GB2312" w:cs="Times New Roman"/>
          <w:bCs/>
          <w:color w:val="000000"/>
          <w:sz w:val="32"/>
          <w:szCs w:val="32"/>
          <w:lang w:bidi="ar-SA"/>
        </w:rPr>
      </w:pPr>
      <w:r>
        <w:rPr>
          <w:rFonts w:hint="default" w:ascii="Times New Roman" w:hAnsi="Times New Roman" w:eastAsia="楷体_GB2312" w:cs="Times New Roman"/>
          <w:b/>
          <w:bCs/>
          <w:color w:val="000000"/>
          <w:sz w:val="32"/>
          <w:szCs w:val="32"/>
          <w:lang w:bidi="ar-SA"/>
        </w:rPr>
        <w:t>（三）</w:t>
      </w:r>
      <w:r>
        <w:rPr>
          <w:rFonts w:hint="default" w:ascii="Times New Roman" w:hAnsi="Times New Roman" w:eastAsia="楷体_GB2312" w:cs="Times New Roman"/>
          <w:b/>
          <w:bCs/>
          <w:color w:val="000000"/>
          <w:sz w:val="32"/>
          <w:szCs w:val="32"/>
          <w:lang w:val="en-US" w:eastAsia="zh-CN" w:bidi="ar-SA"/>
        </w:rPr>
        <w:t>强化资源管控，</w:t>
      </w:r>
      <w:r>
        <w:rPr>
          <w:rFonts w:hint="default" w:ascii="Times New Roman" w:hAnsi="Times New Roman" w:eastAsia="楷体_GB2312" w:cs="Times New Roman"/>
          <w:b/>
          <w:bCs/>
          <w:color w:val="000000"/>
          <w:sz w:val="32"/>
          <w:szCs w:val="32"/>
          <w:lang w:bidi="ar-SA"/>
        </w:rPr>
        <w:t>筑牢生态屏障</w:t>
      </w:r>
      <w:r>
        <w:rPr>
          <w:rFonts w:hint="default" w:ascii="Times New Roman" w:hAnsi="Times New Roman" w:eastAsia="楷体_GB2312" w:cs="Times New Roman"/>
          <w:b/>
          <w:bCs/>
          <w:color w:val="000000"/>
          <w:sz w:val="32"/>
          <w:szCs w:val="32"/>
          <w:lang w:val="en-US" w:eastAsia="zh-CN" w:bidi="ar-SA"/>
        </w:rPr>
        <w:t>。</w:t>
      </w:r>
      <w:r>
        <w:rPr>
          <w:rFonts w:hint="default" w:ascii="Times New Roman" w:hAnsi="Times New Roman" w:eastAsia="仿宋_GB2312" w:cs="Times New Roman"/>
          <w:bCs/>
          <w:color w:val="000000"/>
          <w:sz w:val="32"/>
          <w:szCs w:val="32"/>
          <w:lang w:bidi="ar-SA"/>
        </w:rPr>
        <w:t>严格执行大熊猫国家</w:t>
      </w:r>
      <w:r>
        <w:rPr>
          <w:rFonts w:hint="eastAsia" w:ascii="仿宋_GB2312" w:eastAsia="仿宋_GB2312" w:cs="Times New Roman"/>
          <w:bCs/>
          <w:color w:val="000000"/>
          <w:sz w:val="32"/>
          <w:szCs w:val="32"/>
          <w:lang w:bidi="ar-SA"/>
        </w:rPr>
        <w:t>公园分区管控范围界线，有序开展勘界立标工作，设立界桩、界碑、功能区桩874个，通过省级复核认定。开展2023年第一、二、三批次地类变化情况核查，涉及图斑44</w:t>
      </w:r>
      <w:r>
        <w:rPr>
          <w:rFonts w:hint="eastAsia" w:ascii="仿宋_GB2312" w:eastAsia="仿宋_GB2312" w:cs="Times New Roman"/>
          <w:bCs/>
          <w:color w:val="000000"/>
          <w:sz w:val="32"/>
          <w:szCs w:val="32"/>
          <w:lang w:val="en-US" w:eastAsia="zh-CN" w:bidi="ar-SA"/>
        </w:rPr>
        <w:t>个。配合完成川渝特高压交流工程阿坝至成都东1000千伏交流输变电工程进入大能猫国家公园，并获得审批。开展样线巡护和红外相机监测工作，完成样线巡护监测共128条、出动7232人次、发现大熊猫实体5次，痕迹24处，其他同域活动的野生动物痕迹744次，监测到珍稀动物有大熊猫、金丝猴、羚牛10余种等动物痕迹。开展大熊猫国家公园川甘陕联合巡护行动，签订《大熊猫国家公园岷山区域联防联护协议》。开展大熊猫国家公园阿坝片区及周边紧邻地区雪豹调查工作，目前，外业工作已经全部完成。开展重要廊道区生态修复400亩。开展大熊猫国家公园阿坝片区巡护监测工作专项培训。</w:t>
      </w:r>
    </w:p>
    <w:p w14:paraId="611ECC0A">
      <w:pPr>
        <w:pStyle w:val="15"/>
        <w:keepNext w:val="0"/>
        <w:keepLines w:val="0"/>
        <w:widowControl/>
        <w:suppressLineNumbers w:val="0"/>
        <w:spacing w:before="0" w:beforeAutospacing="0" w:after="0" w:afterAutospacing="0" w:line="520" w:lineRule="exact"/>
        <w:ind w:firstLine="640"/>
        <w:jc w:val="both"/>
        <w:rPr>
          <w:rFonts w:hint="eastAsia" w:ascii="仿宋_GB2312" w:eastAsia="仿宋_GB2312" w:cs="Times New Roman"/>
          <w:color w:val="000000"/>
          <w:sz w:val="32"/>
          <w:szCs w:val="32"/>
          <w:lang w:val="en-US" w:eastAsia="zh-CN" w:bidi="ar-SA"/>
        </w:rPr>
      </w:pPr>
      <w:r>
        <w:rPr>
          <w:rFonts w:hint="default" w:ascii="Times New Roman" w:hAnsi="Times New Roman" w:eastAsia="楷体_GB2312" w:cs="Times New Roman"/>
          <w:b/>
          <w:bCs/>
          <w:color w:val="000000"/>
          <w:sz w:val="32"/>
          <w:szCs w:val="32"/>
          <w:lang w:val="en-US" w:eastAsia="zh-CN" w:bidi="ar-SA"/>
        </w:rPr>
        <w:t>（</w:t>
      </w:r>
      <w:r>
        <w:rPr>
          <w:rFonts w:hint="default" w:ascii="Times New Roman" w:hAnsi="Times New Roman" w:eastAsia="楷体_GB2312" w:cs="Times New Roman"/>
          <w:b/>
          <w:bCs/>
          <w:color w:val="000000"/>
          <w:sz w:val="32"/>
          <w:szCs w:val="32"/>
          <w:lang w:bidi="ar-SA"/>
        </w:rPr>
        <w:t>四</w:t>
      </w:r>
      <w:r>
        <w:rPr>
          <w:rFonts w:hint="default" w:ascii="Times New Roman" w:hAnsi="Times New Roman" w:eastAsia="楷体_GB2312" w:cs="Times New Roman"/>
          <w:b/>
          <w:bCs/>
          <w:color w:val="000000"/>
          <w:sz w:val="32"/>
          <w:szCs w:val="32"/>
          <w:lang w:eastAsia="zh-CN" w:bidi="ar-SA"/>
        </w:rPr>
        <w:t>）</w:t>
      </w:r>
      <w:r>
        <w:rPr>
          <w:rFonts w:hint="default" w:ascii="Times New Roman" w:hAnsi="Times New Roman" w:eastAsia="楷体_GB2312" w:cs="Times New Roman"/>
          <w:b/>
          <w:bCs/>
          <w:color w:val="000000"/>
          <w:sz w:val="32"/>
          <w:szCs w:val="32"/>
          <w:lang w:bidi="ar-SA"/>
        </w:rPr>
        <w:t>配合推进立法</w:t>
      </w:r>
      <w:r>
        <w:rPr>
          <w:rFonts w:hint="default" w:ascii="Times New Roman" w:hAnsi="Times New Roman" w:eastAsia="楷体_GB2312" w:cs="Times New Roman"/>
          <w:b/>
          <w:bCs/>
          <w:color w:val="000000"/>
          <w:sz w:val="32"/>
          <w:szCs w:val="32"/>
          <w:lang w:val="en-US" w:eastAsia="zh-CN" w:bidi="ar-SA"/>
        </w:rPr>
        <w:t>，实现有法可依。</w:t>
      </w:r>
      <w:r>
        <w:rPr>
          <w:rFonts w:hint="eastAsia" w:ascii="仿宋_GB2312" w:eastAsia="仿宋_GB2312" w:cs="Times New Roman"/>
          <w:color w:val="000000"/>
          <w:sz w:val="32"/>
          <w:szCs w:val="32"/>
          <w:lang w:val="en-US" w:eastAsia="zh-CN" w:bidi="ar-SA"/>
        </w:rPr>
        <w:t>配合相关部门完成大熊猫国家公园管理协同立法调研工作。完成省人大立法调研工作，对《四川省人民代表大会常务委员会关于加强大熊猫国家公园共同管理的决定（草案）》《四川省大熊猫国家公园管理条例（草案）》提出修改建议，目前，</w:t>
      </w:r>
      <w:r>
        <w:rPr>
          <w:rFonts w:hint="eastAsia" w:ascii="仿宋_GB2312" w:eastAsia="仿宋_GB2312" w:cs="Times New Roman"/>
          <w:color w:val="000000"/>
          <w:sz w:val="32"/>
          <w:szCs w:val="32"/>
          <w:lang w:bidi="ar-SA"/>
        </w:rPr>
        <w:t>《四川省大熊猫国家公园管理条例》已由四川省第十四届人民代表大会常务委员会第五次会议于2023年7月25日通过，予以正式公布</w:t>
      </w:r>
      <w:r>
        <w:rPr>
          <w:rFonts w:hint="eastAsia" w:ascii="仿宋_GB2312" w:eastAsia="仿宋_GB2312" w:cs="Times New Roman"/>
          <w:color w:val="000000"/>
          <w:sz w:val="32"/>
          <w:szCs w:val="32"/>
          <w:lang w:val="en-US" w:eastAsia="zh-CN" w:bidi="ar-SA"/>
        </w:rPr>
        <w:t>。</w:t>
      </w:r>
    </w:p>
    <w:p w14:paraId="73D0058B">
      <w:pPr>
        <w:pStyle w:val="15"/>
        <w:keepNext w:val="0"/>
        <w:keepLines w:val="0"/>
        <w:widowControl/>
        <w:suppressLineNumbers w:val="0"/>
        <w:spacing w:before="0" w:beforeAutospacing="0" w:after="0" w:afterAutospacing="0" w:line="520" w:lineRule="exact"/>
        <w:ind w:firstLine="640"/>
        <w:jc w:val="both"/>
        <w:rPr>
          <w:rFonts w:hint="eastAsia" w:ascii="仿宋_GB2312" w:eastAsia="仿宋_GB2312"/>
          <w:color w:val="000000"/>
          <w:sz w:val="32"/>
          <w:szCs w:val="32"/>
        </w:rPr>
      </w:pPr>
      <w:r>
        <w:rPr>
          <w:rFonts w:hint="default" w:ascii="Times New Roman" w:hAnsi="Times New Roman" w:eastAsia="楷体_GB2312" w:cs="Times New Roman"/>
          <w:b/>
          <w:bCs/>
          <w:color w:val="000000"/>
          <w:sz w:val="32"/>
          <w:szCs w:val="32"/>
          <w:lang w:eastAsia="zh-CN" w:bidi="ar-SA"/>
        </w:rPr>
        <w:t>（五）</w:t>
      </w:r>
      <w:r>
        <w:rPr>
          <w:rFonts w:hint="default" w:ascii="Times New Roman" w:hAnsi="Times New Roman" w:eastAsia="楷体_GB2312" w:cs="Times New Roman"/>
          <w:b/>
          <w:bCs/>
          <w:color w:val="000000"/>
          <w:sz w:val="32"/>
          <w:szCs w:val="32"/>
          <w:lang w:val="en-US" w:eastAsia="zh-CN" w:bidi="ar-SA"/>
        </w:rPr>
        <w:t>强化项目管理，优质高效建设。</w:t>
      </w:r>
      <w:r>
        <w:rPr>
          <w:rFonts w:hint="eastAsia" w:ascii="仿宋_GB2312" w:eastAsia="仿宋_GB2312" w:cs="Times New Roman"/>
          <w:color w:val="000000"/>
          <w:sz w:val="32"/>
          <w:szCs w:val="32"/>
          <w:lang w:val="en-US" w:eastAsia="zh-CN" w:bidi="ar-SA"/>
        </w:rPr>
        <w:t>落实2023年中央和省级财政国家公园补助资金3699.41万元，</w:t>
      </w:r>
      <w:r>
        <w:rPr>
          <w:rFonts w:hint="eastAsia" w:ascii="仿宋_GB2312" w:eastAsia="仿宋_GB2312"/>
          <w:color w:val="000000"/>
          <w:sz w:val="32"/>
          <w:szCs w:val="32"/>
          <w:lang w:val="en-US" w:eastAsia="en-US" w:bidi="ar-SA"/>
        </w:rPr>
        <w:t>围绕生态系统保护修复、国家公</w:t>
      </w:r>
      <w:r>
        <w:rPr>
          <w:rFonts w:hint="eastAsia" w:ascii="仿宋_GB2312" w:eastAsia="仿宋_GB2312"/>
          <w:color w:val="000000"/>
          <w:sz w:val="32"/>
          <w:szCs w:val="32"/>
        </w:rPr>
        <w:t>园运行管理、国家公园协调发展、保护科研和科普宣教等内容开展项目建设。</w:t>
      </w:r>
      <w:r>
        <w:rPr>
          <w:rFonts w:hint="eastAsia" w:ascii="仿宋_GB2312" w:eastAsia="仿宋_GB2312" w:cs="Times New Roman"/>
          <w:color w:val="000000"/>
          <w:sz w:val="32"/>
          <w:szCs w:val="32"/>
          <w:lang w:bidi="ar-SA"/>
        </w:rPr>
        <w:t>规划实施岷山山系生物多样性保护研究基地建设、保护监测巡护、雪豹监测、土地岭廊道修复、标识标牌建设、巡护终端采购、保护站维修改造及能力提升建设等项目8个，</w:t>
      </w:r>
      <w:r>
        <w:rPr>
          <w:rFonts w:hint="eastAsia" w:ascii="仿宋_GB2312" w:eastAsia="仿宋_GB2312"/>
          <w:color w:val="000000"/>
          <w:sz w:val="32"/>
          <w:szCs w:val="32"/>
        </w:rPr>
        <w:t>切实</w:t>
      </w:r>
      <w:r>
        <w:rPr>
          <w:rFonts w:hint="eastAsia" w:ascii="仿宋_GB2312" w:eastAsia="仿宋_GB2312"/>
          <w:bCs/>
          <w:color w:val="000000"/>
          <w:sz w:val="32"/>
          <w:szCs w:val="32"/>
        </w:rPr>
        <w:t>提升国家公园自然资源管理和公共服务能力。积极协调做好“十四五文化传承利用保护工程”茂县保护管理设施项目立项审批及申报等工作，争取中央预算内投资2000万元，该项目现已落地。</w:t>
      </w:r>
    </w:p>
    <w:p w14:paraId="04FF999C">
      <w:pPr>
        <w:spacing w:line="520" w:lineRule="exact"/>
        <w:ind w:firstLine="643" w:firstLineChars="200"/>
        <w:rPr>
          <w:rFonts w:hint="eastAsia" w:ascii="仿宋_GB2312" w:eastAsia="仿宋_GB2312" w:cs="Times New Roman"/>
          <w:bCs/>
          <w:color w:val="000000"/>
          <w:sz w:val="32"/>
          <w:szCs w:val="32"/>
          <w:lang w:val="en-US" w:eastAsia="zh-CN" w:bidi="ar-SA"/>
        </w:rPr>
      </w:pPr>
      <w:r>
        <w:rPr>
          <w:rFonts w:hint="default" w:ascii="Times New Roman" w:hAnsi="Times New Roman" w:eastAsia="楷体_GB2312" w:cs="Times New Roman"/>
          <w:b/>
          <w:bCs/>
          <w:color w:val="000000"/>
          <w:sz w:val="32"/>
          <w:szCs w:val="32"/>
          <w:lang w:val="en-US" w:eastAsia="zh-CN" w:bidi="ar-SA"/>
        </w:rPr>
        <w:t>（六）夯实社区工作，助力乡村振兴。</w:t>
      </w:r>
      <w:r>
        <w:rPr>
          <w:rFonts w:hint="eastAsia" w:ascii="仿宋_GB2312" w:eastAsia="仿宋_GB2312" w:cs="Times New Roman"/>
          <w:bCs/>
          <w:color w:val="000000"/>
          <w:sz w:val="32"/>
          <w:szCs w:val="32"/>
          <w:lang w:bidi="ar-SA"/>
        </w:rPr>
        <w:t>按照《集体资源和社区人为活动监测指南</w:t>
      </w:r>
      <w:r>
        <w:rPr>
          <w:rFonts w:hint="eastAsia" w:ascii="仿宋_GB2312" w:eastAsia="仿宋_GB2312" w:cs="Times New Roman"/>
          <w:bCs/>
          <w:color w:val="000000"/>
          <w:sz w:val="32"/>
          <w:szCs w:val="32"/>
          <w:lang w:eastAsia="zh-CN" w:bidi="ar-SA"/>
        </w:rPr>
        <w:t>（</w:t>
      </w:r>
      <w:r>
        <w:rPr>
          <w:rFonts w:hint="eastAsia" w:ascii="仿宋_GB2312" w:eastAsia="仿宋_GB2312" w:cs="Times New Roman"/>
          <w:bCs/>
          <w:color w:val="000000"/>
          <w:sz w:val="32"/>
          <w:szCs w:val="32"/>
          <w:lang w:val="en-US" w:eastAsia="zh-CN" w:bidi="ar-SA"/>
        </w:rPr>
        <w:t>试行</w:t>
      </w:r>
      <w:r>
        <w:rPr>
          <w:rFonts w:hint="eastAsia" w:ascii="仿宋_GB2312" w:eastAsia="仿宋_GB2312" w:cs="Times New Roman"/>
          <w:bCs/>
          <w:color w:val="000000"/>
          <w:sz w:val="32"/>
          <w:szCs w:val="32"/>
          <w:lang w:eastAsia="zh-CN" w:bidi="ar-SA"/>
        </w:rPr>
        <w:t>）</w:t>
      </w:r>
      <w:r>
        <w:rPr>
          <w:rFonts w:hint="eastAsia" w:ascii="仿宋_GB2312" w:eastAsia="仿宋_GB2312" w:cs="Times New Roman"/>
          <w:bCs/>
          <w:color w:val="000000"/>
          <w:sz w:val="32"/>
          <w:szCs w:val="32"/>
          <w:lang w:bidi="ar-SA"/>
        </w:rPr>
        <w:t>》，</w:t>
      </w:r>
      <w:r>
        <w:rPr>
          <w:rFonts w:hint="eastAsia" w:ascii="仿宋_GB2312" w:eastAsia="仿宋_GB2312" w:cs="Times New Roman"/>
          <w:bCs/>
          <w:color w:val="000000"/>
          <w:sz w:val="32"/>
          <w:szCs w:val="32"/>
          <w:lang w:val="en-US" w:eastAsia="zh-CN" w:bidi="ar-SA"/>
        </w:rPr>
        <w:t>积极</w:t>
      </w:r>
      <w:r>
        <w:rPr>
          <w:rFonts w:hint="eastAsia" w:ascii="仿宋_GB2312" w:eastAsia="仿宋_GB2312" w:cs="Times New Roman"/>
          <w:bCs/>
          <w:color w:val="000000"/>
          <w:sz w:val="32"/>
          <w:szCs w:val="32"/>
          <w:lang w:bidi="ar-SA"/>
        </w:rPr>
        <w:t>开展生产生活用地、人为活动、特许经营项目等监测管控</w:t>
      </w:r>
      <w:r>
        <w:rPr>
          <w:rFonts w:hint="eastAsia" w:ascii="仿宋_GB2312" w:eastAsia="仿宋_GB2312" w:cs="Times New Roman"/>
          <w:bCs/>
          <w:color w:val="000000"/>
          <w:sz w:val="32"/>
          <w:szCs w:val="32"/>
          <w:lang w:val="en-US" w:eastAsia="zh-CN" w:bidi="ar-SA"/>
        </w:rPr>
        <w:t>工作。</w:t>
      </w:r>
      <w:r>
        <w:rPr>
          <w:rFonts w:hint="eastAsia" w:ascii="仿宋_GB2312" w:eastAsia="仿宋_GB2312" w:cs="仿宋_GB2312"/>
          <w:bCs/>
          <w:color w:val="000000"/>
          <w:sz w:val="32"/>
          <w:szCs w:val="32"/>
          <w:lang w:val="en-US" w:eastAsia="en-US" w:bidi="zh-CN"/>
        </w:rPr>
        <w:t>推动</w:t>
      </w:r>
      <w:r>
        <w:rPr>
          <w:rFonts w:hint="eastAsia" w:ascii="仿宋_GB2312" w:eastAsia="仿宋_GB2312" w:cs="仿宋_GB2312"/>
          <w:bCs/>
          <w:color w:val="000000"/>
          <w:sz w:val="32"/>
          <w:szCs w:val="32"/>
          <w:lang w:bidi="ar-SA"/>
        </w:rPr>
        <w:t>社区融合创新发展</w:t>
      </w:r>
      <w:r>
        <w:rPr>
          <w:rFonts w:hint="eastAsia" w:ascii="仿宋_GB2312" w:eastAsia="仿宋_GB2312" w:cs="仿宋_GB2312"/>
          <w:bCs/>
          <w:color w:val="000000"/>
          <w:sz w:val="32"/>
          <w:szCs w:val="32"/>
          <w:lang w:eastAsia="zh-CN" w:bidi="ar-SA"/>
        </w:rPr>
        <w:t>，</w:t>
      </w:r>
      <w:r>
        <w:rPr>
          <w:rFonts w:hint="eastAsia" w:ascii="仿宋_GB2312" w:eastAsia="仿宋_GB2312" w:cs="Times New Roman"/>
          <w:bCs/>
          <w:snapToGrid w:val="0"/>
          <w:color w:val="000000"/>
          <w:sz w:val="32"/>
          <w:szCs w:val="32"/>
          <w:lang w:bidi="ar-SA"/>
        </w:rPr>
        <w:t>落实中</w:t>
      </w:r>
      <w:r>
        <w:rPr>
          <w:rFonts w:hint="eastAsia" w:ascii="仿宋_GB2312" w:eastAsia="仿宋_GB2312" w:cs="Times New Roman"/>
          <w:bCs/>
          <w:color w:val="000000"/>
          <w:sz w:val="32"/>
          <w:szCs w:val="32"/>
          <w:lang w:bidi="ar-SA"/>
        </w:rPr>
        <w:t>央</w:t>
      </w:r>
      <w:r>
        <w:rPr>
          <w:rFonts w:hint="eastAsia" w:ascii="仿宋_GB2312" w:eastAsia="仿宋_GB2312" w:cs="Times New Roman"/>
          <w:bCs/>
          <w:color w:val="000000"/>
          <w:sz w:val="32"/>
          <w:szCs w:val="32"/>
          <w:lang w:val="en-US" w:eastAsia="zh-CN" w:bidi="ar-SA"/>
        </w:rPr>
        <w:t>财政补助资金600</w:t>
      </w:r>
      <w:r>
        <w:rPr>
          <w:rFonts w:hint="eastAsia" w:ascii="仿宋_GB2312" w:eastAsia="仿宋_GB2312" w:cs="Times New Roman"/>
          <w:bCs/>
          <w:color w:val="000000"/>
          <w:sz w:val="32"/>
          <w:szCs w:val="32"/>
          <w:lang w:bidi="ar-SA"/>
        </w:rPr>
        <w:t>万元，结合藏羌民俗文化并融入大熊猫元素</w:t>
      </w:r>
      <w:r>
        <w:rPr>
          <w:rFonts w:hint="eastAsia" w:ascii="仿宋_GB2312" w:eastAsia="仿宋_GB2312" w:cs="Times New Roman"/>
          <w:bCs/>
          <w:color w:val="000000"/>
          <w:sz w:val="32"/>
          <w:szCs w:val="32"/>
          <w:lang w:val="en-US" w:eastAsia="zh-CN" w:bidi="ar-SA"/>
        </w:rPr>
        <w:t>进行建设。</w:t>
      </w:r>
      <w:r>
        <w:rPr>
          <w:rFonts w:hint="eastAsia" w:ascii="仿宋_GB2312" w:eastAsia="仿宋_GB2312" w:cs="Times New Roman"/>
          <w:bCs/>
          <w:snapToGrid w:val="0"/>
          <w:color w:val="000000"/>
          <w:sz w:val="32"/>
          <w:szCs w:val="32"/>
          <w:lang w:bidi="ar-SA"/>
        </w:rPr>
        <w:t>落实中</w:t>
      </w:r>
      <w:r>
        <w:rPr>
          <w:rFonts w:hint="eastAsia" w:ascii="仿宋_GB2312" w:eastAsia="仿宋_GB2312" w:cs="Times New Roman"/>
          <w:bCs/>
          <w:color w:val="000000"/>
          <w:sz w:val="32"/>
          <w:szCs w:val="32"/>
          <w:lang w:bidi="ar-SA"/>
        </w:rPr>
        <w:t>央</w:t>
      </w:r>
      <w:r>
        <w:rPr>
          <w:rFonts w:hint="eastAsia" w:ascii="仿宋_GB2312" w:eastAsia="仿宋_GB2312" w:cs="Times New Roman"/>
          <w:bCs/>
          <w:color w:val="000000"/>
          <w:sz w:val="32"/>
          <w:szCs w:val="32"/>
          <w:lang w:val="en-US" w:eastAsia="zh-CN" w:bidi="ar-SA"/>
        </w:rPr>
        <w:t>财政补助资金2000</w:t>
      </w:r>
      <w:r>
        <w:rPr>
          <w:rFonts w:hint="eastAsia" w:ascii="仿宋_GB2312" w:eastAsia="仿宋_GB2312" w:cs="Times New Roman"/>
          <w:bCs/>
          <w:color w:val="000000"/>
          <w:sz w:val="32"/>
          <w:szCs w:val="32"/>
          <w:lang w:bidi="ar-SA"/>
        </w:rPr>
        <w:t>万元，</w:t>
      </w:r>
      <w:r>
        <w:rPr>
          <w:rFonts w:hint="eastAsia" w:ascii="仿宋_GB2312" w:eastAsia="仿宋_GB2312" w:cs="Times New Roman"/>
          <w:bCs/>
          <w:color w:val="000000"/>
          <w:sz w:val="32"/>
          <w:szCs w:val="32"/>
          <w:lang w:val="en-US" w:eastAsia="zh-CN" w:bidi="ar-SA"/>
        </w:rPr>
        <w:t>分别在松潘县和茂县社区</w:t>
      </w:r>
      <w:r>
        <w:rPr>
          <w:rFonts w:hint="eastAsia" w:ascii="仿宋_GB2312" w:eastAsia="仿宋_GB2312" w:cs="Times New Roman"/>
          <w:bCs/>
          <w:color w:val="000000"/>
          <w:sz w:val="32"/>
          <w:szCs w:val="32"/>
          <w:lang w:bidi="ar-SA"/>
        </w:rPr>
        <w:t>实施自然教育与生态体验基地建设。</w:t>
      </w:r>
      <w:r>
        <w:rPr>
          <w:rFonts w:hint="eastAsia" w:ascii="仿宋_GB2312" w:eastAsia="仿宋_GB2312" w:cs="Times New Roman"/>
          <w:bCs/>
          <w:snapToGrid w:val="0"/>
          <w:color w:val="000000"/>
          <w:sz w:val="32"/>
          <w:szCs w:val="32"/>
          <w:lang w:bidi="ar-SA"/>
        </w:rPr>
        <w:t>落实中</w:t>
      </w:r>
      <w:r>
        <w:rPr>
          <w:rFonts w:hint="eastAsia" w:ascii="仿宋_GB2312" w:eastAsia="仿宋_GB2312" w:cs="Times New Roman"/>
          <w:bCs/>
          <w:color w:val="000000"/>
          <w:sz w:val="32"/>
          <w:szCs w:val="32"/>
          <w:lang w:bidi="ar-SA"/>
        </w:rPr>
        <w:t>央</w:t>
      </w:r>
      <w:r>
        <w:rPr>
          <w:rFonts w:hint="eastAsia" w:ascii="仿宋_GB2312" w:eastAsia="仿宋_GB2312" w:cs="Times New Roman"/>
          <w:bCs/>
          <w:color w:val="000000"/>
          <w:sz w:val="32"/>
          <w:szCs w:val="32"/>
          <w:lang w:val="en-US" w:eastAsia="zh-CN" w:bidi="ar-SA"/>
        </w:rPr>
        <w:t>财政补助资金253</w:t>
      </w:r>
      <w:r>
        <w:rPr>
          <w:rFonts w:hint="eastAsia" w:ascii="仿宋_GB2312" w:eastAsia="仿宋_GB2312" w:cs="Times New Roman"/>
          <w:bCs/>
          <w:color w:val="000000"/>
          <w:sz w:val="32"/>
          <w:szCs w:val="32"/>
          <w:lang w:bidi="ar-SA"/>
        </w:rPr>
        <w:t>万元，</w:t>
      </w:r>
      <w:r>
        <w:rPr>
          <w:rFonts w:hint="eastAsia" w:ascii="仿宋_GB2312" w:eastAsia="仿宋_GB2312" w:cs="Times New Roman"/>
          <w:bCs/>
          <w:color w:val="000000"/>
          <w:sz w:val="32"/>
          <w:szCs w:val="32"/>
          <w:lang w:val="en-US" w:eastAsia="zh-CN" w:bidi="ar-SA"/>
        </w:rPr>
        <w:t>对辖区内的土地、矿产、森林、草原、湿地、水等自然资源开展专项调查工作。</w:t>
      </w:r>
    </w:p>
    <w:p w14:paraId="1CF75673">
      <w:pPr>
        <w:spacing w:line="520" w:lineRule="exact"/>
        <w:ind w:firstLine="643" w:firstLineChars="200"/>
        <w:rPr>
          <w:rFonts w:hint="eastAsia" w:ascii="仿宋_GB2312" w:eastAsia="仿宋_GB2312" w:cs="Times New Roman"/>
          <w:b/>
          <w:bCs/>
          <w:color w:val="000000"/>
          <w:sz w:val="32"/>
          <w:szCs w:val="32"/>
          <w:lang w:bidi="ar-SA"/>
        </w:rPr>
      </w:pPr>
      <w:r>
        <w:rPr>
          <w:rFonts w:hint="default" w:ascii="Times New Roman" w:hAnsi="Times New Roman" w:eastAsia="楷体_GB2312" w:cs="Times New Roman"/>
          <w:b/>
          <w:bCs/>
          <w:color w:val="000000"/>
          <w:sz w:val="32"/>
          <w:szCs w:val="32"/>
          <w:lang w:bidi="ar-SA"/>
        </w:rPr>
        <w:t>（</w:t>
      </w:r>
      <w:r>
        <w:rPr>
          <w:rFonts w:ascii="Times New Roman" w:hAnsi="Times New Roman" w:eastAsia="楷体_GB2312" w:cs="Times New Roman"/>
          <w:b/>
          <w:bCs/>
          <w:color w:val="000000"/>
          <w:sz w:val="32"/>
          <w:szCs w:val="32"/>
          <w:lang w:bidi="ar-SA"/>
        </w:rPr>
        <w:t>七</w:t>
      </w:r>
      <w:r>
        <w:rPr>
          <w:rFonts w:hint="default" w:ascii="Times New Roman" w:hAnsi="Times New Roman" w:eastAsia="楷体_GB2312" w:cs="Times New Roman"/>
          <w:b/>
          <w:bCs/>
          <w:color w:val="000000"/>
          <w:sz w:val="32"/>
          <w:szCs w:val="32"/>
          <w:lang w:bidi="ar-SA"/>
        </w:rPr>
        <w:t>）强化宣传交流，塑造熊猫品牌。</w:t>
      </w:r>
      <w:r>
        <w:rPr>
          <w:rFonts w:hint="eastAsia" w:ascii="仿宋_GB2312" w:eastAsia="仿宋_GB2312" w:cs="Times New Roman"/>
          <w:bCs/>
          <w:color w:val="000000"/>
          <w:sz w:val="32"/>
          <w:szCs w:val="32"/>
          <w:lang w:bidi="ar-SA"/>
        </w:rPr>
        <w:t>围绕微信公众号、政府官方网站、主流电视媒体进行宣传，累计发表动态信息211条，入选央媒报道13条（主要涉及央视新闻联播、CCTV-13新闻直播间、CCTV-2正点财经、CCTV-4今日环球、CCTV-4中国新闻等电视频道），省媒报道16条,地方媒体报道16条，学习强国报道28条，</w:t>
      </w:r>
      <w:r>
        <w:rPr>
          <w:rFonts w:hint="eastAsia" w:ascii="仿宋_GB2312" w:eastAsia="仿宋_GB2312" w:cs="Times New Roman"/>
          <w:color w:val="000000"/>
          <w:sz w:val="32"/>
          <w:szCs w:val="32"/>
          <w:lang w:bidi="ar-SA"/>
        </w:rPr>
        <w:t>公众号已发布推文101篇（其中25篇被省局公众号采用），</w:t>
      </w:r>
      <w:r>
        <w:rPr>
          <w:rFonts w:hint="eastAsia" w:ascii="仿宋_GB2312" w:eastAsia="仿宋_GB2312" w:cs="Times New Roman"/>
          <w:bCs/>
          <w:color w:val="000000"/>
          <w:sz w:val="32"/>
          <w:szCs w:val="32"/>
          <w:lang w:bidi="ar-SA"/>
        </w:rPr>
        <w:t>制作宣传小视频33条。制作发放四川省大熊猫国家公园管理条例2万册、大熊猫国家公园宣传折页3000份，制作大熊猫国家公园管理条例问答手册1万册、大熊猫国家公园宣传图集100本；制作发放</w:t>
      </w:r>
      <w:r>
        <w:rPr>
          <w:rFonts w:hint="eastAsia" w:ascii="仿宋_GB2312" w:eastAsia="仿宋_GB2312" w:cs="Times New Roman"/>
          <w:bCs/>
          <w:color w:val="000000"/>
          <w:sz w:val="32"/>
          <w:szCs w:val="32"/>
          <w:lang w:val="en-US" w:eastAsia="zh-CN" w:bidi="ar-SA"/>
        </w:rPr>
        <w:t>森林草原防灭火、野生动植物保护、生态环境保护宣传手册、海报、宣传单等10700余份，</w:t>
      </w:r>
      <w:r>
        <w:rPr>
          <w:rFonts w:hint="eastAsia" w:ascii="仿宋_GB2312" w:eastAsia="仿宋_GB2312" w:cs="Times New Roman"/>
          <w:color w:val="000000"/>
          <w:kern w:val="2"/>
          <w:sz w:val="32"/>
          <w:szCs w:val="32"/>
          <w:vertAlign w:val="baseline"/>
          <w:lang w:val="en-US" w:eastAsia="zh-CN" w:bidi="ar-SA"/>
        </w:rPr>
        <w:t>设</w:t>
      </w:r>
      <w:r>
        <w:rPr>
          <w:rFonts w:hint="eastAsia" w:ascii="仿宋_GB2312" w:eastAsia="仿宋_GB2312" w:cs="Times New Roman"/>
          <w:bCs/>
          <w:color w:val="000000"/>
          <w:sz w:val="32"/>
          <w:szCs w:val="32"/>
          <w:lang w:bidi="ar"/>
        </w:rPr>
        <w:t>立了大熊猫国家公园导视标识标牌，标牌内容涵盖大熊猫国家公园LOGO、公园概述、藏羌文化等元素，</w:t>
      </w:r>
      <w:r>
        <w:rPr>
          <w:rFonts w:hint="eastAsia" w:ascii="仿宋_GB2312" w:eastAsia="仿宋_GB2312" w:cs="Times New Roman"/>
          <w:color w:val="000000"/>
          <w:sz w:val="32"/>
          <w:szCs w:val="32"/>
          <w:lang w:val="en-US" w:eastAsia="zh-CN" w:bidi="ar-SA"/>
        </w:rPr>
        <w:t>开展双促进宣传教育</w:t>
      </w:r>
      <w:r>
        <w:rPr>
          <w:rFonts w:hint="eastAsia" w:ascii="仿宋_GB2312" w:eastAsia="仿宋_GB2312" w:cs="Times New Roman"/>
          <w:color w:val="000000"/>
          <w:sz w:val="32"/>
          <w:szCs w:val="32"/>
          <w:lang w:val="en-US" w:eastAsia="zh-CN" w:bidi="ar"/>
        </w:rPr>
        <w:t>“五进”宣讲活动，全年</w:t>
      </w:r>
      <w:r>
        <w:rPr>
          <w:rFonts w:hint="eastAsia" w:ascii="仿宋_GB2312" w:eastAsia="仿宋_GB2312" w:cs="Times New Roman"/>
          <w:color w:val="000000"/>
          <w:kern w:val="2"/>
          <w:sz w:val="32"/>
          <w:szCs w:val="32"/>
          <w:vertAlign w:val="baseline"/>
          <w:lang w:val="en-US" w:eastAsia="zh-CN" w:bidi="ar-SA"/>
        </w:rPr>
        <w:t>累计开展20期，累计受教育人次达6000余人次，</w:t>
      </w:r>
      <w:r>
        <w:rPr>
          <w:rFonts w:hint="eastAsia" w:ascii="仿宋_GB2312" w:eastAsia="仿宋_GB2312" w:cs="Times New Roman"/>
          <w:color w:val="000000"/>
          <w:kern w:val="28"/>
          <w:sz w:val="32"/>
          <w:szCs w:val="32"/>
          <w:lang w:bidi="ar-SA"/>
        </w:rPr>
        <w:t>辖区内受教育面达100</w:t>
      </w:r>
      <w:r>
        <w:rPr>
          <w:rFonts w:hint="eastAsia" w:ascii="仿宋_GB2312" w:eastAsia="仿宋_GB2312" w:cs="Times New Roman"/>
          <w:bCs/>
          <w:color w:val="000000"/>
          <w:sz w:val="32"/>
          <w:szCs w:val="32"/>
          <w:lang w:bidi="ar"/>
        </w:rPr>
        <w:t>%，在大熊猫国家公园九寨沟、汶川园区开展自然教育活动4期，</w:t>
      </w:r>
      <w:r>
        <w:rPr>
          <w:rFonts w:hint="eastAsia" w:ascii="仿宋_GB2312" w:eastAsia="仿宋_GB2312" w:cs="Times New Roman"/>
          <w:bCs/>
          <w:color w:val="000000"/>
          <w:sz w:val="32"/>
          <w:szCs w:val="32"/>
          <w:lang w:val="en-US" w:eastAsia="zh-CN" w:bidi="ar"/>
        </w:rPr>
        <w:t>制作《大熊猫国家公园汶川自然教育手册》，</w:t>
      </w:r>
      <w:r>
        <w:rPr>
          <w:rFonts w:hint="eastAsia" w:ascii="仿宋_GB2312" w:eastAsia="仿宋_GB2312" w:cs="Times New Roman"/>
          <w:bCs/>
          <w:color w:val="000000"/>
          <w:sz w:val="32"/>
          <w:szCs w:val="32"/>
          <w:lang w:bidi="ar"/>
        </w:rPr>
        <w:t>积极参加“增添绿意、拥抱春天、共植希望</w:t>
      </w:r>
      <w:r>
        <w:rPr>
          <w:rFonts w:hint="eastAsia" w:ascii="仿宋_GB2312" w:eastAsia="仿宋_GB2312" w:cs="Times New Roman"/>
          <w:bCs/>
          <w:color w:val="000000"/>
          <w:sz w:val="32"/>
          <w:szCs w:val="32"/>
          <w:lang w:val="en-US" w:eastAsia="zh-CN" w:bidi="ar"/>
        </w:rPr>
        <w:t>”义务植</w:t>
      </w:r>
      <w:r>
        <w:rPr>
          <w:rFonts w:hint="eastAsia" w:ascii="仿宋_GB2312" w:eastAsia="仿宋_GB2312" w:cs="Times New Roman"/>
          <w:color w:val="000000"/>
          <w:kern w:val="2"/>
          <w:sz w:val="32"/>
          <w:szCs w:val="32"/>
          <w:vertAlign w:val="baseline"/>
          <w:lang w:val="en-US" w:eastAsia="zh-CN" w:bidi="ar-SA"/>
        </w:rPr>
        <w:t>树活动。</w:t>
      </w:r>
    </w:p>
    <w:p w14:paraId="756121D6">
      <w:pPr>
        <w:keepNext w:val="0"/>
        <w:keepLines w:val="0"/>
        <w:pageBreakBefore w:val="0"/>
        <w:widowControl w:val="0"/>
        <w:kinsoku/>
        <w:wordWrap/>
        <w:overflowPunct/>
        <w:topLinePunct w:val="0"/>
        <w:autoSpaceDE/>
        <w:autoSpaceDN/>
        <w:adjustRightInd/>
        <w:snapToGrid/>
        <w:spacing w:line="520" w:lineRule="exact"/>
        <w:ind w:left="0" w:firstLine="643" w:firstLineChars="200"/>
        <w:rPr>
          <w:rFonts w:hint="eastAsia" w:ascii="仿宋_GB2312" w:eastAsia="仿宋_GB2312" w:cs="Times New Roman"/>
          <w:bCs/>
          <w:color w:val="000000"/>
          <w:sz w:val="32"/>
          <w:szCs w:val="32"/>
          <w:lang w:bidi="ar"/>
        </w:rPr>
      </w:pPr>
      <w:r>
        <w:rPr>
          <w:rFonts w:hint="default" w:ascii="Times New Roman" w:hAnsi="Times New Roman" w:eastAsia="楷体_GB2312" w:cs="Times New Roman"/>
          <w:b/>
          <w:bCs/>
          <w:color w:val="000000"/>
          <w:sz w:val="32"/>
          <w:szCs w:val="32"/>
          <w:lang w:bidi="ar-SA"/>
        </w:rPr>
        <w:t>（</w:t>
      </w:r>
      <w:r>
        <w:rPr>
          <w:rFonts w:ascii="Times New Roman" w:hAnsi="Times New Roman" w:eastAsia="楷体_GB2312" w:cs="Times New Roman"/>
          <w:b/>
          <w:bCs/>
          <w:color w:val="000000"/>
          <w:sz w:val="32"/>
          <w:szCs w:val="32"/>
          <w:lang w:bidi="ar-SA"/>
        </w:rPr>
        <w:t>八</w:t>
      </w:r>
      <w:r>
        <w:rPr>
          <w:rFonts w:hint="default" w:ascii="Times New Roman" w:hAnsi="Times New Roman" w:eastAsia="楷体_GB2312" w:cs="Times New Roman"/>
          <w:b/>
          <w:bCs/>
          <w:color w:val="000000"/>
          <w:sz w:val="32"/>
          <w:szCs w:val="32"/>
          <w:lang w:bidi="ar-SA"/>
        </w:rPr>
        <w:t>）加快规划编制，推动工作落地。</w:t>
      </w:r>
      <w:r>
        <w:rPr>
          <w:rFonts w:hint="eastAsia" w:ascii="仿宋_GB2312" w:eastAsia="仿宋_GB2312" w:cs="Times New Roman"/>
          <w:bCs/>
          <w:color w:val="000000"/>
          <w:sz w:val="32"/>
          <w:szCs w:val="32"/>
          <w:lang w:bidi="ar"/>
        </w:rPr>
        <w:t>加快《大熊猫国家公园阿坝片区规划（2022-2030年）》编制，结合实际，科学制定发展目标，充分调优规划布局，力求从生态保护与修复、自然教育和生态体验、入口社区建设、品牌推广与文化创意等方面谋划推动实施一批重大项目，开启大熊猫国家公园建设新篇章。目前，《大熊猫国家公园阿坝片区规划（2022-2030年）》，已经阿坝州人民政府第十三届37次常务会议审议通过，于2023年11月28日州人民政府正式印发。</w:t>
      </w:r>
    </w:p>
    <w:p w14:paraId="276B6FA0">
      <w:pPr>
        <w:pStyle w:val="5"/>
        <w:keepNext w:val="0"/>
        <w:keepLines w:val="0"/>
        <w:pageBreakBefore w:val="0"/>
        <w:widowControl w:val="0"/>
        <w:suppressLineNumbers w:val="0"/>
        <w:suppressAutoHyphens w:val="0"/>
        <w:spacing w:line="578" w:lineRule="exact"/>
        <w:ind w:left="0" w:firstLine="643" w:firstLineChars="200"/>
        <w:jc w:val="both"/>
        <w:rPr>
          <w:rFonts w:hint="eastAsia" w:cs="Times New Roman"/>
          <w:bCs/>
          <w:color w:val="000000"/>
          <w:sz w:val="32"/>
          <w:szCs w:val="32"/>
          <w:lang w:bidi="ar"/>
        </w:rPr>
      </w:pPr>
      <w:r>
        <w:rPr>
          <w:rFonts w:hint="default" w:ascii="Times New Roman" w:hAnsi="Times New Roman" w:eastAsia="楷体_GB2312" w:cs="Times New Roman"/>
          <w:b/>
          <w:bCs/>
          <w:color w:val="000000"/>
          <w:sz w:val="32"/>
          <w:szCs w:val="32"/>
          <w:lang w:bidi="ar-SA"/>
        </w:rPr>
        <w:t>（</w:t>
      </w:r>
      <w:r>
        <w:rPr>
          <w:rFonts w:ascii="Times New Roman" w:hAnsi="Times New Roman" w:eastAsia="楷体_GB2312" w:cs="Times New Roman"/>
          <w:b/>
          <w:bCs/>
          <w:color w:val="000000"/>
          <w:sz w:val="32"/>
          <w:szCs w:val="32"/>
          <w:lang w:bidi="ar-SA"/>
        </w:rPr>
        <w:t>九</w:t>
      </w:r>
      <w:r>
        <w:rPr>
          <w:rFonts w:hint="default" w:ascii="Times New Roman" w:hAnsi="Times New Roman" w:eastAsia="楷体_GB2312" w:cs="Times New Roman"/>
          <w:b/>
          <w:bCs/>
          <w:color w:val="000000"/>
          <w:sz w:val="32"/>
          <w:szCs w:val="32"/>
          <w:lang w:bidi="ar-SA"/>
        </w:rPr>
        <w:t>）</w:t>
      </w:r>
      <w:r>
        <w:rPr>
          <w:rFonts w:ascii="Times New Roman" w:hAnsi="Times New Roman" w:eastAsia="楷体_GB2312" w:cs="Times New Roman"/>
          <w:b/>
          <w:bCs/>
          <w:color w:val="000000"/>
          <w:sz w:val="32"/>
          <w:szCs w:val="32"/>
          <w:lang w:bidi="ar-SA"/>
        </w:rPr>
        <w:t>积极协调对接，高效完成接返。</w:t>
      </w:r>
      <w:r>
        <w:rPr>
          <w:rFonts w:hint="eastAsia" w:cs="Times New Roman"/>
          <w:bCs/>
          <w:color w:val="000000"/>
          <w:sz w:val="32"/>
          <w:szCs w:val="32"/>
          <w:lang w:bidi="ar"/>
        </w:rPr>
        <w:t>11月6日</w:t>
      </w:r>
      <w:r>
        <w:rPr>
          <w:rFonts w:cs="Times New Roman"/>
          <w:bCs/>
          <w:color w:val="000000"/>
          <w:sz w:val="32"/>
          <w:szCs w:val="32"/>
          <w:lang w:bidi="ar"/>
        </w:rPr>
        <w:t>州人民政府</w:t>
      </w:r>
      <w:r>
        <w:rPr>
          <w:rFonts w:hint="eastAsia" w:cs="Times New Roman"/>
          <w:bCs/>
          <w:color w:val="000000"/>
          <w:sz w:val="32"/>
          <w:szCs w:val="32"/>
          <w:lang w:bidi="ar"/>
        </w:rPr>
        <w:t>副州长</w:t>
      </w:r>
      <w:r>
        <w:rPr>
          <w:rFonts w:cs="Times New Roman"/>
          <w:bCs/>
          <w:color w:val="000000"/>
          <w:sz w:val="32"/>
          <w:szCs w:val="32"/>
          <w:lang w:bidi="ar"/>
        </w:rPr>
        <w:t>、大熊猫国家公园阿坝管理分局党组书记、局长</w:t>
      </w:r>
      <w:r>
        <w:rPr>
          <w:rFonts w:hint="eastAsia" w:cs="Times New Roman"/>
          <w:bCs/>
          <w:color w:val="000000"/>
          <w:sz w:val="32"/>
          <w:szCs w:val="32"/>
          <w:lang w:bidi="ar"/>
        </w:rPr>
        <w:t>陶钢</w:t>
      </w:r>
      <w:r>
        <w:rPr>
          <w:rFonts w:cs="Times New Roman"/>
          <w:bCs/>
          <w:color w:val="000000"/>
          <w:sz w:val="32"/>
          <w:szCs w:val="32"/>
          <w:lang w:bidi="ar"/>
        </w:rPr>
        <w:t>在汶川卧龙主持</w:t>
      </w:r>
      <w:r>
        <w:rPr>
          <w:rFonts w:hint="eastAsia" w:cs="Times New Roman"/>
          <w:bCs/>
          <w:color w:val="000000"/>
          <w:sz w:val="32"/>
          <w:szCs w:val="32"/>
          <w:lang w:bidi="ar"/>
        </w:rPr>
        <w:t>召开旅美大熊猫接返工作协调会</w:t>
      </w:r>
      <w:r>
        <w:rPr>
          <w:rFonts w:cs="Times New Roman"/>
          <w:bCs/>
          <w:color w:val="000000"/>
          <w:sz w:val="32"/>
          <w:szCs w:val="32"/>
          <w:lang w:bidi="ar"/>
        </w:rPr>
        <w:t>。明确大熊猫国家公园阿坝管理分局为牵头单位及</w:t>
      </w:r>
      <w:r>
        <w:rPr>
          <w:rFonts w:hint="eastAsia" w:cs="Times New Roman"/>
          <w:bCs/>
          <w:color w:val="000000"/>
          <w:sz w:val="32"/>
          <w:szCs w:val="32"/>
          <w:lang w:bidi="ar"/>
        </w:rPr>
        <w:t>相关部门的工作职责</w:t>
      </w:r>
      <w:r>
        <w:rPr>
          <w:rFonts w:cs="Times New Roman"/>
          <w:bCs/>
          <w:color w:val="000000"/>
          <w:sz w:val="32"/>
          <w:szCs w:val="32"/>
          <w:lang w:bidi="ar"/>
        </w:rPr>
        <w:t>。会后，大熊猫国家公园阿坝管理分局</w:t>
      </w:r>
      <w:r>
        <w:rPr>
          <w:rFonts w:hint="eastAsia" w:cs="Times New Roman"/>
          <w:bCs/>
          <w:color w:val="000000"/>
          <w:sz w:val="32"/>
          <w:szCs w:val="32"/>
          <w:lang w:bidi="ar"/>
        </w:rPr>
        <w:t>制定了旅美大熊猫转运工作方案</w:t>
      </w:r>
      <w:r>
        <w:rPr>
          <w:rFonts w:cs="Times New Roman"/>
          <w:bCs/>
          <w:color w:val="000000"/>
          <w:sz w:val="32"/>
          <w:szCs w:val="32"/>
          <w:lang w:bidi="ar"/>
        </w:rPr>
        <w:t>，并按方案内容进行任务分工。</w:t>
      </w:r>
      <w:r>
        <w:rPr>
          <w:rFonts w:hint="eastAsia" w:cs="Times New Roman"/>
          <w:bCs/>
          <w:color w:val="000000"/>
          <w:sz w:val="32"/>
          <w:szCs w:val="32"/>
          <w:lang w:bidi="ar"/>
        </w:rPr>
        <w:t>11月9日晚</w:t>
      </w:r>
      <w:r>
        <w:rPr>
          <w:rFonts w:cs="Times New Roman"/>
          <w:bCs/>
          <w:color w:val="000000"/>
          <w:sz w:val="32"/>
          <w:szCs w:val="32"/>
          <w:lang w:bidi="ar"/>
        </w:rPr>
        <w:t>在各部门的共同努力下，</w:t>
      </w:r>
      <w:r>
        <w:rPr>
          <w:rFonts w:hint="eastAsia" w:cs="Times New Roman"/>
          <w:bCs/>
          <w:color w:val="000000"/>
          <w:sz w:val="32"/>
          <w:szCs w:val="32"/>
          <w:lang w:bidi="ar"/>
        </w:rPr>
        <w:t>旅美大熊猫安全顺利</w:t>
      </w:r>
      <w:r>
        <w:rPr>
          <w:rFonts w:cs="Times New Roman"/>
          <w:bCs/>
          <w:color w:val="000000"/>
          <w:sz w:val="32"/>
          <w:szCs w:val="32"/>
          <w:lang w:bidi="ar"/>
        </w:rPr>
        <w:t>地</w:t>
      </w:r>
      <w:r>
        <w:rPr>
          <w:rFonts w:hint="eastAsia" w:cs="Times New Roman"/>
          <w:bCs/>
          <w:color w:val="000000"/>
          <w:sz w:val="32"/>
          <w:szCs w:val="32"/>
          <w:lang w:bidi="ar"/>
        </w:rPr>
        <w:t>转运到大熊猫保护研究中心神树坪基地。11月10日</w:t>
      </w:r>
      <w:r>
        <w:rPr>
          <w:rFonts w:cs="Times New Roman"/>
          <w:bCs/>
          <w:color w:val="000000"/>
          <w:sz w:val="32"/>
          <w:szCs w:val="32"/>
          <w:lang w:bidi="ar"/>
        </w:rPr>
        <w:t>州人民政府</w:t>
      </w:r>
      <w:r>
        <w:rPr>
          <w:rFonts w:hint="eastAsia" w:cs="Times New Roman"/>
          <w:bCs/>
          <w:color w:val="000000"/>
          <w:sz w:val="32"/>
          <w:szCs w:val="32"/>
          <w:lang w:bidi="ar"/>
        </w:rPr>
        <w:t>副州长</w:t>
      </w:r>
      <w:r>
        <w:rPr>
          <w:rFonts w:cs="Times New Roman"/>
          <w:bCs/>
          <w:color w:val="000000"/>
          <w:sz w:val="32"/>
          <w:szCs w:val="32"/>
          <w:lang w:bidi="ar"/>
        </w:rPr>
        <w:t>、大熊猫国家公园阿坝管理分局党组书记、局长</w:t>
      </w:r>
      <w:r>
        <w:rPr>
          <w:rFonts w:hint="eastAsia" w:cs="Times New Roman"/>
          <w:bCs/>
          <w:color w:val="000000"/>
          <w:sz w:val="32"/>
          <w:szCs w:val="32"/>
          <w:lang w:bidi="ar"/>
        </w:rPr>
        <w:t>陶钢</w:t>
      </w:r>
      <w:r>
        <w:rPr>
          <w:rFonts w:cs="Times New Roman"/>
          <w:bCs/>
          <w:color w:val="000000"/>
          <w:sz w:val="32"/>
          <w:szCs w:val="32"/>
          <w:lang w:bidi="ar"/>
        </w:rPr>
        <w:t>在汶川卧龙</w:t>
      </w:r>
      <w:r>
        <w:rPr>
          <w:rFonts w:hint="eastAsia" w:cs="Times New Roman"/>
          <w:bCs/>
          <w:color w:val="000000"/>
          <w:sz w:val="32"/>
          <w:szCs w:val="32"/>
          <w:lang w:bidi="ar"/>
        </w:rPr>
        <w:t>召开旅美大熊猫检疫隔离工作安排部署会，对转运工作进行总结，安排部署检疫隔离期间的相关工作。</w:t>
      </w:r>
      <w:r>
        <w:rPr>
          <w:rFonts w:cs="Times New Roman"/>
          <w:bCs/>
          <w:color w:val="000000"/>
          <w:sz w:val="32"/>
          <w:szCs w:val="32"/>
          <w:lang w:bidi="ar"/>
        </w:rPr>
        <w:t>11月15日国家林业和草原局（国家公园管理局）党组书记、局长，自然资源部党组成员关志鸥到卧龙开展调研时，对</w:t>
      </w:r>
      <w:r>
        <w:rPr>
          <w:rFonts w:hint="eastAsia" w:cs="Times New Roman"/>
          <w:bCs/>
          <w:color w:val="000000"/>
          <w:sz w:val="32"/>
          <w:szCs w:val="32"/>
          <w:lang w:bidi="ar"/>
        </w:rPr>
        <w:t>旅美大熊猫接返工作</w:t>
      </w:r>
      <w:r>
        <w:rPr>
          <w:rFonts w:cs="Times New Roman"/>
          <w:bCs/>
          <w:color w:val="000000"/>
          <w:sz w:val="32"/>
          <w:szCs w:val="32"/>
          <w:lang w:bidi="ar"/>
        </w:rPr>
        <w:t>我州境内交通、车队运输、安保维稳、应急处置等工作给予了充分的肯定及表扬。</w:t>
      </w:r>
      <w:r>
        <w:rPr>
          <w:rFonts w:hint="eastAsia" w:cs="Times New Roman"/>
          <w:bCs/>
          <w:color w:val="000000"/>
          <w:sz w:val="32"/>
          <w:szCs w:val="32"/>
          <w:lang w:bidi="ar"/>
        </w:rPr>
        <w:t>目前，各项工作顺利开展，旅美大熊猫身体状况良好，适应其生活环境，未有负面舆情发生。</w:t>
      </w:r>
    </w:p>
    <w:p w14:paraId="3265291B">
      <w:pPr>
        <w:spacing w:line="580" w:lineRule="exact"/>
        <w:ind w:firstLine="640" w:firstLineChars="200"/>
        <w:rPr>
          <w:rFonts w:hint="eastAsia" w:ascii="仿宋_GB2312" w:hAnsi="仿宋_GB2312" w:eastAsia="仿宋_GB2312" w:cs="仿宋_GB2312"/>
          <w:sz w:val="32"/>
          <w:szCs w:val="32"/>
        </w:r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大熊猫国家公园阿坝管理分局</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val="en-US" w:eastAsia="zh-CN"/>
        </w:rPr>
        <w:t>保护保障工作经费</w:t>
      </w:r>
      <w:r>
        <w:rPr>
          <w:rFonts w:hint="eastAsia" w:ascii="仿宋_GB2312" w:hAnsi="仿宋_GB2312" w:eastAsia="仿宋_GB2312" w:cs="仿宋_GB2312"/>
          <w:sz w:val="32"/>
          <w:szCs w:val="32"/>
        </w:rPr>
        <w:t>等专项预算项目绩效自评报告，其中，</w:t>
      </w:r>
      <w:r>
        <w:rPr>
          <w:rFonts w:hint="eastAsia" w:ascii="仿宋_GB2312" w:hAnsi="仿宋_GB2312" w:eastAsia="仿宋_GB2312" w:cs="仿宋_GB2312"/>
          <w:sz w:val="32"/>
          <w:szCs w:val="32"/>
          <w:lang w:val="en-US" w:eastAsia="zh-CN"/>
        </w:rPr>
        <w:t>大熊猫国家公园阿坝管理分局</w:t>
      </w:r>
      <w:r>
        <w:rPr>
          <w:rFonts w:hint="eastAsia" w:ascii="仿宋_GB2312" w:hAnsi="仿宋_GB2312" w:eastAsia="仿宋_GB2312" w:cs="仿宋_GB2312"/>
          <w:sz w:val="32"/>
          <w:szCs w:val="32"/>
        </w:rPr>
        <w:t>部门整体绩效自评得分为</w:t>
      </w:r>
      <w:r>
        <w:rPr>
          <w:rFonts w:hint="eastAsia" w:ascii="仿宋_GB2312" w:hAnsi="仿宋_GB2312" w:eastAsia="仿宋_GB2312" w:cs="仿宋_GB2312"/>
          <w:sz w:val="32"/>
          <w:szCs w:val="32"/>
          <w:lang w:val="en-US" w:eastAsia="zh-CN"/>
        </w:rPr>
        <w:t>98.1</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各项目保护保障工作经费、卧龙体制改革工作经费、办公用房租赁费、聘请法律顾问、宣传教育、大熊猫国家公园阿坝片区规划、雪豹监测、巡护终端采购等分别撰写了绩效自评报告，填报了自评表。</w:t>
      </w:r>
      <w:r>
        <w:rPr>
          <w:rFonts w:hint="eastAsia" w:ascii="仿宋_GB2312" w:hAnsi="仿宋_GB2312" w:eastAsia="仿宋_GB2312" w:cs="仿宋_GB2312"/>
          <w:sz w:val="32"/>
          <w:szCs w:val="32"/>
        </w:rPr>
        <w:t>绩效自评综述：</w:t>
      </w:r>
      <w:r>
        <w:rPr>
          <w:rFonts w:hint="eastAsia" w:ascii="仿宋_GB2312" w:eastAsia="仿宋_GB2312" w:cs="Arial"/>
          <w:color w:val="000000"/>
          <w:sz w:val="32"/>
          <w:szCs w:val="32"/>
        </w:rPr>
        <w:t>202</w:t>
      </w:r>
      <w:r>
        <w:rPr>
          <w:rFonts w:hint="eastAsia" w:ascii="仿宋_GB2312" w:cs="Arial"/>
          <w:color w:val="000000"/>
          <w:sz w:val="32"/>
          <w:szCs w:val="32"/>
          <w:lang w:val="en-US" w:eastAsia="zh-CN"/>
        </w:rPr>
        <w:t>3</w:t>
      </w:r>
      <w:r>
        <w:rPr>
          <w:rFonts w:hint="eastAsia" w:ascii="仿宋_GB2312" w:eastAsia="仿宋_GB2312" w:cs="Arial"/>
          <w:color w:val="000000"/>
          <w:sz w:val="32"/>
          <w:szCs w:val="32"/>
        </w:rPr>
        <w:t>年度年初工作计划及重点工作目标管理符合州委、州政府总体经济和社会发展规划及职责，体现当年重点工作，资金投入相匹配。建立完善了内部控制制度和内部管理制度，并得到有效执行。预算执行情况良好，预算支出和决算支出情况相符。圆满完成州委州政府下达的</w:t>
      </w:r>
      <w:r>
        <w:rPr>
          <w:rFonts w:hint="eastAsia" w:ascii="仿宋_GB2312" w:eastAsia="仿宋_GB2312" w:cs="Arial"/>
          <w:color w:val="000000"/>
          <w:sz w:val="32"/>
          <w:szCs w:val="32"/>
          <w:lang w:val="en-US" w:eastAsia="zh-CN"/>
        </w:rPr>
        <w:t>202</w:t>
      </w:r>
      <w:r>
        <w:rPr>
          <w:rFonts w:hint="eastAsia" w:ascii="仿宋_GB2312" w:cs="Arial"/>
          <w:color w:val="000000"/>
          <w:sz w:val="32"/>
          <w:szCs w:val="32"/>
          <w:lang w:val="en-US" w:eastAsia="zh-CN"/>
        </w:rPr>
        <w:t>3</w:t>
      </w:r>
      <w:r>
        <w:rPr>
          <w:rFonts w:hint="eastAsia" w:ascii="仿宋_GB2312" w:eastAsia="仿宋_GB2312" w:cs="Arial"/>
          <w:color w:val="000000"/>
          <w:sz w:val="32"/>
          <w:szCs w:val="32"/>
        </w:rPr>
        <w:t>年各项目标任务。</w:t>
      </w:r>
      <w:r>
        <w:rPr>
          <w:rFonts w:hint="eastAsia" w:ascii="仿宋_GB2312" w:eastAsia="仿宋_GB2312" w:cs="Arial"/>
          <w:color w:val="000000"/>
          <w:sz w:val="32"/>
          <w:szCs w:val="32"/>
          <w:lang w:val="en-US" w:eastAsia="zh-CN"/>
        </w:rPr>
        <w:t>8个</w:t>
      </w:r>
      <w:r>
        <w:rPr>
          <w:rFonts w:hint="eastAsia" w:ascii="仿宋_GB2312" w:hAnsi="仿宋_GB2312" w:eastAsia="仿宋_GB2312" w:cs="仿宋_GB2312"/>
          <w:sz w:val="32"/>
          <w:szCs w:val="32"/>
        </w:rPr>
        <w:t>专项预算项目绩效自评得分为</w:t>
      </w:r>
      <w:r>
        <w:rPr>
          <w:rFonts w:hint="eastAsia" w:ascii="仿宋_GB2312" w:hAnsi="仿宋_GB2312" w:eastAsia="仿宋_GB2312" w:cs="仿宋_GB2312"/>
          <w:sz w:val="32"/>
          <w:szCs w:val="32"/>
          <w:lang w:val="en-US" w:eastAsia="zh-CN"/>
        </w:rPr>
        <w:t>保护保障工作经费100分、卧龙体制改革工作经费98分、办公用房租赁费100分、聘请法律顾问100分、宣传教育100分、大熊猫国家公园阿坝片区规划100分、雪豹监测98</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巡护终端采购项目流标2次未评分。</w:t>
      </w:r>
      <w:r>
        <w:rPr>
          <w:rFonts w:hint="eastAsia" w:ascii="仿宋_GB2312" w:hAnsi="仿宋_GB2312" w:eastAsia="仿宋_GB2312" w:cs="仿宋_GB2312"/>
          <w:sz w:val="32"/>
          <w:szCs w:val="32"/>
        </w:rPr>
        <w:t>绩效自评综述绩效自评报告</w:t>
      </w:r>
      <w:r>
        <w:rPr>
          <w:rFonts w:hint="eastAsia" w:ascii="仿宋_GB2312" w:hAnsi="仿宋_GB2312" w:eastAsia="仿宋_GB2312" w:cs="仿宋_GB2312"/>
          <w:sz w:val="32"/>
          <w:szCs w:val="32"/>
          <w:lang w:val="en-US" w:eastAsia="zh-CN"/>
        </w:rPr>
        <w:t>及自评表</w:t>
      </w:r>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618D28F5">
      <w:pPr>
        <w:pStyle w:val="2"/>
        <w:ind w:firstLine="1767" w:firstLineChars="400"/>
        <w:jc w:val="both"/>
      </w:pPr>
      <w:r>
        <w:rPr>
          <w:rFonts w:hint="eastAsia"/>
        </w:rPr>
        <w:t>第三部分 名词解释</w:t>
      </w:r>
    </w:p>
    <w:p w14:paraId="0D5EE257"/>
    <w:p w14:paraId="6CE18764">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46DF97BD">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2.事业收入：指事业单位开展专业业务活动及辅助活动取得的收入。如…（二级预算单位事业收入情况）等。</w:t>
      </w:r>
    </w:p>
    <w:p w14:paraId="6130788F">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3.经营收入：指事业单位在专业业务活动及其辅助活动之外开展非独立核算经营活动取得的收入。如…（二级预算单位经营收入情况）等。</w:t>
      </w:r>
    </w:p>
    <w:p w14:paraId="137DD5D1">
      <w:pPr>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4.其他收入：指单位取得的除上述收入以外的各项收入。主要是…（收入类型）等。 </w:t>
      </w:r>
    </w:p>
    <w:p w14:paraId="243E261F">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14:paraId="507F5FA7">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28D5C529">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160FBB17">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7B984482">
      <w:pPr>
        <w:ind w:firstLine="640" w:firstLineChars="200"/>
        <w:rPr>
          <w:rFonts w:hint="eastAsia" w:ascii="仿宋_GB2312" w:eastAsia="仿宋_GB2312"/>
          <w:sz w:val="32"/>
          <w:szCs w:val="32"/>
        </w:rPr>
      </w:pPr>
      <w:r>
        <w:rPr>
          <w:rFonts w:hint="eastAsia" w:ascii="仿宋_GB2312" w:eastAsia="仿宋_GB2312"/>
          <w:sz w:val="32"/>
          <w:szCs w:val="32"/>
        </w:rPr>
        <w:t>9.一般公共服务（类）…（款）…（项）：指……。</w:t>
      </w:r>
    </w:p>
    <w:p w14:paraId="2CD35500">
      <w:pPr>
        <w:ind w:firstLine="640" w:firstLineChars="200"/>
        <w:rPr>
          <w:rFonts w:hint="eastAsia" w:ascii="仿宋_GB2312" w:eastAsia="仿宋_GB2312"/>
          <w:sz w:val="32"/>
          <w:szCs w:val="32"/>
        </w:rPr>
      </w:pPr>
      <w:r>
        <w:rPr>
          <w:rFonts w:hint="eastAsia" w:ascii="仿宋_GB2312" w:eastAsia="仿宋_GB2312"/>
          <w:sz w:val="32"/>
          <w:szCs w:val="32"/>
        </w:rPr>
        <w:t>10.外交（类）…（款）…（项）：指……。</w:t>
      </w:r>
    </w:p>
    <w:p w14:paraId="21AEA1F3">
      <w:pPr>
        <w:ind w:firstLine="640" w:firstLineChars="200"/>
        <w:rPr>
          <w:rFonts w:hint="eastAsia" w:ascii="仿宋_GB2312" w:eastAsia="仿宋_GB2312"/>
          <w:sz w:val="32"/>
          <w:szCs w:val="32"/>
        </w:rPr>
      </w:pPr>
      <w:r>
        <w:rPr>
          <w:rFonts w:hint="eastAsia" w:ascii="仿宋_GB2312" w:eastAsia="仿宋_GB2312"/>
          <w:sz w:val="32"/>
          <w:szCs w:val="32"/>
        </w:rPr>
        <w:t>11.公共安全（类）…（款）…（项）：指……。</w:t>
      </w:r>
    </w:p>
    <w:p w14:paraId="54778417">
      <w:pPr>
        <w:ind w:firstLine="640" w:firstLineChars="200"/>
        <w:rPr>
          <w:rFonts w:hint="eastAsia" w:ascii="仿宋_GB2312" w:eastAsia="仿宋_GB2312"/>
          <w:sz w:val="32"/>
          <w:szCs w:val="32"/>
        </w:rPr>
      </w:pPr>
      <w:r>
        <w:rPr>
          <w:rFonts w:hint="eastAsia" w:ascii="仿宋_GB2312" w:eastAsia="仿宋_GB2312"/>
          <w:sz w:val="32"/>
          <w:szCs w:val="32"/>
        </w:rPr>
        <w:t>12.教育（类）…（款）…（项）：指……。</w:t>
      </w:r>
    </w:p>
    <w:p w14:paraId="7026114B">
      <w:pPr>
        <w:ind w:firstLine="640" w:firstLineChars="200"/>
        <w:rPr>
          <w:rFonts w:hint="eastAsia" w:ascii="仿宋_GB2312" w:eastAsia="仿宋_GB2312"/>
          <w:sz w:val="32"/>
          <w:szCs w:val="32"/>
        </w:rPr>
      </w:pPr>
      <w:r>
        <w:rPr>
          <w:rFonts w:hint="eastAsia" w:ascii="仿宋_GB2312" w:eastAsia="仿宋_GB2312"/>
          <w:sz w:val="32"/>
          <w:szCs w:val="32"/>
        </w:rPr>
        <w:t>13.科学技术（类）…（款）…（项）：指……。</w:t>
      </w:r>
    </w:p>
    <w:p w14:paraId="550ADCE0">
      <w:pPr>
        <w:ind w:firstLine="640" w:firstLineChars="200"/>
        <w:rPr>
          <w:rFonts w:hint="eastAsia" w:ascii="仿宋_GB2312" w:eastAsia="仿宋_GB2312"/>
          <w:sz w:val="32"/>
          <w:szCs w:val="32"/>
        </w:rPr>
      </w:pPr>
      <w:r>
        <w:rPr>
          <w:rFonts w:hint="eastAsia" w:ascii="仿宋_GB2312" w:eastAsia="仿宋_GB2312"/>
          <w:sz w:val="32"/>
          <w:szCs w:val="32"/>
        </w:rPr>
        <w:t>14.文化旅游体育与传媒（类）…（款）…（项）：指……。</w:t>
      </w:r>
    </w:p>
    <w:p w14:paraId="620B3489">
      <w:pPr>
        <w:ind w:firstLine="640" w:firstLineChars="200"/>
        <w:rPr>
          <w:rFonts w:hint="eastAsia" w:ascii="仿宋_GB2312" w:eastAsia="仿宋_GB2312"/>
          <w:sz w:val="32"/>
          <w:szCs w:val="32"/>
        </w:rPr>
      </w:pPr>
      <w:r>
        <w:rPr>
          <w:rFonts w:hint="eastAsia" w:ascii="仿宋_GB2312" w:eastAsia="仿宋_GB2312"/>
          <w:sz w:val="32"/>
          <w:szCs w:val="32"/>
        </w:rPr>
        <w:t>15.社会保障和就业（类）…（款）…（项）：指……。</w:t>
      </w:r>
    </w:p>
    <w:p w14:paraId="0A97A72A">
      <w:pPr>
        <w:ind w:firstLine="640" w:firstLineChars="200"/>
        <w:rPr>
          <w:rFonts w:hint="eastAsia" w:ascii="仿宋_GB2312" w:eastAsia="仿宋_GB2312"/>
          <w:sz w:val="32"/>
          <w:szCs w:val="32"/>
        </w:rPr>
      </w:pPr>
      <w:r>
        <w:rPr>
          <w:rFonts w:hint="eastAsia" w:ascii="仿宋_GB2312" w:eastAsia="仿宋_GB2312"/>
          <w:sz w:val="32"/>
          <w:szCs w:val="32"/>
        </w:rPr>
        <w:t>16.卫生健康（类）…（款）…（项）：指……。</w:t>
      </w:r>
    </w:p>
    <w:p w14:paraId="4548D7D7">
      <w:pPr>
        <w:ind w:firstLine="640" w:firstLineChars="200"/>
        <w:rPr>
          <w:rFonts w:hint="eastAsia" w:ascii="仿宋_GB2312" w:eastAsia="仿宋_GB2312"/>
          <w:sz w:val="32"/>
          <w:szCs w:val="32"/>
        </w:rPr>
      </w:pPr>
      <w:r>
        <w:rPr>
          <w:rFonts w:hint="eastAsia" w:ascii="仿宋_GB2312" w:eastAsia="仿宋_GB2312"/>
          <w:sz w:val="32"/>
          <w:szCs w:val="32"/>
        </w:rPr>
        <w:t>17.节能环保（类）…（款）…（项）：指……。</w:t>
      </w:r>
    </w:p>
    <w:p w14:paraId="5F3C1AC9">
      <w:pPr>
        <w:ind w:firstLine="640" w:firstLineChars="200"/>
        <w:rPr>
          <w:rFonts w:hint="eastAsia" w:ascii="仿宋_GB2312" w:eastAsia="仿宋_GB2312"/>
          <w:sz w:val="32"/>
          <w:szCs w:val="32"/>
        </w:rPr>
      </w:pPr>
      <w:r>
        <w:rPr>
          <w:rFonts w:hint="eastAsia" w:ascii="仿宋_GB2312" w:eastAsia="仿宋_GB2312"/>
          <w:sz w:val="32"/>
          <w:szCs w:val="32"/>
        </w:rPr>
        <w:t>18.城乡社区（类）…（款）…（项）：指……。</w:t>
      </w:r>
    </w:p>
    <w:p w14:paraId="4DD9C211">
      <w:pPr>
        <w:ind w:firstLine="640" w:firstLineChars="200"/>
        <w:rPr>
          <w:rFonts w:hint="eastAsia" w:ascii="仿宋_GB2312" w:eastAsia="仿宋_GB2312"/>
          <w:sz w:val="32"/>
          <w:szCs w:val="32"/>
        </w:rPr>
      </w:pPr>
      <w:r>
        <w:rPr>
          <w:rFonts w:hint="eastAsia" w:ascii="仿宋_GB2312" w:eastAsia="仿宋_GB2312"/>
          <w:sz w:val="32"/>
          <w:szCs w:val="32"/>
        </w:rPr>
        <w:t>19.农林水（类）…（款）…（项）：指……。</w:t>
      </w:r>
    </w:p>
    <w:p w14:paraId="4028A5B9">
      <w:pPr>
        <w:ind w:firstLine="640" w:firstLineChars="200"/>
        <w:rPr>
          <w:rFonts w:hint="eastAsia" w:ascii="仿宋_GB2312" w:eastAsia="仿宋_GB2312"/>
          <w:sz w:val="32"/>
          <w:szCs w:val="32"/>
        </w:rPr>
      </w:pPr>
      <w:r>
        <w:rPr>
          <w:rFonts w:hint="eastAsia" w:ascii="仿宋_GB2312" w:eastAsia="仿宋_GB2312"/>
          <w:sz w:val="32"/>
          <w:szCs w:val="32"/>
        </w:rPr>
        <w:t>20.交通运输（类）…（款）…（项）：指……。</w:t>
      </w:r>
    </w:p>
    <w:p w14:paraId="4973C83C">
      <w:pPr>
        <w:ind w:firstLine="640" w:firstLineChars="200"/>
        <w:rPr>
          <w:rFonts w:hint="eastAsia" w:ascii="仿宋_GB2312" w:eastAsia="仿宋_GB2312"/>
          <w:sz w:val="32"/>
          <w:szCs w:val="32"/>
        </w:rPr>
      </w:pPr>
      <w:r>
        <w:rPr>
          <w:rFonts w:hint="eastAsia" w:ascii="仿宋_GB2312" w:eastAsia="仿宋_GB2312"/>
          <w:sz w:val="32"/>
          <w:szCs w:val="32"/>
        </w:rPr>
        <w:t>21.资源勘探工业信息等（类）…（款）…（项）：指……。</w:t>
      </w:r>
    </w:p>
    <w:p w14:paraId="62E959C6">
      <w:pPr>
        <w:ind w:firstLine="640" w:firstLineChars="200"/>
        <w:rPr>
          <w:rFonts w:hint="eastAsia" w:ascii="仿宋_GB2312" w:eastAsia="仿宋_GB2312"/>
          <w:sz w:val="32"/>
          <w:szCs w:val="32"/>
        </w:rPr>
      </w:pPr>
      <w:r>
        <w:rPr>
          <w:rFonts w:hint="eastAsia" w:ascii="仿宋_GB2312" w:eastAsia="仿宋_GB2312"/>
          <w:sz w:val="32"/>
          <w:szCs w:val="32"/>
        </w:rPr>
        <w:t>22.商业服务业（类）…（款）…（项）：指……。</w:t>
      </w:r>
    </w:p>
    <w:p w14:paraId="16D71DE1">
      <w:pPr>
        <w:ind w:firstLine="640" w:firstLineChars="200"/>
        <w:rPr>
          <w:rFonts w:hint="eastAsia" w:ascii="仿宋_GB2312" w:eastAsia="仿宋_GB2312"/>
          <w:sz w:val="32"/>
          <w:szCs w:val="32"/>
        </w:rPr>
      </w:pPr>
      <w:r>
        <w:rPr>
          <w:rFonts w:hint="eastAsia" w:ascii="仿宋_GB2312" w:eastAsia="仿宋_GB2312"/>
          <w:sz w:val="32"/>
          <w:szCs w:val="32"/>
        </w:rPr>
        <w:t>23.金融（类）…（款）…（项）：指……。</w:t>
      </w:r>
    </w:p>
    <w:p w14:paraId="32ABDA27">
      <w:pPr>
        <w:ind w:firstLine="640" w:firstLineChars="200"/>
        <w:rPr>
          <w:rFonts w:hint="eastAsia" w:ascii="仿宋_GB2312" w:eastAsia="仿宋_GB2312"/>
          <w:sz w:val="32"/>
          <w:szCs w:val="32"/>
        </w:rPr>
      </w:pPr>
      <w:r>
        <w:rPr>
          <w:rFonts w:hint="eastAsia" w:ascii="仿宋_GB2312" w:eastAsia="仿宋_GB2312"/>
          <w:sz w:val="32"/>
          <w:szCs w:val="32"/>
        </w:rPr>
        <w:t>24.自然资源海洋气象等（类）…（款）…（项）：指……。</w:t>
      </w:r>
    </w:p>
    <w:p w14:paraId="571C19E1">
      <w:pPr>
        <w:ind w:firstLine="640" w:firstLineChars="200"/>
        <w:rPr>
          <w:rFonts w:hint="eastAsia" w:ascii="仿宋_GB2312" w:eastAsia="仿宋_GB2312"/>
          <w:sz w:val="32"/>
          <w:szCs w:val="32"/>
        </w:rPr>
      </w:pPr>
      <w:r>
        <w:rPr>
          <w:rFonts w:hint="eastAsia" w:ascii="仿宋_GB2312" w:eastAsia="仿宋_GB2312"/>
          <w:sz w:val="32"/>
          <w:szCs w:val="32"/>
        </w:rPr>
        <w:t>25.住房保障（类）…（款）…（项）：指……。</w:t>
      </w:r>
    </w:p>
    <w:p w14:paraId="2FA3B0A7">
      <w:pPr>
        <w:ind w:firstLine="640" w:firstLineChars="200"/>
        <w:rPr>
          <w:rFonts w:hint="eastAsia" w:ascii="仿宋_GB2312" w:eastAsia="仿宋_GB2312"/>
          <w:sz w:val="32"/>
          <w:szCs w:val="32"/>
        </w:rPr>
      </w:pPr>
      <w:r>
        <w:rPr>
          <w:rFonts w:hint="eastAsia" w:ascii="仿宋_GB2312" w:eastAsia="仿宋_GB2312"/>
          <w:sz w:val="32"/>
          <w:szCs w:val="32"/>
        </w:rPr>
        <w:t>26.粮油物资储备（类）…（款）…（项）：指……。</w:t>
      </w:r>
    </w:p>
    <w:p w14:paraId="42A1B27F">
      <w:pPr>
        <w:ind w:firstLine="640" w:firstLineChars="200"/>
        <w:rPr>
          <w:rFonts w:hint="eastAsia" w:ascii="仿宋_GB2312" w:eastAsia="仿宋_GB2312"/>
          <w:sz w:val="32"/>
          <w:szCs w:val="32"/>
        </w:rPr>
      </w:pPr>
      <w:r>
        <w:rPr>
          <w:rFonts w:hint="eastAsia" w:ascii="仿宋_GB2312" w:eastAsia="仿宋_GB2312"/>
          <w:sz w:val="32"/>
          <w:szCs w:val="32"/>
        </w:rPr>
        <w:t>……</w:t>
      </w:r>
    </w:p>
    <w:p w14:paraId="794AB042">
      <w:pPr>
        <w:ind w:firstLine="640" w:firstLineChars="200"/>
        <w:rPr>
          <w:rFonts w:hint="eastAsia" w:ascii="仿宋_GB2312" w:eastAsia="仿宋_GB2312"/>
          <w:sz w:val="32"/>
          <w:szCs w:val="32"/>
        </w:rPr>
      </w:pPr>
      <w:r>
        <w:rPr>
          <w:rFonts w:hint="eastAsia" w:ascii="仿宋_GB2312" w:eastAsia="仿宋_GB2312"/>
          <w:sz w:val="32"/>
          <w:szCs w:val="32"/>
        </w:rPr>
        <w:t>……</w:t>
      </w:r>
    </w:p>
    <w:p w14:paraId="5CB7A251">
      <w:pPr>
        <w:ind w:firstLine="640" w:firstLineChars="200"/>
        <w:rPr>
          <w:rFonts w:hint="eastAsia" w:ascii="仿宋_GB2312" w:eastAsia="仿宋_GB2312"/>
          <w:sz w:val="32"/>
          <w:szCs w:val="32"/>
        </w:rPr>
      </w:pPr>
      <w:r>
        <w:rPr>
          <w:rFonts w:hint="eastAsia" w:ascii="仿宋_GB2312" w:eastAsia="仿宋_GB2312"/>
          <w:sz w:val="32"/>
          <w:szCs w:val="32"/>
        </w:rPr>
        <w:t>……</w:t>
      </w:r>
    </w:p>
    <w:p w14:paraId="675F549D">
      <w:pPr>
        <w:ind w:firstLine="643" w:firstLineChars="200"/>
        <w:rPr>
          <w:rFonts w:ascii="仿宋" w:hAnsi="仿宋" w:eastAsia="仿宋"/>
          <w:b/>
          <w:sz w:val="32"/>
          <w:szCs w:val="32"/>
        </w:rPr>
      </w:pPr>
      <w:r>
        <w:rPr>
          <w:rFonts w:hint="eastAsia" w:ascii="仿宋" w:hAnsi="仿宋" w:eastAsia="仿宋"/>
          <w:b/>
          <w:sz w:val="32"/>
          <w:szCs w:val="32"/>
        </w:rPr>
        <w:t>（解释本部门决算报表中涉及的全部功能分类科目至项级，不涉及的科目请自行删除。请参照《2023年政府收支分类科目》增减内容。）</w:t>
      </w:r>
    </w:p>
    <w:p w14:paraId="416C743C">
      <w:pPr>
        <w:ind w:firstLine="640" w:firstLineChars="200"/>
        <w:rPr>
          <w:rFonts w:ascii="仿宋_GB2312" w:eastAsia="仿宋_GB2312"/>
          <w:sz w:val="32"/>
          <w:szCs w:val="32"/>
        </w:rPr>
      </w:pPr>
      <w:r>
        <w:rPr>
          <w:rFonts w:hint="eastAsia" w:ascii="仿宋_GB2312" w:eastAsia="仿宋_GB2312"/>
          <w:sz w:val="32"/>
          <w:szCs w:val="32"/>
        </w:rPr>
        <w:t>27.基本支出：指为保障机构正常运转、完成日常工作任务而发生的人员支出和公用支出。</w:t>
      </w:r>
    </w:p>
    <w:p w14:paraId="7A16812B">
      <w:pPr>
        <w:ind w:firstLine="640" w:firstLineChars="200"/>
        <w:rPr>
          <w:rFonts w:ascii="仿宋_GB2312" w:eastAsia="仿宋_GB2312"/>
          <w:sz w:val="32"/>
          <w:szCs w:val="32"/>
        </w:rPr>
      </w:pPr>
      <w:r>
        <w:rPr>
          <w:rFonts w:hint="eastAsia" w:ascii="仿宋_GB2312" w:eastAsia="仿宋_GB2312"/>
          <w:sz w:val="32"/>
          <w:szCs w:val="32"/>
        </w:rPr>
        <w:t xml:space="preserve">28.项目支出：指在基本支出之外为完成特定行政任务和事业发展目标所发生的支出。 </w:t>
      </w:r>
    </w:p>
    <w:p w14:paraId="13455594">
      <w:pPr>
        <w:ind w:firstLine="640" w:firstLineChars="200"/>
        <w:rPr>
          <w:rFonts w:ascii="仿宋_GB2312" w:eastAsia="仿宋_GB2312"/>
          <w:sz w:val="32"/>
          <w:szCs w:val="32"/>
        </w:rPr>
      </w:pPr>
      <w:r>
        <w:rPr>
          <w:rFonts w:hint="eastAsia" w:ascii="仿宋_GB2312" w:eastAsia="仿宋_GB2312"/>
          <w:sz w:val="32"/>
          <w:szCs w:val="32"/>
        </w:rPr>
        <w:t>29.经营支出：指事业单位在专业业务活动及其辅助活动之外开展非独立核算经营活动发生的支出。</w:t>
      </w:r>
    </w:p>
    <w:p w14:paraId="4F523725">
      <w:pPr>
        <w:ind w:firstLine="640" w:firstLineChars="200"/>
        <w:rPr>
          <w:rFonts w:ascii="仿宋_GB2312" w:eastAsia="仿宋_GB2312"/>
          <w:sz w:val="32"/>
          <w:szCs w:val="32"/>
        </w:rPr>
      </w:pPr>
      <w:r>
        <w:rPr>
          <w:rFonts w:hint="eastAsia" w:ascii="仿宋_GB2312" w:eastAsia="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7DF72FF">
      <w:pPr>
        <w:ind w:firstLine="640" w:firstLineChars="200"/>
        <w:rPr>
          <w:rFonts w:ascii="仿宋_GB2312" w:eastAsia="仿宋_GB2312"/>
          <w:sz w:val="32"/>
          <w:szCs w:val="32"/>
        </w:rPr>
      </w:pPr>
      <w:r>
        <w:rPr>
          <w:rFonts w:hint="eastAsia" w:ascii="仿宋_GB2312" w:eastAsia="仿宋_GB2312"/>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F4854B">
      <w:pPr>
        <w:ind w:firstLine="640" w:firstLineChars="200"/>
        <w:rPr>
          <w:rFonts w:ascii="仿宋_GB2312" w:eastAsia="仿宋_GB2312"/>
          <w:sz w:val="32"/>
          <w:szCs w:val="32"/>
        </w:rPr>
      </w:pPr>
      <w:r>
        <w:rPr>
          <w:rFonts w:hint="eastAsia" w:ascii="仿宋_GB2312" w:eastAsia="仿宋_GB2312"/>
          <w:sz w:val="32"/>
          <w:szCs w:val="32"/>
        </w:rPr>
        <w:t>32.……。</w:t>
      </w:r>
    </w:p>
    <w:p w14:paraId="0FEBE426">
      <w:pPr>
        <w:ind w:firstLine="420" w:firstLineChars="200"/>
      </w:pPr>
    </w:p>
    <w:p w14:paraId="6655C84C">
      <w:pPr>
        <w:ind w:firstLine="643" w:firstLineChars="200"/>
        <w:rPr>
          <w:rFonts w:ascii="仿宋" w:hAnsi="仿宋" w:eastAsia="仿宋"/>
          <w:b/>
          <w:sz w:val="32"/>
          <w:szCs w:val="32"/>
        </w:rPr>
      </w:pPr>
      <w:r>
        <w:rPr>
          <w:rFonts w:hint="eastAsia" w:ascii="仿宋" w:hAnsi="仿宋" w:eastAsia="仿宋"/>
          <w:b/>
          <w:sz w:val="32"/>
          <w:szCs w:val="32"/>
        </w:rPr>
        <w:t>（名词解释部分请根据各部门实际列支情况罗列，并根据本部门职责职能增减名词解释内容。）</w:t>
      </w:r>
      <w:r>
        <w:rPr>
          <w:rFonts w:ascii="仿宋" w:hAnsi="仿宋" w:eastAsia="仿宋"/>
          <w:b/>
          <w:sz w:val="32"/>
          <w:szCs w:val="32"/>
        </w:rPr>
        <w:br w:type="page"/>
      </w:r>
    </w:p>
    <w:p w14:paraId="67F6BA11">
      <w:pPr>
        <w:pStyle w:val="2"/>
        <w:ind w:firstLine="2640" w:firstLineChars="600"/>
        <w:jc w:val="both"/>
        <w:rPr>
          <w:rFonts w:ascii="黑体" w:hAnsi="黑体" w:eastAsia="黑体"/>
          <w:b w:val="0"/>
        </w:rPr>
      </w:pPr>
      <w:r>
        <w:rPr>
          <w:rFonts w:hint="eastAsia" w:ascii="黑体" w:hAnsi="黑体" w:eastAsia="黑体"/>
          <w:b w:val="0"/>
        </w:rPr>
        <w:t>第四部分 附件</w:t>
      </w:r>
    </w:p>
    <w:p w14:paraId="626BAE2C">
      <w:pPr>
        <w:pStyle w:val="37"/>
        <w:keepNext w:val="0"/>
        <w:keepLines w:val="0"/>
        <w:pageBreakBefore w:val="0"/>
        <w:widowControl w:val="0"/>
        <w:kinsoku/>
        <w:wordWrap/>
        <w:overflowPunct/>
        <w:topLinePunct w:val="0"/>
        <w:autoSpaceDE/>
        <w:autoSpaceDN/>
        <w:bidi w:val="0"/>
        <w:spacing w:line="578" w:lineRule="exact"/>
        <w:ind w:firstLine="880" w:firstLineChars="20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大熊猫国家公园阿坝管理分局保护</w:t>
      </w:r>
    </w:p>
    <w:p w14:paraId="14551E9C">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保障工作经费预算项目绩效评价报告</w:t>
      </w:r>
    </w:p>
    <w:p w14:paraId="4D0D6F1F">
      <w:pPr>
        <w:pStyle w:val="37"/>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65AF663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528FE15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eastAsia="仿宋_GB2312" w:cs="仿宋_GB2312"/>
          <w:sz w:val="32"/>
          <w:szCs w:val="32"/>
          <w:lang w:val="en-US"/>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eastAsia="仿宋_GB2312" w:cs="仿宋_GB2312"/>
          <w:b w:val="0"/>
          <w:bCs/>
          <w:color w:val="000000"/>
          <w:sz w:val="32"/>
          <w:szCs w:val="32"/>
          <w:lang w:val="en-US" w:eastAsia="zh-CN" w:bidi="ar-SA"/>
        </w:rPr>
        <w:t>为保障日常工作运转</w:t>
      </w:r>
      <w:r>
        <w:rPr>
          <w:rFonts w:hint="eastAsia" w:ascii="仿宋_GB2312" w:hAnsi="仿宋_GB2312" w:eastAsia="仿宋_GB2312" w:cs="仿宋_GB2312"/>
          <w:b w:val="0"/>
          <w:bCs/>
          <w:color w:val="000000"/>
          <w:sz w:val="32"/>
          <w:szCs w:val="32"/>
          <w:lang w:eastAsia="zh-CN" w:bidi="ar-SA"/>
        </w:rPr>
        <w:t>，</w:t>
      </w:r>
      <w:r>
        <w:rPr>
          <w:rFonts w:hint="eastAsia" w:ascii="仿宋_GB2312" w:hAnsi="仿宋_GB2312" w:eastAsia="仿宋_GB2312" w:cs="仿宋_GB2312"/>
          <w:b w:val="0"/>
          <w:bCs/>
          <w:color w:val="000000"/>
          <w:sz w:val="32"/>
          <w:szCs w:val="32"/>
          <w:lang w:val="en-US" w:eastAsia="zh-CN" w:bidi="ar-SA"/>
        </w:rPr>
        <w:t>督导指导保护区域内基础设施建设，</w:t>
      </w:r>
      <w:r>
        <w:rPr>
          <w:rFonts w:hint="eastAsia" w:ascii="仿宋_GB2312" w:hAnsi="仿宋_GB2312" w:eastAsia="仿宋_GB2312" w:cs="仿宋_GB2312"/>
          <w:b w:val="0"/>
          <w:bCs/>
          <w:i w:val="0"/>
          <w:iCs w:val="0"/>
          <w:caps w:val="0"/>
          <w:color w:val="191919"/>
          <w:spacing w:val="0"/>
          <w:kern w:val="0"/>
          <w:sz w:val="32"/>
          <w:szCs w:val="32"/>
          <w:shd w:val="clear" w:color="auto" w:fill="FFFFFF"/>
          <w:lang w:val="en-US" w:eastAsia="zh-CN" w:bidi="ar"/>
        </w:rPr>
        <w:t>提升生态保护力度，实现高质量发展、高水平保护。根据2023年度工作需要设立该项目，预算资金50万元</w:t>
      </w:r>
      <w:r>
        <w:rPr>
          <w:rFonts w:hint="eastAsia" w:ascii="仿宋_GB2312" w:hAnsi="仿宋_GB2312" w:eastAsia="仿宋_GB2312" w:cs="仿宋_GB2312"/>
          <w:i w:val="0"/>
          <w:iCs w:val="0"/>
          <w:caps w:val="0"/>
          <w:color w:val="191919"/>
          <w:spacing w:val="0"/>
          <w:kern w:val="0"/>
          <w:sz w:val="32"/>
          <w:szCs w:val="32"/>
          <w:shd w:val="clear" w:color="auto" w:fill="FFFFFF"/>
          <w:lang w:val="en-US" w:eastAsia="zh-CN" w:bidi="ar"/>
        </w:rPr>
        <w:t>。</w:t>
      </w:r>
      <w:r>
        <w:rPr>
          <w:rFonts w:hint="eastAsia" w:ascii="仿宋_GB2312" w:hAnsi="仿宋_GB2312" w:eastAsia="仿宋_GB2312" w:cs="仿宋_GB2312"/>
          <w:b w:val="0"/>
          <w:bCs/>
          <w:i w:val="0"/>
          <w:iCs w:val="0"/>
          <w:caps w:val="0"/>
          <w:color w:val="191919"/>
          <w:spacing w:val="0"/>
          <w:kern w:val="0"/>
          <w:sz w:val="32"/>
          <w:szCs w:val="32"/>
          <w:shd w:val="clear" w:color="auto" w:fill="FFFFFF"/>
          <w:lang w:val="en-US" w:eastAsia="zh-CN" w:bidi="ar"/>
        </w:rPr>
        <w:t>项目主要内容为保护保障方面的资金支出。</w:t>
      </w:r>
    </w:p>
    <w:p w14:paraId="379384A9">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color w:val="000000" w:themeColor="text1"/>
          <w:sz w:val="32"/>
          <w:szCs w:val="32"/>
          <w:highlight w:val="none"/>
          <w:u w:val="none"/>
          <w:lang w:val="en-US"/>
          <w14:textFill>
            <w14:solidFill>
              <w14:schemeClr w14:val="tx1"/>
            </w14:solidFill>
          </w14:textFill>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为阿坝园区野生动、植物保护，森林草原防灭火工作、项目建设督导指导方面提供资金保障，</w:t>
      </w:r>
      <w:r>
        <w:rPr>
          <w:rFonts w:hint="eastAsia" w:ascii="仿宋_GB2312" w:hAnsi="仿宋_GB2312" w:eastAsia="仿宋_GB2312" w:cs="仿宋_GB2312"/>
          <w:b w:val="0"/>
          <w:bCs w:val="0"/>
          <w:color w:val="000000" w:themeColor="text1"/>
          <w:kern w:val="0"/>
          <w:sz w:val="32"/>
          <w:szCs w:val="32"/>
          <w:highlight w:val="none"/>
          <w:u w:val="none"/>
          <w:shd w:val="clear" w:color="auto" w:fill="FFFFFF"/>
          <w:lang w:val="en-US" w:eastAsia="zh-CN"/>
          <w14:textFill>
            <w14:solidFill>
              <w14:schemeClr w14:val="tx1"/>
            </w14:solidFill>
          </w14:textFill>
        </w:rPr>
        <w:t>从而提升阿坝园区保护力度，主要列支于单位公用经费资金缺口的办公费、差旅费、电费、印刷费、专用材料费、委托业务费、会议费、其他交通费</w:t>
      </w:r>
      <w:r>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t>。</w:t>
      </w:r>
    </w:p>
    <w:p w14:paraId="13A3220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eastAsia="仿宋_GB2312" w:cs="仿宋_GB2312"/>
          <w:sz w:val="32"/>
          <w:szCs w:val="32"/>
          <w:lang w:val="en-US" w:eastAsia="zh-CN"/>
        </w:rPr>
        <w:t>保护保障工作经费</w:t>
      </w:r>
      <w:r>
        <w:rPr>
          <w:rFonts w:hint="eastAsia" w:ascii="仿宋_GB2312" w:hAnsi="仿宋_GB2312" w:eastAsia="仿宋_GB2312" w:cs="仿宋_GB2312"/>
          <w:sz w:val="32"/>
          <w:szCs w:val="32"/>
        </w:rPr>
        <w:t>属于特定目标类的部门项目，</w:t>
      </w:r>
      <w:r>
        <w:rPr>
          <w:rFonts w:hint="eastAsia" w:ascii="仿宋_GB2312" w:hAnsi="仿宋_GB2312" w:eastAsia="仿宋_GB2312" w:cs="仿宋_GB2312"/>
          <w:sz w:val="32"/>
          <w:szCs w:val="32"/>
          <w:lang w:val="en-US" w:eastAsia="zh-CN"/>
        </w:rPr>
        <w:t>结合分局工作实际，本预算通过2022年度工作开展情况来核定2023年保护保障工作经费预算数为50万元。</w:t>
      </w:r>
    </w:p>
    <w:p w14:paraId="43808F61">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sz w:val="32"/>
          <w:szCs w:val="32"/>
          <w:lang w:val="en-US" w:eastAsia="zh-CN"/>
        </w:rPr>
        <w:t>本项目共设置了一级指标4个、二级指标6个、三级指标6个绩效考核目标，</w:t>
      </w:r>
      <w:r>
        <w:rPr>
          <w:rFonts w:hint="eastAsia" w:ascii="仿宋_GB2312" w:hAnsi="仿宋_GB2312" w:eastAsia="仿宋_GB2312" w:cs="仿宋_GB2312"/>
          <w:sz w:val="32"/>
          <w:szCs w:val="32"/>
          <w:lang w:eastAsia="zh-CN"/>
        </w:rPr>
        <w:t>评估内容包括绩效目标和绩效指标</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lang w:eastAsia="zh-CN"/>
        </w:rPr>
        <w:t>量化可考核，</w:t>
      </w:r>
      <w:r>
        <w:rPr>
          <w:rFonts w:hint="eastAsia" w:ascii="仿宋_GB2312" w:hAnsi="仿宋_GB2312" w:eastAsia="仿宋_GB2312" w:cs="仿宋_GB2312"/>
          <w:sz w:val="32"/>
          <w:szCs w:val="32"/>
          <w:lang w:val="en-US" w:eastAsia="zh-CN"/>
        </w:rPr>
        <w:t>与项目</w:t>
      </w:r>
      <w:r>
        <w:rPr>
          <w:rFonts w:hint="eastAsia" w:ascii="仿宋_GB2312" w:hAnsi="仿宋_GB2312" w:eastAsia="仿宋_GB2312" w:cs="仿宋_GB2312"/>
          <w:sz w:val="32"/>
          <w:szCs w:val="32"/>
          <w:lang w:eastAsia="zh-CN"/>
        </w:rPr>
        <w:t>相匹配，</w:t>
      </w:r>
      <w:r>
        <w:rPr>
          <w:rFonts w:hint="eastAsia" w:ascii="仿宋_GB2312" w:hAnsi="仿宋_GB2312" w:eastAsia="仿宋_GB2312" w:cs="仿宋_GB2312"/>
          <w:sz w:val="32"/>
          <w:szCs w:val="32"/>
          <w:lang w:val="en-US" w:eastAsia="zh-CN"/>
        </w:rPr>
        <w:t>能</w:t>
      </w:r>
      <w:r>
        <w:rPr>
          <w:rFonts w:hint="eastAsia" w:ascii="仿宋_GB2312" w:hAnsi="仿宋_GB2312" w:eastAsia="仿宋_GB2312" w:cs="仿宋_GB2312"/>
          <w:sz w:val="32"/>
          <w:szCs w:val="32"/>
          <w:lang w:eastAsia="zh-CN"/>
        </w:rPr>
        <w:t>全面完整</w:t>
      </w:r>
      <w:r>
        <w:rPr>
          <w:rFonts w:hint="eastAsia" w:ascii="仿宋_GB2312" w:hAnsi="仿宋_GB2312" w:eastAsia="仿宋_GB2312" w:cs="仿宋_GB2312"/>
          <w:sz w:val="32"/>
          <w:szCs w:val="32"/>
          <w:lang w:val="en-US" w:eastAsia="zh-CN"/>
        </w:rPr>
        <w:t>对项目进行评价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与分局工作</w:t>
      </w:r>
      <w:r>
        <w:rPr>
          <w:rFonts w:hint="eastAsia" w:ascii="仿宋_GB2312" w:hAnsi="仿宋_GB2312" w:eastAsia="仿宋_GB2312" w:cs="仿宋_GB2312"/>
          <w:sz w:val="32"/>
          <w:szCs w:val="32"/>
          <w:lang w:eastAsia="zh-CN"/>
        </w:rPr>
        <w:t>目标、年度工作目标相一致。</w:t>
      </w:r>
    </w:p>
    <w:p w14:paraId="0E8AC031">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64CEA07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sz w:val="32"/>
          <w:szCs w:val="32"/>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自评，</w:t>
      </w:r>
      <w:r>
        <w:rPr>
          <w:rFonts w:hint="eastAsia" w:ascii="仿宋_GB2312" w:hAnsi="仿宋_GB2312" w:eastAsia="仿宋_GB2312" w:cs="仿宋_GB2312"/>
          <w:sz w:val="32"/>
          <w:szCs w:val="32"/>
          <w:lang w:val="en-US" w:eastAsia="zh-CN"/>
        </w:rPr>
        <w:t>提高资金的使用效率</w:t>
      </w:r>
      <w:r>
        <w:rPr>
          <w:rFonts w:hint="eastAsia" w:ascii="仿宋_GB2312" w:hAnsi="仿宋_GB2312" w:eastAsia="仿宋_GB2312" w:cs="仿宋_GB2312"/>
          <w:sz w:val="32"/>
          <w:szCs w:val="32"/>
          <w:lang w:eastAsia="zh-CN"/>
        </w:rPr>
        <w:t>。</w:t>
      </w:r>
    </w:p>
    <w:p w14:paraId="215BEAD2">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仿宋_GB2312" w:hAnsi="仿宋_GB2312" w:eastAsia="仿宋_GB2312" w:cs="仿宋_GB2312"/>
          <w:sz w:val="32"/>
          <w:szCs w:val="32"/>
          <w:lang w:eastAsia="zh-CN"/>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sz w:val="32"/>
          <w:szCs w:val="32"/>
        </w:rPr>
        <w:t>按照绩效评价指标体系，对资金支出使用全过程及其实施效果进行综合评价和判断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已按规定支付资金共计30.62万元（分别为：</w:t>
      </w:r>
      <w:r>
        <w:rPr>
          <w:rFonts w:hint="eastAsia" w:ascii="仿宋_GB2312" w:hAnsi="仿宋_GB2312" w:eastAsia="仿宋_GB2312" w:cs="仿宋_GB2312"/>
          <w:b w:val="0"/>
          <w:bCs w:val="0"/>
          <w:color w:val="000000" w:themeColor="text1"/>
          <w:kern w:val="0"/>
          <w:sz w:val="32"/>
          <w:szCs w:val="32"/>
          <w:highlight w:val="none"/>
          <w:u w:val="none"/>
          <w:shd w:val="clear" w:color="auto" w:fill="FFFFFF"/>
          <w:lang w:val="en-US" w:eastAsia="zh-CN"/>
          <w14:textFill>
            <w14:solidFill>
              <w14:schemeClr w14:val="tx1"/>
            </w14:solidFill>
          </w14:textFill>
        </w:rPr>
        <w:t>办公费2.52万元、差旅费19万元、电费1.5万元、印刷费2万元、专用材料费1.09万元、委托业务费3.73万元、会议费0.44万元、其他交通费0.34万元</w:t>
      </w:r>
      <w:r>
        <w:rPr>
          <w:rFonts w:hint="eastAsia" w:ascii="仿宋_GB2312" w:hAnsi="仿宋_GB2312" w:eastAsia="仿宋_GB2312" w:cs="仿宋_GB2312"/>
          <w:sz w:val="32"/>
          <w:szCs w:val="32"/>
          <w:lang w:val="en-US" w:eastAsia="zh-CN"/>
        </w:rPr>
        <w:t>），支付进度为61.24%。为了厉行节约，2023年单位所有打印机大部分耗材都在网上采购，从而减少了办公费的支出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4727C2AB">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eastAsia" w:cs="Times New Roman"/>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lang w:val="zh-CN" w:eastAsia="zh-CN"/>
        </w:rPr>
        <w:t>。</w:t>
      </w:r>
    </w:p>
    <w:p w14:paraId="4602261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sz w:val="32"/>
          <w:szCs w:val="32"/>
          <w:lang w:eastAsia="zh-CN"/>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sz w:val="32"/>
          <w:szCs w:val="32"/>
        </w:rPr>
        <w:t>根据项目情况</w:t>
      </w:r>
      <w:r>
        <w:rPr>
          <w:rFonts w:hint="eastAsia" w:ascii="仿宋_GB2312" w:hAnsi="仿宋_GB2312" w:eastAsia="仿宋_GB2312" w:cs="仿宋_GB2312"/>
          <w:sz w:val="32"/>
          <w:szCs w:val="32"/>
          <w:lang w:val="en-US" w:eastAsia="zh-CN"/>
        </w:rPr>
        <w:t>采用</w:t>
      </w:r>
      <w:r>
        <w:rPr>
          <w:rFonts w:hint="eastAsia" w:ascii="仿宋_GB2312" w:hAnsi="仿宋_GB2312" w:eastAsia="仿宋_GB2312" w:cs="仿宋_GB2312"/>
          <w:sz w:val="32"/>
          <w:szCs w:val="32"/>
        </w:rPr>
        <w:t>单位自评法</w:t>
      </w:r>
      <w:r>
        <w:rPr>
          <w:rFonts w:hint="eastAsia" w:ascii="仿宋_GB2312" w:hAnsi="仿宋_GB2312" w:eastAsia="仿宋_GB2312" w:cs="仿宋_GB2312"/>
          <w:sz w:val="32"/>
          <w:szCs w:val="32"/>
          <w:lang w:eastAsia="zh-CN"/>
        </w:rPr>
        <w:t>。</w:t>
      </w:r>
    </w:p>
    <w:p w14:paraId="11E26DC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bCs/>
          <w:sz w:val="32"/>
          <w:szCs w:val="32"/>
          <w:lang w:eastAsia="zh-CN"/>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color w:val="000000"/>
          <w:sz w:val="32"/>
          <w:szCs w:val="32"/>
          <w:lang w:bidi="ar-SA"/>
        </w:rPr>
        <w:t>根据财政绩效评价要求，由局办公室牵头，相关部室参与配合，绩效评价遵循科学规范、公正公开原则，有序推进</w:t>
      </w:r>
      <w:r>
        <w:rPr>
          <w:rFonts w:hint="eastAsia" w:ascii="仿宋_GB2312" w:hAnsi="仿宋_GB2312" w:eastAsia="仿宋_GB2312" w:cs="仿宋_GB2312"/>
          <w:color w:val="000000"/>
          <w:sz w:val="32"/>
          <w:szCs w:val="32"/>
          <w:lang w:val="en-US" w:eastAsia="zh-CN" w:bidi="ar-SA"/>
        </w:rPr>
        <w:t>单位</w:t>
      </w:r>
      <w:r>
        <w:rPr>
          <w:rFonts w:hint="eastAsia" w:ascii="仿宋_GB2312" w:hAnsi="仿宋_GB2312" w:eastAsia="仿宋_GB2312" w:cs="仿宋_GB2312"/>
          <w:color w:val="000000"/>
          <w:sz w:val="32"/>
          <w:szCs w:val="32"/>
          <w:lang w:bidi="ar-SA"/>
        </w:rPr>
        <w:t>项目绩效评价工作</w:t>
      </w:r>
      <w:r>
        <w:rPr>
          <w:rFonts w:hint="eastAsia" w:ascii="仿宋_GB2312" w:hAnsi="仿宋_GB2312" w:eastAsia="仿宋_GB2312" w:cs="仿宋_GB2312"/>
          <w:sz w:val="32"/>
          <w:szCs w:val="32"/>
          <w:lang w:eastAsia="zh-CN"/>
        </w:rPr>
        <w:t>。</w:t>
      </w:r>
    </w:p>
    <w:p w14:paraId="2656FAFB">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1D4BB85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242C3F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项目决策。</w:t>
      </w:r>
      <w:r>
        <w:rPr>
          <w:rFonts w:hint="eastAsia" w:ascii="仿宋_GB2312" w:hAnsi="仿宋_GB2312" w:eastAsia="仿宋_GB2312" w:cs="仿宋_GB2312"/>
          <w:color w:val="auto"/>
          <w:sz w:val="32"/>
          <w:szCs w:val="32"/>
          <w:lang w:val="en-US" w:eastAsia="zh-CN"/>
        </w:rPr>
        <w:t>该项目根据单位工作需要，以及</w:t>
      </w:r>
      <w:r>
        <w:rPr>
          <w:rFonts w:hint="eastAsia" w:ascii="仿宋_GB2312" w:hAnsi="仿宋_GB2312" w:eastAsia="仿宋_GB2312" w:cs="仿宋_GB2312"/>
          <w:sz w:val="32"/>
          <w:szCs w:val="32"/>
          <w:lang w:val="en-US" w:eastAsia="zh-CN"/>
        </w:rPr>
        <w:t>通过2022年度工作开展情况，工作实际进行项目的申报，项目通过分局党组会研究并报州财政局预算审核批准后确定实施。</w:t>
      </w:r>
    </w:p>
    <w:p w14:paraId="313FB6F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项目管理。</w:t>
      </w:r>
      <w:r>
        <w:rPr>
          <w:rFonts w:hint="eastAsia" w:ascii="仿宋_GB2312" w:hAnsi="仿宋_GB2312" w:eastAsia="仿宋_GB2312" w:cs="仿宋_GB2312"/>
          <w:color w:val="auto"/>
          <w:sz w:val="32"/>
          <w:szCs w:val="32"/>
          <w:lang w:val="en-US" w:eastAsia="zh-CN"/>
        </w:rPr>
        <w:t>本项目严格按照《大熊猫国家公园阿坝管理分局内控制度（实行）》明确的预算、政府采购、合同管理制度，组织开展项目的实施</w:t>
      </w:r>
      <w:r>
        <w:rPr>
          <w:rFonts w:hint="eastAsia" w:ascii="仿宋_GB2312" w:hAnsi="仿宋_GB2312" w:eastAsia="仿宋_GB2312" w:cs="仿宋_GB2312"/>
          <w:color w:val="auto"/>
          <w:sz w:val="32"/>
          <w:szCs w:val="32"/>
          <w:lang w:eastAsia="zh-CN"/>
        </w:rPr>
        <w:t>。</w:t>
      </w:r>
    </w:p>
    <w:p w14:paraId="6FDE78C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3.项目实施。</w:t>
      </w:r>
      <w:r>
        <w:rPr>
          <w:rFonts w:hint="eastAsia" w:ascii="仿宋_GB2312" w:hAnsi="仿宋_GB2312" w:eastAsia="仿宋_GB2312" w:cs="仿宋_GB2312"/>
          <w:color w:val="auto"/>
          <w:sz w:val="32"/>
          <w:szCs w:val="32"/>
          <w:lang w:val="en-US" w:eastAsia="zh-CN"/>
        </w:rPr>
        <w:t>2023年共下达</w:t>
      </w:r>
      <w:r>
        <w:rPr>
          <w:rFonts w:hint="eastAsia" w:ascii="仿宋_GB2312" w:hAnsi="仿宋_GB2312" w:eastAsia="仿宋_GB2312" w:cs="仿宋_GB2312"/>
          <w:sz w:val="32"/>
          <w:szCs w:val="32"/>
          <w:lang w:val="en-US" w:eastAsia="zh-CN"/>
        </w:rPr>
        <w:t>保护保障工作经费预算数为50万元。全年实际支付30.62万元，支付比例达预算的61.24%。为了厉行节约，2023年单位所有打印机大部分耗材都在网上采购，从而减少了办公费的支出。</w:t>
      </w:r>
    </w:p>
    <w:p w14:paraId="4534385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cs="Times New Roman"/>
          <w:color w:val="auto"/>
          <w:szCs w:val="32"/>
          <w:lang w:val="en-US" w:eastAsia="zh-CN"/>
        </w:rPr>
      </w:pPr>
      <w:r>
        <w:rPr>
          <w:rFonts w:hint="eastAsia" w:ascii="仿宋_GB2312" w:hAnsi="仿宋_GB2312" w:eastAsia="仿宋_GB2312" w:cs="仿宋_GB2312"/>
          <w:b/>
          <w:bCs/>
          <w:color w:val="auto"/>
          <w:sz w:val="32"/>
          <w:szCs w:val="32"/>
          <w:lang w:val="en-US" w:eastAsia="zh-CN"/>
        </w:rPr>
        <w:t>4.项目结果。</w:t>
      </w:r>
      <w:r>
        <w:rPr>
          <w:rFonts w:hint="eastAsia" w:ascii="仿宋_GB2312" w:hAnsi="仿宋_GB2312" w:eastAsia="仿宋_GB2312" w:cs="仿宋_GB2312"/>
          <w:sz w:val="32"/>
          <w:szCs w:val="32"/>
          <w:lang w:val="en-US" w:eastAsia="zh-CN"/>
        </w:rPr>
        <w:t>设置了一级指标4个、二级指标6个、三级指标6个绩效考核目标，只有成本指标未完成支付比例，其余指标全部按时完成。</w:t>
      </w:r>
    </w:p>
    <w:p w14:paraId="0BA29138">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ascii="仿宋_GB2312" w:hAnsi="仿宋_GB2312" w:eastAsia="仿宋_GB2312" w:cs="仿宋_GB2312"/>
          <w:color w:val="auto"/>
          <w:sz w:val="32"/>
          <w:szCs w:val="32"/>
          <w:lang w:val="zh-CN" w:eastAsia="zh-CN"/>
        </w:rPr>
      </w:pPr>
      <w:r>
        <w:rPr>
          <w:rFonts w:hint="eastAsia" w:ascii="楷体_GB2312" w:hAnsi="宋体" w:eastAsia="楷体_GB2312" w:cs="Times New Roman"/>
          <w:b/>
          <w:bCs w:val="0"/>
          <w:color w:val="auto"/>
          <w:sz w:val="32"/>
          <w:szCs w:val="32"/>
          <w:highlight w:val="none"/>
          <w:u w:val="none"/>
          <w:lang w:val="zh-CN"/>
        </w:rPr>
        <w:t>（二）</w:t>
      </w:r>
      <w:r>
        <w:rPr>
          <w:rFonts w:hint="eastAsia" w:ascii="楷体_GB2312" w:hAnsi="宋体" w:eastAsia="楷体_GB2312" w:cs="Times New Roman"/>
          <w:b/>
          <w:bCs w:val="0"/>
          <w:color w:val="auto"/>
          <w:sz w:val="32"/>
          <w:szCs w:val="32"/>
          <w:highlight w:val="none"/>
          <w:u w:val="none"/>
          <w:lang w:val="en-US" w:eastAsia="zh-CN"/>
        </w:rPr>
        <w:t>专用指标</w:t>
      </w:r>
      <w:r>
        <w:rPr>
          <w:rFonts w:hint="default" w:ascii="Times New Roman" w:hAnsi="Times New Roman" w:eastAsia="楷体_GB2312" w:cs="Times New Roman"/>
          <w:b/>
          <w:bCs w:val="0"/>
          <w:color w:val="000000"/>
          <w:kern w:val="0"/>
          <w:sz w:val="32"/>
          <w:szCs w:val="32"/>
          <w:highlight w:val="none"/>
          <w:shd w:val="clear" w:color="auto" w:fill="FFFFFF"/>
          <w:lang w:val="zh-CN"/>
        </w:rPr>
        <w:t>绩效分析。</w:t>
      </w:r>
      <w:r>
        <w:rPr>
          <w:rFonts w:hint="eastAsia" w:ascii="仿宋_GB2312" w:hAnsi="仿宋_GB2312" w:eastAsia="仿宋_GB2312" w:cs="仿宋_GB2312"/>
          <w:color w:val="auto"/>
          <w:sz w:val="32"/>
          <w:szCs w:val="32"/>
          <w:lang w:val="zh-CN" w:eastAsia="zh-CN"/>
        </w:rPr>
        <w:t>根据</w:t>
      </w:r>
      <w:r>
        <w:rPr>
          <w:rFonts w:hint="eastAsia" w:ascii="仿宋_GB2312" w:hAnsi="仿宋_GB2312" w:eastAsia="仿宋_GB2312" w:cs="仿宋_GB2312"/>
          <w:color w:val="auto"/>
          <w:sz w:val="32"/>
          <w:szCs w:val="32"/>
          <w:lang w:val="en-US" w:eastAsia="zh-CN"/>
        </w:rPr>
        <w:t>专项预算项目资金支持对象选择所属指标进行绩效分析。支持对象</w:t>
      </w:r>
      <w:r>
        <w:rPr>
          <w:rFonts w:hint="eastAsia" w:ascii="仿宋_GB2312" w:hAnsi="仿宋_GB2312" w:eastAsia="仿宋_GB2312" w:cs="仿宋_GB2312"/>
          <w:color w:val="auto"/>
          <w:sz w:val="32"/>
          <w:szCs w:val="32"/>
          <w:lang w:val="zh-CN" w:eastAsia="zh-CN"/>
        </w:rPr>
        <w:t>包括产业发展、民生保障、基础设施、行政运转等方面。</w:t>
      </w:r>
    </w:p>
    <w:p w14:paraId="669C7C9C">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提升公众保护意识、群众满意度等指标，</w:t>
      </w:r>
      <w:r>
        <w:rPr>
          <w:rFonts w:hint="eastAsia" w:ascii="仿宋_GB2312" w:hAnsi="仿宋_GB2312" w:eastAsia="仿宋_GB2312" w:cs="仿宋_GB2312"/>
          <w:b w:val="0"/>
          <w:bCs w:val="0"/>
          <w:caps w:val="0"/>
          <w:color w:val="auto"/>
          <w:kern w:val="2"/>
          <w:sz w:val="32"/>
          <w:szCs w:val="32"/>
          <w:vertAlign w:val="baseline"/>
          <w:lang w:val="en-US" w:eastAsia="zh-CN" w:bidi="ar"/>
        </w:rPr>
        <w:t>切实做到了</w:t>
      </w:r>
      <w:r>
        <w:rPr>
          <w:rFonts w:hint="eastAsia" w:ascii="仿宋_GB2312" w:hAnsi="仿宋_GB2312" w:eastAsia="仿宋_GB2312" w:cs="仿宋_GB2312"/>
          <w:color w:val="auto"/>
          <w:kern w:val="0"/>
          <w:sz w:val="32"/>
          <w:szCs w:val="32"/>
          <w:highlight w:val="none"/>
          <w:u w:val="none"/>
          <w:shd w:val="clear" w:color="auto" w:fill="FFFFFF"/>
          <w:lang w:val="en-US" w:eastAsia="zh-CN"/>
        </w:rPr>
        <w:t>阿坝园区野生动、植物保护，森林草原防灭火工作、项目建设督导指导显著提升，</w:t>
      </w:r>
      <w:r>
        <w:rPr>
          <w:rFonts w:hint="eastAsia" w:ascii="仿宋_GB2312" w:hAnsi="仿宋_GB2312" w:eastAsia="仿宋_GB2312" w:cs="仿宋_GB2312"/>
          <w:color w:val="auto"/>
          <w:sz w:val="32"/>
          <w:szCs w:val="32"/>
          <w:lang w:val="en-US" w:eastAsia="zh-CN"/>
        </w:rPr>
        <w:t>确保单位的正常运转提供了有力保障。</w:t>
      </w:r>
    </w:p>
    <w:p w14:paraId="4535CC46">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行政运转</w:t>
      </w:r>
      <w:r>
        <w:rPr>
          <w:rFonts w:hint="eastAsia" w:ascii="仿宋_GB2312" w:hAnsi="仿宋_GB2312" w:eastAsia="仿宋_GB2312" w:cs="仿宋_GB2312"/>
          <w:color w:val="auto"/>
          <w:sz w:val="32"/>
          <w:szCs w:val="32"/>
          <w:lang w:val="en-US" w:eastAsia="zh-CN"/>
        </w:rPr>
        <w:t>方面提供了有力保障，保障了单位公用经费资金的缺口。</w:t>
      </w:r>
    </w:p>
    <w:p w14:paraId="12FE953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auto"/>
          <w:szCs w:val="32"/>
          <w:lang w:val="en-US" w:eastAsia="zh-CN"/>
        </w:rPr>
      </w:pPr>
      <w:r>
        <w:rPr>
          <w:rFonts w:hint="eastAsia" w:ascii="楷体_GB2312" w:hAnsi="楷体_GB2312" w:eastAsia="楷体_GB2312" w:cs="楷体_GB2312"/>
          <w:b/>
          <w:color w:val="auto"/>
          <w:sz w:val="32"/>
          <w:szCs w:val="32"/>
          <w:highlight w:val="none"/>
          <w:u w:val="none"/>
          <w:lang w:val="zh-CN"/>
        </w:rPr>
        <w:t>（三）</w:t>
      </w:r>
      <w:r>
        <w:rPr>
          <w:rFonts w:hint="eastAsia" w:ascii="楷体_GB2312" w:hAnsi="楷体_GB2312" w:eastAsia="楷体_GB2312" w:cs="楷体_GB2312"/>
          <w:b/>
          <w:color w:val="auto"/>
          <w:sz w:val="32"/>
          <w:szCs w:val="32"/>
          <w:highlight w:val="none"/>
          <w:u w:val="none"/>
          <w:lang w:val="en-US" w:eastAsia="zh-CN"/>
        </w:rPr>
        <w:t>个性指标</w:t>
      </w:r>
      <w:r>
        <w:rPr>
          <w:rFonts w:hint="eastAsia" w:ascii="楷体_GB2312" w:hAnsi="楷体_GB2312" w:eastAsia="楷体_GB2312" w:cs="楷体_GB2312"/>
          <w:b/>
          <w:bCs/>
          <w:color w:val="000000"/>
          <w:kern w:val="0"/>
          <w:sz w:val="32"/>
          <w:szCs w:val="32"/>
          <w:highlight w:val="none"/>
          <w:shd w:val="clear" w:color="auto" w:fill="FFFFFF"/>
          <w:lang w:val="zh-CN"/>
        </w:rPr>
        <w:t>绩效分析。</w:t>
      </w:r>
      <w:r>
        <w:rPr>
          <w:rFonts w:hint="eastAsia" w:ascii="仿宋_GB2312" w:hAnsi="仿宋_GB2312" w:eastAsia="仿宋_GB2312" w:cs="仿宋_GB2312"/>
          <w:sz w:val="32"/>
          <w:szCs w:val="32"/>
          <w:lang w:val="en-US" w:eastAsia="zh-CN"/>
        </w:rPr>
        <w:t>一级指标4个、二级指标6个、三级指标6个绩效考核目标，年底只有一个指标未完成。</w:t>
      </w:r>
    </w:p>
    <w:p w14:paraId="2E732418">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4870FFDC">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eastAsia="仿宋_GB2312" w:cs="仿宋_GB2312"/>
          <w:sz w:val="32"/>
          <w:szCs w:val="32"/>
          <w:highlight w:val="none"/>
          <w:lang w:val="zh-CN" w:eastAsia="zh-CN" w:bidi="ar-SA"/>
        </w:rPr>
      </w:pPr>
      <w:r>
        <w:rPr>
          <w:rFonts w:hint="eastAsia" w:ascii="仿宋_GB2312" w:eastAsia="仿宋_GB2312" w:cs="仿宋_GB2312"/>
          <w:sz w:val="32"/>
          <w:szCs w:val="32"/>
          <w:lang w:val="zh-CN" w:eastAsia="zh-CN" w:bidi="ar-SA"/>
        </w:rPr>
        <w:t>从综合评价来看，项目立项依据充分，均设定了项目绩效目标，资金配置科学合理，严格项目管理，</w:t>
      </w:r>
      <w:r>
        <w:rPr>
          <w:rFonts w:hint="eastAsia" w:ascii="仿宋_GB2312" w:eastAsia="仿宋_GB2312" w:cs="仿宋_GB2312"/>
          <w:sz w:val="32"/>
          <w:szCs w:val="32"/>
          <w:lang w:val="en-US" w:eastAsia="zh-CN" w:bidi="ar-SA"/>
        </w:rPr>
        <w:t>项目的实施达到了预期的效果</w:t>
      </w:r>
      <w:r>
        <w:rPr>
          <w:rFonts w:hint="eastAsia" w:ascii="仿宋_GB2312" w:eastAsia="仿宋_GB2312" w:cs="仿宋_GB2312"/>
          <w:sz w:val="32"/>
          <w:szCs w:val="32"/>
          <w:lang w:val="zh-CN" w:eastAsia="zh-CN" w:bidi="ar-SA"/>
        </w:rPr>
        <w:t>。整体情况良好。</w:t>
      </w:r>
    </w:p>
    <w:p w14:paraId="39D49939">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五、存在主要问题</w:t>
      </w:r>
    </w:p>
    <w:p w14:paraId="5FDAE6C5">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支付进度过缓。</w:t>
      </w:r>
    </w:p>
    <w:p w14:paraId="613B4454">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0AB01DD9">
      <w:pPr>
        <w:tabs>
          <w:tab w:val="left" w:pos="1911"/>
        </w:tabs>
        <w:jc w:val="left"/>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bookmarkStart w:id="49" w:name="_Hlk110546638"/>
      <w:r>
        <w:rPr>
          <w:rFonts w:hint="eastAsia" w:ascii="仿宋_GB2312" w:hAnsi="仿宋_GB2312" w:cs="仿宋_GB2312"/>
          <w:b w:val="0"/>
          <w:bCs w:val="0"/>
          <w:kern w:val="0"/>
          <w:position w:val="0"/>
          <w:sz w:val="32"/>
          <w:szCs w:val="32"/>
          <w:highlight w:val="none"/>
          <w:lang w:val="en-US" w:eastAsia="zh-CN" w:bidi="ar-SA"/>
        </w:rPr>
        <w:t xml:space="preserve"> 进一步加快支付进度。</w:t>
      </w:r>
    </w:p>
    <w:bookmarkEnd w:id="49"/>
    <w:p w14:paraId="63789476">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p>
    <w:p w14:paraId="2200E21B">
      <w:pPr>
        <w:jc w:val="both"/>
        <w:rPr>
          <w:rFonts w:hint="eastAsia" w:ascii="仿宋_GB2312" w:hAnsi="Times New Roman" w:eastAsia="仿宋_GB2312" w:cs="仿宋_GB2312"/>
          <w:kern w:val="0"/>
          <w:sz w:val="32"/>
          <w:szCs w:val="32"/>
          <w:lang w:val="zh-CN" w:eastAsia="zh-CN" w:bidi="ar-SA"/>
        </w:rPr>
      </w:pPr>
      <w:r>
        <w:rPr>
          <w:rFonts w:hint="eastAsia" w:ascii="仿宋_GB2312" w:hAnsi="Times New Roman" w:eastAsia="仿宋_GB2312" w:cs="仿宋_GB2312"/>
          <w:kern w:val="0"/>
          <w:sz w:val="32"/>
          <w:szCs w:val="32"/>
          <w:lang w:val="zh-CN" w:eastAsia="zh-CN" w:bidi="ar-SA"/>
        </w:rPr>
        <w:t>附表：</w:t>
      </w:r>
      <w:r>
        <w:rPr>
          <w:rFonts w:hint="eastAsia" w:ascii="仿宋_GB2312" w:hAnsi="Times New Roman" w:eastAsia="仿宋_GB2312" w:cs="仿宋_GB2312"/>
          <w:kern w:val="0"/>
          <w:sz w:val="32"/>
          <w:szCs w:val="32"/>
          <w:lang w:val="en-US" w:eastAsia="zh-CN" w:bidi="ar-SA"/>
        </w:rPr>
        <w:t>部门</w:t>
      </w:r>
      <w:r>
        <w:rPr>
          <w:rFonts w:hint="eastAsia" w:ascii="仿宋_GB2312" w:hAnsi="Times New Roman" w:eastAsia="仿宋_GB2312" w:cs="仿宋_GB2312"/>
          <w:kern w:val="0"/>
          <w:sz w:val="32"/>
          <w:szCs w:val="32"/>
          <w:lang w:val="zh-CN" w:eastAsia="zh-CN" w:bidi="ar-SA"/>
        </w:rPr>
        <w:t>预算项目支出绩效自评表（2023年度）</w:t>
      </w:r>
    </w:p>
    <w:p w14:paraId="53203152">
      <w:pPr>
        <w:rPr>
          <w:rFonts w:hint="eastAsia" w:asciiTheme="minorEastAsia" w:hAnsiTheme="minorEastAsia" w:eastAsiaTheme="minorEastAsia"/>
          <w:sz w:val="32"/>
          <w:szCs w:val="32"/>
          <w:lang w:val="zh-CN"/>
        </w:rPr>
        <w:sectPr>
          <w:pgSz w:w="11906" w:h="16838"/>
          <w:pgMar w:top="1440" w:right="1800" w:bottom="1440" w:left="1800" w:header="851" w:footer="992" w:gutter="0"/>
          <w:pgNumType w:fmt="decimal"/>
          <w:cols w:space="425" w:num="1"/>
          <w:titlePg/>
          <w:docGrid w:type="lines" w:linePitch="312" w:charSpace="0"/>
        </w:sectPr>
      </w:pPr>
      <w:r>
        <w:rPr>
          <w:rFonts w:hint="eastAsia" w:asciiTheme="minorEastAsia" w:hAnsiTheme="minorEastAsia" w:eastAsiaTheme="minorEastAsia"/>
          <w:sz w:val="32"/>
          <w:szCs w:val="32"/>
          <w:lang w:val="zh-CN"/>
        </w:rPr>
        <w:br w:type="page"/>
      </w:r>
    </w:p>
    <w:p w14:paraId="1F5BAD62">
      <w:pPr>
        <w:pStyle w:val="13"/>
        <w:rPr>
          <w:rFonts w:hint="eastAsia"/>
          <w:lang w:val="zh-CN"/>
        </w:rPr>
      </w:pPr>
      <w:r>
        <w:rPr>
          <w:rFonts w:hint="eastAsia"/>
          <w:lang w:val="zh-CN"/>
        </w:rPr>
        <w:pict>
          <v:shape id="_x0000_s1027" o:spid="_x0000_s1027" o:spt="75" type="#_x0000_t75" style="position:absolute;left:0pt;margin-left:7.35pt;margin-top:-53.95pt;height:574.95pt;width:752.15pt;z-index:-251657216;mso-width-relative:page;mso-height-relative:page;" o:ole="t" filled="f" o:preferrelative="t" stroked="f" coordsize="21600,21600">
            <v:path/>
            <v:fill on="f" focussize="0,0"/>
            <v:stroke on="f"/>
            <v:imagedata r:id="rId16" o:title=""/>
            <o:lock v:ext="edit" aspectratio="t"/>
          </v:shape>
          <o:OLEObject Type="Embed" ProgID="Excel.Sheet.12" ShapeID="_x0000_s1027" DrawAspect="Content" ObjectID="_1468075725" r:id="rId15">
            <o:LockedField>false</o:LockedField>
          </o:OLEObject>
        </w:pict>
      </w:r>
    </w:p>
    <w:p w14:paraId="33516C50">
      <w:pPr>
        <w:jc w:val="center"/>
        <w:rPr>
          <w:rFonts w:hint="eastAsia" w:ascii="方正小标宋简体" w:hAnsi="方正小标宋简体" w:eastAsia="方正小标宋简体"/>
          <w:sz w:val="44"/>
          <w:szCs w:val="44"/>
        </w:rPr>
      </w:pPr>
    </w:p>
    <w:p w14:paraId="37A85B11">
      <w:pPr>
        <w:jc w:val="center"/>
        <w:rPr>
          <w:rFonts w:hint="eastAsia" w:ascii="方正小标宋简体" w:hAnsi="方正小标宋简体" w:eastAsia="方正小标宋简体"/>
          <w:sz w:val="44"/>
          <w:szCs w:val="44"/>
          <w:lang w:eastAsia="zh-CN"/>
        </w:rPr>
      </w:pPr>
    </w:p>
    <w:p w14:paraId="0F181F8C">
      <w:pPr>
        <w:jc w:val="center"/>
        <w:rPr>
          <w:rFonts w:hint="eastAsia" w:ascii="方正小标宋简体" w:hAnsi="方正小标宋简体" w:eastAsia="方正小标宋简体"/>
          <w:sz w:val="44"/>
          <w:szCs w:val="44"/>
        </w:rPr>
      </w:pPr>
    </w:p>
    <w:p w14:paraId="5F1D9FA1">
      <w:pPr>
        <w:jc w:val="center"/>
        <w:rPr>
          <w:rFonts w:hint="eastAsia" w:ascii="方正小标宋简体" w:hAnsi="方正小标宋简体" w:eastAsia="方正小标宋简体"/>
          <w:sz w:val="44"/>
          <w:szCs w:val="44"/>
        </w:rPr>
      </w:pPr>
    </w:p>
    <w:p w14:paraId="774BA163">
      <w:pPr>
        <w:jc w:val="center"/>
        <w:rPr>
          <w:rFonts w:hint="eastAsia" w:ascii="方正小标宋简体" w:hAnsi="方正小标宋简体" w:eastAsia="方正小标宋简体"/>
          <w:sz w:val="44"/>
          <w:szCs w:val="44"/>
        </w:rPr>
      </w:pPr>
    </w:p>
    <w:p w14:paraId="7627CD07">
      <w:pPr>
        <w:jc w:val="center"/>
        <w:rPr>
          <w:rFonts w:hint="eastAsia" w:ascii="方正小标宋简体" w:hAnsi="方正小标宋简体" w:eastAsia="方正小标宋简体"/>
          <w:sz w:val="44"/>
          <w:szCs w:val="44"/>
        </w:rPr>
      </w:pPr>
    </w:p>
    <w:p w14:paraId="02C55725">
      <w:pPr>
        <w:jc w:val="center"/>
        <w:rPr>
          <w:rFonts w:hint="eastAsia" w:ascii="方正小标宋简体" w:hAnsi="方正小标宋简体" w:eastAsia="方正小标宋简体"/>
          <w:sz w:val="44"/>
          <w:szCs w:val="44"/>
        </w:rPr>
      </w:pPr>
    </w:p>
    <w:p w14:paraId="79E66549">
      <w:pPr>
        <w:jc w:val="center"/>
        <w:rPr>
          <w:rFonts w:hint="eastAsia" w:ascii="方正小标宋简体" w:hAnsi="方正小标宋简体" w:eastAsia="方正小标宋简体"/>
          <w:sz w:val="44"/>
          <w:szCs w:val="44"/>
        </w:rPr>
      </w:pPr>
    </w:p>
    <w:p w14:paraId="5ED692AC">
      <w:pPr>
        <w:jc w:val="center"/>
        <w:rPr>
          <w:rFonts w:hint="eastAsia" w:ascii="方正小标宋简体" w:hAnsi="方正小标宋简体" w:eastAsia="方正小标宋简体"/>
          <w:sz w:val="44"/>
          <w:szCs w:val="44"/>
        </w:rPr>
        <w:sectPr>
          <w:pgSz w:w="16838" w:h="11906" w:orient="landscape"/>
          <w:pgMar w:top="1800" w:right="1440" w:bottom="1800" w:left="1440" w:header="851" w:footer="992" w:gutter="0"/>
          <w:pgNumType w:fmt="decimal"/>
          <w:cols w:space="425" w:num="1"/>
          <w:titlePg/>
          <w:docGrid w:type="lines" w:linePitch="312" w:charSpace="0"/>
        </w:sectPr>
      </w:pPr>
    </w:p>
    <w:p w14:paraId="2C69382A">
      <w:pPr>
        <w:pStyle w:val="37"/>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大熊猫国家公园阿坝管理分局</w:t>
      </w:r>
    </w:p>
    <w:p w14:paraId="0A579EF6">
      <w:pPr>
        <w:pStyle w:val="37"/>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办公用房租赁预算项目支出绩效自评报告</w:t>
      </w:r>
    </w:p>
    <w:p w14:paraId="4C8BBD36">
      <w:pPr>
        <w:pStyle w:val="37"/>
        <w:spacing w:line="600" w:lineRule="exact"/>
        <w:jc w:val="center"/>
        <w:rPr>
          <w:rFonts w:hint="eastAsia" w:ascii="宋体"/>
          <w:color w:val="auto"/>
          <w:kern w:val="2"/>
          <w:sz w:val="32"/>
          <w:szCs w:val="32"/>
        </w:rPr>
      </w:pPr>
    </w:p>
    <w:p w14:paraId="5D1BD04D">
      <w:pPr>
        <w:adjustRightInd w:val="0"/>
        <w:snapToGrid w:val="0"/>
        <w:spacing w:line="600" w:lineRule="exact"/>
        <w:ind w:firstLine="720"/>
        <w:rPr>
          <w:rFonts w:hint="eastAsia"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14:paraId="6D8DEE9D">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楷体_GB2312" w:eastAsia="楷体_GB2312"/>
          <w:b/>
          <w:bCs w:val="0"/>
          <w:sz w:val="32"/>
          <w:szCs w:val="32"/>
          <w:lang w:val="zh-CN"/>
        </w:rPr>
        <w:t>（一）项目资金申报及批复情况。</w:t>
      </w: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rPr>
        <w:t>在州本级预算中申报资金</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万元，财政批复下达办公用房租赁费</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万元，用于大熊猫国家公园阿坝管理分局办公用房租赁及物业管理费用支出。</w:t>
      </w:r>
    </w:p>
    <w:p w14:paraId="5AEAC72C">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楷体_GB2312" w:eastAsia="楷体_GB2312"/>
          <w:b/>
          <w:sz w:val="32"/>
          <w:szCs w:val="32"/>
          <w:lang w:val="zh-CN"/>
        </w:rPr>
        <w:t>（二）项目绩效目标。</w:t>
      </w:r>
      <w:r>
        <w:rPr>
          <w:rFonts w:hint="eastAsia" w:ascii="仿宋_GB2312" w:hAnsi="仿宋_GB2312" w:eastAsia="仿宋_GB2312" w:cs="仿宋_GB2312"/>
          <w:sz w:val="32"/>
          <w:szCs w:val="32"/>
        </w:rPr>
        <w:t>根据《房屋租赁协议》及时足额支付房屋租赁费和物业管理费，保证各项工作有效落实。</w:t>
      </w:r>
    </w:p>
    <w:p w14:paraId="5F28D822">
      <w:pPr>
        <w:spacing w:line="560" w:lineRule="exact"/>
        <w:ind w:firstLine="643" w:firstLineChars="200"/>
        <w:rPr>
          <w:rFonts w:hint="eastAsia" w:ascii="仿宋_GB2312" w:hAnsi="仿宋_GB2312" w:eastAsia="仿宋_GB2312" w:cs="仿宋_GB2312"/>
          <w:sz w:val="32"/>
          <w:szCs w:val="32"/>
        </w:rPr>
      </w:pPr>
      <w:r>
        <w:rPr>
          <w:rFonts w:hint="eastAsia" w:ascii="楷体_GB2312" w:eastAsia="楷体_GB2312"/>
          <w:b/>
          <w:sz w:val="32"/>
          <w:szCs w:val="32"/>
          <w:lang w:val="zh-CN"/>
        </w:rPr>
        <w:t>（三）项目资金申报相符性。</w:t>
      </w:r>
      <w:r>
        <w:rPr>
          <w:rFonts w:hint="eastAsia" w:ascii="仿宋_GB2312" w:hAnsi="仿宋_GB2312" w:eastAsia="仿宋_GB2312" w:cs="仿宋_GB2312"/>
          <w:sz w:val="32"/>
          <w:szCs w:val="32"/>
        </w:rPr>
        <w:t>支付房屋租赁费和物业管理费，与</w:t>
      </w:r>
      <w:r>
        <w:rPr>
          <w:rFonts w:hint="eastAsia" w:ascii="仿宋_GB2312" w:hAnsi="仿宋_GB2312" w:eastAsia="仿宋_GB2312" w:cs="仿宋_GB2312"/>
          <w:sz w:val="32"/>
          <w:szCs w:val="32"/>
          <w:lang w:val="zh-CN"/>
        </w:rPr>
        <w:t>项目资金申报相符。</w:t>
      </w:r>
    </w:p>
    <w:p w14:paraId="082A3E38">
      <w:pPr>
        <w:adjustRightInd w:val="0"/>
        <w:snapToGrid w:val="0"/>
        <w:spacing w:line="600" w:lineRule="exact"/>
        <w:ind w:firstLine="720"/>
        <w:rPr>
          <w:rFonts w:hint="eastAsia" w:ascii="黑体" w:eastAsia="黑体"/>
          <w:sz w:val="32"/>
          <w:szCs w:val="32"/>
        </w:rPr>
      </w:pPr>
      <w:r>
        <w:rPr>
          <w:rFonts w:hint="eastAsia" w:ascii="黑体" w:eastAsia="黑体"/>
          <w:sz w:val="32"/>
          <w:szCs w:val="32"/>
        </w:rPr>
        <w:t>二、项目实施及管理情况</w:t>
      </w:r>
    </w:p>
    <w:p w14:paraId="1897C884">
      <w:pPr>
        <w:adjustRightInd w:val="0"/>
        <w:snapToGrid w:val="0"/>
        <w:spacing w:line="600" w:lineRule="exact"/>
        <w:ind w:firstLine="720"/>
        <w:rPr>
          <w:rFonts w:hint="eastAsia" w:ascii="楷体_GB2312" w:eastAsia="楷体_GB2312"/>
          <w:b/>
          <w:lang w:val="zh-CN"/>
        </w:rPr>
      </w:pPr>
      <w:r>
        <w:rPr>
          <w:rFonts w:hint="eastAsia" w:ascii="仿宋_GB2312"/>
          <w:b/>
          <w:bCs/>
          <w:sz w:val="32"/>
          <w:szCs w:val="32"/>
          <w:lang w:val="zh-CN"/>
        </w:rPr>
        <w:tab/>
      </w:r>
      <w:r>
        <w:rPr>
          <w:rFonts w:hint="eastAsia" w:ascii="楷体_GB2312" w:eastAsia="楷体_GB2312"/>
          <w:b/>
          <w:bCs/>
          <w:sz w:val="32"/>
          <w:szCs w:val="32"/>
          <w:lang w:val="zh-CN"/>
        </w:rPr>
        <w:t>（一）资金计划、到位及使用情况。</w:t>
      </w:r>
    </w:p>
    <w:p w14:paraId="46C82EE3">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1.计划及到位。</w:t>
      </w:r>
      <w:r>
        <w:rPr>
          <w:rFonts w:hint="eastAsia" w:ascii="仿宋_GB2312" w:hAnsi="仿宋_GB2312" w:eastAsia="仿宋_GB2312" w:cs="仿宋_GB2312"/>
          <w:sz w:val="32"/>
          <w:szCs w:val="32"/>
          <w:lang w:val="zh-CN"/>
        </w:rPr>
        <w:t>资金计划</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zh-CN"/>
        </w:rPr>
        <w:t>万元，到位</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zh-CN"/>
        </w:rPr>
        <w:t>万元。</w:t>
      </w:r>
    </w:p>
    <w:p w14:paraId="1963DB77">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2.资金使用。</w:t>
      </w:r>
      <w:r>
        <w:rPr>
          <w:rFonts w:hint="eastAsia" w:ascii="仿宋_GB2312" w:hAnsi="仿宋_GB2312" w:eastAsia="仿宋_GB2312" w:cs="仿宋_GB2312"/>
          <w:sz w:val="32"/>
          <w:szCs w:val="32"/>
          <w:lang w:val="zh-CN"/>
        </w:rPr>
        <w:t>支出办公用房租赁费</w:t>
      </w:r>
      <w:r>
        <w:rPr>
          <w:rFonts w:hint="eastAsia" w:ascii="仿宋_GB2312" w:hAnsi="仿宋_GB2312" w:eastAsia="仿宋_GB2312" w:cs="仿宋_GB2312"/>
          <w:sz w:val="32"/>
          <w:szCs w:val="32"/>
          <w:lang w:val="en-US" w:eastAsia="zh-CN"/>
        </w:rPr>
        <w:t>13.7</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val="zh-CN"/>
        </w:rPr>
        <w:t>元。支付依据合规合法，资金支付与预算相符。</w:t>
      </w:r>
    </w:p>
    <w:p w14:paraId="02CADDE7">
      <w:pPr>
        <w:adjustRightInd w:val="0"/>
        <w:snapToGrid w:val="0"/>
        <w:spacing w:line="600" w:lineRule="exact"/>
        <w:ind w:firstLine="720"/>
        <w:rPr>
          <w:rFonts w:hint="eastAsia" w:ascii="楷体_GB2312" w:eastAsia="楷体_GB2312"/>
          <w:b/>
          <w:bCs w:val="0"/>
          <w:sz w:val="32"/>
          <w:szCs w:val="32"/>
          <w:lang w:val="zh-CN"/>
        </w:rPr>
      </w:pPr>
      <w:r>
        <w:rPr>
          <w:rFonts w:hint="eastAsia" w:ascii="楷体_GB2312" w:eastAsia="楷体_GB2312"/>
          <w:b/>
          <w:bCs w:val="0"/>
          <w:sz w:val="32"/>
          <w:szCs w:val="32"/>
          <w:lang w:val="zh-CN"/>
        </w:rPr>
        <w:t>（二）项目财务管理情况。</w:t>
      </w:r>
    </w:p>
    <w:p w14:paraId="43157564">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遵守《房屋租赁协议》，按照项目资金管理办法，严格执行财务管理制度，财务处理及时，会计核算规范。</w:t>
      </w:r>
    </w:p>
    <w:p w14:paraId="02289FA8">
      <w:pPr>
        <w:adjustRightInd w:val="0"/>
        <w:snapToGrid w:val="0"/>
        <w:spacing w:line="600" w:lineRule="exact"/>
        <w:ind w:firstLine="720"/>
        <w:rPr>
          <w:rFonts w:hint="eastAsia" w:ascii="仿宋_GB2312" w:hAnsi="仿宋_GB2312" w:eastAsia="仿宋_GB2312" w:cs="仿宋_GB2312"/>
          <w:sz w:val="32"/>
          <w:szCs w:val="32"/>
        </w:rPr>
      </w:pPr>
      <w:r>
        <w:rPr>
          <w:rFonts w:hint="eastAsia" w:ascii="楷体_GB2312" w:eastAsia="楷体_GB2312"/>
          <w:b/>
          <w:sz w:val="32"/>
          <w:szCs w:val="32"/>
          <w:lang w:val="zh-CN"/>
        </w:rPr>
        <w:t>（三）项目组织实施情况。</w:t>
      </w:r>
      <w:r>
        <w:rPr>
          <w:rFonts w:hint="eastAsia" w:ascii="仿宋_GB2312" w:hAnsi="仿宋_GB2312" w:eastAsia="仿宋_GB2312" w:cs="仿宋_GB2312"/>
          <w:sz w:val="32"/>
          <w:szCs w:val="32"/>
        </w:rPr>
        <w:t>按照《房屋租赁协议》，每季度末支付办公用房租赁费和物业管理费用。</w:t>
      </w:r>
    </w:p>
    <w:p w14:paraId="099C7053">
      <w:pPr>
        <w:adjustRightInd w:val="0"/>
        <w:snapToGrid w:val="0"/>
        <w:spacing w:line="600" w:lineRule="exact"/>
        <w:ind w:firstLine="720"/>
        <w:rPr>
          <w:rFonts w:hint="eastAsia" w:ascii="仿宋_GB2312"/>
          <w:lang w:val="zh-CN"/>
        </w:rPr>
      </w:pPr>
      <w:r>
        <w:rPr>
          <w:rFonts w:hint="eastAsia" w:ascii="黑体" w:eastAsia="黑体"/>
          <w:sz w:val="32"/>
          <w:szCs w:val="32"/>
        </w:rPr>
        <w:t>三、项目绩效情况</w:t>
      </w:r>
      <w:r>
        <w:rPr>
          <w:rFonts w:hint="eastAsia" w:ascii="仿宋_GB2312"/>
          <w:sz w:val="32"/>
          <w:szCs w:val="32"/>
          <w:lang w:val="zh-CN"/>
        </w:rPr>
        <w:tab/>
      </w:r>
    </w:p>
    <w:p w14:paraId="19A1E58D">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楷体_GB2312" w:eastAsia="楷体_GB2312"/>
          <w:b/>
          <w:sz w:val="32"/>
          <w:szCs w:val="32"/>
          <w:lang w:val="zh-CN"/>
        </w:rPr>
        <w:t>（一）项目完成情况。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年12月，办公用房租赁和物业管理费已支付完毕。</w:t>
      </w:r>
    </w:p>
    <w:p w14:paraId="282C9125">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楷体_GB2312" w:eastAsia="楷体_GB2312"/>
          <w:b/>
          <w:sz w:val="32"/>
          <w:szCs w:val="32"/>
          <w:lang w:val="zh-CN"/>
        </w:rPr>
        <w:t>（二）项目效益情况。</w:t>
      </w:r>
      <w:r>
        <w:rPr>
          <w:rFonts w:hint="eastAsia" w:ascii="仿宋_GB2312" w:hAnsi="仿宋_GB2312" w:eastAsia="仿宋_GB2312" w:cs="仿宋_GB2312"/>
          <w:sz w:val="32"/>
          <w:szCs w:val="32"/>
        </w:rPr>
        <w:t>租赁办公场所，为以后工作的发展，创造了条件和基础</w:t>
      </w:r>
      <w:r>
        <w:rPr>
          <w:rFonts w:hint="eastAsia" w:ascii="仿宋_GB2312" w:hAnsi="仿宋_GB2312" w:eastAsia="仿宋_GB2312" w:cs="仿宋_GB2312"/>
          <w:sz w:val="32"/>
          <w:szCs w:val="32"/>
          <w:lang w:val="zh-CN"/>
        </w:rPr>
        <w:t>。</w:t>
      </w:r>
    </w:p>
    <w:p w14:paraId="7D1F9CFB">
      <w:pPr>
        <w:adjustRightInd w:val="0"/>
        <w:snapToGrid w:val="0"/>
        <w:spacing w:line="600" w:lineRule="exact"/>
        <w:ind w:firstLine="720"/>
        <w:rPr>
          <w:rFonts w:hint="eastAsia" w:ascii="黑体" w:eastAsia="黑体"/>
          <w:sz w:val="32"/>
          <w:szCs w:val="32"/>
          <w:lang w:val="zh-CN"/>
        </w:rPr>
      </w:pPr>
      <w:r>
        <w:rPr>
          <w:rFonts w:hint="eastAsia" w:ascii="黑体" w:eastAsia="黑体"/>
          <w:sz w:val="32"/>
          <w:szCs w:val="32"/>
          <w:lang w:val="zh-CN"/>
        </w:rPr>
        <w:t>四、问题及建议</w:t>
      </w:r>
    </w:p>
    <w:p w14:paraId="75992160">
      <w:pPr>
        <w:numPr>
          <w:ilvl w:val="0"/>
          <w:numId w:val="0"/>
        </w:numPr>
        <w:adjustRightInd w:val="0"/>
        <w:snapToGrid w:val="0"/>
        <w:spacing w:line="600" w:lineRule="exact"/>
        <w:ind w:left="720" w:leftChars="0"/>
        <w:rPr>
          <w:rFonts w:hint="eastAsia" w:ascii="仿宋_GB2312" w:hAnsi="仿宋_GB2312" w:eastAsia="仿宋_GB2312" w:cs="仿宋_GB2312"/>
          <w:sz w:val="32"/>
          <w:szCs w:val="32"/>
        </w:rPr>
      </w:pPr>
      <w:r>
        <w:rPr>
          <w:rFonts w:hint="eastAsia" w:ascii="楷体_GB2312" w:eastAsia="楷体_GB2312"/>
          <w:b/>
          <w:bCs/>
          <w:sz w:val="32"/>
          <w:szCs w:val="32"/>
          <w:lang w:val="zh-CN"/>
        </w:rPr>
        <w:t>（</w:t>
      </w:r>
      <w:r>
        <w:rPr>
          <w:rFonts w:hint="eastAsia" w:ascii="楷体_GB2312" w:eastAsia="楷体_GB2312"/>
          <w:b/>
          <w:bCs/>
          <w:sz w:val="32"/>
          <w:szCs w:val="32"/>
          <w:lang w:val="en-US" w:eastAsia="zh-CN"/>
        </w:rPr>
        <w:t>一</w:t>
      </w:r>
      <w:r>
        <w:rPr>
          <w:rFonts w:hint="eastAsia" w:ascii="楷体_GB2312" w:eastAsia="楷体_GB2312"/>
          <w:b/>
          <w:bCs/>
          <w:sz w:val="32"/>
          <w:szCs w:val="32"/>
          <w:lang w:val="zh-CN"/>
        </w:rPr>
        <w:t>）存在的</w:t>
      </w:r>
      <w:r>
        <w:rPr>
          <w:rFonts w:hint="eastAsia" w:ascii="楷体_GB2312" w:eastAsia="楷体_GB2312"/>
          <w:b/>
          <w:bCs/>
          <w:sz w:val="32"/>
          <w:szCs w:val="32"/>
        </w:rPr>
        <w:t>问题。</w:t>
      </w:r>
      <w:r>
        <w:rPr>
          <w:rFonts w:hint="eastAsia" w:ascii="仿宋_GB2312" w:hAnsi="仿宋_GB2312" w:eastAsia="仿宋_GB2312" w:cs="仿宋_GB2312"/>
          <w:sz w:val="32"/>
          <w:szCs w:val="32"/>
        </w:rPr>
        <w:t>无。</w:t>
      </w:r>
    </w:p>
    <w:p w14:paraId="750D5C48">
      <w:pPr>
        <w:numPr>
          <w:ilvl w:val="0"/>
          <w:numId w:val="0"/>
        </w:numPr>
        <w:adjustRightInd w:val="0"/>
        <w:snapToGrid w:val="0"/>
        <w:spacing w:line="600" w:lineRule="exact"/>
        <w:ind w:left="720" w:leftChars="0"/>
        <w:rPr>
          <w:rFonts w:hint="eastAsia" w:ascii="仿宋_GB2312" w:hAnsi="仿宋_GB2312" w:eastAsia="仿宋_GB2312" w:cs="仿宋_GB2312"/>
          <w:sz w:val="32"/>
          <w:szCs w:val="32"/>
          <w:lang w:val="zh-CN"/>
        </w:rPr>
      </w:pPr>
      <w:r>
        <w:rPr>
          <w:rFonts w:hint="eastAsia" w:ascii="楷体_GB2312" w:eastAsia="楷体_GB2312"/>
          <w:b/>
          <w:bCs/>
          <w:sz w:val="32"/>
          <w:szCs w:val="32"/>
          <w:lang w:eastAsia="zh-CN"/>
        </w:rPr>
        <w:t>（</w:t>
      </w:r>
      <w:r>
        <w:rPr>
          <w:rFonts w:hint="eastAsia" w:ascii="楷体_GB2312" w:eastAsia="楷体_GB2312"/>
          <w:b/>
          <w:bCs/>
          <w:sz w:val="32"/>
          <w:szCs w:val="32"/>
          <w:lang w:val="en-US" w:eastAsia="zh-CN"/>
        </w:rPr>
        <w:t>二</w:t>
      </w:r>
      <w:r>
        <w:rPr>
          <w:rFonts w:hint="eastAsia" w:ascii="楷体_GB2312" w:eastAsia="楷体_GB2312"/>
          <w:b/>
          <w:bCs/>
          <w:sz w:val="32"/>
          <w:szCs w:val="32"/>
          <w:lang w:eastAsia="zh-CN"/>
        </w:rPr>
        <w:t>）</w:t>
      </w:r>
      <w:r>
        <w:rPr>
          <w:rFonts w:hint="eastAsia" w:ascii="楷体_GB2312" w:eastAsia="楷体_GB2312"/>
          <w:b/>
          <w:bCs/>
          <w:sz w:val="32"/>
          <w:szCs w:val="32"/>
        </w:rPr>
        <w:t>建议意见。</w:t>
      </w:r>
      <w:r>
        <w:rPr>
          <w:rFonts w:hint="eastAsia" w:ascii="仿宋_GB2312" w:hAnsi="仿宋_GB2312" w:eastAsia="仿宋_GB2312" w:cs="仿宋_GB2312"/>
          <w:sz w:val="32"/>
          <w:szCs w:val="32"/>
        </w:rPr>
        <w:t>无。</w:t>
      </w:r>
    </w:p>
    <w:p w14:paraId="3B68954B">
      <w:pPr>
        <w:spacing w:line="560" w:lineRule="exact"/>
        <w:ind w:firstLine="420" w:firstLineChars="200"/>
      </w:pPr>
    </w:p>
    <w:p w14:paraId="26CB0DE4">
      <w:pPr>
        <w:spacing w:line="560" w:lineRule="exact"/>
        <w:ind w:firstLine="735" w:firstLineChars="350"/>
        <w:rPr>
          <w:rFonts w:hint="eastAsia"/>
        </w:rPr>
      </w:pPr>
    </w:p>
    <w:p w14:paraId="014D2422">
      <w:pPr>
        <w:spacing w:line="560" w:lineRule="exact"/>
        <w:ind w:firstLine="735" w:firstLineChars="350"/>
        <w:rPr>
          <w:rFonts w:hint="eastAsia"/>
        </w:rPr>
      </w:pPr>
    </w:p>
    <w:p w14:paraId="0B76C42D">
      <w:pPr>
        <w:spacing w:line="560" w:lineRule="exact"/>
        <w:ind w:firstLine="735" w:firstLineChars="350"/>
        <w:rPr>
          <w:rFonts w:hint="eastAsia"/>
        </w:rPr>
      </w:pPr>
    </w:p>
    <w:p w14:paraId="6F2619A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Times New Roman" w:eastAsia="仿宋_GB2312" w:cs="仿宋_GB2312"/>
          <w:kern w:val="0"/>
          <w:sz w:val="32"/>
          <w:szCs w:val="32"/>
          <w:lang w:val="en-US" w:eastAsia="zh-CN" w:bidi="ar-SA"/>
        </w:rPr>
        <w:t>部门</w:t>
      </w:r>
      <w:r>
        <w:rPr>
          <w:rFonts w:hint="eastAsia" w:ascii="仿宋_GB2312" w:hAnsi="Times New Roman" w:eastAsia="仿宋_GB2312" w:cs="仿宋_GB2312"/>
          <w:kern w:val="0"/>
          <w:sz w:val="32"/>
          <w:szCs w:val="32"/>
          <w:lang w:val="zh-CN" w:eastAsia="zh-CN" w:bidi="ar-SA"/>
        </w:rPr>
        <w:t>预算项目支出绩效自评表（2023年度）</w:t>
      </w:r>
    </w:p>
    <w:p w14:paraId="4C1C4C66">
      <w:pPr>
        <w:tabs>
          <w:tab w:val="left" w:pos="972"/>
        </w:tabs>
      </w:pPr>
      <w:r>
        <w:tab/>
      </w:r>
    </w:p>
    <w:p w14:paraId="79B7B6AD">
      <w:pPr>
        <w:rPr>
          <w:rFonts w:hint="eastAsia"/>
        </w:rPr>
      </w:pPr>
    </w:p>
    <w:p w14:paraId="40CAE70D">
      <w:pPr>
        <w:rPr>
          <w:rFonts w:hint="eastAsia"/>
        </w:rPr>
      </w:pPr>
    </w:p>
    <w:p w14:paraId="0CB4454B">
      <w:pPr>
        <w:rPr>
          <w:rFonts w:hint="eastAsia"/>
        </w:rPr>
      </w:pPr>
    </w:p>
    <w:p w14:paraId="659087A7">
      <w:pPr>
        <w:rPr>
          <w:rFonts w:hint="eastAsia"/>
        </w:rPr>
      </w:pPr>
    </w:p>
    <w:p w14:paraId="54BBF6EB">
      <w:pPr>
        <w:rPr>
          <w:rFonts w:hint="eastAsia"/>
        </w:rPr>
      </w:pPr>
    </w:p>
    <w:p w14:paraId="1B5ED4A4">
      <w:pPr>
        <w:rPr>
          <w:rFonts w:hint="eastAsia"/>
        </w:rPr>
      </w:pPr>
    </w:p>
    <w:p w14:paraId="29A5A072">
      <w:pPr>
        <w:widowControl/>
        <w:jc w:val="both"/>
        <w:rPr>
          <w:rFonts w:hint="eastAsia" w:ascii="宋体" w:eastAsia="宋体" w:cs="宋体"/>
          <w:b/>
          <w:bCs/>
          <w:color w:val="000000"/>
          <w:kern w:val="0"/>
          <w:sz w:val="44"/>
          <w:szCs w:val="44"/>
        </w:rPr>
        <w:sectPr>
          <w:pgSz w:w="11906" w:h="16838"/>
          <w:pgMar w:top="1440" w:right="1800" w:bottom="1440" w:left="1800" w:header="851" w:footer="992" w:gutter="0"/>
          <w:pgNumType w:fmt="decimal"/>
          <w:cols w:space="720" w:num="1"/>
          <w:docGrid w:type="lines" w:linePitch="312" w:charSpace="0"/>
        </w:sectPr>
      </w:pPr>
    </w:p>
    <w:p w14:paraId="73A112F5">
      <w:pPr>
        <w:widowControl/>
        <w:jc w:val="both"/>
        <w:rPr>
          <w:rFonts w:hint="eastAsia" w:ascii="宋体" w:eastAsia="宋体" w:cs="宋体"/>
          <w:b/>
          <w:bCs/>
          <w:color w:val="000000"/>
          <w:kern w:val="0"/>
          <w:sz w:val="44"/>
          <w:szCs w:val="44"/>
          <w:lang w:eastAsia="zh-CN"/>
        </w:rPr>
        <w:sectPr>
          <w:pgSz w:w="16838" w:h="11906" w:orient="landscape"/>
          <w:pgMar w:top="1800" w:right="1440" w:bottom="1800" w:left="1440" w:header="851" w:footer="992" w:gutter="0"/>
          <w:pgNumType w:fmt="decimal"/>
          <w:cols w:space="720" w:num="1"/>
          <w:docGrid w:type="lines" w:linePitch="312" w:charSpace="0"/>
        </w:sectPr>
      </w:pPr>
      <w:r>
        <w:rPr>
          <w:rFonts w:hint="eastAsia" w:ascii="宋体" w:eastAsia="宋体" w:cs="宋体"/>
          <w:b/>
          <w:bCs/>
          <w:color w:val="000000"/>
          <w:kern w:val="0"/>
          <w:sz w:val="44"/>
          <w:szCs w:val="44"/>
          <w:lang w:eastAsia="zh-CN"/>
        </w:rPr>
        <w:pict>
          <v:shape id="_x0000_s1028" o:spid="_x0000_s1028" o:spt="75" type="#_x0000_t75" style="position:absolute;left:0pt;margin-left:0pt;margin-top:-17.9pt;height:562.7pt;width:694.15pt;z-index:-251656192;mso-width-relative:page;mso-height-relative:page;" o:ole="t" filled="f" o:preferrelative="t" stroked="f" coordsize="21600,21600">
            <v:path/>
            <v:fill on="f" focussize="0,0"/>
            <v:stroke on="f"/>
            <v:imagedata r:id="rId18" o:title=""/>
            <o:lock v:ext="edit" aspectratio="t"/>
          </v:shape>
          <o:OLEObject Type="Embed" ProgID="Excel.Sheet.12" ShapeID="_x0000_s1028" DrawAspect="Content" ObjectID="_1468075726" r:id="rId17">
            <o:LockedField>false</o:LockedField>
          </o:OLEObject>
        </w:pict>
      </w:r>
    </w:p>
    <w:p w14:paraId="43026540">
      <w:pPr>
        <w:pStyle w:val="37"/>
        <w:spacing w:line="600" w:lineRule="exact"/>
        <w:jc w:val="center"/>
        <w:rPr>
          <w:rFonts w:hint="eastAsia" w:ascii="方正小标宋简体" w:eastAsia="方正小标宋简体"/>
          <w:sz w:val="44"/>
          <w:szCs w:val="44"/>
        </w:rPr>
      </w:pPr>
      <w:r>
        <w:rPr>
          <w:rFonts w:ascii="方正小标宋简体" w:eastAsia="方正小标宋简体"/>
          <w:sz w:val="44"/>
          <w:szCs w:val="44"/>
        </w:rPr>
        <w:t>大熊猫国家公园阿坝管理分局</w:t>
      </w:r>
    </w:p>
    <w:p w14:paraId="3F4768CA">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eastAsia="方正小标宋简体"/>
          <w:sz w:val="44"/>
          <w:szCs w:val="44"/>
          <w:lang w:val="en-US" w:eastAsia="zh-CN"/>
        </w:rPr>
        <w:t>法律顾问服务</w:t>
      </w:r>
      <w:r>
        <w:rPr>
          <w:rFonts w:hint="eastAsia" w:ascii="方正小标宋简体" w:hAnsi="方正小标宋简体" w:eastAsia="方正小标宋简体" w:cs="方正小标宋简体"/>
          <w:color w:val="auto"/>
          <w:kern w:val="2"/>
          <w:sz w:val="44"/>
          <w:szCs w:val="44"/>
          <w:highlight w:val="none"/>
          <w:lang w:val="en-US" w:eastAsia="zh-CN"/>
        </w:rPr>
        <w:t>预算项目绩效评价报告</w:t>
      </w:r>
    </w:p>
    <w:p w14:paraId="0B1A5E87">
      <w:pPr>
        <w:pStyle w:val="37"/>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4FFBB6B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40CAAA34">
      <w:pPr>
        <w:spacing w:line="360" w:lineRule="auto"/>
        <w:ind w:firstLine="643" w:firstLineChars="200"/>
        <w:rPr>
          <w:rFonts w:hint="default" w:ascii="仿宋_GB2312" w:hAnsi="仿宋_GB2312" w:eastAsia="仿宋_GB2312" w:cs="仿宋_GB2312"/>
          <w:i w:val="0"/>
          <w:iCs w:val="0"/>
          <w:caps w:val="0"/>
          <w:color w:val="191919"/>
          <w:spacing w:val="0"/>
          <w:kern w:val="0"/>
          <w:sz w:val="32"/>
          <w:szCs w:val="32"/>
          <w:shd w:val="clear" w:color="auto" w:fill="FFFFFF"/>
          <w:lang w:val="en-US" w:eastAsia="zh-CN" w:bidi="ar"/>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eastAsia="仿宋_GB2312" w:cs="仿宋_GB2312"/>
          <w:i w:val="0"/>
          <w:iCs w:val="0"/>
          <w:caps w:val="0"/>
          <w:color w:val="191919"/>
          <w:spacing w:val="0"/>
          <w:kern w:val="0"/>
          <w:sz w:val="32"/>
          <w:szCs w:val="32"/>
          <w:shd w:val="clear" w:color="auto" w:fill="FFFFFF"/>
          <w:lang w:val="en-US" w:eastAsia="zh-CN" w:bidi="ar"/>
        </w:rPr>
        <w:t>聘请法律顾问是贯彻落实习近平法治思想和落实省委省政府全年依法行政、依法办事的安排部署的重要举措，可以有效防止在工作中的法律纠纷，有效防范在工作中的纠纷，可以带来良好的经济效益，维护社会的安全稳定，带来良好的社会效益，通过法律顾问为大熊猫国家国家公园建设保驾护航，可以为生态环境保护提供良好的环境，具有明显的生态效益，助力可持续发展。综上聘请法律顾问具有</w:t>
      </w:r>
      <w:r>
        <w:rPr>
          <w:rFonts w:hint="eastAsia" w:ascii="仿宋_GB2312" w:hAnsi="宋体" w:eastAsia="仿宋_GB2312"/>
          <w:sz w:val="32"/>
          <w:szCs w:val="32"/>
          <w:lang w:eastAsia="zh-CN"/>
        </w:rPr>
        <w:t>明显的经济、社会、可持续性效益，</w:t>
      </w:r>
      <w:r>
        <w:rPr>
          <w:rFonts w:hint="eastAsia" w:ascii="仿宋_GB2312" w:hAnsi="宋体" w:eastAsia="仿宋_GB2312"/>
          <w:sz w:val="32"/>
          <w:szCs w:val="32"/>
          <w:lang w:val="en-US" w:eastAsia="zh-CN"/>
        </w:rPr>
        <w:t>聘请法律顾问是必要的。</w:t>
      </w:r>
    </w:p>
    <w:p w14:paraId="3083CA61">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为单位提供相关法律咨询服务和帮助，在单位法律问题上提供意见和建议，草拟、审查法律事务文书，代理参加诉讼、调解或仲裁活动，维护单位的合法权益。</w:t>
      </w:r>
    </w:p>
    <w:p w14:paraId="7A0FC86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eastAsia="仿宋_GB2312"/>
          <w:sz w:val="32"/>
          <w:szCs w:val="32"/>
        </w:rPr>
        <w:t>聘请法律顾问费属于特定目标类里的部门项目，</w:t>
      </w:r>
      <w:r>
        <w:rPr>
          <w:rFonts w:hint="eastAsia" w:eastAsia="仿宋_GB2312"/>
          <w:sz w:val="32"/>
          <w:szCs w:val="32"/>
          <w:lang w:val="en-US" w:eastAsia="zh-CN"/>
        </w:rPr>
        <w:t>结合分局工作量，本预算通过2022年度工作开展情况</w:t>
      </w:r>
      <w:r>
        <w:rPr>
          <w:rFonts w:hint="eastAsia"/>
          <w:sz w:val="32"/>
          <w:szCs w:val="32"/>
          <w:lang w:val="en-US" w:eastAsia="zh-CN"/>
        </w:rPr>
        <w:t>核定</w:t>
      </w:r>
      <w:r>
        <w:rPr>
          <w:rFonts w:hint="eastAsia" w:eastAsia="仿宋_GB2312"/>
          <w:sz w:val="32"/>
          <w:szCs w:val="32"/>
          <w:lang w:val="en-US" w:eastAsia="zh-CN"/>
        </w:rPr>
        <w:t>202</w:t>
      </w:r>
      <w:r>
        <w:rPr>
          <w:rFonts w:hint="eastAsia"/>
          <w:sz w:val="32"/>
          <w:szCs w:val="32"/>
          <w:lang w:val="en-US" w:eastAsia="zh-CN"/>
        </w:rPr>
        <w:t>3</w:t>
      </w:r>
      <w:r>
        <w:rPr>
          <w:rFonts w:hint="eastAsia" w:eastAsia="仿宋_GB2312"/>
          <w:sz w:val="32"/>
          <w:szCs w:val="32"/>
          <w:lang w:val="en-US" w:eastAsia="zh-CN"/>
        </w:rPr>
        <w:t>年法律顾问预算</w:t>
      </w:r>
      <w:r>
        <w:rPr>
          <w:rFonts w:hint="eastAsia"/>
          <w:sz w:val="32"/>
          <w:szCs w:val="32"/>
          <w:lang w:val="en-US" w:eastAsia="zh-CN"/>
        </w:rPr>
        <w:t>金额</w:t>
      </w:r>
      <w:r>
        <w:rPr>
          <w:rFonts w:hint="eastAsia" w:eastAsia="仿宋_GB2312"/>
          <w:sz w:val="32"/>
          <w:szCs w:val="32"/>
          <w:lang w:val="en-US" w:eastAsia="zh-CN"/>
        </w:rPr>
        <w:t>为1万元。</w:t>
      </w:r>
    </w:p>
    <w:p w14:paraId="44A1D733">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sz w:val="32"/>
          <w:szCs w:val="32"/>
          <w:lang w:val="en-US" w:eastAsia="zh-CN"/>
        </w:rPr>
        <w:t>本项目共设置了一级指标4个、二级指标7个、三级指标7个绩效考核目标，</w:t>
      </w:r>
      <w:r>
        <w:rPr>
          <w:rFonts w:hint="eastAsia" w:ascii="仿宋_GB2312" w:hAnsi="仿宋_GB2312" w:eastAsia="仿宋_GB2312" w:cs="仿宋_GB2312"/>
          <w:sz w:val="32"/>
          <w:szCs w:val="32"/>
          <w:lang w:eastAsia="zh-CN"/>
        </w:rPr>
        <w:t>评估内容包括绩效目标和绩效指标</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lang w:eastAsia="zh-CN"/>
        </w:rPr>
        <w:t>量化可考核，</w:t>
      </w:r>
      <w:r>
        <w:rPr>
          <w:rFonts w:hint="eastAsia" w:ascii="仿宋_GB2312" w:hAnsi="仿宋_GB2312" w:eastAsia="仿宋_GB2312" w:cs="仿宋_GB2312"/>
          <w:sz w:val="32"/>
          <w:szCs w:val="32"/>
          <w:lang w:val="en-US" w:eastAsia="zh-CN"/>
        </w:rPr>
        <w:t>与项目</w:t>
      </w:r>
      <w:r>
        <w:rPr>
          <w:rFonts w:hint="eastAsia" w:ascii="仿宋_GB2312" w:hAnsi="仿宋_GB2312" w:eastAsia="仿宋_GB2312" w:cs="仿宋_GB2312"/>
          <w:sz w:val="32"/>
          <w:szCs w:val="32"/>
          <w:lang w:eastAsia="zh-CN"/>
        </w:rPr>
        <w:t>相匹配，</w:t>
      </w:r>
      <w:r>
        <w:rPr>
          <w:rFonts w:hint="eastAsia" w:ascii="仿宋_GB2312" w:hAnsi="仿宋_GB2312" w:eastAsia="仿宋_GB2312" w:cs="仿宋_GB2312"/>
          <w:sz w:val="32"/>
          <w:szCs w:val="32"/>
          <w:lang w:val="en-US" w:eastAsia="zh-CN"/>
        </w:rPr>
        <w:t>能</w:t>
      </w:r>
      <w:r>
        <w:rPr>
          <w:rFonts w:hint="eastAsia" w:ascii="仿宋_GB2312" w:hAnsi="仿宋_GB2312" w:eastAsia="仿宋_GB2312" w:cs="仿宋_GB2312"/>
          <w:sz w:val="32"/>
          <w:szCs w:val="32"/>
          <w:lang w:eastAsia="zh-CN"/>
        </w:rPr>
        <w:t>全面完整</w:t>
      </w:r>
      <w:r>
        <w:rPr>
          <w:rFonts w:hint="eastAsia" w:ascii="仿宋_GB2312" w:hAnsi="仿宋_GB2312" w:eastAsia="仿宋_GB2312" w:cs="仿宋_GB2312"/>
          <w:sz w:val="32"/>
          <w:szCs w:val="32"/>
          <w:lang w:val="en-US" w:eastAsia="zh-CN"/>
        </w:rPr>
        <w:t>对项目进行评价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与分局</w:t>
      </w:r>
      <w:r>
        <w:rPr>
          <w:rFonts w:hint="eastAsia" w:ascii="仿宋_GB2312" w:hAnsi="仿宋_GB2312" w:eastAsia="仿宋_GB2312" w:cs="仿宋_GB2312"/>
          <w:sz w:val="32"/>
          <w:szCs w:val="32"/>
          <w:lang w:eastAsia="zh-CN"/>
        </w:rPr>
        <w:t>长期规划目标、年度工作目标相一致。</w:t>
      </w:r>
    </w:p>
    <w:p w14:paraId="2F09DD6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463C25B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sz w:val="32"/>
          <w:szCs w:val="32"/>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自评，</w:t>
      </w:r>
      <w:r>
        <w:rPr>
          <w:rFonts w:hint="eastAsia" w:ascii="仿宋_GB2312" w:hAnsi="仿宋_GB2312" w:eastAsia="仿宋_GB2312" w:cs="仿宋_GB2312"/>
          <w:sz w:val="32"/>
          <w:szCs w:val="32"/>
          <w:lang w:val="en-US" w:eastAsia="zh-CN"/>
        </w:rPr>
        <w:t>提高资金的使用效率，提高法律服务机构服务质量，实现</w:t>
      </w:r>
      <w:r>
        <w:rPr>
          <w:rFonts w:hint="eastAsia" w:ascii="仿宋_GB2312" w:hAnsi="仿宋_GB2312" w:eastAsia="仿宋_GB2312" w:cs="仿宋_GB2312"/>
          <w:i w:val="0"/>
          <w:iCs w:val="0"/>
          <w:caps w:val="0"/>
          <w:color w:val="191919"/>
          <w:spacing w:val="0"/>
          <w:kern w:val="0"/>
          <w:sz w:val="32"/>
          <w:szCs w:val="32"/>
          <w:shd w:val="clear" w:color="auto" w:fill="FFFFFF"/>
          <w:lang w:val="en-US" w:eastAsia="zh-CN" w:bidi="ar"/>
        </w:rPr>
        <w:t>依法行政、依法办事，有效防止在工作中的法律纠纷，有效防范在工作中的纠纷，有效的为单位各项工作开展提供法律支持</w:t>
      </w:r>
      <w:r>
        <w:rPr>
          <w:rFonts w:hint="eastAsia" w:ascii="仿宋_GB2312" w:hAnsi="仿宋_GB2312" w:eastAsia="仿宋_GB2312" w:cs="仿宋_GB2312"/>
          <w:sz w:val="32"/>
          <w:szCs w:val="32"/>
          <w:lang w:eastAsia="zh-CN"/>
        </w:rPr>
        <w:t>。</w:t>
      </w:r>
    </w:p>
    <w:p w14:paraId="762E97DF">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sz w:val="32"/>
          <w:szCs w:val="32"/>
          <w:lang w:val="en-US" w:eastAsia="zh-CN"/>
        </w:rPr>
        <w:t>法律顾问服务已按照服务合同支付上海中联（成都）律师事务所服务费0.99万元，支付比例达预算的99.5%。2023年，按时保质保量为分局提供了8次法律咨询服务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达到了项目预期的绩效。</w:t>
      </w:r>
    </w:p>
    <w:p w14:paraId="25518835">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lang w:val="zh-CN" w:eastAsia="zh-CN"/>
        </w:rPr>
        <w:t>。</w:t>
      </w:r>
    </w:p>
    <w:p w14:paraId="0BC96D3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sz w:val="32"/>
          <w:szCs w:val="32"/>
          <w:lang w:eastAsia="zh-CN"/>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sz w:val="32"/>
          <w:szCs w:val="32"/>
        </w:rPr>
        <w:t>单位自评法</w:t>
      </w:r>
      <w:r>
        <w:rPr>
          <w:rFonts w:hint="eastAsia" w:ascii="仿宋_GB2312" w:hAnsi="仿宋_GB2312" w:eastAsia="仿宋_GB2312" w:cs="仿宋_GB2312"/>
          <w:sz w:val="32"/>
          <w:szCs w:val="32"/>
          <w:lang w:eastAsia="zh-CN"/>
        </w:rPr>
        <w:t>。</w:t>
      </w:r>
    </w:p>
    <w:p w14:paraId="779FE2E3">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bCs/>
          <w:sz w:val="32"/>
          <w:szCs w:val="32"/>
          <w:lang w:eastAsia="zh-CN"/>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color w:val="000000"/>
          <w:sz w:val="32"/>
          <w:szCs w:val="32"/>
          <w:lang w:bidi="ar-SA"/>
        </w:rPr>
        <w:t>根据财政绩效评价要求，由局办公室牵头，相关部室参与配合，绩效评价遵循科学规范原、公正公开原则，统一安排部署省级财政林业草原生态保护恢复（国家公园补助）资金项目管理，有序推进省级财政资金项目绩效评价工作。办公室（财务室）负责审核项目资金及凭证，建设管理部、法规督查部、栖息地保护部现场查看项目建设进度，查阅项目建设资料。</w:t>
      </w:r>
    </w:p>
    <w:p w14:paraId="5446FF63">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7AA9592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1511B0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lang w:val="en-US" w:eastAsia="zh-CN"/>
        </w:rPr>
        <w:t>1.</w:t>
      </w:r>
      <w:r>
        <w:rPr>
          <w:rFonts w:hint="eastAsia" w:ascii="楷体_GB2312" w:hAnsi="楷体_GB2312" w:eastAsia="楷体_GB2312" w:cs="楷体_GB2312"/>
          <w:b/>
          <w:bCs/>
          <w:color w:val="auto"/>
          <w:sz w:val="32"/>
          <w:szCs w:val="32"/>
          <w:lang w:eastAsia="zh-CN"/>
        </w:rPr>
        <w:t>项目决策。</w:t>
      </w:r>
      <w:r>
        <w:rPr>
          <w:rFonts w:hint="eastAsia" w:ascii="仿宋_GB2312" w:hAnsi="仿宋_GB2312" w:eastAsia="仿宋_GB2312" w:cs="仿宋_GB2312"/>
          <w:color w:val="auto"/>
          <w:sz w:val="32"/>
          <w:szCs w:val="32"/>
          <w:lang w:val="en-US" w:eastAsia="zh-CN"/>
        </w:rPr>
        <w:t>该项目根据全面依法治州工作安排，以及</w:t>
      </w:r>
      <w:r>
        <w:rPr>
          <w:rFonts w:hint="eastAsia" w:ascii="仿宋_GB2312" w:hAnsi="仿宋_GB2312" w:eastAsia="仿宋_GB2312" w:cs="仿宋_GB2312"/>
          <w:sz w:val="32"/>
          <w:szCs w:val="32"/>
          <w:lang w:val="en-US" w:eastAsia="zh-CN"/>
        </w:rPr>
        <w:t>通过2022年度工作开展情况，及工作实际进行项目的申报，项目通过分局党组会研究并报州财政局预算审核批准后确定实施</w:t>
      </w:r>
    </w:p>
    <w:p w14:paraId="14AEB6C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项目管理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本项目严格按照《大熊猫国家公园阿坝管理分局内控制度（实行）》明确的预算、政府采购、合同管理制度，组织开展项目的组织实施</w:t>
      </w:r>
      <w:r>
        <w:rPr>
          <w:rFonts w:hint="eastAsia" w:ascii="仿宋_GB2312" w:hAnsi="仿宋_GB2312" w:eastAsia="仿宋_GB2312" w:cs="仿宋_GB2312"/>
          <w:color w:val="auto"/>
          <w:sz w:val="32"/>
          <w:szCs w:val="32"/>
          <w:lang w:eastAsia="zh-CN"/>
        </w:rPr>
        <w:t>。</w:t>
      </w:r>
    </w:p>
    <w:p w14:paraId="6E17A2A4">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3.项目实施。</w:t>
      </w:r>
      <w:r>
        <w:rPr>
          <w:rFonts w:hint="eastAsia" w:ascii="仿宋_GB2312" w:hAnsi="仿宋_GB2312" w:eastAsia="仿宋_GB2312" w:cs="仿宋_GB2312"/>
          <w:color w:val="auto"/>
          <w:sz w:val="32"/>
          <w:szCs w:val="32"/>
          <w:lang w:val="en-US" w:eastAsia="zh-CN"/>
        </w:rPr>
        <w:t>2023年共下达</w:t>
      </w:r>
      <w:r>
        <w:rPr>
          <w:rFonts w:hint="eastAsia" w:ascii="仿宋_GB2312" w:hAnsi="仿宋_GB2312" w:eastAsia="仿宋_GB2312" w:cs="仿宋_GB2312"/>
          <w:sz w:val="32"/>
          <w:szCs w:val="32"/>
          <w:lang w:val="en-US" w:eastAsia="zh-CN"/>
        </w:rPr>
        <w:t>法律顾问预算为1万元。按照2023年采购确定继续由上海中联（成都）律师事务所为分局提供法律服务活动，法律顾问服务已按照服务合同支付上海中联（成都）律师事务所服务费0.95万元，支付比例达预算的99.5%。</w:t>
      </w:r>
    </w:p>
    <w:p w14:paraId="40A45A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 项目结果。</w:t>
      </w:r>
      <w:r>
        <w:rPr>
          <w:rFonts w:hint="eastAsia" w:ascii="仿宋_GB2312" w:hAnsi="仿宋_GB2312" w:eastAsia="仿宋_GB2312" w:cs="仿宋_GB2312"/>
          <w:sz w:val="32"/>
          <w:szCs w:val="32"/>
          <w:lang w:val="en-US" w:eastAsia="zh-CN"/>
        </w:rPr>
        <w:t>设置了一级指标4个、二级指标7个、三级指标7个绩效考核目标。本项目设置的2023年及时保质保量提供合格的法律咨询服务次数为8次，全年已为分局提供8次以上法律服务，完成率达</w:t>
      </w:r>
      <w:r>
        <w:rPr>
          <w:rFonts w:hint="eastAsia" w:ascii="仿宋_GB2312" w:hAnsi="仿宋_GB2312" w:eastAsia="仿宋_GB2312" w:cs="仿宋_GB2312"/>
          <w:color w:val="auto"/>
          <w:sz w:val="32"/>
          <w:szCs w:val="32"/>
          <w:lang w:val="en-US" w:eastAsia="zh-CN"/>
        </w:rPr>
        <w:t>100%。</w:t>
      </w:r>
    </w:p>
    <w:p w14:paraId="328404ED">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宋体" w:eastAsia="楷体_GB2312" w:cs="Times New Roman"/>
          <w:b/>
          <w:bCs w:val="0"/>
          <w:color w:val="auto"/>
          <w:sz w:val="32"/>
          <w:szCs w:val="32"/>
          <w:highlight w:val="none"/>
          <w:u w:val="none"/>
          <w:lang w:val="zh-CN"/>
        </w:rPr>
        <w:t>（二）</w:t>
      </w:r>
      <w:r>
        <w:rPr>
          <w:rFonts w:hint="eastAsia" w:ascii="楷体_GB2312" w:hAnsi="宋体" w:eastAsia="楷体_GB2312" w:cs="Times New Roman"/>
          <w:b/>
          <w:bCs w:val="0"/>
          <w:color w:val="auto"/>
          <w:sz w:val="32"/>
          <w:szCs w:val="32"/>
          <w:highlight w:val="none"/>
          <w:u w:val="none"/>
          <w:lang w:val="en-US" w:eastAsia="zh-CN"/>
        </w:rPr>
        <w:t>专用指标</w:t>
      </w:r>
      <w:r>
        <w:rPr>
          <w:rFonts w:hint="default" w:ascii="Times New Roman" w:hAnsi="Times New Roman" w:eastAsia="楷体_GB2312" w:cs="Times New Roman"/>
          <w:b/>
          <w:bCs w:val="0"/>
          <w:color w:val="000000"/>
          <w:kern w:val="0"/>
          <w:sz w:val="32"/>
          <w:szCs w:val="32"/>
          <w:highlight w:val="none"/>
          <w:shd w:val="clear" w:color="auto" w:fill="FFFFFF"/>
          <w:lang w:val="zh-CN"/>
        </w:rPr>
        <w:t>绩效分析。</w:t>
      </w:r>
      <w:r>
        <w:rPr>
          <w:rFonts w:hint="eastAsia" w:ascii="仿宋_GB2312" w:hAnsi="仿宋_GB2312" w:eastAsia="仿宋_GB2312" w:cs="仿宋_GB2312"/>
          <w:color w:val="auto"/>
          <w:sz w:val="32"/>
          <w:szCs w:val="32"/>
          <w:lang w:val="zh-CN" w:eastAsia="zh-CN"/>
        </w:rPr>
        <w:t>对法规规章起草工作及相关立法征求意见提出建议，对规范性文件、重大决策的合法性进行审查，开展行政处罚、行政强制、行政许可等行政决定进行法律审查，开展对外签订的合同、协议等进行法律审查，协助处理信息公开、信访投诉及其他涉法事务，协助开展法治教育培训等。</w:t>
      </w:r>
      <w:r>
        <w:rPr>
          <w:rFonts w:hint="eastAsia" w:ascii="仿宋_GB2312" w:hAnsi="仿宋_GB2312" w:eastAsia="仿宋_GB2312" w:cs="仿宋_GB2312"/>
          <w:b w:val="0"/>
          <w:bCs w:val="0"/>
          <w:caps w:val="0"/>
          <w:color w:val="auto"/>
          <w:kern w:val="2"/>
          <w:sz w:val="32"/>
          <w:szCs w:val="32"/>
          <w:vertAlign w:val="baseline"/>
          <w:lang w:val="en-US" w:eastAsia="zh-CN" w:bidi="ar"/>
        </w:rPr>
        <w:t>法律顾问服务单位要及时、准确的为分局提供法律咨询服务，切实做到依法行政、依法办事，</w:t>
      </w:r>
      <w:r>
        <w:rPr>
          <w:rFonts w:hint="eastAsia" w:ascii="仿宋_GB2312" w:hAnsi="仿宋_GB2312" w:eastAsia="仿宋_GB2312" w:cs="仿宋_GB2312"/>
          <w:color w:val="auto"/>
          <w:sz w:val="32"/>
          <w:szCs w:val="32"/>
          <w:lang w:val="zh-CN" w:eastAsia="zh-CN"/>
        </w:rPr>
        <w:t>避免因法律问题产生的经济损失，</w:t>
      </w:r>
      <w:r>
        <w:rPr>
          <w:rFonts w:hint="eastAsia" w:ascii="仿宋_GB2312" w:hAnsi="仿宋_GB2312" w:eastAsia="仿宋_GB2312" w:cs="仿宋_GB2312"/>
          <w:color w:val="auto"/>
          <w:sz w:val="32"/>
          <w:szCs w:val="32"/>
          <w:lang w:val="en-US" w:eastAsia="zh-CN"/>
        </w:rPr>
        <w:t>确保单位的正常运转。</w:t>
      </w:r>
    </w:p>
    <w:p w14:paraId="65E6B1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宋体" w:eastAsia="楷体_GB2312" w:cs="Times New Roman"/>
          <w:b/>
          <w:bCs w:val="0"/>
          <w:color w:val="auto"/>
          <w:sz w:val="32"/>
          <w:szCs w:val="32"/>
          <w:highlight w:val="none"/>
          <w:u w:val="none"/>
          <w:lang w:val="zh-CN"/>
        </w:rPr>
        <w:t>（三）</w:t>
      </w:r>
      <w:r>
        <w:rPr>
          <w:rFonts w:hint="eastAsia" w:ascii="楷体_GB2312" w:hAnsi="宋体" w:eastAsia="楷体_GB2312" w:cs="Times New Roman"/>
          <w:b/>
          <w:bCs w:val="0"/>
          <w:color w:val="auto"/>
          <w:sz w:val="32"/>
          <w:szCs w:val="32"/>
          <w:highlight w:val="none"/>
          <w:u w:val="none"/>
          <w:lang w:val="en-US" w:eastAsia="zh-CN"/>
        </w:rPr>
        <w:t>个性指标</w:t>
      </w:r>
      <w:r>
        <w:rPr>
          <w:rFonts w:hint="default" w:ascii="Times New Roman" w:hAnsi="Times New Roman" w:eastAsia="楷体_GB2312" w:cs="Times New Roman"/>
          <w:b/>
          <w:bCs w:val="0"/>
          <w:color w:val="000000"/>
          <w:kern w:val="0"/>
          <w:sz w:val="32"/>
          <w:szCs w:val="32"/>
          <w:highlight w:val="none"/>
          <w:shd w:val="clear" w:color="auto" w:fill="FFFFFF"/>
          <w:lang w:val="zh-CN"/>
        </w:rPr>
        <w:t>绩效分析。</w:t>
      </w:r>
      <w:r>
        <w:rPr>
          <w:rFonts w:hint="eastAsia" w:ascii="仿宋_GB2312" w:hAnsi="仿宋_GB2312" w:eastAsia="仿宋_GB2312" w:cs="仿宋_GB2312"/>
          <w:color w:val="auto"/>
          <w:sz w:val="32"/>
          <w:szCs w:val="32"/>
          <w:lang w:val="en-US" w:eastAsia="zh-CN"/>
        </w:rPr>
        <w:t>年底，按照</w:t>
      </w:r>
      <w:r>
        <w:rPr>
          <w:rFonts w:hint="eastAsia" w:ascii="仿宋_GB2312" w:hAnsi="仿宋_GB2312" w:eastAsia="仿宋_GB2312" w:cs="仿宋_GB2312"/>
          <w:sz w:val="32"/>
          <w:szCs w:val="32"/>
          <w:lang w:val="en-US" w:eastAsia="zh-CN"/>
        </w:rPr>
        <w:t>设置了的一级指标4个、二级指标7个、三级指标7个绩效考核目标完成所有服务内容。</w:t>
      </w:r>
    </w:p>
    <w:p w14:paraId="3861207D">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685EC73E">
      <w:pPr>
        <w:pStyle w:val="7"/>
        <w:keepNext w:val="0"/>
        <w:keepLines w:val="0"/>
        <w:pageBreakBefore w:val="0"/>
        <w:widowControl/>
        <w:tabs>
          <w:tab w:val="left" w:pos="2160"/>
        </w:tabs>
        <w:kinsoku/>
        <w:wordWrap/>
        <w:overflowPunct/>
        <w:topLinePunct w:val="0"/>
        <w:autoSpaceDE/>
        <w:autoSpaceDN/>
        <w:bidi w:val="0"/>
        <w:adjustRightInd/>
        <w:spacing w:line="560" w:lineRule="exact"/>
        <w:ind w:left="0" w:firstLine="640" w:firstLineChars="200"/>
        <w:jc w:val="both"/>
        <w:textAlignment w:val="auto"/>
        <w:rPr>
          <w:rFonts w:hint="eastAsia" w:ascii="仿宋_GB2312" w:eastAsia="仿宋_GB2312" w:cs="仿宋_GB2312"/>
          <w:sz w:val="32"/>
          <w:szCs w:val="32"/>
          <w:highlight w:val="none"/>
          <w:lang w:val="zh-CN" w:eastAsia="zh-CN" w:bidi="ar-SA"/>
        </w:rPr>
      </w:pPr>
      <w:r>
        <w:rPr>
          <w:rFonts w:hint="eastAsia" w:ascii="仿宋_GB2312" w:eastAsia="仿宋_GB2312" w:cs="仿宋_GB2312"/>
          <w:sz w:val="32"/>
          <w:szCs w:val="32"/>
          <w:lang w:val="zh-CN" w:eastAsia="zh-CN" w:bidi="ar-SA"/>
        </w:rPr>
        <w:t>从综合评价来看，项目立项依据充分，均设定了项目绩效目标，资金配置科学合理，严格项目管理，采购的严格按照政府采购相关程序执行，</w:t>
      </w:r>
      <w:r>
        <w:rPr>
          <w:rFonts w:hint="eastAsia" w:ascii="仿宋_GB2312" w:eastAsia="仿宋_GB2312" w:cs="仿宋_GB2312"/>
          <w:sz w:val="32"/>
          <w:szCs w:val="32"/>
          <w:lang w:val="en-US" w:eastAsia="zh-CN" w:bidi="ar-SA"/>
        </w:rPr>
        <w:t>项目的实施达到了预期的效果</w:t>
      </w:r>
      <w:r>
        <w:rPr>
          <w:rFonts w:hint="eastAsia" w:ascii="仿宋_GB2312" w:eastAsia="仿宋_GB2312" w:cs="仿宋_GB2312"/>
          <w:sz w:val="32"/>
          <w:szCs w:val="32"/>
          <w:lang w:val="zh-CN" w:eastAsia="zh-CN" w:bidi="ar-SA"/>
        </w:rPr>
        <w:t>。整体情况良好。</w:t>
      </w:r>
    </w:p>
    <w:p w14:paraId="15F0B5B1">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五、存在主要问题</w:t>
      </w:r>
    </w:p>
    <w:p w14:paraId="5DFD32AB">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黑体" w:cs="黑体"/>
          <w:b w:val="0"/>
          <w:bCs w:val="0"/>
          <w:kern w:val="2"/>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无。</w:t>
      </w:r>
    </w:p>
    <w:p w14:paraId="3E7F93ED">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1514E358">
      <w:pPr>
        <w:tabs>
          <w:tab w:val="left" w:pos="1911"/>
        </w:tabs>
        <w:jc w:val="left"/>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 xml:space="preserve"> 无。</w:t>
      </w:r>
    </w:p>
    <w:p w14:paraId="0A15232B">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p>
    <w:p w14:paraId="7E839DE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Times New Roman" w:eastAsia="仿宋_GB2312" w:cs="仿宋_GB2312"/>
          <w:kern w:val="0"/>
          <w:sz w:val="32"/>
          <w:szCs w:val="32"/>
          <w:lang w:val="en-US" w:eastAsia="zh-CN" w:bidi="ar-SA"/>
        </w:rPr>
        <w:t>部门</w:t>
      </w:r>
      <w:r>
        <w:rPr>
          <w:rFonts w:hint="eastAsia" w:ascii="仿宋_GB2312" w:hAnsi="Times New Roman" w:eastAsia="仿宋_GB2312" w:cs="仿宋_GB2312"/>
          <w:kern w:val="0"/>
          <w:sz w:val="32"/>
          <w:szCs w:val="32"/>
          <w:lang w:val="zh-CN" w:eastAsia="zh-CN" w:bidi="ar-SA"/>
        </w:rPr>
        <w:t>预算项目支出绩效自评表（2023年度）</w:t>
      </w:r>
    </w:p>
    <w:p w14:paraId="125CBBF4">
      <w:pPr>
        <w:widowControl/>
        <w:jc w:val="both"/>
        <w:rPr>
          <w:rFonts w:hint="eastAsia" w:ascii="宋体" w:eastAsia="宋体" w:cs="宋体"/>
          <w:b/>
          <w:bCs/>
          <w:color w:val="000000"/>
          <w:kern w:val="0"/>
          <w:sz w:val="44"/>
          <w:szCs w:val="44"/>
        </w:rPr>
      </w:pPr>
    </w:p>
    <w:p w14:paraId="74892F8F">
      <w:pPr>
        <w:bidi w:val="0"/>
        <w:rPr>
          <w:rFonts w:hint="eastAsia" w:ascii="Times New Roman" w:hAnsi="Times New Roman" w:eastAsia="宋体" w:cs="Times New Roman"/>
          <w:kern w:val="2"/>
          <w:sz w:val="21"/>
          <w:szCs w:val="24"/>
          <w:lang w:val="en-US" w:eastAsia="zh-CN" w:bidi="ar-SA"/>
        </w:rPr>
      </w:pPr>
    </w:p>
    <w:p w14:paraId="16FB333F">
      <w:pPr>
        <w:bidi w:val="0"/>
        <w:rPr>
          <w:rFonts w:hint="eastAsia"/>
          <w:lang w:val="en-US" w:eastAsia="zh-CN"/>
        </w:rPr>
      </w:pPr>
    </w:p>
    <w:p w14:paraId="2EB9F3A9">
      <w:pPr>
        <w:bidi w:val="0"/>
        <w:rPr>
          <w:rFonts w:hint="eastAsia"/>
          <w:lang w:val="en-US" w:eastAsia="zh-CN"/>
        </w:rPr>
      </w:pPr>
    </w:p>
    <w:p w14:paraId="6B22B1A3">
      <w:pPr>
        <w:bidi w:val="0"/>
        <w:rPr>
          <w:rFonts w:hint="eastAsia"/>
          <w:lang w:val="en-US" w:eastAsia="zh-CN"/>
        </w:rPr>
      </w:pPr>
    </w:p>
    <w:p w14:paraId="07ADDBC4">
      <w:pPr>
        <w:bidi w:val="0"/>
        <w:rPr>
          <w:rFonts w:hint="eastAsia"/>
          <w:lang w:val="en-US" w:eastAsia="zh-CN"/>
        </w:rPr>
      </w:pPr>
    </w:p>
    <w:p w14:paraId="1D69002A">
      <w:pPr>
        <w:bidi w:val="0"/>
        <w:rPr>
          <w:rFonts w:hint="eastAsia"/>
          <w:lang w:val="en-US" w:eastAsia="zh-CN"/>
        </w:rPr>
      </w:pPr>
    </w:p>
    <w:p w14:paraId="2FB4DC64">
      <w:pPr>
        <w:bidi w:val="0"/>
        <w:rPr>
          <w:rFonts w:hint="eastAsia"/>
          <w:lang w:val="en-US" w:eastAsia="zh-CN"/>
        </w:rPr>
      </w:pPr>
    </w:p>
    <w:p w14:paraId="5C189BB0">
      <w:pPr>
        <w:bidi w:val="0"/>
        <w:rPr>
          <w:rFonts w:hint="eastAsia"/>
          <w:lang w:val="en-US" w:eastAsia="zh-CN"/>
        </w:rPr>
      </w:pPr>
    </w:p>
    <w:p w14:paraId="0AE5FCD5">
      <w:pPr>
        <w:tabs>
          <w:tab w:val="left" w:pos="1567"/>
        </w:tabs>
        <w:bidi w:val="0"/>
        <w:jc w:val="left"/>
        <w:rPr>
          <w:rFonts w:hint="eastAsia"/>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lang w:val="en-US" w:eastAsia="zh-CN"/>
        </w:rPr>
        <w:tab/>
      </w:r>
    </w:p>
    <w:p w14:paraId="49D8064D">
      <w:pPr>
        <w:pStyle w:val="13"/>
        <w:tabs>
          <w:tab w:val="left" w:pos="4153"/>
          <w:tab w:val="center" w:pos="6978"/>
        </w:tabs>
        <w:spacing w:before="0"/>
        <w:jc w:val="left"/>
        <w:rPr>
          <w:rFonts w:hint="eastAsia"/>
          <w:lang w:val="en-US" w:eastAsia="zh-CN"/>
        </w:rPr>
        <w:sectPr>
          <w:pgSz w:w="16838" w:h="11906" w:orient="landscape"/>
          <w:pgMar w:top="1800" w:right="1440" w:bottom="1800" w:left="1440" w:header="851" w:footer="992" w:gutter="0"/>
          <w:pgNumType w:fmt="decimal"/>
          <w:cols w:space="720" w:num="1"/>
          <w:docGrid w:type="lines" w:linePitch="312" w:charSpace="0"/>
        </w:sectPr>
      </w:pPr>
      <w:r>
        <w:rPr>
          <w:rFonts w:hint="eastAsia"/>
          <w:lang w:val="en-US" w:eastAsia="zh-CN"/>
        </w:rPr>
        <w:pict>
          <v:shape id="_x0000_s1029" o:spid="_x0000_s1029" o:spt="75" type="#_x0000_t75" style="position:absolute;left:0pt;margin-left:-4.2pt;margin-top:-31.5pt;height:582.65pt;width:666.6pt;z-index:-251655168;mso-width-relative:page;mso-height-relative:page;" o:ole="t" filled="f" o:preferrelative="t" stroked="f" coordsize="21600,21600">
            <v:path/>
            <v:fill on="f" focussize="0,0"/>
            <v:stroke on="f"/>
            <v:imagedata r:id="rId20" o:title=""/>
            <o:lock v:ext="edit" aspectratio="t"/>
          </v:shape>
          <o:OLEObject Type="Embed" ProgID="Excel.Sheet.12" ShapeID="_x0000_s1029" DrawAspect="Content" ObjectID="_1468075727" r:id="rId19">
            <o:LockedField>false</o:LockedField>
          </o:OLEObject>
        </w:pict>
      </w:r>
      <w:r>
        <w:rPr>
          <w:rFonts w:hint="eastAsia"/>
          <w:lang w:val="en-US" w:eastAsia="zh-CN"/>
        </w:rPr>
        <w:tab/>
      </w:r>
      <w:r>
        <w:rPr>
          <w:rFonts w:hint="eastAsia"/>
          <w:lang w:val="en-US" w:eastAsia="zh-CN"/>
        </w:rPr>
        <w:object>
          <v:shape id="_x0000_i1025" o:spt="75" type="#_x0000_t75" style="height:0.05pt;width:0.05pt;" o:ole="t" filled="f" stroked="f" coordsize="21600,21600">
            <v:path/>
            <v:fill on="f" focussize="0,0"/>
            <v:stroke on="f"/>
            <v:imagedata o:title=""/>
            <o:lock v:ext="edit" aspectratio="t"/>
            <w10:wrap type="none"/>
            <w10:anchorlock/>
          </v:shape>
          <o:OLEObject Type="Embed" ProgID="Excel.Sheet.12" ShapeID="_x0000_i1025" DrawAspect="Content" ObjectID="_1468075728">
            <o:LockedField>false</o:LockedField>
          </o:OLEObject>
        </w:object>
      </w:r>
      <w:r>
        <w:rPr>
          <w:rFonts w:hint="eastAsia"/>
          <w:lang w:val="en-US" w:eastAsia="zh-CN"/>
        </w:rPr>
        <w:object>
          <v:shape id="_x0000_i1026" o:spt="75" type="#_x0000_t75" style="height:0.05pt;width:0.05pt;" o:ole="t" filled="f" stroked="f" coordsize="21600,21600">
            <v:path/>
            <v:fill on="f" focussize="0,0"/>
            <v:stroke on="f"/>
            <v:imagedata o:title=""/>
            <o:lock v:ext="edit" aspectratio="t"/>
            <w10:wrap type="none"/>
            <w10:anchorlock/>
          </v:shape>
          <o:OLEObject Type="Embed" ProgID="Excel.Sheet.12" ShapeID="_x0000_i1026" DrawAspect="Content" ObjectID="_1468075729">
            <o:LockedField>false</o:LockedField>
          </o:OLEObject>
        </w:object>
      </w:r>
    </w:p>
    <w:p w14:paraId="58E44F35">
      <w:pPr>
        <w:pStyle w:val="37"/>
        <w:keepNext w:val="0"/>
        <w:keepLines w:val="0"/>
        <w:pageBreakBefore w:val="0"/>
        <w:widowControl w:val="0"/>
        <w:kinsoku/>
        <w:wordWrap/>
        <w:overflowPunct/>
        <w:topLinePunct w:val="0"/>
        <w:autoSpaceDE/>
        <w:autoSpaceDN/>
        <w:bidi w:val="0"/>
        <w:spacing w:line="578" w:lineRule="exact"/>
        <w:ind w:left="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大熊猫国家公园阿坝管理分局</w:t>
      </w:r>
    </w:p>
    <w:p w14:paraId="26B1855B">
      <w:pPr>
        <w:pStyle w:val="37"/>
        <w:keepNext w:val="0"/>
        <w:keepLines w:val="0"/>
        <w:pageBreakBefore w:val="0"/>
        <w:widowControl w:val="0"/>
        <w:kinsoku/>
        <w:wordWrap/>
        <w:overflowPunct/>
        <w:topLinePunct w:val="0"/>
        <w:autoSpaceDE/>
        <w:autoSpaceDN/>
        <w:bidi w:val="0"/>
        <w:spacing w:line="578" w:lineRule="exact"/>
        <w:ind w:left="0"/>
        <w:jc w:val="center"/>
        <w:textAlignment w:val="auto"/>
        <w:rPr>
          <w:rFonts w:hint="eastAsia" w:ascii="方正小标宋简体" w:eastAsia="方正小标宋简体" w:cs="方正小标宋简体"/>
          <w:color w:val="auto"/>
          <w:kern w:val="2"/>
          <w:sz w:val="44"/>
          <w:szCs w:val="44"/>
          <w:highlight w:val="none"/>
          <w:lang w:val="en-US" w:eastAsia="zh-CN"/>
        </w:rPr>
      </w:pPr>
      <w:r>
        <w:rPr>
          <w:rFonts w:ascii="方正小标宋简体" w:eastAsia="方正小标宋简体"/>
          <w:sz w:val="44"/>
          <w:szCs w:val="44"/>
        </w:rPr>
        <w:t>宣传品采购</w:t>
      </w:r>
      <w:r>
        <w:rPr>
          <w:rFonts w:hint="eastAsia" w:ascii="方正小标宋简体" w:eastAsia="方正小标宋简体"/>
          <w:sz w:val="44"/>
          <w:szCs w:val="44"/>
          <w:lang w:val="en-US" w:eastAsia="zh-CN"/>
        </w:rPr>
        <w:t>预算</w:t>
      </w:r>
      <w:r>
        <w:rPr>
          <w:rFonts w:hint="eastAsia" w:ascii="方正小标宋简体" w:eastAsia="方正小标宋简体" w:cs="方正小标宋简体"/>
          <w:color w:val="auto"/>
          <w:kern w:val="2"/>
          <w:sz w:val="44"/>
          <w:szCs w:val="44"/>
          <w:highlight w:val="none"/>
          <w:lang w:val="en-US" w:eastAsia="zh-CN"/>
        </w:rPr>
        <w:t>项目绩效评价报告</w:t>
      </w:r>
    </w:p>
    <w:p w14:paraId="531B0F2A">
      <w:pPr>
        <w:pStyle w:val="37"/>
        <w:keepNext w:val="0"/>
        <w:keepLines w:val="0"/>
        <w:pageBreakBefore w:val="0"/>
        <w:widowControl w:val="0"/>
        <w:kinsoku/>
        <w:wordWrap/>
        <w:overflowPunct/>
        <w:topLinePunct w:val="0"/>
        <w:autoSpaceDE/>
        <w:autoSpaceDN/>
        <w:bidi w:val="0"/>
        <w:spacing w:line="578" w:lineRule="exact"/>
        <w:ind w:left="0" w:firstLine="640"/>
        <w:jc w:val="center"/>
        <w:textAlignment w:val="auto"/>
        <w:rPr>
          <w:rFonts w:ascii="宋体"/>
          <w:color w:val="auto"/>
          <w:kern w:val="2"/>
          <w:sz w:val="32"/>
          <w:szCs w:val="32"/>
          <w:highlight w:val="none"/>
        </w:rPr>
      </w:pPr>
    </w:p>
    <w:p w14:paraId="085451BD">
      <w:pPr>
        <w:keepNext w:val="0"/>
        <w:keepLines w:val="0"/>
        <w:pageBreakBefore w:val="0"/>
        <w:widowControl w:val="0"/>
        <w:kinsoku/>
        <w:wordWrap/>
        <w:overflowPunct/>
        <w:topLinePunct w:val="0"/>
        <w:autoSpaceDE/>
        <w:autoSpaceDN/>
        <w:bidi w:val="0"/>
        <w:adjustRightInd w:val="0"/>
        <w:snapToGrid w:val="0"/>
        <w:spacing w:line="578" w:lineRule="exact"/>
        <w:ind w:firstLine="960" w:firstLineChars="300"/>
        <w:textAlignment w:val="auto"/>
        <w:rPr>
          <w:rFonts w:ascii="黑体" w:eastAsia="黑体"/>
          <w:sz w:val="32"/>
          <w:szCs w:val="32"/>
          <w:highlight w:val="none"/>
          <w:lang w:val="zh-CN"/>
        </w:rPr>
      </w:pPr>
      <w:r>
        <w:rPr>
          <w:rFonts w:hint="eastAsia" w:ascii="黑体" w:eastAsia="黑体"/>
          <w:sz w:val="32"/>
          <w:szCs w:val="32"/>
          <w:highlight w:val="none"/>
        </w:rPr>
        <w:t>一、</w:t>
      </w:r>
      <w:r>
        <w:rPr>
          <w:rFonts w:hint="eastAsia" w:ascii="黑体" w:eastAsia="黑体"/>
          <w:sz w:val="32"/>
          <w:szCs w:val="32"/>
          <w:highlight w:val="none"/>
          <w:lang w:val="zh-CN"/>
        </w:rPr>
        <w:t>项目概况</w:t>
      </w:r>
    </w:p>
    <w:p w14:paraId="01DE635E">
      <w:pPr>
        <w:keepNext w:val="0"/>
        <w:keepLines w:val="0"/>
        <w:pageBreakBefore w:val="0"/>
        <w:widowControl/>
        <w:kinsoku/>
        <w:wordWrap/>
        <w:overflowPunct/>
        <w:topLinePunct w:val="0"/>
        <w:autoSpaceDE/>
        <w:autoSpaceDN/>
        <w:adjustRightInd w:val="0"/>
        <w:snapToGrid w:val="0"/>
        <w:spacing w:line="578" w:lineRule="exact"/>
        <w:ind w:left="0" w:firstLine="643" w:firstLineChars="200"/>
        <w:contextualSpacing/>
        <w:jc w:val="left"/>
        <w:rPr>
          <w:rFonts w:hint="eastAsia" w:ascii="仿宋_GB2312" w:hAnsi="仿宋_GB2312" w:eastAsia="仿宋_GB2312" w:cs="仿宋_GB2312"/>
          <w:b w:val="0"/>
          <w:sz w:val="32"/>
          <w:szCs w:val="32"/>
        </w:rPr>
      </w:pPr>
      <w:r>
        <w:rPr>
          <w:rFonts w:hint="eastAsia" w:ascii="楷体_GB2312" w:eastAsia="楷体_GB2312"/>
          <w:b/>
          <w:color w:val="auto"/>
          <w:sz w:val="32"/>
          <w:szCs w:val="32"/>
          <w:highlight w:val="none"/>
          <w:u w:val="none"/>
          <w:lang w:val="zh-CN"/>
        </w:rPr>
        <w:t>（一）设立背景及基本情况。</w:t>
      </w:r>
      <w:r>
        <w:rPr>
          <w:rFonts w:hint="eastAsia" w:ascii="仿宋_GB2312" w:hAnsi="仿宋_GB2312" w:eastAsia="仿宋_GB2312" w:cs="仿宋_GB2312"/>
          <w:color w:val="auto"/>
          <w:kern w:val="2"/>
          <w:sz w:val="32"/>
          <w:szCs w:val="32"/>
          <w:vertAlign w:val="baseline"/>
          <w:lang w:val="en-US" w:eastAsia="zh-CN" w:bidi="ar-SA"/>
        </w:rPr>
        <w:t>为切实建设好大熊猫国家公园，</w:t>
      </w:r>
      <w:r>
        <w:rPr>
          <w:rFonts w:hint="eastAsia" w:ascii="仿宋_GB2312" w:hAnsi="仿宋_GB2312" w:eastAsia="仿宋_GB2312" w:cs="仿宋_GB2312"/>
          <w:sz w:val="32"/>
          <w:szCs w:val="32"/>
          <w:lang w:val="en-US" w:eastAsia="zh-CN" w:bidi="ar-SA"/>
        </w:rPr>
        <w:t>推广《四川省大熊猫国家公园管理条例》，</w:t>
      </w:r>
      <w:r>
        <w:rPr>
          <w:rFonts w:hint="eastAsia" w:ascii="仿宋_GB2312" w:hAnsi="仿宋_GB2312" w:eastAsia="仿宋_GB2312" w:cs="仿宋_GB2312"/>
          <w:color w:val="auto"/>
          <w:kern w:val="2"/>
          <w:sz w:val="32"/>
          <w:szCs w:val="32"/>
          <w:vertAlign w:val="baseline"/>
          <w:lang w:val="en-US" w:eastAsia="zh-CN" w:bidi="ar-SA"/>
        </w:rPr>
        <w:t>筑牢大熊猫国家公园生态安全屏障，增强大熊猫国家公园阿坝片区公众野生动植物保护以及森林草原</w:t>
      </w:r>
      <w:r>
        <w:rPr>
          <w:rFonts w:hint="eastAsia" w:ascii="仿宋_GB2312" w:hAnsi="仿宋_GB2312" w:eastAsia="仿宋_GB2312" w:cs="仿宋_GB2312"/>
          <w:sz w:val="32"/>
          <w:szCs w:val="32"/>
        </w:rPr>
        <w:t>防火意识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sz w:val="32"/>
          <w:szCs w:val="32"/>
        </w:rPr>
        <w:t>按照采购资金管理办法，严格执行财务管理制度，财务处理及时，会计核算规范。采购环保布袋2000个、雨伞1700把、保温水杯200个、罩衣4000件，印制宣传折页8000册、成效图集50本。</w:t>
      </w:r>
    </w:p>
    <w:p w14:paraId="0BB512B9">
      <w:pPr>
        <w:keepNext w:val="0"/>
        <w:keepLines w:val="0"/>
        <w:pageBreakBefore w:val="0"/>
        <w:widowControl w:val="0"/>
        <w:kinsoku/>
        <w:wordWrap/>
        <w:overflowPunct/>
        <w:topLinePunct w:val="0"/>
        <w:autoSpaceDE/>
        <w:autoSpaceDN/>
        <w:bidi w:val="0"/>
        <w:adjustRightInd w:val="0"/>
        <w:snapToGrid w:val="0"/>
        <w:spacing w:line="578" w:lineRule="exact"/>
        <w:ind w:left="0" w:firstLine="643" w:firstLineChars="200"/>
        <w:textAlignment w:val="auto"/>
        <w:rPr>
          <w:rFonts w:hint="eastAsia" w:ascii="仿宋_GB2312" w:hAnsi="仿宋_GB2312" w:eastAsia="仿宋_GB2312" w:cs="仿宋_GB2312"/>
          <w:b/>
          <w:color w:val="auto"/>
          <w:sz w:val="32"/>
          <w:szCs w:val="32"/>
          <w:highlight w:val="none"/>
          <w:u w:val="none"/>
          <w:lang w:val="zh-CN"/>
        </w:rPr>
      </w:pPr>
      <w:r>
        <w:rPr>
          <w:rFonts w:hint="eastAsia" w:ascii="楷体_GB2312" w:eastAsia="楷体_GB2312"/>
          <w:b/>
          <w:color w:val="auto"/>
          <w:sz w:val="32"/>
          <w:szCs w:val="32"/>
          <w:highlight w:val="none"/>
          <w:u w:val="none"/>
          <w:lang w:val="zh-CN"/>
        </w:rPr>
        <w:t>（</w:t>
      </w:r>
      <w:r>
        <w:rPr>
          <w:rFonts w:hint="eastAsia" w:ascii="楷体_GB2312" w:eastAsia="楷体_GB2312" w:cs="Times New Roman"/>
          <w:b/>
          <w:color w:val="auto"/>
          <w:sz w:val="32"/>
          <w:szCs w:val="32"/>
          <w:highlight w:val="none"/>
          <w:u w:val="none"/>
          <w:lang w:val="zh-CN"/>
        </w:rPr>
        <w:t>二）</w:t>
      </w:r>
      <w:r>
        <w:rPr>
          <w:rFonts w:ascii="楷体_GB2312" w:eastAsia="楷体_GB2312" w:cs="Times New Roman"/>
          <w:b/>
          <w:color w:val="auto"/>
          <w:sz w:val="32"/>
          <w:szCs w:val="32"/>
          <w:highlight w:val="none"/>
          <w:u w:val="none"/>
          <w:lang w:val="en-US" w:eastAsia="zh-CN"/>
        </w:rPr>
        <w:t>实施目的及支持方向</w:t>
      </w:r>
      <w:r>
        <w:rPr>
          <w:rFonts w:hint="eastAsia" w:ascii="楷体_GB2312" w:eastAsia="楷体_GB2312" w:cs="Times New Roman"/>
          <w:b/>
          <w:color w:val="auto"/>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项目实施目的</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是</w:t>
      </w:r>
      <w:r>
        <w:rPr>
          <w:rFonts w:hint="eastAsia" w:ascii="仿宋_GB2312" w:hAnsi="仿宋_GB2312" w:eastAsia="仿宋_GB2312" w:cs="仿宋_GB2312"/>
          <w:color w:val="auto"/>
          <w:kern w:val="2"/>
          <w:sz w:val="32"/>
          <w:szCs w:val="32"/>
          <w:vertAlign w:val="baseline"/>
          <w:lang w:val="en-US" w:eastAsia="zh-CN" w:bidi="ar-SA"/>
        </w:rPr>
        <w:t>通过</w:t>
      </w:r>
      <w:r>
        <w:rPr>
          <w:rFonts w:hint="eastAsia" w:ascii="仿宋_GB2312" w:hAnsi="仿宋_GB2312" w:eastAsia="仿宋_GB2312" w:cs="仿宋_GB2312"/>
          <w:sz w:val="32"/>
          <w:szCs w:val="32"/>
          <w:lang w:val="en-US" w:eastAsia="zh-CN" w:bidi="ar-SA"/>
        </w:rPr>
        <w:t>推广《四川省大熊猫国家公园管理条例》、</w:t>
      </w:r>
      <w:r>
        <w:rPr>
          <w:rFonts w:hint="eastAsia" w:ascii="仿宋_GB2312" w:hAnsi="仿宋_GB2312" w:eastAsia="仿宋_GB2312" w:cs="仿宋_GB2312"/>
          <w:color w:val="auto"/>
          <w:kern w:val="2"/>
          <w:sz w:val="32"/>
          <w:szCs w:val="32"/>
          <w:vertAlign w:val="baseline"/>
          <w:lang w:val="en-US" w:eastAsia="zh-CN" w:bidi="ar-SA"/>
        </w:rPr>
        <w:t>开展野生动植物保护和森林草原防火的宣传教育，让野生动植物保护和防火知识入脑入心，做到人人都知晓“什么能做，什么不能做”，切实增强群众主动参与野生动植物保护和防火的思想自觉、行动自觉，不断树牢公众“ 生态保护第一、国家代表性、全民公益性”</w:t>
      </w:r>
      <w:r>
        <w:rPr>
          <w:rFonts w:hint="eastAsia" w:ascii="仿宋_GB2312" w:hAnsi="仿宋_GB2312" w:eastAsia="仿宋_GB2312" w:cs="仿宋_GB2312"/>
          <w:sz w:val="32"/>
          <w:szCs w:val="32"/>
          <w:lang w:bidi="ar-SA"/>
        </w:rPr>
        <w:t>的国家公园理念，践行“绿水青山就是金山银山”的生态文明理念，擦亮“熊猫家园·净土阿坝”金字招牌，高质量推进国家公园建设。</w:t>
      </w:r>
    </w:p>
    <w:p w14:paraId="101ECAC5">
      <w:pPr>
        <w:keepNext w:val="0"/>
        <w:keepLines w:val="0"/>
        <w:pageBreakBefore w:val="0"/>
        <w:widowControl/>
        <w:kinsoku/>
        <w:wordWrap/>
        <w:overflowPunct/>
        <w:topLinePunct w:val="0"/>
        <w:autoSpaceDE/>
        <w:autoSpaceDN/>
        <w:adjustRightInd w:val="0"/>
        <w:snapToGrid w:val="0"/>
        <w:spacing w:line="578" w:lineRule="exact"/>
        <w:ind w:left="0" w:firstLine="643"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楷体_GB2312" w:eastAsia="楷体_GB2312" w:cs="Times New Roman"/>
          <w:b/>
          <w:color w:val="auto"/>
          <w:sz w:val="32"/>
          <w:szCs w:val="32"/>
          <w:highlight w:val="none"/>
          <w:u w:val="none"/>
          <w:lang w:val="zh-CN" w:eastAsia="zh-CN"/>
        </w:rPr>
        <w:t>（三）</w:t>
      </w:r>
      <w:r>
        <w:rPr>
          <w:rFonts w:ascii="楷体_GB2312" w:eastAsia="楷体_GB2312" w:cs="Times New Roman"/>
          <w:b/>
          <w:color w:val="auto"/>
          <w:sz w:val="32"/>
          <w:szCs w:val="32"/>
          <w:highlight w:val="none"/>
          <w:u w:val="none"/>
          <w:lang w:val="en-US" w:eastAsia="zh-CN"/>
        </w:rPr>
        <w:t>预算安排及分配管理</w:t>
      </w:r>
      <w:r>
        <w:rPr>
          <w:rFonts w:hint="eastAsia" w:ascii="楷体_GB2312" w:eastAsia="楷体_GB2312" w:cs="Times New Roman"/>
          <w:b/>
          <w:color w:val="auto"/>
          <w:sz w:val="32"/>
          <w:szCs w:val="32"/>
          <w:highlight w:val="none"/>
          <w:u w:val="none"/>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zh-CN" w:eastAsia="zh-CN"/>
        </w:rPr>
        <w:t>按照采购内容，制定采购方案，明确具体经办人员，</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形成采购概算，依法依规完成采购工作</w:t>
      </w:r>
      <w:r>
        <w:rPr>
          <w:rFonts w:hint="eastAsia" w:ascii="仿宋_GB2312" w:hAnsi="仿宋_GB2312" w:eastAsia="仿宋_GB2312" w:cs="仿宋_GB2312"/>
          <w:color w:val="auto"/>
          <w:kern w:val="0"/>
          <w:sz w:val="32"/>
          <w:szCs w:val="32"/>
          <w:highlight w:val="none"/>
          <w:u w:val="none"/>
          <w:shd w:val="clear" w:color="auto" w:fill="FFFFFF"/>
          <w:lang w:val="zh-CN"/>
        </w:rPr>
        <w:t>。</w:t>
      </w:r>
    </w:p>
    <w:p w14:paraId="22C60D5C">
      <w:pPr>
        <w:keepNext w:val="0"/>
        <w:keepLines w:val="0"/>
        <w:pageBreakBefore w:val="0"/>
        <w:widowControl w:val="0"/>
        <w:kinsoku/>
        <w:wordWrap/>
        <w:overflowPunct/>
        <w:topLinePunct w:val="0"/>
        <w:autoSpaceDE/>
        <w:autoSpaceDN/>
        <w:bidi w:val="0"/>
        <w:adjustRightInd w:val="0"/>
        <w:snapToGrid w:val="0"/>
        <w:spacing w:line="578" w:lineRule="exact"/>
        <w:ind w:left="0"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sz w:val="32"/>
          <w:szCs w:val="32"/>
        </w:rPr>
        <w:t>落实专人</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根据项目实施进度情况开展</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项目自评工作。</w:t>
      </w:r>
    </w:p>
    <w:p w14:paraId="60D975C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eastAsia="黑体"/>
          <w:b w:val="0"/>
          <w:bCs w:val="0"/>
          <w:sz w:val="32"/>
          <w:szCs w:val="32"/>
          <w:highlight w:val="none"/>
          <w:lang w:eastAsia="zh-CN"/>
        </w:rPr>
      </w:pPr>
      <w:r>
        <w:rPr>
          <w:rFonts w:hint="eastAsia" w:ascii="黑体" w:eastAsia="黑体"/>
          <w:b w:val="0"/>
          <w:bCs w:val="0"/>
          <w:sz w:val="32"/>
          <w:szCs w:val="32"/>
          <w:highlight w:val="none"/>
        </w:rPr>
        <w:t>二、</w:t>
      </w:r>
      <w:r>
        <w:rPr>
          <w:rFonts w:hint="eastAsia" w:ascii="黑体" w:eastAsia="黑体"/>
          <w:b w:val="0"/>
          <w:bCs w:val="0"/>
          <w:sz w:val="32"/>
          <w:szCs w:val="32"/>
          <w:highlight w:val="none"/>
          <w:lang w:eastAsia="zh-CN"/>
        </w:rPr>
        <w:t>评价实施</w:t>
      </w:r>
    </w:p>
    <w:p w14:paraId="6B00E6A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sz w:val="32"/>
          <w:szCs w:val="32"/>
        </w:rPr>
      </w:pPr>
      <w:r>
        <w:rPr>
          <w:rFonts w:hint="eastAsia" w:ascii="楷体_GB2312" w:eastAsia="楷体_GB2312"/>
          <w:b/>
          <w:color w:val="auto"/>
          <w:sz w:val="32"/>
          <w:szCs w:val="32"/>
          <w:highlight w:val="none"/>
          <w:u w:val="none"/>
          <w:lang w:val="zh-CN"/>
        </w:rPr>
        <w:t>（一）评价目的。</w:t>
      </w:r>
      <w:r>
        <w:rPr>
          <w:rFonts w:hint="eastAsia" w:ascii="仿宋_GB2312" w:eastAsia="仿宋_GB2312"/>
          <w:sz w:val="32"/>
          <w:szCs w:val="32"/>
        </w:rPr>
        <w:t>全面评估项目的执行情况，确保项目顺利完成并实现原定目标。通过自评，检查项目是否按照预期的目标和计划进行，资源的使用是否有效，及时发现问题和不足并调整措施，‌提高执行效率和绩效水平确保项目能够按照预期目标顺利完成，同时提高组织的整体管理效率和效果，提高资金管理水平和使用效益。</w:t>
      </w:r>
    </w:p>
    <w:p w14:paraId="7C5BDA3E">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eastAsia" w:cs="Times New Roman"/>
          <w:sz w:val="32"/>
          <w:szCs w:val="32"/>
          <w:lang w:eastAsia="zh-CN"/>
        </w:rPr>
      </w:pPr>
      <w:r>
        <w:rPr>
          <w:rFonts w:hint="eastAsia" w:ascii="楷体_GB2312" w:eastAsia="楷体_GB2312"/>
          <w:b/>
          <w:color w:val="auto"/>
          <w:sz w:val="32"/>
          <w:szCs w:val="32"/>
          <w:highlight w:val="none"/>
          <w:u w:val="none"/>
          <w:lang w:val="zh-CN"/>
        </w:rPr>
        <w:t>（二）预设问题及评价重点。</w:t>
      </w:r>
      <w:r>
        <w:rPr>
          <w:rFonts w:hint="eastAsia" w:ascii="仿宋_GB2312" w:eastAsia="仿宋_GB2312"/>
          <w:sz w:val="32"/>
          <w:szCs w:val="32"/>
        </w:rPr>
        <w:t>项目资金目前在大熊猫国家公园阿坝管理分局专门账户上，专款专用、单独建帐、单独核算，在资金使用中严格执行国家财务管理制度，编制专项报表，严格资金的审批和使用，</w:t>
      </w:r>
      <w:r>
        <w:rPr>
          <w:rFonts w:hint="eastAsia" w:ascii="仿宋_GB2312" w:eastAsia="仿宋_GB2312" w:cs="仿宋_GB2312"/>
          <w:sz w:val="32"/>
          <w:szCs w:val="32"/>
          <w:lang w:bidi="ar-SA"/>
        </w:rPr>
        <w:t>资金使用规范，会计核算结果真实、准确，自评过程中未发现有截留、挤占或挪用项目资金的情况。</w:t>
      </w:r>
    </w:p>
    <w:p w14:paraId="0BC739CE">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rPr>
          <w:rFonts w:hint="eastAsia" w:cs="Times New Roman"/>
          <w:szCs w:val="32"/>
          <w:lang w:val="zh-CN" w:eastAsia="zh-CN"/>
        </w:rPr>
      </w:pPr>
      <w:r>
        <w:rPr>
          <w:rFonts w:hint="eastAsia" w:ascii="楷体_GB2312" w:eastAsia="楷体_GB2312"/>
          <w:b/>
          <w:color w:val="auto"/>
          <w:sz w:val="32"/>
          <w:szCs w:val="32"/>
          <w:highlight w:val="none"/>
          <w:u w:val="none"/>
          <w:lang w:val="zh-CN"/>
        </w:rPr>
        <w:t>（三）评价选点。</w:t>
      </w:r>
      <w:r>
        <w:rPr>
          <w:rFonts w:hint="eastAsia" w:ascii="仿宋_GB2312" w:hAnsi="仿宋_GB2312" w:eastAsia="仿宋_GB2312" w:cs="仿宋_GB2312"/>
          <w:bCs/>
          <w:color w:val="auto"/>
          <w:sz w:val="32"/>
          <w:szCs w:val="32"/>
          <w:highlight w:val="none"/>
          <w:u w:val="none"/>
          <w:lang w:val="en-US" w:eastAsia="zh-CN" w:bidi="ar-SA"/>
        </w:rPr>
        <w:t>本</w:t>
      </w:r>
      <w:r>
        <w:rPr>
          <w:rFonts w:hint="eastAsia" w:ascii="仿宋_GB2312" w:hAnsi="仿宋_GB2312" w:eastAsia="仿宋_GB2312" w:cs="仿宋_GB2312"/>
          <w:bCs/>
          <w:color w:val="auto"/>
          <w:kern w:val="0"/>
          <w:sz w:val="32"/>
          <w:szCs w:val="32"/>
          <w:highlight w:val="none"/>
          <w:u w:val="none"/>
          <w:shd w:val="clear" w:color="auto" w:fill="FFFFFF"/>
          <w:lang w:val="zh-CN" w:eastAsia="zh-CN" w:bidi="ar-SA"/>
        </w:rPr>
        <w:t>项</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目</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目标相对单一，落实专人全程参与</w:t>
      </w:r>
      <w:r>
        <w:rPr>
          <w:rFonts w:hint="eastAsia" w:ascii="仿宋_GB2312" w:hAnsi="仿宋_GB2312" w:eastAsia="仿宋_GB2312" w:cs="仿宋_GB2312"/>
          <w:sz w:val="32"/>
          <w:szCs w:val="32"/>
          <w:shd w:val="clear" w:color="auto" w:fill="FFFFFF"/>
        </w:rPr>
        <w:t>宣传品采购、监督、验收</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，实时跟踪汇报项目建设进度</w:t>
      </w:r>
      <w:r>
        <w:rPr>
          <w:rFonts w:hint="eastAsia" w:ascii="仿宋_GB2312" w:cs="仿宋_GB2312"/>
          <w:color w:val="auto"/>
          <w:kern w:val="0"/>
          <w:sz w:val="32"/>
          <w:szCs w:val="32"/>
          <w:highlight w:val="none"/>
          <w:u w:val="none"/>
          <w:shd w:val="clear" w:color="auto" w:fill="FFFFFF"/>
          <w:lang w:val="en-US" w:eastAsia="zh-CN" w:bidi="ar-SA"/>
        </w:rPr>
        <w:t>。</w:t>
      </w:r>
    </w:p>
    <w:p w14:paraId="0A124E6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 w:val="32"/>
          <w:szCs w:val="32"/>
          <w:lang w:eastAsia="zh-CN"/>
        </w:rPr>
      </w:pPr>
      <w:r>
        <w:rPr>
          <w:rFonts w:hint="eastAsia" w:ascii="楷体_GB2312" w:eastAsia="楷体_GB2312"/>
          <w:b/>
          <w:color w:val="auto"/>
          <w:sz w:val="32"/>
          <w:szCs w:val="32"/>
          <w:highlight w:val="none"/>
          <w:u w:val="none"/>
          <w:lang w:val="zh-CN"/>
        </w:rPr>
        <w:t>（四）评价方法。</w:t>
      </w:r>
      <w:r>
        <w:rPr>
          <w:rFonts w:hint="eastAsia" w:ascii="仿宋_GB2312" w:eastAsia="仿宋_GB2312"/>
          <w:sz w:val="32"/>
          <w:szCs w:val="32"/>
          <w:lang w:val="en-US" w:eastAsia="zh-CN"/>
        </w:rPr>
        <w:t>单位自评法</w:t>
      </w:r>
      <w:r>
        <w:rPr>
          <w:rFonts w:hint="eastAsia" w:ascii="仿宋_GB2312" w:eastAsia="仿宋_GB2312"/>
          <w:sz w:val="32"/>
          <w:szCs w:val="32"/>
        </w:rPr>
        <w:t>。</w:t>
      </w:r>
    </w:p>
    <w:p w14:paraId="721AFE1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bCs/>
          <w:sz w:val="32"/>
          <w:szCs w:val="32"/>
          <w:lang w:eastAsia="zh-CN"/>
        </w:rPr>
      </w:pPr>
      <w:r>
        <w:rPr>
          <w:rFonts w:hint="eastAsia" w:ascii="楷体_GB2312" w:eastAsia="楷体_GB2312"/>
          <w:b/>
          <w:color w:val="auto"/>
          <w:sz w:val="32"/>
          <w:szCs w:val="32"/>
          <w:highlight w:val="none"/>
          <w:u w:val="none"/>
          <w:lang w:val="zh-CN"/>
        </w:rPr>
        <w:t>（五）评价组织。</w:t>
      </w:r>
      <w:r>
        <w:rPr>
          <w:rFonts w:hint="eastAsia" w:ascii="仿宋_GB2312" w:eastAsia="仿宋_GB2312" w:cs="仿宋_GB2312"/>
          <w:color w:val="000000"/>
          <w:sz w:val="32"/>
          <w:szCs w:val="32"/>
          <w:lang w:bidi="ar-SA"/>
        </w:rPr>
        <w:t>根据财政绩效评价要求，由局办公室牵头，相关部室参与配合，绩效评价遵循科学规范原、公正公开原则，</w:t>
      </w:r>
      <w:r>
        <w:rPr>
          <w:rFonts w:hint="eastAsia" w:ascii="仿宋_GB2312" w:eastAsia="仿宋_GB2312"/>
          <w:sz w:val="32"/>
          <w:szCs w:val="32"/>
          <w:lang w:val="en-US" w:eastAsia="zh-CN"/>
        </w:rPr>
        <w:t>按照政府采购相关法规和分局内控制度要求，成立采购工作小组，负责采购方案编制、财政备案并按备案的采购方式组织采购。成立验收小组，负责货物验收。成立监督小组负责对采购工作全过程进行监督。</w:t>
      </w:r>
      <w:r>
        <w:rPr>
          <w:rFonts w:ascii="仿宋_GB2312" w:eastAsia="仿宋_GB2312" w:cs="仿宋_GB2312"/>
          <w:color w:val="000000"/>
          <w:sz w:val="32"/>
          <w:szCs w:val="32"/>
          <w:lang w:bidi="ar-SA"/>
        </w:rPr>
        <w:t>有序开展采购工作</w:t>
      </w:r>
      <w:r>
        <w:rPr>
          <w:rFonts w:hint="eastAsia" w:ascii="仿宋_GB2312" w:eastAsia="仿宋_GB2312" w:cs="仿宋_GB2312"/>
          <w:color w:val="000000"/>
          <w:sz w:val="32"/>
          <w:szCs w:val="32"/>
          <w:lang w:bidi="ar-SA"/>
        </w:rPr>
        <w:t>。办公室（财务室）负责审核项目资金及凭证，建设管理部、法规督查部、栖息地保护部</w:t>
      </w:r>
      <w:r>
        <w:rPr>
          <w:rFonts w:ascii="仿宋_GB2312" w:eastAsia="仿宋_GB2312" w:cs="仿宋_GB2312"/>
          <w:color w:val="000000"/>
          <w:sz w:val="32"/>
          <w:szCs w:val="32"/>
          <w:lang w:bidi="ar-SA"/>
        </w:rPr>
        <w:t>负责</w:t>
      </w:r>
      <w:r>
        <w:rPr>
          <w:rFonts w:hint="eastAsia" w:ascii="仿宋_GB2312" w:eastAsia="仿宋_GB2312" w:cs="仿宋_GB2312"/>
          <w:color w:val="000000"/>
          <w:sz w:val="32"/>
          <w:szCs w:val="32"/>
          <w:lang w:bidi="ar-SA"/>
        </w:rPr>
        <w:t>查看进度，查阅资料。</w:t>
      </w:r>
    </w:p>
    <w:p w14:paraId="530A1E3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仿宋_GB2312"/>
          <w:color w:val="auto"/>
          <w:sz w:val="32"/>
          <w:szCs w:val="32"/>
          <w:highlight w:val="none"/>
          <w:u w:val="none"/>
          <w:lang w:val="zh-CN"/>
        </w:rPr>
      </w:pPr>
      <w:r>
        <w:rPr>
          <w:rFonts w:hint="eastAsia" w:ascii="黑体" w:eastAsia="黑体"/>
          <w:color w:val="auto"/>
          <w:sz w:val="32"/>
          <w:szCs w:val="32"/>
          <w:highlight w:val="none"/>
          <w:u w:val="none"/>
        </w:rPr>
        <w:t>三、</w:t>
      </w:r>
      <w:r>
        <w:rPr>
          <w:rFonts w:hint="eastAsia" w:ascii="黑体" w:eastAsia="黑体"/>
          <w:color w:val="auto"/>
          <w:sz w:val="32"/>
          <w:szCs w:val="32"/>
          <w:highlight w:val="none"/>
          <w:u w:val="none"/>
          <w:lang w:eastAsia="zh-CN"/>
        </w:rPr>
        <w:t>绩效分析</w:t>
      </w:r>
      <w:r>
        <w:rPr>
          <w:rFonts w:hint="eastAsia" w:ascii="仿宋_GB2312"/>
          <w:color w:val="auto"/>
          <w:sz w:val="32"/>
          <w:szCs w:val="32"/>
          <w:highlight w:val="none"/>
          <w:u w:val="none"/>
          <w:lang w:val="zh-CN"/>
        </w:rPr>
        <w:tab/>
      </w:r>
    </w:p>
    <w:p w14:paraId="783899D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根据项目预算绩效评价指标体系“通用指标”“专用指标”“个性指标”涉及二、三级指标进行逐项绩效分析并评分</w:t>
      </w:r>
      <w:r>
        <w:rPr>
          <w:rFonts w:hint="eastAsia" w:ascii="仿宋_GB2312" w:hAnsi="仿宋_GB2312" w:eastAsia="仿宋_GB2312" w:cs="仿宋_GB2312"/>
          <w:sz w:val="32"/>
          <w:szCs w:val="32"/>
          <w:lang w:val="en-US" w:eastAsia="zh-CN"/>
        </w:rPr>
        <w:t>。</w:t>
      </w:r>
    </w:p>
    <w:p w14:paraId="4873BE3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eastAsia="楷体_GB2312" w:cs="Times New Roman"/>
          <w:b/>
          <w:color w:val="auto"/>
          <w:sz w:val="32"/>
          <w:szCs w:val="32"/>
          <w:highlight w:val="none"/>
          <w:u w:val="none"/>
          <w:lang w:val="en-US" w:eastAsia="zh-CN"/>
        </w:rPr>
      </w:pPr>
      <w:r>
        <w:rPr>
          <w:rFonts w:hint="eastAsia" w:ascii="楷体_GB2312" w:eastAsia="楷体_GB2312" w:cs="Times New Roman"/>
          <w:b/>
          <w:color w:val="auto"/>
          <w:sz w:val="32"/>
          <w:szCs w:val="32"/>
          <w:highlight w:val="none"/>
          <w:u w:val="none"/>
          <w:lang w:val="zh-CN"/>
        </w:rPr>
        <w:t>（一）</w:t>
      </w:r>
      <w:r>
        <w:rPr>
          <w:rFonts w:hint="eastAsia" w:ascii="楷体_GB2312" w:eastAsia="楷体_GB2312" w:cs="Times New Roman"/>
          <w:b/>
          <w:color w:val="auto"/>
          <w:sz w:val="32"/>
          <w:szCs w:val="32"/>
          <w:highlight w:val="none"/>
          <w:u w:val="none"/>
          <w:lang w:val="en-US" w:eastAsia="zh-CN"/>
        </w:rPr>
        <w:t>通用指标</w:t>
      </w:r>
      <w:r>
        <w:rPr>
          <w:rFonts w:ascii="Times New Roman" w:hAnsi="Times New Roman" w:eastAsia="楷体_GB2312" w:cs="Times New Roman"/>
          <w:b/>
          <w:bCs/>
          <w:color w:val="000000"/>
          <w:kern w:val="0"/>
          <w:sz w:val="32"/>
          <w:szCs w:val="32"/>
          <w:highlight w:val="none"/>
          <w:shd w:val="clear" w:color="auto" w:fill="FFFFFF"/>
          <w:lang w:val="zh-CN"/>
        </w:rPr>
        <w:t>绩效分析。</w:t>
      </w:r>
    </w:p>
    <w:p w14:paraId="14093F20">
      <w:pPr>
        <w:keepNext w:val="0"/>
        <w:keepLines w:val="0"/>
        <w:pageBreakBefore w:val="0"/>
        <w:widowControl w:val="0"/>
        <w:kinsoku/>
        <w:wordWrap/>
        <w:overflowPunct/>
        <w:topLinePunct w:val="0"/>
        <w:autoSpaceDE/>
        <w:autoSpaceDN/>
        <w:spacing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项目</w:t>
      </w:r>
      <w:r>
        <w:rPr>
          <w:rFonts w:hint="eastAsia" w:ascii="仿宋_GB2312" w:hAnsi="仿宋_GB2312" w:eastAsia="仿宋_GB2312" w:cs="仿宋_GB2312"/>
          <w:b/>
          <w:bCs/>
          <w:sz w:val="32"/>
          <w:szCs w:val="32"/>
        </w:rPr>
        <w:t>决策。</w:t>
      </w:r>
      <w:r>
        <w:rPr>
          <w:rFonts w:hint="eastAsia" w:ascii="仿宋_GB2312" w:hAnsi="仿宋_GB2312" w:eastAsia="仿宋_GB2312" w:cs="仿宋_GB2312"/>
          <w:sz w:val="32"/>
          <w:szCs w:val="32"/>
          <w:shd w:val="clear" w:color="auto" w:fill="auto"/>
          <w:lang w:eastAsia="zh-CN"/>
        </w:rPr>
        <w:t>制定采购方案，</w:t>
      </w:r>
      <w:r>
        <w:rPr>
          <w:rFonts w:hint="eastAsia" w:ascii="仿宋_GB2312" w:hAnsi="仿宋_GB2312" w:eastAsia="仿宋_GB2312" w:cs="仿宋_GB2312"/>
          <w:sz w:val="32"/>
          <w:szCs w:val="32"/>
          <w:shd w:val="clear" w:color="auto" w:fill="auto"/>
          <w:lang w:val="en-US" w:eastAsia="zh-CN"/>
        </w:rPr>
        <w:t>通过询价采购方式进行采购，</w:t>
      </w:r>
      <w:r>
        <w:rPr>
          <w:rFonts w:hint="eastAsia" w:ascii="仿宋_GB2312" w:hAnsi="仿宋_GB2312" w:eastAsia="仿宋_GB2312" w:cs="仿宋_GB2312"/>
          <w:b w:val="0"/>
          <w:bCs w:val="0"/>
          <w:caps w:val="0"/>
          <w:smallCaps w:val="0"/>
          <w:color w:val="auto"/>
          <w:kern w:val="2"/>
          <w:sz w:val="32"/>
          <w:szCs w:val="32"/>
          <w:vertAlign w:val="baseline"/>
          <w:lang w:val="en-US" w:eastAsia="zh-CN"/>
        </w:rPr>
        <w:t>印制了中国国家公园和大熊猫国家公园logo、野生动植物保护和森林草原防灭火宣传标语等。</w:t>
      </w:r>
      <w:r>
        <w:rPr>
          <w:rFonts w:hint="eastAsia" w:ascii="仿宋_GB2312" w:hAnsi="仿宋_GB2312" w:eastAsia="仿宋_GB2312" w:cs="仿宋_GB2312"/>
          <w:sz w:val="32"/>
          <w:szCs w:val="32"/>
          <w:shd w:val="clear" w:color="auto" w:fill="auto"/>
        </w:rPr>
        <w:t>经费来源为2023年大</w:t>
      </w:r>
      <w:r>
        <w:rPr>
          <w:rFonts w:hint="eastAsia" w:ascii="仿宋_GB2312" w:hAnsi="仿宋_GB2312" w:eastAsia="仿宋_GB2312" w:cs="仿宋_GB2312"/>
          <w:sz w:val="32"/>
          <w:szCs w:val="32"/>
          <w:shd w:val="clear" w:color="auto" w:fill="auto"/>
          <w:lang w:val="en-US" w:eastAsia="zh-CN"/>
        </w:rPr>
        <w:t>熊猫国家</w:t>
      </w:r>
      <w:r>
        <w:rPr>
          <w:rFonts w:hint="eastAsia" w:ascii="仿宋_GB2312" w:hAnsi="仿宋_GB2312" w:eastAsia="仿宋_GB2312" w:cs="仿宋_GB2312"/>
          <w:sz w:val="32"/>
          <w:szCs w:val="32"/>
          <w:shd w:val="clear" w:color="auto" w:fill="auto"/>
          <w:lang w:val="en-US" w:eastAsia="zh-CN" w:bidi="ar-SA"/>
        </w:rPr>
        <w:t>公园阿坝管理分局宣传教育经费。</w:t>
      </w:r>
      <w:r>
        <w:rPr>
          <w:rFonts w:hint="eastAsia" w:ascii="仿宋_GB2312" w:hAnsi="仿宋_GB2312" w:eastAsia="仿宋_GB2312" w:cs="仿宋_GB2312"/>
          <w:sz w:val="32"/>
          <w:szCs w:val="32"/>
        </w:rPr>
        <w:t>资金投向严格按照</w:t>
      </w:r>
      <w:r>
        <w:rPr>
          <w:rFonts w:hint="eastAsia" w:ascii="仿宋_GB2312" w:hAnsi="仿宋_GB2312" w:eastAsia="仿宋_GB2312" w:cs="仿宋_GB2312"/>
          <w:sz w:val="32"/>
          <w:szCs w:val="32"/>
          <w:lang w:val="en-US" w:eastAsia="zh-CN"/>
        </w:rPr>
        <w:t>政府采购及分局内控制度</w:t>
      </w:r>
      <w:r>
        <w:rPr>
          <w:rFonts w:hint="eastAsia" w:ascii="仿宋_GB2312" w:hAnsi="仿宋_GB2312" w:eastAsia="仿宋_GB2312" w:cs="仿宋_GB2312"/>
          <w:sz w:val="32"/>
          <w:szCs w:val="32"/>
        </w:rPr>
        <w:t>相关规定及政策要求执行。</w:t>
      </w:r>
    </w:p>
    <w:p w14:paraId="648C7D7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项目管理</w:t>
      </w:r>
      <w:r>
        <w:rPr>
          <w:rFonts w:hint="eastAsia" w:ascii="楷体_GB2312" w:eastAsia="楷体_GB2312" w:cs="楷体_GB2312"/>
          <w:color w:val="auto"/>
          <w:szCs w:val="32"/>
          <w:lang w:eastAsia="zh-CN"/>
        </w:rPr>
        <w:t>。</w:t>
      </w:r>
      <w:r>
        <w:rPr>
          <w:rFonts w:hint="eastAsia" w:ascii="仿宋_GB2312" w:hAnsi="仿宋_GB2312" w:eastAsia="仿宋_GB2312" w:cs="仿宋_GB2312"/>
          <w:sz w:val="32"/>
          <w:szCs w:val="32"/>
          <w:lang w:val="zh-CN"/>
        </w:rPr>
        <w:t>按照采购资金管理办法，严格执行财务管理制度，财务处理及时，会计核算规范。</w:t>
      </w:r>
    </w:p>
    <w:p w14:paraId="1C34866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3.项目实施。</w:t>
      </w:r>
      <w:r>
        <w:rPr>
          <w:rFonts w:hint="eastAsia" w:ascii="仿宋_GB2312" w:hAnsi="仿宋_GB2312" w:eastAsia="仿宋_GB2312" w:cs="仿宋_GB2312"/>
          <w:color w:val="000000"/>
          <w:sz w:val="32"/>
          <w:szCs w:val="32"/>
          <w:highlight w:val="none"/>
          <w:shd w:val="clear" w:color="auto" w:fill="FFFFFF"/>
          <w:lang w:val="zh-CN" w:eastAsia="zh-CN" w:bidi="ar-SA"/>
        </w:rPr>
        <w:t>严格依法依规有序推进采购工作，根据采购进度及时支付资金。</w:t>
      </w:r>
    </w:p>
    <w:p w14:paraId="3FCF75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4.项目结果。</w:t>
      </w:r>
      <w:r>
        <w:rPr>
          <w:rFonts w:hint="eastAsia" w:ascii="仿宋_GB2312" w:hAnsi="仿宋_GB2312" w:eastAsia="仿宋_GB2312" w:cs="仿宋_GB2312"/>
          <w:sz w:val="32"/>
          <w:szCs w:val="32"/>
        </w:rPr>
        <w:t>采购项目资金已于2023年12月前完成支付，宣传用品已分发汶川、茂县、松潘、九寨沟管理总站进行宣传使用。</w:t>
      </w:r>
    </w:p>
    <w:p w14:paraId="4EC41A41">
      <w:pPr>
        <w:keepNext w:val="0"/>
        <w:keepLines w:val="0"/>
        <w:pageBreakBefore w:val="0"/>
        <w:widowControl w:val="0"/>
        <w:kinsoku/>
        <w:wordWrap/>
        <w:overflowPunct/>
        <w:topLinePunct w:val="0"/>
        <w:autoSpaceDE/>
        <w:autoSpaceDN/>
        <w:adjustRightInd/>
        <w:snapToGrid/>
        <w:spacing w:line="578" w:lineRule="exact"/>
        <w:ind w:firstLine="643" w:firstLineChars="200"/>
        <w:rPr>
          <w:rFonts w:hint="eastAsia" w:ascii="仿宋_GB2312" w:hAnsi="仿宋_GB2312" w:eastAsia="仿宋_GB2312" w:cs="仿宋_GB2312"/>
          <w:sz w:val="32"/>
          <w:szCs w:val="32"/>
        </w:rPr>
      </w:pPr>
      <w:r>
        <w:rPr>
          <w:rFonts w:hint="eastAsia" w:ascii="楷体_GB2312" w:eastAsia="楷体_GB2312" w:cs="Times New Roman"/>
          <w:b/>
          <w:bCs w:val="0"/>
          <w:color w:val="auto"/>
          <w:sz w:val="32"/>
          <w:szCs w:val="32"/>
          <w:highlight w:val="none"/>
          <w:u w:val="none"/>
          <w:lang w:val="zh-CN"/>
        </w:rPr>
        <w:t>（二）</w:t>
      </w:r>
      <w:r>
        <w:rPr>
          <w:rFonts w:hint="eastAsia" w:ascii="楷体_GB2312" w:eastAsia="楷体_GB2312" w:cs="Times New Roman"/>
          <w:b/>
          <w:bCs w:val="0"/>
          <w:color w:val="auto"/>
          <w:sz w:val="32"/>
          <w:szCs w:val="32"/>
          <w:highlight w:val="none"/>
          <w:u w:val="none"/>
          <w:lang w:val="en-US" w:eastAsia="zh-CN"/>
        </w:rPr>
        <w:t>专用指标</w:t>
      </w:r>
      <w:r>
        <w:rPr>
          <w:rFonts w:ascii="Times New Roman" w:hAnsi="Times New Roman" w:eastAsia="楷体_GB2312" w:cs="Times New Roman"/>
          <w:b/>
          <w:bCs w:val="0"/>
          <w:color w:val="000000"/>
          <w:kern w:val="0"/>
          <w:sz w:val="32"/>
          <w:szCs w:val="32"/>
          <w:highlight w:val="none"/>
          <w:shd w:val="clear" w:color="auto" w:fill="FFFFFF"/>
          <w:lang w:val="zh-CN"/>
        </w:rPr>
        <w:t>绩效分析。</w:t>
      </w:r>
      <w:r>
        <w:rPr>
          <w:rFonts w:hint="eastAsia" w:ascii="仿宋_GB2312" w:hAnsi="仿宋_GB2312" w:eastAsia="仿宋_GB2312" w:cs="仿宋_GB2312"/>
          <w:sz w:val="32"/>
          <w:szCs w:val="32"/>
        </w:rPr>
        <w:t>执行过程中，严格按照管理办法相关要求，</w:t>
      </w:r>
      <w:r>
        <w:rPr>
          <w:rFonts w:hint="eastAsia" w:ascii="仿宋_GB2312" w:hAnsi="仿宋_GB2312" w:eastAsia="仿宋_GB2312" w:cs="仿宋_GB2312"/>
          <w:b w:val="0"/>
          <w:bCs w:val="0"/>
          <w:caps w:val="0"/>
          <w:smallCaps w:val="0"/>
          <w:color w:val="auto"/>
          <w:kern w:val="2"/>
          <w:sz w:val="32"/>
          <w:szCs w:val="32"/>
          <w:vertAlign w:val="baseline"/>
          <w:lang w:val="en-US" w:eastAsia="zh-CN"/>
        </w:rPr>
        <w:t>宣传品印制了中国国家公园和大熊猫国家公园logo、野生动植物保护和森林草原防灭火宣传标语等。通过开展宣传教育，切实增强群众主动参与野生动植物保护和防火的思想自觉、行动自觉。</w:t>
      </w:r>
      <w:r>
        <w:rPr>
          <w:rFonts w:hint="eastAsia" w:ascii="仿宋_GB2312" w:hAnsi="仿宋_GB2312" w:eastAsia="仿宋_GB2312" w:cs="仿宋_GB2312"/>
          <w:sz w:val="32"/>
          <w:szCs w:val="32"/>
        </w:rPr>
        <w:t>政策实施对象中不存在明显不合理的排他性规定，政策实施后相关受益群体的整体满意调查良好，满意度100%。</w:t>
      </w:r>
    </w:p>
    <w:p w14:paraId="76E9A374">
      <w:pPr>
        <w:keepNext w:val="0"/>
        <w:keepLines w:val="0"/>
        <w:pageBreakBefore w:val="0"/>
        <w:widowControl w:val="0"/>
        <w:kinsoku/>
        <w:wordWrap/>
        <w:overflowPunct/>
        <w:topLinePunct w:val="0"/>
        <w:autoSpaceDE/>
        <w:autoSpaceDN/>
        <w:adjustRightInd/>
        <w:snapToGrid/>
        <w:spacing w:line="578" w:lineRule="exact"/>
        <w:ind w:firstLine="643" w:firstLineChars="200"/>
        <w:rPr>
          <w:rFonts w:hint="eastAsia" w:ascii="仿宋_GB2312" w:hAnsi="仿宋_GB2312" w:eastAsia="仿宋_GB2312" w:cs="仿宋_GB2312"/>
          <w:color w:val="auto"/>
          <w:sz w:val="32"/>
          <w:szCs w:val="32"/>
          <w:lang w:val="en-US" w:eastAsia="zh-CN"/>
        </w:rPr>
      </w:pPr>
      <w:r>
        <w:rPr>
          <w:rFonts w:hint="eastAsia" w:ascii="楷体_GB2312" w:eastAsia="楷体_GB2312" w:cs="Times New Roman"/>
          <w:b/>
          <w:color w:val="auto"/>
          <w:sz w:val="32"/>
          <w:szCs w:val="32"/>
          <w:highlight w:val="none"/>
          <w:u w:val="none"/>
          <w:lang w:val="zh-CN"/>
        </w:rPr>
        <w:t>（三）</w:t>
      </w:r>
      <w:r>
        <w:rPr>
          <w:rFonts w:hint="eastAsia" w:ascii="楷体_GB2312" w:eastAsia="楷体_GB2312" w:cs="Times New Roman"/>
          <w:b/>
          <w:color w:val="auto"/>
          <w:sz w:val="32"/>
          <w:szCs w:val="32"/>
          <w:highlight w:val="none"/>
          <w:u w:val="none"/>
          <w:lang w:val="en-US" w:eastAsia="zh-CN"/>
        </w:rPr>
        <w:t>个性指标</w:t>
      </w:r>
      <w:r>
        <w:rPr>
          <w:rFonts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hAnsi="仿宋_GB2312" w:eastAsia="仿宋_GB2312" w:cs="仿宋_GB2312"/>
          <w:b w:val="0"/>
          <w:bCs w:val="0"/>
          <w:caps w:val="0"/>
          <w:smallCaps w:val="0"/>
          <w:color w:val="auto"/>
          <w:kern w:val="2"/>
          <w:sz w:val="32"/>
          <w:szCs w:val="32"/>
          <w:vertAlign w:val="baseline"/>
          <w:lang w:val="en-US" w:eastAsia="zh-CN"/>
        </w:rPr>
        <w:t>采购</w:t>
      </w:r>
      <w:r>
        <w:rPr>
          <w:rFonts w:hint="eastAsia" w:ascii="仿宋_GB2312" w:hAnsi="仿宋_GB2312" w:eastAsia="仿宋_GB2312" w:cs="仿宋_GB2312"/>
          <w:sz w:val="32"/>
          <w:szCs w:val="32"/>
          <w:lang w:bidi="ar-SA"/>
        </w:rPr>
        <w:t>环保布袋2000个</w:t>
      </w:r>
      <w:r>
        <w:rPr>
          <w:rFonts w:hint="eastAsia" w:ascii="仿宋_GB2312" w:hAnsi="仿宋_GB2312" w:eastAsia="仿宋_GB2312" w:cs="仿宋_GB2312"/>
          <w:b w:val="0"/>
          <w:bCs w:val="0"/>
          <w:caps w:val="0"/>
          <w:smallCaps w:val="0"/>
          <w:color w:val="auto"/>
          <w:kern w:val="2"/>
          <w:sz w:val="32"/>
          <w:szCs w:val="32"/>
          <w:vertAlign w:val="baseline"/>
          <w:lang w:val="en-US" w:eastAsia="zh-CN"/>
        </w:rPr>
        <w:t>、雨伞1700把、保温水杯200个、罩衣4000件，印制宣传折页8000册、成效图集50本，共计</w:t>
      </w:r>
      <w:r>
        <w:rPr>
          <w:rFonts w:hint="eastAsia" w:ascii="仿宋_GB2312" w:hAnsi="仿宋_GB2312" w:eastAsia="仿宋_GB2312" w:cs="仿宋_GB2312"/>
          <w:sz w:val="32"/>
          <w:szCs w:val="32"/>
          <w:lang w:val="zh-CN"/>
        </w:rPr>
        <w:t>14.41万元</w:t>
      </w:r>
      <w:r>
        <w:rPr>
          <w:rFonts w:hint="eastAsia" w:ascii="仿宋_GB2312" w:hAnsi="仿宋_GB2312" w:eastAsia="仿宋_GB2312" w:cs="仿宋_GB2312"/>
          <w:sz w:val="32"/>
          <w:szCs w:val="32"/>
        </w:rPr>
        <w:t>。采购项目资金已于2023年12月前完成支付。</w:t>
      </w:r>
    </w:p>
    <w:p w14:paraId="58FE57C3">
      <w:pPr>
        <w:pStyle w:val="7"/>
        <w:pageBreakBefore w:val="0"/>
        <w:widowControl/>
        <w:tabs>
          <w:tab w:val="left" w:pos="2160"/>
        </w:tabs>
        <w:kinsoku/>
        <w:wordWrap/>
        <w:overflowPunct/>
        <w:topLinePunct w:val="0"/>
        <w:autoSpaceDE/>
        <w:autoSpaceDN/>
        <w:bidi w:val="0"/>
        <w:adjustRightInd/>
        <w:spacing w:line="600" w:lineRule="exact"/>
        <w:ind w:left="0" w:firstLine="640" w:firstLineChars="200"/>
        <w:textAlignment w:val="auto"/>
        <w:rPr>
          <w:rFonts w:hint="eastAsia" w:ascii="黑体" w:eastAsia="黑体"/>
          <w:color w:val="auto"/>
          <w:sz w:val="32"/>
          <w:szCs w:val="32"/>
          <w:highlight w:val="none"/>
          <w:u w:val="none"/>
        </w:rPr>
      </w:pPr>
      <w:r>
        <w:rPr>
          <w:rFonts w:hint="eastAsia" w:ascii="黑体" w:eastAsia="黑体"/>
          <w:color w:val="auto"/>
          <w:sz w:val="32"/>
          <w:szCs w:val="32"/>
          <w:highlight w:val="none"/>
          <w:u w:val="none"/>
          <w:lang w:eastAsia="zh-CN"/>
        </w:rPr>
        <w:t>四</w:t>
      </w:r>
      <w:r>
        <w:rPr>
          <w:rFonts w:hint="eastAsia" w:ascii="黑体" w:eastAsia="黑体"/>
          <w:color w:val="auto"/>
          <w:sz w:val="32"/>
          <w:szCs w:val="32"/>
          <w:highlight w:val="none"/>
          <w:u w:val="none"/>
        </w:rPr>
        <w:t>、评价结论</w:t>
      </w:r>
    </w:p>
    <w:p w14:paraId="207E1162">
      <w:pPr>
        <w:spacing w:line="560" w:lineRule="exact"/>
        <w:ind w:firstLine="640" w:firstLineChars="200"/>
        <w:rPr>
          <w:rFonts w:hint="eastAsia" w:ascii="仿宋_GB2312" w:eastAsia="仿宋_GB2312" w:cs="仿宋_GB2312"/>
          <w:sz w:val="32"/>
          <w:szCs w:val="32"/>
          <w:lang w:val="zh-CN" w:eastAsia="zh-CN" w:bidi="ar-SA"/>
        </w:rPr>
      </w:pPr>
      <w:r>
        <w:rPr>
          <w:rFonts w:hint="eastAsia" w:ascii="仿宋_GB2312" w:eastAsia="仿宋_GB2312" w:cs="仿宋_GB2312"/>
          <w:sz w:val="32"/>
          <w:szCs w:val="32"/>
          <w:lang w:val="zh-CN" w:eastAsia="zh-CN" w:bidi="ar-SA"/>
        </w:rPr>
        <w:t>从综合评价来看，项目立项依据充分，均设定了项目绩效目标，资金配置科学合理，严格项目</w:t>
      </w:r>
      <w:r>
        <w:rPr>
          <w:rFonts w:hint="eastAsia" w:ascii="仿宋_GB2312" w:cs="仿宋_GB2312"/>
          <w:sz w:val="32"/>
          <w:szCs w:val="32"/>
          <w:lang w:val="en-US" w:eastAsia="zh-CN" w:bidi="ar-SA"/>
        </w:rPr>
        <w:t>采购</w:t>
      </w:r>
      <w:r>
        <w:rPr>
          <w:rFonts w:hint="eastAsia" w:ascii="仿宋_GB2312" w:eastAsia="仿宋_GB2312" w:cs="仿宋_GB2312"/>
          <w:sz w:val="32"/>
          <w:szCs w:val="32"/>
          <w:lang w:val="zh-CN" w:eastAsia="zh-CN" w:bidi="ar-SA"/>
        </w:rPr>
        <w:t>管理，按规定履行报批手续，制定了实施方案，细化任务并明确绩效目标。涉及采购的严格按照政府采购相关程序执行，建设、验收等严格执行相关制度规定。整体情况良好。</w:t>
      </w:r>
    </w:p>
    <w:p w14:paraId="6E46FA8A">
      <w:pPr>
        <w:pStyle w:val="7"/>
        <w:pageBreakBefore w:val="0"/>
        <w:widowControl/>
        <w:tabs>
          <w:tab w:val="left" w:pos="2160"/>
        </w:tabs>
        <w:kinsoku/>
        <w:wordWrap/>
        <w:overflowPunct/>
        <w:topLinePunct w:val="0"/>
        <w:autoSpaceDE/>
        <w:autoSpaceDN/>
        <w:bidi w:val="0"/>
        <w:adjustRightInd/>
        <w:spacing w:line="600" w:lineRule="exact"/>
        <w:ind w:left="0" w:firstLine="640" w:firstLineChars="200"/>
        <w:textAlignment w:val="auto"/>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五、存在主要问题</w:t>
      </w:r>
    </w:p>
    <w:p w14:paraId="735BC9E8">
      <w:pPr>
        <w:pStyle w:val="7"/>
        <w:pageBreakBefore w:val="0"/>
        <w:widowControl/>
        <w:tabs>
          <w:tab w:val="left" w:pos="2160"/>
        </w:tabs>
        <w:kinsoku/>
        <w:wordWrap/>
        <w:overflowPunct/>
        <w:topLinePunct w:val="0"/>
        <w:autoSpaceDE/>
        <w:autoSpaceDN/>
        <w:bidi w:val="0"/>
        <w:adjustRightInd/>
        <w:spacing w:line="600" w:lineRule="exact"/>
        <w:ind w:left="0" w:firstLine="640" w:firstLineChars="200"/>
        <w:textAlignment w:val="auto"/>
        <w:rPr>
          <w:rFonts w:hint="eastAsia" w:ascii="黑体" w:cs="黑体"/>
          <w:b w:val="0"/>
          <w:bCs w:val="0"/>
          <w:kern w:val="2"/>
          <w:position w:val="0"/>
          <w:sz w:val="32"/>
          <w:szCs w:val="32"/>
          <w:highlight w:val="none"/>
          <w:lang w:val="en-US" w:eastAsia="zh-CN" w:bidi="ar-SA"/>
        </w:rPr>
      </w:pPr>
      <w:r>
        <w:rPr>
          <w:rFonts w:ascii="仿宋_GB2312" w:eastAsia="仿宋_GB2312" w:cs="仿宋_GB2312"/>
          <w:b w:val="0"/>
          <w:bCs w:val="0"/>
          <w:kern w:val="0"/>
          <w:position w:val="0"/>
          <w:sz w:val="32"/>
          <w:szCs w:val="32"/>
          <w:highlight w:val="none"/>
          <w:lang w:val="en-US" w:eastAsia="zh-CN" w:bidi="ar-SA"/>
        </w:rPr>
        <w:t>无</w:t>
      </w:r>
      <w:r>
        <w:rPr>
          <w:rFonts w:hint="eastAsia" w:ascii="仿宋_GB2312" w:eastAsia="仿宋_GB2312" w:cs="仿宋_GB2312"/>
          <w:b w:val="0"/>
          <w:bCs w:val="0"/>
          <w:kern w:val="0"/>
          <w:position w:val="0"/>
          <w:sz w:val="32"/>
          <w:szCs w:val="32"/>
          <w:highlight w:val="none"/>
          <w:lang w:val="en-US" w:eastAsia="zh-CN" w:bidi="ar-SA"/>
        </w:rPr>
        <w:t>。</w:t>
      </w:r>
    </w:p>
    <w:p w14:paraId="3F55832D">
      <w:pPr>
        <w:pStyle w:val="7"/>
        <w:pageBreakBefore w:val="0"/>
        <w:widowControl/>
        <w:tabs>
          <w:tab w:val="left" w:pos="2160"/>
        </w:tabs>
        <w:kinsoku/>
        <w:wordWrap/>
        <w:overflowPunct/>
        <w:topLinePunct w:val="0"/>
        <w:autoSpaceDE/>
        <w:autoSpaceDN/>
        <w:bidi w:val="0"/>
        <w:adjustRightInd/>
        <w:spacing w:line="600" w:lineRule="exact"/>
        <w:ind w:left="0" w:firstLine="640" w:firstLineChars="200"/>
        <w:textAlignment w:val="auto"/>
        <w:rPr>
          <w:rFonts w:hint="eastAsia" w:ascii="黑体" w:eastAsia="黑体" w:cs="Times New Roman"/>
          <w:color w:val="auto"/>
          <w:kern w:val="0"/>
          <w:position w:val="3"/>
          <w:sz w:val="32"/>
          <w:szCs w:val="32"/>
          <w:highlight w:val="none"/>
          <w:u w:val="none"/>
          <w:lang w:val="zh-CN" w:eastAsia="zh-CN" w:bidi="ar-SA"/>
        </w:rPr>
      </w:pPr>
      <w:r>
        <w:rPr>
          <w:rFonts w:hint="eastAsia" w:ascii="黑体" w:eastAsia="黑体" w:cs="Times New Roman"/>
          <w:color w:val="auto"/>
          <w:kern w:val="0"/>
          <w:position w:val="3"/>
          <w:sz w:val="32"/>
          <w:szCs w:val="32"/>
          <w:highlight w:val="none"/>
          <w:u w:val="none"/>
          <w:lang w:val="zh-CN" w:eastAsia="zh-CN" w:bidi="ar-SA"/>
        </w:rPr>
        <w:t>六、改进建议</w:t>
      </w:r>
    </w:p>
    <w:p w14:paraId="6A230B95">
      <w:pPr>
        <w:tabs>
          <w:tab w:val="left" w:pos="1911"/>
        </w:tabs>
        <w:jc w:val="left"/>
        <w:rPr>
          <w:rFonts w:hint="eastAsia" w:ascii="仿宋_GB2312" w:eastAsia="仿宋_GB2312" w:cs="仿宋_GB2312"/>
          <w:b w:val="0"/>
          <w:bCs w:val="0"/>
          <w:kern w:val="0"/>
          <w:position w:val="0"/>
          <w:sz w:val="32"/>
          <w:szCs w:val="32"/>
          <w:highlight w:val="none"/>
          <w:lang w:eastAsia="zh-CN" w:bidi="ar-SA"/>
        </w:rPr>
      </w:pPr>
      <w:r>
        <w:rPr>
          <w:rFonts w:hint="eastAsia" w:asci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cs="仿宋_GB2312"/>
          <w:b w:val="0"/>
          <w:bCs w:val="0"/>
          <w:kern w:val="0"/>
          <w:position w:val="0"/>
          <w:sz w:val="32"/>
          <w:szCs w:val="32"/>
          <w:highlight w:val="none"/>
          <w:lang w:val="en-US" w:eastAsia="zh-CN" w:bidi="ar-SA"/>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无。</w:t>
      </w:r>
    </w:p>
    <w:p w14:paraId="7E62A81A">
      <w:pPr>
        <w:keepNext w:val="0"/>
        <w:keepLines w:val="0"/>
        <w:pageBreakBefore w:val="0"/>
        <w:widowControl w:val="0"/>
        <w:kinsoku/>
        <w:wordWrap/>
        <w:overflowPunct/>
        <w:topLinePunct w:val="0"/>
        <w:autoSpaceDE/>
        <w:autoSpaceDN/>
        <w:bidi w:val="0"/>
        <w:adjustRightInd/>
        <w:snapToGrid w:val="0"/>
        <w:spacing w:line="578" w:lineRule="exact"/>
        <w:ind w:left="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p>
    <w:p w14:paraId="3E546E36">
      <w:pP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highlight w:val="none"/>
          <w:shd w:val="clear" w:color="auto" w:fill="FFFFFF"/>
          <w:lang w:val="en-US" w:eastAsia="zh-CN"/>
        </w:rPr>
        <w:t>附表：</w:t>
      </w:r>
      <w:r>
        <w:rPr>
          <w:rFonts w:hint="eastAsia" w:ascii="仿宋_GB2312" w:hAnsi="Times New Roman" w:eastAsia="仿宋_GB2312" w:cs="仿宋_GB2312"/>
          <w:kern w:val="0"/>
          <w:sz w:val="32"/>
          <w:szCs w:val="32"/>
          <w:lang w:val="en-US" w:eastAsia="zh-CN" w:bidi="ar-SA"/>
        </w:rPr>
        <w:t>部门</w:t>
      </w:r>
      <w:r>
        <w:rPr>
          <w:rFonts w:hint="eastAsia" w:ascii="仿宋_GB2312" w:hAnsi="Times New Roman" w:eastAsia="仿宋_GB2312" w:cs="仿宋_GB2312"/>
          <w:kern w:val="0"/>
          <w:sz w:val="32"/>
          <w:szCs w:val="32"/>
          <w:lang w:val="zh-CN" w:eastAsia="zh-CN" w:bidi="ar-SA"/>
        </w:rPr>
        <w:t>预算项目支出绩效自评表（2023年度）</w:t>
      </w:r>
    </w:p>
    <w:p w14:paraId="74B13CA7">
      <w:pPr>
        <w:keepNext w:val="0"/>
        <w:keepLines w:val="0"/>
        <w:pageBreakBefore w:val="0"/>
        <w:widowControl w:val="0"/>
        <w:kinsoku/>
        <w:wordWrap/>
        <w:overflowPunct/>
        <w:topLinePunct w:val="0"/>
        <w:autoSpaceDE/>
        <w:autoSpaceDN/>
        <w:bidi w:val="0"/>
        <w:adjustRightInd/>
        <w:snapToGrid w:val="0"/>
        <w:spacing w:line="578" w:lineRule="exact"/>
        <w:ind w:left="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sectPr>
          <w:pgSz w:w="11906" w:h="16838"/>
          <w:pgMar w:top="1440" w:right="1800" w:bottom="1440" w:left="1800" w:header="851" w:footer="992" w:gutter="0"/>
          <w:pgNumType w:fmt="decimal"/>
          <w:cols w:space="425" w:num="1"/>
          <w:titlePg/>
          <w:docGrid w:type="lines" w:linePitch="312" w:charSpace="0"/>
        </w:sectPr>
      </w:pPr>
      <w:r>
        <w:rPr>
          <w:rFonts w:hint="eastAsia" w:ascii="Times New Roman" w:hAnsi="Times New Roman" w:cs="Times New Roman"/>
          <w:color w:val="000000"/>
          <w:kern w:val="0"/>
          <w:szCs w:val="32"/>
          <w:highlight w:val="none"/>
          <w:shd w:val="clear" w:color="auto" w:fill="FFFFFF"/>
          <w:lang w:val="zh-CN" w:eastAsia="zh-CN"/>
        </w:rPr>
        <w:br w:type="page"/>
      </w:r>
    </w:p>
    <w:p w14:paraId="64701DAD">
      <w:pPr>
        <w:pStyle w:val="22"/>
        <w:rPr>
          <w:rFonts w:hint="eastAsia"/>
          <w:lang w:val="zh-CN" w:eastAsia="zh-CN"/>
        </w:rPr>
      </w:pPr>
      <w:r>
        <w:rPr>
          <w:rFonts w:hint="eastAsia"/>
          <w:lang w:val="zh-CN" w:eastAsia="zh-CN"/>
        </w:rPr>
        <w:pict>
          <v:shape id="_x0000_s1030" o:spid="_x0000_s1030" o:spt="75" type="#_x0000_t75" style="position:absolute;left:0pt;margin-left:4.8pt;margin-top:-86.5pt;height:667.3pt;width:688.85pt;z-index:-251654144;mso-width-relative:page;mso-height-relative:page;" o:ole="t" filled="f" o:preferrelative="t" stroked="f" coordsize="21600,21600">
            <v:path/>
            <v:fill on="f" focussize="0,0"/>
            <v:stroke on="f"/>
            <v:imagedata r:id="rId22" o:title=""/>
            <o:lock v:ext="edit" aspectratio="t"/>
          </v:shape>
          <o:OLEObject Type="Embed" ProgID="Excel.Sheet.12" ShapeID="_x0000_s1030" DrawAspect="Content" ObjectID="_1468075730" r:id="rId21">
            <o:LockedField>false</o:LockedField>
          </o:OLEObject>
        </w:pict>
      </w:r>
    </w:p>
    <w:p w14:paraId="78011312">
      <w:pPr>
        <w:pStyle w:val="13"/>
        <w:spacing w:before="0"/>
        <w:rPr>
          <w:rFonts w:hint="eastAsia" w:eastAsia="仿宋"/>
          <w:lang w:eastAsia="zh-CN"/>
        </w:rPr>
        <w:sectPr>
          <w:pgSz w:w="16838" w:h="11906" w:orient="landscape"/>
          <w:pgMar w:top="1800" w:right="1440" w:bottom="1800" w:left="1440" w:header="851" w:footer="992" w:gutter="0"/>
          <w:pgNumType w:fmt="decimal"/>
          <w:cols w:space="425" w:num="1"/>
          <w:titlePg/>
          <w:docGrid w:type="lines" w:linePitch="312" w:charSpace="0"/>
        </w:sectPr>
      </w:pPr>
      <w:r>
        <w:rPr>
          <w:rFonts w:hint="eastAsia" w:eastAsia="仿宋"/>
          <w:lang w:eastAsia="zh-CN"/>
        </w:rPr>
        <w:object>
          <v:shape id="_x0000_i1027" o:spt="75" type="#_x0000_t75" style="height:0.05pt;width:0.05pt;" o:ole="t" filled="f" stroked="f" coordsize="21600,21600">
            <v:path/>
            <v:fill on="f" focussize="0,0"/>
            <v:stroke on="f"/>
            <v:imagedata o:title=""/>
            <o:lock v:ext="edit" aspectratio="t"/>
            <w10:wrap type="none"/>
            <w10:anchorlock/>
          </v:shape>
          <o:OLEObject Type="Embed" ProgID="Excel.Sheet.12" ShapeID="_x0000_i1027" DrawAspect="Content" ObjectID="_1468075731">
            <o:LockedField>false</o:LockedField>
          </o:OLEObject>
        </w:object>
      </w:r>
    </w:p>
    <w:p w14:paraId="24A2C401">
      <w:pPr>
        <w:rPr>
          <w:rFonts w:hint="eastAsia"/>
        </w:rPr>
      </w:pPr>
    </w:p>
    <w:p w14:paraId="698AE190">
      <w:pPr>
        <w:jc w:val="center"/>
        <w:rPr>
          <w:rFonts w:ascii="方正小标宋简体" w:hAnsi="??" w:eastAsia="方正小标宋简体" w:cs="Times New Roman"/>
          <w:color w:val="000000"/>
          <w:kern w:val="0"/>
          <w:sz w:val="44"/>
          <w:szCs w:val="44"/>
          <w:lang w:val="zh-CN"/>
        </w:rPr>
      </w:pPr>
      <w:r>
        <w:rPr>
          <w:rFonts w:hint="eastAsia" w:ascii="方正小标宋简体" w:hAnsi="??" w:eastAsia="方正小标宋简体" w:cs="Times New Roman"/>
          <w:color w:val="000000"/>
          <w:kern w:val="0"/>
          <w:sz w:val="44"/>
          <w:szCs w:val="44"/>
          <w:lang w:val="zh-CN"/>
        </w:rPr>
        <w:t>大熊猫国家公园阿坝片区</w:t>
      </w:r>
    </w:p>
    <w:p w14:paraId="7F188FE2">
      <w:pPr>
        <w:jc w:val="center"/>
        <w:rPr>
          <w:rFonts w:ascii="方正小标宋简体" w:hAnsi="??" w:eastAsia="方正小标宋简体" w:cs="Times New Roman"/>
          <w:color w:val="000000"/>
          <w:kern w:val="0"/>
          <w:sz w:val="44"/>
          <w:szCs w:val="44"/>
          <w:lang w:val="zh-CN"/>
        </w:rPr>
      </w:pPr>
      <w:r>
        <w:rPr>
          <w:rFonts w:hint="eastAsia" w:ascii="方正小标宋简体" w:hAnsi="??" w:eastAsia="方正小标宋简体" w:cs="Times New Roman"/>
          <w:color w:val="000000"/>
          <w:kern w:val="0"/>
          <w:sz w:val="44"/>
          <w:szCs w:val="44"/>
          <w:lang w:val="zh-CN"/>
        </w:rPr>
        <w:t>规划编制预算项目支出绩效自评报告</w:t>
      </w:r>
    </w:p>
    <w:p w14:paraId="14772E00">
      <w:pPr>
        <w:adjustRightInd w:val="0"/>
        <w:snapToGrid w:val="0"/>
        <w:spacing w:line="578" w:lineRule="exact"/>
        <w:ind w:firstLine="640" w:firstLineChars="200"/>
        <w:rPr>
          <w:rFonts w:ascii="黑体" w:hAnsi="宋体" w:eastAsia="黑体" w:cs="Times New Roman"/>
          <w:sz w:val="32"/>
          <w:szCs w:val="32"/>
        </w:rPr>
      </w:pPr>
      <w:r>
        <w:rPr>
          <w:rFonts w:hint="eastAsia" w:ascii="黑体" w:hAnsi="宋体" w:eastAsia="黑体" w:cs="Times New Roman"/>
          <w:sz w:val="32"/>
          <w:szCs w:val="32"/>
        </w:rPr>
        <w:t>一、项目概况</w:t>
      </w:r>
    </w:p>
    <w:p w14:paraId="6EB43ACA">
      <w:pPr>
        <w:ind w:firstLine="482" w:firstLineChars="150"/>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（一）设立背景及基本情况。</w:t>
      </w:r>
    </w:p>
    <w:p w14:paraId="54B58A8C">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高质量推进大熊猫国家公园阿坝片区建设，依据《国家主体功能区规划》、《全国重要生态系统保护和修复重大工程总体规划（2021-2035）》、《大熊猫国家公园总体规划》以及《大熊猫国家公园四川片区总体规划》等，编制《大熊猫国家公园阿坝片区规划》。2022年1月，大熊猫国家公园阿坝管理分局成立编制服务采购领导小组，3月委托代理机构采取竞争性磋商的采购方式确定了国家林业和草原局调查规划院承担规划编制工作。经实地调查，在分析研判《大熊猫国家公园总体规划（试行）》的基础上，结合阿坝片区实际，科学谋划了大熊猫国家公园阿坝片区总规和2022年-2030年项目规划，编制单位于9月形成了《规划（初稿）》。大熊猫国家公园阿坝管理分局及汶川、茂县、松潘、九寨沟县林草局结合实际提出修改意见建议，并征求州级相关部门、相关县人民政府意见后，编制单位多次修改完善后于2023年6月送专家评审。</w:t>
      </w:r>
    </w:p>
    <w:p w14:paraId="2ABF61ED">
      <w:pPr>
        <w:ind w:firstLine="482" w:firstLineChars="150"/>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w:t>
      </w:r>
      <w:r>
        <w:rPr>
          <w:rFonts w:ascii="楷体_GB2312" w:hAnsi="宋体" w:eastAsia="楷体_GB2312" w:cs="Times New Roman"/>
          <w:b/>
          <w:sz w:val="32"/>
          <w:szCs w:val="32"/>
          <w:lang w:val="zh-CN"/>
        </w:rPr>
        <w:t>实施目的及支持方向</w:t>
      </w:r>
      <w:r>
        <w:rPr>
          <w:rFonts w:hint="eastAsia" w:ascii="楷体_GB2312" w:hAnsi="宋体" w:eastAsia="楷体_GB2312" w:cs="Times New Roman"/>
          <w:b/>
          <w:sz w:val="32"/>
          <w:szCs w:val="32"/>
          <w:lang w:val="zh-CN"/>
        </w:rPr>
        <w:t>。</w:t>
      </w:r>
    </w:p>
    <w:p w14:paraId="587174B6">
      <w:pPr>
        <w:ind w:firstLine="320" w:firstLineChars="1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规划（征求意见稿）》共12章、共47节。依据大熊猫国家公园阿坝片区规划分期、保护管理目标和需求，提出近、远分期建设计划。2022-2030年规划期内，共规划建设99个重大项目，总投资5.556亿元，其中：近期(2022-2025)规划建设项目75个，投资3.123亿元；远期(2026-2030)规划建设项目24个，投资2.433亿元。近期建设内容主要包括大熊猫及其栖息地保护、自然教育与生态体验部分场馆及配套设施、保护监测等基础设施及配套设施建设，以安排与保护、监测、宣教等需要迫切解决的配套设施设备等问题为主。远期建设内容主要包括生物多样性与生态系统保护建设、科技支撑平台建设、监测体系及配套设施建设，完善自然教育与生态体验项目体系，构建绿色可持续的配套服务设施体系。</w:t>
      </w:r>
    </w:p>
    <w:p w14:paraId="3B556372">
      <w:pPr>
        <w:ind w:firstLine="482" w:firstLineChars="150"/>
        <w:rPr>
          <w:rFonts w:ascii="Times New Roman" w:hAnsi="Times New Roman" w:eastAsia="仿宋_GB2312" w:cs="Times New Roman"/>
          <w:sz w:val="32"/>
          <w:szCs w:val="32"/>
        </w:rPr>
      </w:pPr>
      <w:r>
        <w:rPr>
          <w:rFonts w:hint="eastAsia" w:ascii="楷体_GB2312" w:hAnsi="宋体" w:eastAsia="楷体_GB2312" w:cs="Times New Roman"/>
          <w:b/>
          <w:sz w:val="32"/>
          <w:szCs w:val="32"/>
          <w:lang w:val="zh-CN"/>
        </w:rPr>
        <w:t>（三）</w:t>
      </w:r>
      <w:r>
        <w:rPr>
          <w:rFonts w:ascii="楷体_GB2312" w:hAnsi="宋体" w:eastAsia="楷体_GB2312" w:cs="Times New Roman"/>
          <w:b/>
          <w:sz w:val="32"/>
          <w:szCs w:val="32"/>
          <w:lang w:val="zh-CN"/>
        </w:rPr>
        <w:t>预算安排及分配管理</w:t>
      </w:r>
      <w:r>
        <w:rPr>
          <w:rFonts w:hint="eastAsia" w:ascii="楷体_GB2312" w:hAnsi="宋体" w:eastAsia="楷体_GB2312" w:cs="Times New Roman"/>
          <w:b/>
          <w:sz w:val="32"/>
          <w:szCs w:val="32"/>
          <w:lang w:val="zh-CN"/>
        </w:rPr>
        <w:t>。</w:t>
      </w:r>
    </w:p>
    <w:p w14:paraId="451CBBB9">
      <w:pPr>
        <w:ind w:firstLine="480" w:firstLineChars="1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资金来源于2022年州本级财政预算资金80万元。</w:t>
      </w:r>
    </w:p>
    <w:p w14:paraId="6D73A302">
      <w:pPr>
        <w:ind w:firstLine="482" w:firstLineChars="150"/>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（四）项目绩效目标设置。</w:t>
      </w:r>
    </w:p>
    <w:p w14:paraId="1776BB1E">
      <w:pPr>
        <w:ind w:firstLine="480" w:firstLineChars="1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高质量推进大熊猫国家公园阿坝片区建设，依据《国家主体功能区规划》、《全国重要生态系统保护和修复重大工程总体规划（2021-2035）》、《大熊猫国家公园总体规划》以及《大熊猫国家公园四川片区总体规划》等，编制《大熊猫国家公园阿坝片区规划》。</w:t>
      </w:r>
    </w:p>
    <w:p w14:paraId="4FB1E9AB">
      <w:pPr>
        <w:adjustRightInd w:val="0"/>
        <w:snapToGrid w:val="0"/>
        <w:spacing w:line="578" w:lineRule="exact"/>
        <w:ind w:firstLine="640" w:firstLineChars="200"/>
        <w:rPr>
          <w:rFonts w:ascii="黑体" w:hAnsi="宋体" w:eastAsia="黑体" w:cs="Times New Roman"/>
          <w:sz w:val="32"/>
          <w:szCs w:val="32"/>
        </w:rPr>
      </w:pPr>
      <w:r>
        <w:rPr>
          <w:rFonts w:hint="eastAsia" w:ascii="黑体" w:hAnsi="宋体" w:eastAsia="黑体" w:cs="Times New Roman"/>
          <w:sz w:val="32"/>
          <w:szCs w:val="32"/>
        </w:rPr>
        <w:t>二、评价实施</w:t>
      </w:r>
    </w:p>
    <w:p w14:paraId="37D52CEE">
      <w:pPr>
        <w:ind w:firstLine="482" w:firstLineChars="150"/>
        <w:rPr>
          <w:rFonts w:ascii="Times New Roman" w:hAnsi="Times New Roman" w:eastAsia="仿宋_GB2312" w:cs="Times New Roman"/>
          <w:sz w:val="32"/>
          <w:szCs w:val="32"/>
        </w:rPr>
      </w:pPr>
      <w:r>
        <w:rPr>
          <w:rFonts w:hint="eastAsia" w:ascii="楷体_GB2312" w:hAnsi="宋体" w:eastAsia="楷体_GB2312" w:cs="Times New Roman"/>
          <w:b/>
          <w:sz w:val="32"/>
          <w:szCs w:val="32"/>
          <w:lang w:val="zh-CN"/>
        </w:rPr>
        <w:t>（一）评价目的。</w:t>
      </w:r>
      <w:r>
        <w:rPr>
          <w:rFonts w:ascii="Times New Roman" w:hAnsi="Times New Roman" w:eastAsia="仿宋_GB2312" w:cs="Times New Roman"/>
          <w:sz w:val="32"/>
          <w:szCs w:val="32"/>
        </w:rPr>
        <w:t>通过</w:t>
      </w:r>
      <w:r>
        <w:rPr>
          <w:rFonts w:hint="eastAsia" w:ascii="Times New Roman" w:hAnsi="Times New Roman" w:eastAsia="仿宋_GB2312" w:cs="Times New Roman"/>
          <w:sz w:val="32"/>
          <w:szCs w:val="32"/>
        </w:rPr>
        <w:t>项目绩效自评要实现的目的。</w:t>
      </w:r>
    </w:p>
    <w:p w14:paraId="01D63312">
      <w:pPr>
        <w:ind w:firstLine="482" w:firstLineChars="150"/>
        <w:rPr>
          <w:rFonts w:ascii="Times New Roman" w:hAnsi="Times New Roman" w:eastAsia="仿宋_GB2312" w:cs="Times New Roman"/>
          <w:sz w:val="32"/>
          <w:szCs w:val="32"/>
        </w:rPr>
      </w:pPr>
      <w:r>
        <w:rPr>
          <w:rFonts w:hint="eastAsia" w:ascii="楷体_GB2312" w:hAnsi="宋体" w:eastAsia="楷体_GB2312" w:cs="Times New Roman"/>
          <w:b/>
          <w:sz w:val="32"/>
          <w:szCs w:val="32"/>
          <w:lang w:val="zh-CN"/>
        </w:rPr>
        <w:t>（二）预设问题及评价重点。</w:t>
      </w:r>
      <w:r>
        <w:rPr>
          <w:rFonts w:hint="eastAsia" w:ascii="Times New Roman" w:hAnsi="Times New Roman" w:eastAsia="仿宋_GB2312" w:cs="Times New Roman"/>
          <w:sz w:val="32"/>
          <w:szCs w:val="32"/>
        </w:rPr>
        <w:t>按照绩效评价指标体系，对资金支出使用全过程及其实施效果进行综合评价和判断。</w:t>
      </w:r>
    </w:p>
    <w:p w14:paraId="571AACDE">
      <w:pPr>
        <w:adjustRightInd w:val="0"/>
        <w:snapToGrid w:val="0"/>
        <w:spacing w:line="578" w:lineRule="exact"/>
        <w:ind w:firstLine="643" w:firstLineChars="200"/>
        <w:rPr>
          <w:rFonts w:ascii="Times New Roman" w:hAnsi="Times New Roman" w:eastAsia="仿宋_GB2312" w:cs="Times New Roman"/>
          <w:sz w:val="32"/>
          <w:szCs w:val="32"/>
          <w:lang w:val="zh-CN"/>
        </w:rPr>
      </w:pPr>
      <w:r>
        <w:rPr>
          <w:rFonts w:hint="eastAsia" w:ascii="楷体_GB2312" w:hAnsi="宋体" w:eastAsia="楷体_GB2312" w:cs="Times New Roman"/>
          <w:b/>
          <w:sz w:val="32"/>
          <w:szCs w:val="32"/>
          <w:lang w:val="zh-CN"/>
        </w:rPr>
        <w:t>（三）评价选点。</w:t>
      </w:r>
      <w:r>
        <w:rPr>
          <w:rFonts w:hint="eastAsia" w:ascii="Times New Roman" w:hAnsi="Times New Roman" w:eastAsia="仿宋_GB2312" w:cs="Times New Roman"/>
          <w:sz w:val="32"/>
          <w:szCs w:val="32"/>
        </w:rPr>
        <w:t>无</w:t>
      </w:r>
      <w:r>
        <w:rPr>
          <w:rFonts w:hint="eastAsia" w:ascii="Times New Roman" w:hAnsi="Times New Roman" w:eastAsia="仿宋_GB2312" w:cs="Times New Roman"/>
          <w:sz w:val="32"/>
          <w:szCs w:val="32"/>
          <w:lang w:val="zh-CN"/>
        </w:rPr>
        <w:t>。</w:t>
      </w:r>
    </w:p>
    <w:p w14:paraId="3FEB8E60">
      <w:pPr>
        <w:spacing w:line="578" w:lineRule="exact"/>
        <w:ind w:firstLine="640"/>
        <w:rPr>
          <w:rFonts w:ascii="Times New Roman" w:hAnsi="Times New Roman" w:eastAsia="仿宋_GB2312" w:cs="Times New Roman"/>
          <w:sz w:val="32"/>
          <w:szCs w:val="32"/>
        </w:rPr>
      </w:pPr>
      <w:r>
        <w:rPr>
          <w:rFonts w:hint="eastAsia" w:ascii="楷体_GB2312" w:hAnsi="宋体" w:eastAsia="楷体_GB2312" w:cs="Times New Roman"/>
          <w:b/>
          <w:sz w:val="32"/>
          <w:szCs w:val="32"/>
          <w:lang w:val="zh-CN"/>
        </w:rPr>
        <w:t>（四）评价方法。</w:t>
      </w:r>
      <w:r>
        <w:rPr>
          <w:rFonts w:ascii="Times New Roman" w:hAnsi="Times New Roman" w:eastAsia="仿宋_GB2312" w:cs="Times New Roman"/>
          <w:sz w:val="32"/>
          <w:szCs w:val="32"/>
        </w:rPr>
        <w:t>单位自评法</w:t>
      </w:r>
      <w:r>
        <w:rPr>
          <w:rFonts w:hint="eastAsia" w:ascii="Times New Roman" w:hAnsi="Times New Roman" w:eastAsia="仿宋_GB2312" w:cs="Times New Roman"/>
          <w:sz w:val="32"/>
          <w:szCs w:val="32"/>
        </w:rPr>
        <w:t>。</w:t>
      </w:r>
    </w:p>
    <w:p w14:paraId="186D3AEF">
      <w:pPr>
        <w:ind w:firstLine="482" w:firstLineChars="150"/>
        <w:rPr>
          <w:rFonts w:ascii="Times New Roman" w:hAnsi="Times New Roman" w:eastAsia="仿宋_GB2312" w:cs="Times New Roman"/>
          <w:sz w:val="32"/>
          <w:szCs w:val="32"/>
        </w:rPr>
      </w:pPr>
      <w:r>
        <w:rPr>
          <w:rFonts w:hint="eastAsia" w:ascii="楷体_GB2312" w:hAnsi="宋体" w:eastAsia="楷体_GB2312" w:cs="Times New Roman"/>
          <w:b/>
          <w:sz w:val="32"/>
          <w:szCs w:val="32"/>
          <w:lang w:val="zh-CN"/>
        </w:rPr>
        <w:t>（五）评价组织。</w:t>
      </w:r>
      <w:r>
        <w:rPr>
          <w:rFonts w:ascii="Times New Roman" w:hAnsi="Times New Roman" w:eastAsia="仿宋_GB2312" w:cs="Times New Roman"/>
          <w:sz w:val="32"/>
          <w:szCs w:val="32"/>
        </w:rPr>
        <w:t>评价组人员构成</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职责分工</w:t>
      </w:r>
      <w:r>
        <w:rPr>
          <w:rFonts w:hint="eastAsia" w:ascii="Times New Roman" w:hAnsi="Times New Roman" w:eastAsia="仿宋_GB2312" w:cs="Times New Roman"/>
          <w:sz w:val="32"/>
          <w:szCs w:val="32"/>
        </w:rPr>
        <w:t>。</w:t>
      </w:r>
    </w:p>
    <w:p w14:paraId="178C9B06">
      <w:pPr>
        <w:adjustRightInd w:val="0"/>
        <w:snapToGrid w:val="0"/>
        <w:spacing w:line="578" w:lineRule="exact"/>
        <w:ind w:firstLine="640" w:firstLineChars="200"/>
        <w:rPr>
          <w:rFonts w:ascii="黑体" w:hAnsi="宋体" w:eastAsia="黑体" w:cs="Times New Roman"/>
          <w:sz w:val="32"/>
          <w:szCs w:val="32"/>
        </w:rPr>
      </w:pPr>
      <w:r>
        <w:rPr>
          <w:rFonts w:hint="eastAsia" w:ascii="黑体" w:hAnsi="宋体" w:eastAsia="黑体" w:cs="Times New Roman"/>
          <w:sz w:val="32"/>
          <w:szCs w:val="32"/>
        </w:rPr>
        <w:t>三、绩效分析</w:t>
      </w:r>
      <w:r>
        <w:rPr>
          <w:rFonts w:hint="eastAsia" w:ascii="黑体" w:hAnsi="宋体" w:eastAsia="黑体" w:cs="Times New Roman"/>
          <w:sz w:val="32"/>
          <w:szCs w:val="32"/>
        </w:rPr>
        <w:tab/>
      </w:r>
    </w:p>
    <w:p w14:paraId="73F2874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预算绩效评价指标体系“</w:t>
      </w:r>
      <w:r>
        <w:rPr>
          <w:rFonts w:hint="eastAsia" w:ascii="Times New Roman" w:hAnsi="Times New Roman" w:eastAsia="仿宋_GB2312" w:cs="Times New Roman"/>
          <w:sz w:val="32"/>
          <w:szCs w:val="32"/>
        </w:rPr>
        <w:t>通用指标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“专用指标”“个性指标”</w:t>
      </w:r>
      <w:r>
        <w:rPr>
          <w:rFonts w:ascii="Times New Roman" w:hAnsi="Times New Roman" w:eastAsia="仿宋_GB2312" w:cs="Times New Roman"/>
          <w:sz w:val="32"/>
          <w:szCs w:val="32"/>
        </w:rPr>
        <w:t>涉及</w:t>
      </w:r>
      <w:r>
        <w:rPr>
          <w:rFonts w:hint="eastAsia" w:ascii="Times New Roman" w:hAnsi="Times New Roman" w:eastAsia="仿宋_GB2312" w:cs="Times New Roman"/>
          <w:sz w:val="32"/>
          <w:szCs w:val="32"/>
        </w:rPr>
        <w:t>二、三级</w:t>
      </w:r>
      <w:r>
        <w:rPr>
          <w:rFonts w:ascii="Times New Roman" w:hAnsi="Times New Roman" w:eastAsia="仿宋_GB2312" w:cs="Times New Roman"/>
          <w:sz w:val="32"/>
          <w:szCs w:val="32"/>
        </w:rPr>
        <w:t>指标进行</w:t>
      </w:r>
      <w:r>
        <w:rPr>
          <w:rFonts w:hint="eastAsia" w:ascii="Times New Roman" w:hAnsi="Times New Roman" w:eastAsia="仿宋_GB2312" w:cs="Times New Roman"/>
          <w:sz w:val="32"/>
          <w:szCs w:val="32"/>
        </w:rPr>
        <w:t>逐项</w:t>
      </w:r>
      <w:r>
        <w:rPr>
          <w:rFonts w:ascii="Times New Roman" w:hAnsi="Times New Roman" w:eastAsia="仿宋_GB2312" w:cs="Times New Roman"/>
          <w:sz w:val="32"/>
          <w:szCs w:val="32"/>
        </w:rPr>
        <w:t>绩效分析</w:t>
      </w:r>
      <w:r>
        <w:rPr>
          <w:rFonts w:hint="eastAsia" w:ascii="Times New Roman" w:hAnsi="Times New Roman" w:eastAsia="仿宋_GB2312" w:cs="Times New Roman"/>
          <w:sz w:val="32"/>
          <w:szCs w:val="32"/>
        </w:rPr>
        <w:t>并评分。</w:t>
      </w:r>
    </w:p>
    <w:p w14:paraId="1068DCD8">
      <w:pPr>
        <w:ind w:firstLine="482" w:firstLineChars="150"/>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（一）通用指标</w:t>
      </w:r>
      <w:r>
        <w:rPr>
          <w:rFonts w:ascii="楷体_GB2312" w:hAnsi="宋体" w:eastAsia="楷体_GB2312" w:cs="Times New Roman"/>
          <w:b/>
          <w:sz w:val="32"/>
          <w:szCs w:val="32"/>
          <w:lang w:val="zh-CN"/>
        </w:rPr>
        <w:t>绩效分析。</w:t>
      </w:r>
    </w:p>
    <w:p w14:paraId="4AB5B6D3">
      <w:pPr>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1.项目决策</w:t>
      </w:r>
      <w:r>
        <w:rPr>
          <w:rFonts w:hint="eastAsia" w:ascii="Times New Roman" w:hAnsi="Times New Roman" w:eastAsia="仿宋_GB2312" w:cs="Times New Roman"/>
          <w:sz w:val="32"/>
          <w:szCs w:val="32"/>
        </w:rPr>
        <w:t>。围绕决策程序、规划论证、资金投向进行绩效分析。</w:t>
      </w:r>
    </w:p>
    <w:p w14:paraId="3886A8AA">
      <w:pPr>
        <w:spacing w:line="578" w:lineRule="exact"/>
        <w:ind w:firstLine="64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2.项目管理。</w:t>
      </w:r>
      <w:r>
        <w:rPr>
          <w:rFonts w:hint="eastAsia" w:ascii="Times New Roman" w:hAnsi="Times New Roman" w:eastAsia="仿宋_GB2312" w:cs="Times New Roman"/>
          <w:sz w:val="32"/>
          <w:szCs w:val="32"/>
        </w:rPr>
        <w:t>本项目严格按照《大熊猫国家公园阿坝管理分局内控制度（实行）》明确的预算、政府采购、合同管理制度，组织开展项目的组织实施。</w:t>
      </w:r>
    </w:p>
    <w:p w14:paraId="6BA6EBE4">
      <w:pPr>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3.项目实施。资金来源为2022年州本级财政预算资金80万元，按照政府采购相关规定，所采购服务不属于政府集中采购范围，总额也不到公开招标额度，故委托第三方代理机构进行采购。采购领导小组成员分别从中国政府采购网政府采购代理机构名单中随机选取五家代理机构，通过对五家机构的公司规模、专职人员情况等综合因素进行对比后一致</w:t>
      </w:r>
      <w:r>
        <w:rPr>
          <w:rFonts w:hint="eastAsia" w:ascii="Times New Roman" w:hAnsi="Times New Roman" w:eastAsia="仿宋_GB2312" w:cs="Times New Roman"/>
          <w:sz w:val="32"/>
          <w:szCs w:val="32"/>
        </w:rPr>
        <w:t>决定推荐圣弘建设股份有限公司咨询有限公司负责此次编制服务采购项目招标代理服务相关工作。2022年1月完成规划编制服务采购计划备案和意向公开后，3月初委托代理机构采取竞争性磋商的采购方式，确定国家林业和草原局调查规划设计院为此次规划编制服务机构，中标价79万元。4月初完成《大熊猫国家公园阿坝片区规划》编制合同签订，按程序履行合同公告及备案相关工作。</w:t>
      </w:r>
    </w:p>
    <w:p w14:paraId="213C1F95">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项目结果。2022-2030年规划期内，共规划建设99个重大项目，总投资5.556亿元，其中：近期(2022-2025)规划建设项目75个，投资3.123亿元；远期(2026-2030)规划建设项目24个，投资2.433亿元。依据合同约定，费用分两次支付：完成初稿通过初审后支付合同金额的50%，通过专家评审并通过政府审批后支付剩余50%。受疫情影响，进度被迫延缓，9月底完成初稿编制，提交各部室、各管理总站初审后依照合同约定已支付合同价款50%金额，即39.5万元；通过专家评审报州政府审批后支付合同金额剩余50%金额，2022年只支付了50%，因州本级资金无法结转，财政要求在编制2023年部门预算时继续登记、入库此项目，剩余资金39.5万元</w:t>
      </w:r>
      <w:r>
        <w:rPr>
          <w:rFonts w:hint="eastAsia" w:ascii="仿宋_GB2312" w:hAnsi="Times New Roman" w:eastAsia="仿宋_GB2312" w:cs="Times New Roman"/>
          <w:sz w:val="32"/>
          <w:szCs w:val="32"/>
          <w:lang w:val="en-US" w:eastAsia="zh-CN"/>
        </w:rPr>
        <w:t>已</w:t>
      </w:r>
      <w:r>
        <w:rPr>
          <w:rFonts w:hint="eastAsia" w:ascii="仿宋_GB2312" w:hAnsi="Times New Roman" w:eastAsia="仿宋_GB2312" w:cs="Times New Roman"/>
          <w:sz w:val="32"/>
          <w:szCs w:val="32"/>
        </w:rPr>
        <w:t>于2023年</w:t>
      </w:r>
      <w:r>
        <w:rPr>
          <w:rFonts w:hint="eastAsia" w:ascii="仿宋_GB2312" w:hAnsi="Times New Roman" w:eastAsia="仿宋_GB2312" w:cs="Times New Roman"/>
          <w:sz w:val="32"/>
          <w:szCs w:val="32"/>
          <w:lang w:val="en-US" w:eastAsia="zh-CN"/>
        </w:rPr>
        <w:t>完成</w:t>
      </w:r>
      <w:r>
        <w:rPr>
          <w:rFonts w:hint="eastAsia" w:ascii="仿宋_GB2312" w:hAnsi="Times New Roman" w:eastAsia="仿宋_GB2312" w:cs="Times New Roman"/>
          <w:sz w:val="32"/>
          <w:szCs w:val="32"/>
        </w:rPr>
        <w:t>支付。</w:t>
      </w:r>
    </w:p>
    <w:p w14:paraId="43C096E1">
      <w:pPr>
        <w:ind w:firstLine="482" w:firstLineChars="150"/>
        <w:rPr>
          <w:rFonts w:ascii="Times New Roman" w:hAnsi="Times New Roman" w:eastAsia="仿宋_GB2312" w:cs="Times New Roman"/>
          <w:sz w:val="32"/>
          <w:szCs w:val="32"/>
        </w:rPr>
      </w:pPr>
      <w:r>
        <w:rPr>
          <w:rFonts w:hint="eastAsia" w:ascii="楷体_GB2312" w:hAnsi="宋体" w:eastAsia="楷体_GB2312" w:cs="Times New Roman"/>
          <w:b/>
          <w:sz w:val="32"/>
          <w:szCs w:val="32"/>
          <w:lang w:val="zh-CN"/>
        </w:rPr>
        <w:t>（二）专用指标</w:t>
      </w:r>
      <w:r>
        <w:rPr>
          <w:rFonts w:ascii="楷体_GB2312" w:hAnsi="宋体" w:eastAsia="楷体_GB2312" w:cs="Times New Roman"/>
          <w:b/>
          <w:sz w:val="32"/>
          <w:szCs w:val="32"/>
          <w:lang w:val="zh-CN"/>
        </w:rPr>
        <w:t>绩效分析。</w:t>
      </w:r>
      <w:r>
        <w:rPr>
          <w:rFonts w:hint="eastAsia" w:ascii="Times New Roman" w:hAnsi="Times New Roman" w:eastAsia="仿宋_GB2312" w:cs="Times New Roman"/>
          <w:sz w:val="32"/>
          <w:szCs w:val="32"/>
        </w:rPr>
        <w:t>根据专项预算项目资金支持对象选择所属指标进行绩效分析。支持对象包括产业发展、民生保障、基础设施、行政运转等方面。</w:t>
      </w:r>
    </w:p>
    <w:p w14:paraId="3478D7B5">
      <w:pPr>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1.产业发展。围绕符合性、</w:t>
      </w:r>
      <w:r>
        <w:rPr>
          <w:rFonts w:hint="eastAsia" w:ascii="Times New Roman" w:hAnsi="Times New Roman" w:eastAsia="仿宋_GB2312" w:cs="Times New Roman"/>
          <w:sz w:val="32"/>
          <w:szCs w:val="32"/>
        </w:rPr>
        <w:t>成长性、经济性进行绩效分析。</w:t>
      </w:r>
    </w:p>
    <w:p w14:paraId="556DCEED">
      <w:pPr>
        <w:ind w:firstLine="480" w:firstLineChars="15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2.民生保障。围绕</w:t>
      </w:r>
      <w:r>
        <w:rPr>
          <w:rFonts w:hint="eastAsia" w:ascii="Times New Roman" w:hAnsi="Times New Roman" w:eastAsia="仿宋_GB2312" w:cs="Times New Roman"/>
          <w:sz w:val="32"/>
          <w:szCs w:val="32"/>
        </w:rPr>
        <w:t>区域均衡性、对象精准性、标准合理性、群众满意度进行绩效分析。</w:t>
      </w:r>
    </w:p>
    <w:p w14:paraId="3DB1EA9E">
      <w:pPr>
        <w:ind w:firstLine="480" w:firstLineChars="15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3.基础设施。</w:t>
      </w:r>
      <w:r>
        <w:rPr>
          <w:rFonts w:hint="eastAsia" w:ascii="Times New Roman" w:hAnsi="Times New Roman" w:eastAsia="仿宋_GB2312" w:cs="Times New Roman"/>
          <w:sz w:val="32"/>
          <w:szCs w:val="32"/>
        </w:rPr>
        <w:t>在建项目围绕工程进度和资金拨付进行绩效分析；建成项目围绕项目验收、功能实现、后续管护进行绩效分析。</w:t>
      </w:r>
    </w:p>
    <w:p w14:paraId="121ACD69">
      <w:pPr>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4.行政运转。</w:t>
      </w:r>
      <w:r>
        <w:rPr>
          <w:rFonts w:hint="eastAsia" w:ascii="Times New Roman" w:hAnsi="Times New Roman" w:eastAsia="仿宋_GB2312" w:cs="Times New Roman"/>
          <w:sz w:val="32"/>
          <w:szCs w:val="32"/>
        </w:rPr>
        <w:t>围绕用途合规性、程序合规性、标准合规性进行绩效分析。</w:t>
      </w:r>
    </w:p>
    <w:p w14:paraId="7101667E">
      <w:pPr>
        <w:ind w:firstLine="482" w:firstLineChars="150"/>
        <w:rPr>
          <w:rFonts w:ascii="Times New Roman" w:hAnsi="Times New Roman" w:eastAsia="仿宋_GB2312" w:cs="Times New Roman"/>
          <w:sz w:val="32"/>
          <w:szCs w:val="32"/>
        </w:rPr>
      </w:pPr>
      <w:r>
        <w:rPr>
          <w:rFonts w:hint="eastAsia" w:ascii="楷体_GB2312" w:hAnsi="宋体" w:eastAsia="楷体_GB2312" w:cs="Times New Roman"/>
          <w:b/>
          <w:sz w:val="32"/>
          <w:szCs w:val="32"/>
          <w:lang w:val="zh-CN"/>
        </w:rPr>
        <w:t>（三）个性指标</w:t>
      </w:r>
      <w:r>
        <w:rPr>
          <w:rFonts w:ascii="楷体_GB2312" w:hAnsi="宋体" w:eastAsia="楷体_GB2312" w:cs="Times New Roman"/>
          <w:b/>
          <w:sz w:val="32"/>
          <w:szCs w:val="32"/>
          <w:lang w:val="zh-CN"/>
        </w:rPr>
        <w:t>绩效分析。</w:t>
      </w:r>
      <w:r>
        <w:rPr>
          <w:rFonts w:hint="eastAsia" w:ascii="Times New Roman" w:hAnsi="Times New Roman" w:eastAsia="仿宋_GB2312" w:cs="Times New Roman"/>
          <w:sz w:val="32"/>
          <w:szCs w:val="32"/>
        </w:rPr>
        <w:t>根据项目个性自行设定部分指标，反映该项指标执行完成情况。</w:t>
      </w:r>
    </w:p>
    <w:p w14:paraId="37E29C91">
      <w:pPr>
        <w:adjustRightInd w:val="0"/>
        <w:snapToGrid w:val="0"/>
        <w:spacing w:line="578" w:lineRule="exact"/>
        <w:ind w:firstLine="640" w:firstLineChars="200"/>
        <w:rPr>
          <w:rFonts w:ascii="黑体" w:hAnsi="宋体" w:eastAsia="黑体" w:cs="Times New Roman"/>
          <w:sz w:val="32"/>
          <w:szCs w:val="32"/>
        </w:rPr>
      </w:pPr>
      <w:r>
        <w:rPr>
          <w:rFonts w:hint="eastAsia" w:ascii="黑体" w:hAnsi="宋体" w:eastAsia="黑体" w:cs="Times New Roman"/>
          <w:sz w:val="32"/>
          <w:szCs w:val="32"/>
        </w:rPr>
        <w:t>四、评价结论</w:t>
      </w:r>
    </w:p>
    <w:p w14:paraId="0AD58A34">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规划深入分析阿坝园区实际，保护优先，以提供普惠生态产品为目标，社区绿色发展为保障，科技为支撑，围绕保护体系规划、服务体系规划、社区发展规划、管理体系规划等方面，提出建设目标及实施的具体措施。</w:t>
      </w:r>
    </w:p>
    <w:p w14:paraId="2EDD35D1">
      <w:pPr>
        <w:adjustRightInd w:val="0"/>
        <w:snapToGrid w:val="0"/>
        <w:spacing w:line="578" w:lineRule="exact"/>
        <w:ind w:firstLine="640" w:firstLineChars="200"/>
        <w:rPr>
          <w:rFonts w:ascii="黑体" w:hAnsi="宋体" w:eastAsia="黑体" w:cs="Times New Roman"/>
          <w:sz w:val="32"/>
          <w:szCs w:val="32"/>
        </w:rPr>
      </w:pPr>
      <w:r>
        <w:rPr>
          <w:rFonts w:hint="eastAsia" w:ascii="黑体" w:hAnsi="宋体" w:eastAsia="黑体" w:cs="Times New Roman"/>
          <w:sz w:val="32"/>
          <w:szCs w:val="32"/>
        </w:rPr>
        <w:t>五、存在主要问题</w:t>
      </w:r>
    </w:p>
    <w:p w14:paraId="66B3E660">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14:paraId="13F94FEE">
      <w:pPr>
        <w:adjustRightInd w:val="0"/>
        <w:snapToGrid w:val="0"/>
        <w:spacing w:line="578" w:lineRule="exact"/>
        <w:ind w:firstLine="640" w:firstLineChars="200"/>
        <w:rPr>
          <w:rFonts w:ascii="黑体" w:hAnsi="宋体" w:eastAsia="黑体" w:cs="Times New Roman"/>
          <w:sz w:val="32"/>
          <w:szCs w:val="32"/>
        </w:rPr>
      </w:pPr>
      <w:r>
        <w:rPr>
          <w:rFonts w:hint="eastAsia" w:ascii="黑体" w:hAnsi="宋体" w:eastAsia="黑体" w:cs="Times New Roman"/>
          <w:sz w:val="32"/>
          <w:szCs w:val="32"/>
        </w:rPr>
        <w:t>六、改进建议</w:t>
      </w:r>
    </w:p>
    <w:p w14:paraId="6E956B72">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无。</w:t>
      </w:r>
    </w:p>
    <w:p w14:paraId="7A5DC35E">
      <w:pPr>
        <w:jc w:val="center"/>
        <w:rPr>
          <w:rFonts w:hint="eastAsia" w:ascii="方正小标宋简体" w:hAnsi="方正小标宋简体" w:eastAsia="方正小标宋简体"/>
          <w:sz w:val="44"/>
          <w:szCs w:val="44"/>
        </w:rPr>
        <w:sectPr>
          <w:pgSz w:w="11906" w:h="16838"/>
          <w:pgMar w:top="1440" w:right="1800" w:bottom="1440" w:left="1800" w:header="851" w:footer="992" w:gutter="0"/>
          <w:pgNumType w:fmt="decimal"/>
          <w:cols w:space="425" w:num="1"/>
          <w:titlePg/>
          <w:docGrid w:type="lines" w:linePitch="312" w:charSpace="0"/>
        </w:sectPr>
      </w:pPr>
    </w:p>
    <w:p w14:paraId="2797C253">
      <w:pPr>
        <w:pStyle w:val="22"/>
        <w:rPr>
          <w:rFonts w:hint="eastAsia" w:eastAsia="黑体"/>
          <w:lang w:eastAsia="zh-CN"/>
        </w:rPr>
        <w:sectPr>
          <w:pgSz w:w="16838" w:h="11906" w:orient="landscape"/>
          <w:pgMar w:top="1800" w:right="1440" w:bottom="1800" w:left="1440" w:header="851" w:footer="992" w:gutter="0"/>
          <w:pgNumType w:fmt="decimal"/>
          <w:cols w:space="425" w:num="1"/>
          <w:titlePg/>
          <w:docGrid w:type="lines" w:linePitch="312" w:charSpace="0"/>
        </w:sectPr>
      </w:pPr>
      <w:r>
        <w:rPr>
          <w:rFonts w:hint="eastAsia" w:eastAsia="黑体"/>
          <w:lang w:eastAsia="zh-CN"/>
        </w:rPr>
        <w:pict>
          <v:shape id="_x0000_s1032" o:spid="_x0000_s1032" o:spt="75" type="#_x0000_t75" style="position:absolute;left:0pt;margin-left:9.6pt;margin-top:-62.5pt;height:668.35pt;width:720pt;z-index:-251653120;mso-width-relative:page;mso-height-relative:page;" o:ole="t" filled="f" o:preferrelative="t" stroked="f" coordsize="21600,21600">
            <v:path/>
            <v:fill on="f" focussize="0,0"/>
            <v:stroke on="f"/>
            <v:imagedata r:id="rId24" o:title=""/>
            <o:lock v:ext="edit" aspectratio="t"/>
          </v:shape>
          <o:OLEObject Type="Embed" ProgID="Excel.Sheet.12" ShapeID="_x0000_s1032" DrawAspect="Content" ObjectID="_1468075732" r:id="rId23">
            <o:LockedField>false</o:LockedField>
          </o:OLEObject>
        </w:pict>
      </w:r>
    </w:p>
    <w:p w14:paraId="0C6F4C14">
      <w:pPr>
        <w:pStyle w:val="37"/>
        <w:keepNext w:val="0"/>
        <w:keepLines w:val="0"/>
        <w:pageBreakBefore w:val="0"/>
        <w:widowControl w:val="0"/>
        <w:kinsoku/>
        <w:wordWrap/>
        <w:overflowPunct/>
        <w:topLinePunct w:val="0"/>
        <w:autoSpaceDE/>
        <w:autoSpaceDN/>
        <w:bidi w:val="0"/>
        <w:spacing w:line="578" w:lineRule="exact"/>
        <w:ind w:left="0"/>
        <w:jc w:val="center"/>
        <w:textAlignment w:val="auto"/>
        <w:rPr>
          <w:rFonts w:hint="eastAsia" w:asci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sz w:val="44"/>
          <w:szCs w:val="44"/>
          <w:lang w:val="en-US" w:eastAsia="zh-CN"/>
        </w:rPr>
        <w:t xml:space="preserve">  </w:t>
      </w:r>
      <w:r>
        <w:rPr>
          <w:rFonts w:hint="eastAsia" w:ascii="方正小标宋简体" w:eastAsia="方正小标宋简体" w:cs="方正小标宋简体"/>
          <w:color w:val="auto"/>
          <w:kern w:val="2"/>
          <w:sz w:val="44"/>
          <w:szCs w:val="44"/>
          <w:lang w:val="en-US" w:eastAsia="zh-CN"/>
        </w:rPr>
        <w:t>大熊猫国家公园阿坝管理分局</w:t>
      </w:r>
    </w:p>
    <w:p w14:paraId="2F423235">
      <w:pPr>
        <w:keepNext w:val="0"/>
        <w:keepLines w:val="0"/>
        <w:pageBreakBefore w:val="0"/>
        <w:widowControl w:val="0"/>
        <w:kinsoku/>
        <w:wordWrap/>
        <w:overflowPunct/>
        <w:topLinePunct w:val="0"/>
        <w:autoSpaceDE/>
        <w:autoSpaceDN/>
        <w:bidi w:val="0"/>
        <w:spacing w:line="578" w:lineRule="exact"/>
        <w:ind w:left="0"/>
        <w:jc w:val="center"/>
        <w:textAlignment w:val="auto"/>
        <w:rPr>
          <w:rFonts w:hint="eastAsia" w:ascii="方正小标宋简体" w:hAnsi="??" w:eastAsia="方正小标宋简体" w:cs="方正小标宋简体"/>
          <w:color w:val="auto"/>
          <w:kern w:val="2"/>
          <w:sz w:val="44"/>
          <w:szCs w:val="44"/>
          <w:highlight w:val="none"/>
          <w:lang w:val="en-US" w:eastAsia="zh-CN" w:bidi="ar-SA"/>
        </w:rPr>
      </w:pPr>
      <w:r>
        <w:rPr>
          <w:rFonts w:ascii="方正小标宋简体" w:hAnsi="??" w:eastAsia="方正小标宋简体" w:cs="方正小标宋简体"/>
          <w:color w:val="auto"/>
          <w:kern w:val="2"/>
          <w:sz w:val="44"/>
          <w:szCs w:val="44"/>
          <w:lang w:val="en-US" w:eastAsia="zh-CN" w:bidi="ar-SA"/>
        </w:rPr>
        <w:t>卧龙体制改革工作经费预算项目绩效评价报告</w:t>
      </w:r>
    </w:p>
    <w:p w14:paraId="0FF82C3C">
      <w:pPr>
        <w:keepNext w:val="0"/>
        <w:keepLines w:val="0"/>
        <w:pageBreakBefore w:val="0"/>
        <w:widowControl w:val="0"/>
        <w:kinsoku/>
        <w:wordWrap/>
        <w:overflowPunct/>
        <w:topLinePunct w:val="0"/>
        <w:autoSpaceDE/>
        <w:autoSpaceDN/>
        <w:bidi w:val="0"/>
        <w:spacing w:line="578" w:lineRule="exact"/>
        <w:ind w:left="0" w:firstLine="640"/>
        <w:jc w:val="center"/>
        <w:textAlignment w:val="auto"/>
        <w:rPr>
          <w:rFonts w:ascii="宋体" w:hAnsi="??" w:eastAsia="宋体" w:cs="Times New Roman"/>
          <w:color w:val="auto"/>
          <w:kern w:val="2"/>
          <w:sz w:val="32"/>
          <w:szCs w:val="32"/>
          <w:highlight w:val="none"/>
          <w:lang w:val="zh-CN" w:eastAsia="zh-CN" w:bidi="ar-SA"/>
        </w:rPr>
      </w:pPr>
    </w:p>
    <w:p w14:paraId="0D36FAC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eastAsia="黑体"/>
          <w:sz w:val="32"/>
          <w:szCs w:val="32"/>
          <w:highlight w:val="none"/>
          <w:lang w:val="zh-CN"/>
        </w:rPr>
      </w:pPr>
      <w:r>
        <w:rPr>
          <w:rFonts w:hint="eastAsia" w:ascii="黑体" w:eastAsia="黑体"/>
          <w:sz w:val="32"/>
          <w:szCs w:val="32"/>
          <w:highlight w:val="none"/>
        </w:rPr>
        <w:t>一、</w:t>
      </w:r>
      <w:r>
        <w:rPr>
          <w:rFonts w:hint="eastAsia" w:ascii="黑体" w:eastAsia="黑体"/>
          <w:sz w:val="32"/>
          <w:szCs w:val="32"/>
          <w:highlight w:val="none"/>
          <w:lang w:val="zh-CN"/>
        </w:rPr>
        <w:t>项目概况</w:t>
      </w:r>
    </w:p>
    <w:p w14:paraId="01FB9E52">
      <w:pPr>
        <w:keepNext w:val="0"/>
        <w:keepLines w:val="0"/>
        <w:pageBreakBefore w:val="0"/>
        <w:widowControl/>
        <w:kinsoku/>
        <w:wordWrap/>
        <w:overflowPunct/>
        <w:topLinePunct w:val="0"/>
        <w:autoSpaceDE/>
        <w:autoSpaceDN/>
        <w:bidi w:val="0"/>
        <w:adjustRightInd w:val="0"/>
        <w:snapToGrid w:val="0"/>
        <w:spacing w:line="578" w:lineRule="exact"/>
        <w:ind w:left="0" w:firstLine="643" w:firstLineChars="200"/>
        <w:contextualSpacing/>
        <w:jc w:val="left"/>
        <w:textAlignment w:val="auto"/>
        <w:rPr>
          <w:rFonts w:hint="eastAsia" w:ascii="仿宋_GB2312" w:eastAsia="仿宋_GB2312" w:cs="仿宋_GB2312"/>
          <w:color w:val="auto"/>
          <w:kern w:val="0"/>
          <w:sz w:val="32"/>
          <w:szCs w:val="32"/>
          <w:highlight w:val="none"/>
          <w:u w:val="none"/>
          <w:shd w:val="clear" w:color="auto" w:fill="FFFFFF"/>
          <w:lang w:val="zh-CN"/>
        </w:rPr>
      </w:pPr>
      <w:r>
        <w:rPr>
          <w:rFonts w:hint="eastAsia" w:ascii="楷体_GB2312" w:eastAsia="楷体_GB2312"/>
          <w:b/>
          <w:color w:val="auto"/>
          <w:sz w:val="32"/>
          <w:szCs w:val="32"/>
          <w:highlight w:val="none"/>
          <w:u w:val="none"/>
          <w:lang w:val="zh-CN"/>
        </w:rPr>
        <w:t>（一）设立背景及基本情况。</w:t>
      </w:r>
      <w:r>
        <w:rPr>
          <w:rFonts w:hint="eastAsia" w:ascii="仿宋_GB2312" w:eastAsia="仿宋_GB2312" w:cs="仿宋_GB2312"/>
          <w:color w:val="auto"/>
          <w:kern w:val="0"/>
          <w:sz w:val="32"/>
          <w:szCs w:val="32"/>
          <w:highlight w:val="none"/>
          <w:u w:val="none"/>
          <w:shd w:val="clear" w:color="auto" w:fill="FFFFFF"/>
          <w:lang w:val="en-US" w:eastAsia="zh-CN"/>
        </w:rPr>
        <w:t>项目设立原因及背景</w:t>
      </w:r>
      <w:r>
        <w:rPr>
          <w:rFonts w:ascii="仿宋_GB2312" w:eastAsia="仿宋_GB2312" w:cs="仿宋_GB2312"/>
          <w:color w:val="auto"/>
          <w:kern w:val="0"/>
          <w:sz w:val="32"/>
          <w:szCs w:val="32"/>
          <w:highlight w:val="none"/>
          <w:u w:val="none"/>
          <w:shd w:val="clear" w:color="auto" w:fill="FFFFFF"/>
          <w:lang w:val="en-US" w:eastAsia="zh-CN"/>
        </w:rPr>
        <w:t>是加快理顺卧龙管理体制</w:t>
      </w:r>
      <w:r>
        <w:rPr>
          <w:rFonts w:hint="eastAsia" w:ascii="仿宋_GB2312" w:eastAsia="仿宋_GB2312" w:cs="仿宋_GB2312"/>
          <w:color w:val="auto"/>
          <w:kern w:val="0"/>
          <w:sz w:val="32"/>
          <w:szCs w:val="32"/>
          <w:highlight w:val="none"/>
          <w:u w:val="none"/>
          <w:shd w:val="clear" w:color="auto" w:fill="FFFFFF"/>
          <w:lang w:val="en-US" w:eastAsia="zh-CN"/>
        </w:rPr>
        <w:t>，</w:t>
      </w:r>
      <w:r>
        <w:rPr>
          <w:rFonts w:hint="eastAsia" w:ascii="仿宋_GB2312" w:eastAsia="仿宋_GB2312" w:cs="仿宋_GB2312"/>
          <w:color w:val="auto"/>
          <w:kern w:val="0"/>
          <w:sz w:val="32"/>
          <w:szCs w:val="32"/>
          <w:highlight w:val="none"/>
          <w:u w:val="none"/>
          <w:shd w:val="clear" w:color="auto" w:fill="FFFFFF"/>
          <w:lang w:val="zh-CN"/>
        </w:rPr>
        <w:t>项目立项、资金申报的依据</w:t>
      </w:r>
      <w:r>
        <w:rPr>
          <w:rFonts w:ascii="仿宋_GB2312" w:eastAsia="仿宋_GB2312" w:cs="仿宋_GB2312"/>
          <w:color w:val="auto"/>
          <w:kern w:val="0"/>
          <w:sz w:val="32"/>
          <w:szCs w:val="32"/>
          <w:highlight w:val="none"/>
          <w:u w:val="none"/>
          <w:shd w:val="clear" w:color="auto" w:fill="FFFFFF"/>
          <w:lang w:val="zh-CN"/>
        </w:rPr>
        <w:t>是大熊猫国家公园体制改革</w:t>
      </w:r>
      <w:r>
        <w:rPr>
          <w:rFonts w:hint="eastAsia" w:ascii="仿宋_GB2312" w:eastAsia="仿宋_GB2312" w:cs="仿宋_GB2312"/>
          <w:color w:val="auto"/>
          <w:kern w:val="0"/>
          <w:sz w:val="32"/>
          <w:szCs w:val="32"/>
          <w:highlight w:val="none"/>
          <w:u w:val="none"/>
          <w:shd w:val="clear" w:color="auto" w:fill="FFFFFF"/>
          <w:lang w:val="zh-CN"/>
        </w:rPr>
        <w:t>，项目主要内容</w:t>
      </w:r>
      <w:r>
        <w:rPr>
          <w:rFonts w:ascii="仿宋_GB2312" w:eastAsia="仿宋_GB2312" w:cs="仿宋_GB2312"/>
          <w:color w:val="auto"/>
          <w:kern w:val="0"/>
          <w:sz w:val="32"/>
          <w:szCs w:val="32"/>
          <w:highlight w:val="none"/>
          <w:u w:val="none"/>
          <w:shd w:val="clear" w:color="auto" w:fill="FFFFFF"/>
          <w:lang w:val="zh-CN"/>
        </w:rPr>
        <w:t>是</w:t>
      </w:r>
      <w:r>
        <w:rPr>
          <w:rFonts w:ascii="仿宋_GB2312" w:eastAsia="仿宋_GB2312" w:cs="仿宋_GB2312"/>
          <w:color w:val="auto"/>
          <w:kern w:val="0"/>
          <w:sz w:val="32"/>
          <w:szCs w:val="32"/>
          <w:u w:val="none"/>
          <w:shd w:val="clear" w:color="auto" w:fill="FFFFFF"/>
          <w:lang w:val="zh-CN"/>
        </w:rPr>
        <w:t>预算费用30万元，主要用于公车运行维护费、差旅费、办公费支出</w:t>
      </w:r>
      <w:r>
        <w:rPr>
          <w:rFonts w:hint="eastAsia" w:ascii="仿宋_GB2312" w:eastAsia="仿宋_GB2312" w:cs="仿宋_GB2312"/>
          <w:color w:val="auto"/>
          <w:kern w:val="0"/>
          <w:sz w:val="32"/>
          <w:szCs w:val="32"/>
          <w:highlight w:val="none"/>
          <w:u w:val="none"/>
          <w:shd w:val="clear" w:color="auto" w:fill="FFFFFF"/>
          <w:lang w:val="en-US" w:eastAsia="zh-CN" w:bidi="ar-SA"/>
        </w:rPr>
        <w:t>。</w:t>
      </w:r>
    </w:p>
    <w:p w14:paraId="24E2F3D3">
      <w:pPr>
        <w:keepNext w:val="0"/>
        <w:keepLines w:val="0"/>
        <w:pageBreakBefore w:val="0"/>
        <w:widowControl w:val="0"/>
        <w:kinsoku/>
        <w:wordWrap/>
        <w:overflowPunct/>
        <w:topLinePunct w:val="0"/>
        <w:autoSpaceDE/>
        <w:autoSpaceDN/>
        <w:bidi w:val="0"/>
        <w:adjustRightInd w:val="0"/>
        <w:snapToGrid w:val="0"/>
        <w:spacing w:line="578" w:lineRule="exact"/>
        <w:ind w:left="0" w:firstLine="643" w:firstLineChars="200"/>
        <w:textAlignment w:val="auto"/>
        <w:rPr>
          <w:rFonts w:ascii="楷体_GB2312" w:eastAsia="楷体_GB2312"/>
          <w:b/>
          <w:color w:val="auto"/>
          <w:sz w:val="32"/>
          <w:szCs w:val="32"/>
          <w:highlight w:val="none"/>
          <w:u w:val="none"/>
          <w:lang w:val="zh-CN"/>
        </w:rPr>
      </w:pPr>
      <w:r>
        <w:rPr>
          <w:rFonts w:hint="eastAsia" w:ascii="楷体_GB2312" w:eastAsia="楷体_GB2312"/>
          <w:b/>
          <w:color w:val="auto"/>
          <w:sz w:val="32"/>
          <w:szCs w:val="32"/>
          <w:highlight w:val="none"/>
          <w:u w:val="none"/>
          <w:lang w:val="zh-CN"/>
        </w:rPr>
        <w:t>（</w:t>
      </w:r>
      <w:r>
        <w:rPr>
          <w:rFonts w:hint="eastAsia" w:ascii="楷体_GB2312" w:eastAsia="楷体_GB2312" w:cs="Times New Roman"/>
          <w:b/>
          <w:color w:val="auto"/>
          <w:sz w:val="32"/>
          <w:szCs w:val="32"/>
          <w:highlight w:val="none"/>
          <w:u w:val="none"/>
          <w:lang w:val="zh-CN"/>
        </w:rPr>
        <w:t>二）</w:t>
      </w:r>
      <w:r>
        <w:rPr>
          <w:rFonts w:ascii="楷体_GB2312" w:eastAsia="楷体_GB2312" w:cs="Times New Roman"/>
          <w:b/>
          <w:color w:val="auto"/>
          <w:sz w:val="32"/>
          <w:szCs w:val="32"/>
          <w:highlight w:val="none"/>
          <w:u w:val="none"/>
          <w:lang w:val="en-US" w:eastAsia="zh-CN"/>
        </w:rPr>
        <w:t>实施目的及支持方向</w:t>
      </w:r>
      <w:r>
        <w:rPr>
          <w:rFonts w:hint="eastAsia" w:ascii="楷体_GB2312" w:eastAsia="楷体_GB2312" w:cs="Times New Roman"/>
          <w:b/>
          <w:color w:val="auto"/>
          <w:sz w:val="32"/>
          <w:szCs w:val="32"/>
          <w:highlight w:val="none"/>
          <w:u w:val="none"/>
          <w:lang w:val="en-US" w:eastAsia="zh-CN"/>
        </w:rPr>
        <w:t>。</w:t>
      </w:r>
      <w:r>
        <w:rPr>
          <w:rFonts w:ascii="仿宋_GB2312" w:eastAsia="仿宋_GB2312" w:cs="仿宋_GB2312"/>
          <w:color w:val="auto"/>
          <w:kern w:val="0"/>
          <w:sz w:val="32"/>
          <w:szCs w:val="32"/>
          <w:highlight w:val="none"/>
          <w:u w:val="none"/>
          <w:shd w:val="clear" w:color="auto" w:fill="FFFFFF"/>
          <w:lang w:val="en-US" w:eastAsia="zh-CN"/>
        </w:rPr>
        <w:t>严格按照财经纪律和分局内控制度执行</w:t>
      </w:r>
      <w:r>
        <w:rPr>
          <w:rFonts w:hint="eastAsia" w:ascii="仿宋_GB2312" w:eastAsia="仿宋_GB2312" w:cs="仿宋_GB2312"/>
          <w:color w:val="auto"/>
          <w:kern w:val="0"/>
          <w:sz w:val="32"/>
          <w:szCs w:val="32"/>
          <w:highlight w:val="none"/>
          <w:u w:val="none"/>
          <w:shd w:val="clear" w:color="auto" w:fill="FFFFFF"/>
          <w:lang w:val="zh-CN"/>
        </w:rPr>
        <w:t>，项目实施目的和主要工作任务</w:t>
      </w:r>
      <w:r>
        <w:rPr>
          <w:rFonts w:ascii="仿宋_GB2312" w:eastAsia="仿宋_GB2312" w:cs="仿宋_GB2312"/>
          <w:color w:val="auto"/>
          <w:kern w:val="0"/>
          <w:sz w:val="32"/>
          <w:szCs w:val="32"/>
          <w:highlight w:val="none"/>
          <w:u w:val="none"/>
          <w:shd w:val="clear" w:color="auto" w:fill="FFFFFF"/>
          <w:lang w:val="zh-CN"/>
        </w:rPr>
        <w:t>是有序推进卧龙体制改革工作</w:t>
      </w:r>
      <w:r>
        <w:rPr>
          <w:rFonts w:hint="eastAsia" w:ascii="仿宋_GB2312" w:eastAsia="仿宋_GB2312" w:cs="仿宋_GB2312"/>
          <w:color w:val="auto"/>
          <w:kern w:val="0"/>
          <w:sz w:val="32"/>
          <w:szCs w:val="32"/>
          <w:highlight w:val="none"/>
          <w:u w:val="none"/>
          <w:shd w:val="clear" w:color="auto" w:fill="FFFFFF"/>
          <w:lang w:val="zh-CN"/>
        </w:rPr>
        <w:t>，项目支持方向</w:t>
      </w:r>
      <w:r>
        <w:rPr>
          <w:rFonts w:ascii="仿宋_GB2312" w:eastAsia="仿宋_GB2312" w:cs="仿宋_GB2312"/>
          <w:color w:val="auto"/>
          <w:kern w:val="0"/>
          <w:sz w:val="32"/>
          <w:szCs w:val="32"/>
          <w:highlight w:val="none"/>
          <w:u w:val="none"/>
          <w:shd w:val="clear" w:color="auto" w:fill="FFFFFF"/>
          <w:lang w:val="zh-CN"/>
        </w:rPr>
        <w:t>是用于卧龙体制改革的一切</w:t>
      </w:r>
      <w:r>
        <w:rPr>
          <w:rFonts w:hint="eastAsia" w:ascii="仿宋_GB2312" w:eastAsia="仿宋_GB2312" w:cs="仿宋_GB2312"/>
          <w:color w:val="auto"/>
          <w:kern w:val="0"/>
          <w:sz w:val="32"/>
          <w:szCs w:val="32"/>
          <w:highlight w:val="none"/>
          <w:u w:val="none"/>
          <w:shd w:val="clear" w:color="auto" w:fill="FFFFFF"/>
          <w:lang w:val="en-US" w:eastAsia="zh-CN"/>
        </w:rPr>
        <w:t>事务</w:t>
      </w:r>
      <w:r>
        <w:rPr>
          <w:rFonts w:hint="eastAsia" w:ascii="仿宋_GB2312" w:eastAsia="仿宋_GB2312" w:cs="仿宋_GB2312"/>
          <w:color w:val="auto"/>
          <w:kern w:val="0"/>
          <w:sz w:val="32"/>
          <w:szCs w:val="32"/>
          <w:highlight w:val="none"/>
          <w:u w:val="none"/>
          <w:shd w:val="clear" w:color="auto" w:fill="FFFFFF"/>
          <w:lang w:val="zh-CN"/>
        </w:rPr>
        <w:t>。</w:t>
      </w:r>
    </w:p>
    <w:p w14:paraId="55D3582C">
      <w:pPr>
        <w:keepNext w:val="0"/>
        <w:keepLines w:val="0"/>
        <w:pageBreakBefore w:val="0"/>
        <w:widowControl/>
        <w:kinsoku/>
        <w:wordWrap/>
        <w:overflowPunct/>
        <w:topLinePunct w:val="0"/>
        <w:autoSpaceDE/>
        <w:autoSpaceDN/>
        <w:bidi w:val="0"/>
        <w:adjustRightInd w:val="0"/>
        <w:snapToGrid w:val="0"/>
        <w:spacing w:line="578" w:lineRule="exact"/>
        <w:ind w:left="0" w:firstLine="643" w:firstLineChars="200"/>
        <w:contextualSpacing/>
        <w:jc w:val="left"/>
        <w:textAlignment w:val="auto"/>
        <w:rPr>
          <w:rFonts w:hint="eastAsia" w:ascii="仿宋_GB2312" w:eastAsia="仿宋_GB2312" w:cs="仿宋_GB2312"/>
          <w:color w:val="auto"/>
          <w:kern w:val="0"/>
          <w:sz w:val="32"/>
          <w:szCs w:val="32"/>
          <w:highlight w:val="none"/>
          <w:u w:val="none"/>
          <w:shd w:val="clear" w:color="auto" w:fill="FFFFFF"/>
          <w:lang w:val="zh-CN"/>
        </w:rPr>
      </w:pPr>
      <w:r>
        <w:rPr>
          <w:rFonts w:hint="eastAsia" w:ascii="楷体_GB2312" w:eastAsia="楷体_GB2312" w:cs="Times New Roman"/>
          <w:b/>
          <w:color w:val="auto"/>
          <w:sz w:val="32"/>
          <w:szCs w:val="32"/>
          <w:highlight w:val="none"/>
          <w:u w:val="none"/>
          <w:lang w:val="zh-CN" w:eastAsia="zh-CN"/>
        </w:rPr>
        <w:t>（三）</w:t>
      </w:r>
      <w:r>
        <w:rPr>
          <w:rFonts w:ascii="楷体_GB2312" w:eastAsia="楷体_GB2312" w:cs="Times New Roman"/>
          <w:b/>
          <w:color w:val="auto"/>
          <w:sz w:val="32"/>
          <w:szCs w:val="32"/>
          <w:highlight w:val="none"/>
          <w:u w:val="none"/>
          <w:lang w:val="en-US" w:eastAsia="zh-CN"/>
        </w:rPr>
        <w:t>预算安排及分配管理</w:t>
      </w:r>
      <w:r>
        <w:rPr>
          <w:rFonts w:hint="eastAsia" w:ascii="楷体_GB2312" w:eastAsia="楷体_GB2312" w:cs="Times New Roman"/>
          <w:b/>
          <w:color w:val="auto"/>
          <w:sz w:val="32"/>
          <w:szCs w:val="32"/>
          <w:highlight w:val="none"/>
          <w:u w:val="none"/>
          <w:lang w:val="zh-CN" w:eastAsia="zh-CN"/>
        </w:rPr>
        <w:t>。</w:t>
      </w:r>
      <w:r>
        <w:rPr>
          <w:rFonts w:ascii="仿宋_GB2312" w:eastAsia="仿宋_GB2312" w:cs="仿宋_GB2312"/>
          <w:color w:val="auto"/>
          <w:kern w:val="0"/>
          <w:sz w:val="32"/>
          <w:szCs w:val="32"/>
          <w:highlight w:val="none"/>
          <w:u w:val="none"/>
          <w:shd w:val="clear" w:color="auto" w:fill="FFFFFF"/>
          <w:lang w:val="zh-CN" w:eastAsia="zh-CN"/>
        </w:rPr>
        <w:t>按照</w:t>
      </w:r>
      <w:r>
        <w:rPr>
          <w:rFonts w:hint="eastAsia" w:ascii="仿宋_GB2312" w:eastAsia="仿宋_GB2312" w:cs="仿宋_GB2312"/>
          <w:color w:val="auto"/>
          <w:kern w:val="0"/>
          <w:sz w:val="32"/>
          <w:szCs w:val="32"/>
          <w:highlight w:val="none"/>
          <w:u w:val="none"/>
          <w:shd w:val="clear" w:color="auto" w:fill="FFFFFF"/>
          <w:lang w:val="en-US" w:eastAsia="zh-CN"/>
        </w:rPr>
        <w:t>2022年度预算及具体工作开展情况，来核定2023年预算数，用于支付</w:t>
      </w:r>
      <w:r>
        <w:rPr>
          <w:rFonts w:ascii="仿宋_GB2312" w:eastAsia="仿宋_GB2312" w:cs="仿宋_GB2312"/>
          <w:color w:val="auto"/>
          <w:kern w:val="0"/>
          <w:sz w:val="32"/>
          <w:szCs w:val="32"/>
          <w:highlight w:val="none"/>
          <w:u w:val="none"/>
          <w:shd w:val="clear" w:color="auto" w:fill="FFFFFF"/>
          <w:lang w:val="zh-CN" w:eastAsia="zh-CN"/>
        </w:rPr>
        <w:t>推</w:t>
      </w:r>
      <w:r>
        <w:rPr>
          <w:rFonts w:hint="eastAsia" w:ascii="仿宋_GB2312" w:eastAsia="仿宋_GB2312" w:cs="仿宋_GB2312"/>
          <w:color w:val="auto"/>
          <w:kern w:val="0"/>
          <w:sz w:val="32"/>
          <w:szCs w:val="32"/>
          <w:highlight w:val="none"/>
          <w:u w:val="none"/>
          <w:shd w:val="clear" w:color="auto" w:fill="FFFFFF"/>
          <w:lang w:val="en-US" w:eastAsia="zh-CN"/>
        </w:rPr>
        <w:t>进</w:t>
      </w:r>
      <w:r>
        <w:rPr>
          <w:rFonts w:ascii="仿宋_GB2312" w:eastAsia="仿宋_GB2312" w:cs="仿宋_GB2312"/>
          <w:color w:val="auto"/>
          <w:kern w:val="0"/>
          <w:sz w:val="32"/>
          <w:szCs w:val="32"/>
          <w:highlight w:val="none"/>
          <w:u w:val="none"/>
          <w:shd w:val="clear" w:color="auto" w:fill="FFFFFF"/>
          <w:lang w:val="zh-CN" w:eastAsia="zh-CN"/>
        </w:rPr>
        <w:t>卧龙管理体制改革</w:t>
      </w:r>
      <w:r>
        <w:rPr>
          <w:rFonts w:hint="eastAsia" w:ascii="仿宋_GB2312" w:eastAsia="仿宋_GB2312" w:cs="仿宋_GB2312"/>
          <w:color w:val="auto"/>
          <w:kern w:val="0"/>
          <w:sz w:val="32"/>
          <w:szCs w:val="32"/>
          <w:highlight w:val="none"/>
          <w:u w:val="none"/>
          <w:shd w:val="clear" w:color="auto" w:fill="FFFFFF"/>
          <w:lang w:val="en-US" w:eastAsia="zh-CN"/>
        </w:rPr>
        <w:t>事务实际</w:t>
      </w:r>
      <w:r>
        <w:rPr>
          <w:rFonts w:ascii="仿宋_GB2312" w:eastAsia="仿宋_GB2312" w:cs="仿宋_GB2312"/>
          <w:color w:val="auto"/>
          <w:kern w:val="0"/>
          <w:sz w:val="32"/>
          <w:szCs w:val="32"/>
          <w:highlight w:val="none"/>
          <w:u w:val="none"/>
          <w:shd w:val="clear" w:color="auto" w:fill="FFFFFF"/>
          <w:lang w:val="zh-CN" w:eastAsia="zh-CN"/>
        </w:rPr>
        <w:t>产生</w:t>
      </w:r>
      <w:r>
        <w:rPr>
          <w:rFonts w:hint="eastAsia" w:ascii="仿宋_GB2312" w:eastAsia="仿宋_GB2312" w:cs="仿宋_GB2312"/>
          <w:color w:val="auto"/>
          <w:kern w:val="0"/>
          <w:sz w:val="32"/>
          <w:szCs w:val="32"/>
          <w:highlight w:val="none"/>
          <w:u w:val="none"/>
          <w:shd w:val="clear" w:color="auto" w:fill="FFFFFF"/>
          <w:lang w:val="en-US" w:eastAsia="zh-CN"/>
        </w:rPr>
        <w:t>的</w:t>
      </w:r>
      <w:r>
        <w:rPr>
          <w:rFonts w:ascii="仿宋_GB2312" w:eastAsia="仿宋_GB2312" w:cs="仿宋_GB2312"/>
          <w:color w:val="auto"/>
          <w:kern w:val="0"/>
          <w:sz w:val="32"/>
          <w:szCs w:val="32"/>
          <w:highlight w:val="none"/>
          <w:u w:val="none"/>
          <w:shd w:val="clear" w:color="auto" w:fill="FFFFFF"/>
          <w:lang w:val="zh-CN" w:eastAsia="zh-CN"/>
        </w:rPr>
        <w:t>费用</w:t>
      </w:r>
      <w:r>
        <w:rPr>
          <w:rFonts w:hint="eastAsia" w:ascii="仿宋_GB2312" w:eastAsia="仿宋_GB2312" w:cs="仿宋_GB2312"/>
          <w:color w:val="auto"/>
          <w:kern w:val="0"/>
          <w:sz w:val="32"/>
          <w:szCs w:val="32"/>
          <w:highlight w:val="none"/>
          <w:u w:val="none"/>
          <w:shd w:val="clear" w:color="auto" w:fill="FFFFFF"/>
          <w:lang w:val="zh-CN"/>
        </w:rPr>
        <w:t>。</w:t>
      </w:r>
    </w:p>
    <w:p w14:paraId="284CC64C">
      <w:pPr>
        <w:keepNext w:val="0"/>
        <w:keepLines w:val="0"/>
        <w:pageBreakBefore w:val="0"/>
        <w:widowControl w:val="0"/>
        <w:kinsoku/>
        <w:wordWrap/>
        <w:overflowPunct/>
        <w:topLinePunct w:val="0"/>
        <w:autoSpaceDE/>
        <w:autoSpaceDN/>
        <w:adjustRightInd w:val="0"/>
        <w:snapToGrid w:val="0"/>
        <w:spacing w:line="560" w:lineRule="exact"/>
        <w:ind w:left="0" w:firstLine="643" w:firstLineChars="200"/>
        <w:rPr>
          <w:rFonts w:hint="eastAsia" w:ascii="仿宋_GB2312" w:eastAsia="仿宋_GB2312" w:cs="仿宋_GB2312"/>
          <w:color w:val="FF0000"/>
          <w:kern w:val="0"/>
          <w:sz w:val="32"/>
          <w:szCs w:val="32"/>
          <w:shd w:val="clear" w:color="auto" w:fill="FFFFFF"/>
          <w:lang w:val="zh-CN" w:eastAsia="zh-CN" w:bidi="ar-SA"/>
        </w:rPr>
      </w:pPr>
      <w:r>
        <w:rPr>
          <w:rFonts w:hint="eastAsia" w:ascii="楷体_GB2312" w:eastAsia="楷体_GB2312" w:cs="Times New Roman"/>
          <w:b/>
          <w:color w:val="auto"/>
          <w:sz w:val="32"/>
          <w:szCs w:val="32"/>
          <w:highlight w:val="none"/>
          <w:u w:val="none"/>
          <w:lang w:val="zh-CN" w:eastAsia="zh-CN"/>
        </w:rPr>
        <w:t>（四）项目绩效目标设置。</w:t>
      </w:r>
      <w:r>
        <w:rPr>
          <w:rFonts w:hint="eastAsia" w:ascii="仿宋_GB2312" w:eastAsia="仿宋_GB2312" w:cs="仿宋_GB2312"/>
          <w:bCs/>
          <w:color w:val="auto"/>
          <w:sz w:val="32"/>
          <w:szCs w:val="32"/>
          <w:highlight w:val="none"/>
          <w:u w:val="none"/>
          <w:lang w:val="en-US" w:eastAsia="zh-CN" w:bidi="ar-SA"/>
        </w:rPr>
        <w:t>本</w:t>
      </w:r>
      <w:r>
        <w:rPr>
          <w:rFonts w:hint="eastAsia" w:ascii="仿宋_GB2312" w:eastAsia="仿宋_GB2312" w:cs="仿宋_GB2312"/>
          <w:bCs/>
          <w:color w:val="auto"/>
          <w:kern w:val="0"/>
          <w:sz w:val="32"/>
          <w:szCs w:val="32"/>
          <w:highlight w:val="none"/>
          <w:u w:val="none"/>
          <w:shd w:val="clear" w:color="auto" w:fill="FFFFFF"/>
          <w:lang w:val="zh-CN" w:eastAsia="zh-CN" w:bidi="ar-SA"/>
        </w:rPr>
        <w:t>项</w:t>
      </w:r>
      <w:r>
        <w:rPr>
          <w:rFonts w:hint="eastAsia" w:ascii="仿宋_GB2312" w:eastAsia="仿宋_GB2312" w:cs="仿宋_GB2312"/>
          <w:color w:val="auto"/>
          <w:kern w:val="0"/>
          <w:sz w:val="32"/>
          <w:szCs w:val="32"/>
          <w:highlight w:val="none"/>
          <w:u w:val="none"/>
          <w:shd w:val="clear" w:color="auto" w:fill="FFFFFF"/>
          <w:lang w:val="zh-CN" w:eastAsia="zh-CN" w:bidi="ar-SA"/>
        </w:rPr>
        <w:t>目</w:t>
      </w:r>
      <w:r>
        <w:rPr>
          <w:rFonts w:hint="eastAsia" w:ascii="仿宋_GB2312" w:eastAsia="仿宋_GB2312" w:cs="仿宋_GB2312"/>
          <w:color w:val="auto"/>
          <w:kern w:val="0"/>
          <w:sz w:val="32"/>
          <w:szCs w:val="32"/>
          <w:highlight w:val="none"/>
          <w:u w:val="none"/>
          <w:shd w:val="clear" w:color="auto" w:fill="FFFFFF"/>
          <w:lang w:val="en-US" w:eastAsia="zh-CN" w:bidi="ar-SA"/>
        </w:rPr>
        <w:t>的主要任务是</w:t>
      </w:r>
      <w:r>
        <w:rPr>
          <w:rFonts w:ascii="仿宋_GB2312" w:eastAsia="仿宋_GB2312" w:cs="仿宋_GB2312"/>
          <w:color w:val="auto"/>
          <w:kern w:val="0"/>
          <w:sz w:val="32"/>
          <w:szCs w:val="32"/>
          <w:highlight w:val="none"/>
          <w:u w:val="none"/>
          <w:shd w:val="clear" w:color="auto" w:fill="FFFFFF"/>
          <w:lang w:val="en-US" w:eastAsia="zh-CN" w:bidi="ar-SA"/>
        </w:rPr>
        <w:t>完成卧龙体制改革工作</w:t>
      </w:r>
      <w:r>
        <w:rPr>
          <w:rFonts w:hint="eastAsia" w:ascii="仿宋_GB2312" w:eastAsia="仿宋_GB2312" w:cs="仿宋_GB2312"/>
          <w:color w:val="auto"/>
          <w:kern w:val="0"/>
          <w:sz w:val="32"/>
          <w:szCs w:val="32"/>
          <w:highlight w:val="none"/>
          <w:u w:val="none"/>
          <w:shd w:val="clear" w:color="auto" w:fill="FFFFFF"/>
          <w:lang w:val="zh-CN" w:eastAsia="zh-CN" w:bidi="ar-SA"/>
        </w:rPr>
        <w:t>，</w:t>
      </w:r>
      <w:r>
        <w:rPr>
          <w:rFonts w:hint="eastAsia" w:ascii="仿宋_GB2312" w:eastAsia="仿宋_GB2312" w:cs="仿宋_GB2312"/>
          <w:color w:val="auto"/>
          <w:kern w:val="0"/>
          <w:sz w:val="32"/>
          <w:szCs w:val="32"/>
          <w:highlight w:val="none"/>
          <w:u w:val="none"/>
          <w:shd w:val="clear" w:color="auto" w:fill="FFFFFF"/>
          <w:lang w:val="en-US" w:eastAsia="zh-CN" w:bidi="ar-SA"/>
        </w:rPr>
        <w:t>目标相对单一。针对项目特点，设置了通用指标、专用指标和三项个性指标，按照国家、省、州相关文件规定推进</w:t>
      </w:r>
      <w:r>
        <w:rPr>
          <w:rFonts w:ascii="仿宋_GB2312" w:eastAsia="仿宋_GB2312" w:cs="仿宋_GB2312"/>
          <w:color w:val="auto"/>
          <w:kern w:val="0"/>
          <w:sz w:val="32"/>
          <w:szCs w:val="32"/>
          <w:highlight w:val="none"/>
          <w:u w:val="none"/>
          <w:shd w:val="clear" w:color="auto" w:fill="FFFFFF"/>
          <w:lang w:val="en-US" w:eastAsia="zh-CN" w:bidi="ar-SA"/>
        </w:rPr>
        <w:t>改革工作</w:t>
      </w:r>
      <w:r>
        <w:rPr>
          <w:rFonts w:hint="eastAsia" w:ascii="仿宋_GB2312" w:eastAsia="仿宋_GB2312" w:cs="华文仿宋"/>
          <w:sz w:val="32"/>
          <w:szCs w:val="32"/>
          <w:lang w:bidi="ar-SA"/>
        </w:rPr>
        <w:t>。</w:t>
      </w:r>
    </w:p>
    <w:p w14:paraId="49C113B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eastAsia="黑体"/>
          <w:sz w:val="32"/>
          <w:szCs w:val="32"/>
          <w:highlight w:val="none"/>
          <w:lang w:eastAsia="zh-CN"/>
        </w:rPr>
      </w:pPr>
      <w:r>
        <w:rPr>
          <w:rFonts w:hint="eastAsia" w:ascii="黑体" w:eastAsia="黑体"/>
          <w:sz w:val="32"/>
          <w:szCs w:val="32"/>
          <w:highlight w:val="none"/>
        </w:rPr>
        <w:t>二、</w:t>
      </w:r>
      <w:r>
        <w:rPr>
          <w:rFonts w:hint="eastAsia" w:ascii="黑体" w:eastAsia="黑体"/>
          <w:sz w:val="32"/>
          <w:szCs w:val="32"/>
          <w:highlight w:val="none"/>
          <w:lang w:eastAsia="zh-CN"/>
        </w:rPr>
        <w:t>评价实施</w:t>
      </w:r>
    </w:p>
    <w:p w14:paraId="25BE4FF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Times New Roman"/>
          <w:sz w:val="32"/>
          <w:szCs w:val="32"/>
        </w:rPr>
      </w:pPr>
      <w:r>
        <w:rPr>
          <w:rFonts w:hint="eastAsia" w:ascii="楷体_GB2312" w:eastAsia="楷体_GB2312"/>
          <w:b/>
          <w:color w:val="auto"/>
          <w:sz w:val="32"/>
          <w:szCs w:val="32"/>
          <w:highlight w:val="none"/>
          <w:u w:val="none"/>
          <w:lang w:val="zh-CN"/>
        </w:rPr>
        <w:t>（一）评价目的。</w:t>
      </w:r>
      <w:r>
        <w:rPr>
          <w:rFonts w:hint="eastAsia" w:ascii="仿宋_GB2312" w:eastAsia="仿宋_GB2312"/>
          <w:sz w:val="32"/>
          <w:szCs w:val="32"/>
        </w:rPr>
        <w:t>全面评估项目的执行情况，确保项目顺利完成并实现原定目标。通过自评，检查项目是否按照预期的目标和计划进行，资源的使用是否有效，及时发现问题和不足并调整措施，‌提高执行效率和绩效水平确保项目能够按照预期目标顺利完成，同时提高</w:t>
      </w:r>
      <w:r>
        <w:rPr>
          <w:rFonts w:hint="eastAsia" w:ascii="仿宋_GB2312" w:eastAsia="仿宋_GB2312"/>
          <w:sz w:val="32"/>
          <w:szCs w:val="32"/>
          <w:lang w:val="en-US" w:eastAsia="zh-CN"/>
        </w:rPr>
        <w:t>部门</w:t>
      </w:r>
      <w:r>
        <w:rPr>
          <w:rFonts w:hint="eastAsia" w:ascii="仿宋_GB2312" w:eastAsia="仿宋_GB2312"/>
          <w:sz w:val="32"/>
          <w:szCs w:val="32"/>
        </w:rPr>
        <w:t>的整体管理效率和效果，提高资金管理水平和使用效益。</w:t>
      </w:r>
    </w:p>
    <w:p w14:paraId="36C0A838">
      <w:pPr>
        <w:keepNext w:val="0"/>
        <w:keepLines w:val="0"/>
        <w:pageBreakBefore w:val="0"/>
        <w:widowControl w:val="0"/>
        <w:kinsoku/>
        <w:wordWrap/>
        <w:overflowPunct/>
        <w:topLinePunct w:val="0"/>
        <w:autoSpaceDE/>
        <w:autoSpaceDN/>
        <w:adjustRightInd w:val="0"/>
        <w:snapToGrid w:val="0"/>
        <w:spacing w:line="578" w:lineRule="exact"/>
        <w:ind w:left="0" w:firstLine="643" w:firstLineChars="200"/>
        <w:rPr>
          <w:rFonts w:hint="default" w:ascii="楷体_GB2312" w:eastAsia="仿宋_GB2312"/>
          <w:b/>
          <w:sz w:val="32"/>
          <w:szCs w:val="32"/>
          <w:lang w:val="en-US" w:eastAsia="zh-CN"/>
        </w:rPr>
      </w:pPr>
      <w:r>
        <w:rPr>
          <w:rFonts w:hint="eastAsia" w:ascii="楷体_GB2312" w:eastAsia="楷体_GB2312"/>
          <w:b/>
          <w:color w:val="auto"/>
          <w:sz w:val="32"/>
          <w:szCs w:val="32"/>
          <w:highlight w:val="none"/>
          <w:u w:val="none"/>
          <w:lang w:val="zh-CN"/>
        </w:rPr>
        <w:t>（二）预设问题及评价重点。</w:t>
      </w:r>
      <w:r>
        <w:rPr>
          <w:rFonts w:hint="eastAsia" w:ascii="仿宋_GB2312" w:eastAsia="仿宋_GB2312"/>
          <w:sz w:val="32"/>
          <w:szCs w:val="32"/>
        </w:rPr>
        <w:t>在资金使用中严格执行国家财务管理制度，编制专项报表，严格资金的审批和使用，</w:t>
      </w:r>
      <w:r>
        <w:rPr>
          <w:rFonts w:hint="eastAsia" w:ascii="仿宋_GB2312" w:eastAsia="仿宋_GB2312" w:cs="仿宋_GB2312"/>
          <w:sz w:val="32"/>
          <w:szCs w:val="32"/>
          <w:lang w:bidi="ar-SA"/>
        </w:rPr>
        <w:t>资金使用规范，会计核算结果真实、准确，自评过程中未发现有截留、挤占或挪用项目资金的情况。</w:t>
      </w:r>
      <w:r>
        <w:rPr>
          <w:rFonts w:hint="eastAsia" w:ascii="仿宋_GB2312" w:eastAsia="仿宋_GB2312" w:cs="仿宋_GB2312"/>
          <w:sz w:val="32"/>
          <w:szCs w:val="32"/>
          <w:lang w:val="en-US" w:eastAsia="zh-CN" w:bidi="ar-SA"/>
        </w:rPr>
        <w:t>因体制改革推进较慢，2023年11月财政三项清理时收回项目预算执行过缓资金15万元，实际支付资金12.06万元。</w:t>
      </w:r>
    </w:p>
    <w:p w14:paraId="06410AAE">
      <w:pPr>
        <w:keepNext w:val="0"/>
        <w:keepLines w:val="0"/>
        <w:pageBreakBefore w:val="0"/>
        <w:widowControl w:val="0"/>
        <w:kinsoku/>
        <w:wordWrap/>
        <w:overflowPunct/>
        <w:topLinePunct w:val="0"/>
        <w:autoSpaceDE/>
        <w:autoSpaceDN/>
        <w:bidi w:val="0"/>
        <w:adjustRightInd w:val="0"/>
        <w:snapToGrid w:val="0"/>
        <w:spacing w:line="578" w:lineRule="exact"/>
        <w:ind w:left="0" w:firstLine="643" w:firstLineChars="200"/>
        <w:textAlignment w:val="auto"/>
        <w:outlineLvl w:val="9"/>
        <w:rPr>
          <w:rFonts w:hint="eastAsia" w:eastAsia="仿宋_GB2312" w:cs="Times New Roman"/>
          <w:sz w:val="32"/>
          <w:szCs w:val="32"/>
          <w:lang w:val="zh-CN" w:eastAsia="zh-CN"/>
        </w:rPr>
      </w:pPr>
      <w:r>
        <w:rPr>
          <w:rFonts w:hint="eastAsia" w:ascii="楷体_GB2312" w:eastAsia="楷体_GB2312"/>
          <w:b/>
          <w:color w:val="auto"/>
          <w:sz w:val="32"/>
          <w:szCs w:val="32"/>
          <w:highlight w:val="none"/>
          <w:u w:val="none"/>
          <w:lang w:val="zh-CN"/>
        </w:rPr>
        <w:t>（三）评价选点。</w:t>
      </w:r>
      <w:r>
        <w:rPr>
          <w:rFonts w:hint="eastAsia" w:ascii="仿宋_GB2312" w:eastAsia="仿宋_GB2312" w:cs="仿宋_GB2312"/>
          <w:color w:val="auto"/>
          <w:kern w:val="0"/>
          <w:sz w:val="32"/>
          <w:szCs w:val="32"/>
          <w:highlight w:val="none"/>
          <w:u w:val="none"/>
          <w:shd w:val="clear" w:color="auto" w:fill="FFFFFF"/>
          <w:lang w:val="en-US" w:eastAsia="zh-CN" w:bidi="ar-SA"/>
        </w:rPr>
        <w:t>落实专人</w:t>
      </w:r>
      <w:r>
        <w:rPr>
          <w:rFonts w:ascii="仿宋_GB2312" w:eastAsia="仿宋_GB2312" w:cs="仿宋_GB2312"/>
          <w:color w:val="auto"/>
          <w:kern w:val="0"/>
          <w:sz w:val="32"/>
          <w:szCs w:val="32"/>
          <w:highlight w:val="none"/>
          <w:u w:val="none"/>
          <w:shd w:val="clear" w:color="auto" w:fill="FFFFFF"/>
          <w:lang w:val="en-US" w:eastAsia="zh-CN" w:bidi="ar-SA"/>
        </w:rPr>
        <w:t>对卧龙体制改革支出费用进行</w:t>
      </w:r>
      <w:r>
        <w:rPr>
          <w:rFonts w:hint="eastAsia" w:ascii="仿宋_GB2312" w:eastAsia="仿宋_GB2312" w:cs="仿宋_GB2312"/>
          <w:color w:val="auto"/>
          <w:kern w:val="0"/>
          <w:sz w:val="32"/>
          <w:szCs w:val="32"/>
          <w:highlight w:val="none"/>
          <w:u w:val="none"/>
          <w:shd w:val="clear" w:color="auto" w:fill="FFFFFF"/>
          <w:lang w:val="en-US" w:eastAsia="zh-CN" w:bidi="ar-SA"/>
        </w:rPr>
        <w:t>自评</w:t>
      </w:r>
      <w:r>
        <w:rPr>
          <w:rFonts w:hint="eastAsia" w:eastAsia="仿宋_GB2312" w:cs="Times New Roman"/>
          <w:sz w:val="32"/>
          <w:szCs w:val="32"/>
          <w:lang w:val="zh-CN" w:eastAsia="zh-CN"/>
        </w:rPr>
        <w:t>。</w:t>
      </w:r>
    </w:p>
    <w:p w14:paraId="709B4C7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仿宋_GB2312" w:eastAsia="仿宋_GB2312"/>
          <w:sz w:val="32"/>
          <w:szCs w:val="32"/>
        </w:rPr>
      </w:pPr>
      <w:r>
        <w:rPr>
          <w:rFonts w:hint="eastAsia" w:ascii="楷体_GB2312" w:eastAsia="楷体_GB2312"/>
          <w:b/>
          <w:color w:val="auto"/>
          <w:sz w:val="32"/>
          <w:szCs w:val="32"/>
          <w:highlight w:val="none"/>
          <w:u w:val="none"/>
          <w:lang w:val="zh-CN"/>
        </w:rPr>
        <w:t>（四）评价方法。</w:t>
      </w:r>
      <w:r>
        <w:rPr>
          <w:rFonts w:hint="eastAsia" w:ascii="仿宋_GB2312" w:eastAsia="仿宋_GB2312"/>
          <w:sz w:val="32"/>
          <w:szCs w:val="32"/>
          <w:lang w:val="en-US" w:eastAsia="zh-CN"/>
        </w:rPr>
        <w:t>单位自评法</w:t>
      </w:r>
      <w:r>
        <w:rPr>
          <w:rFonts w:hint="eastAsia" w:ascii="仿宋_GB2312" w:eastAsia="仿宋_GB2312"/>
          <w:sz w:val="32"/>
          <w:szCs w:val="32"/>
        </w:rPr>
        <w:t>。</w:t>
      </w:r>
    </w:p>
    <w:p w14:paraId="35154ABC">
      <w:pPr>
        <w:keepNext w:val="0"/>
        <w:keepLines w:val="0"/>
        <w:pageBreakBefore w:val="0"/>
        <w:widowControl w:val="0"/>
        <w:kinsoku/>
        <w:wordWrap/>
        <w:overflowPunct/>
        <w:topLinePunct w:val="0"/>
        <w:autoSpaceDE/>
        <w:autoSpaceDN/>
        <w:spacing w:line="560" w:lineRule="exact"/>
        <w:ind w:firstLine="640"/>
        <w:rPr>
          <w:rFonts w:hint="eastAsia" w:ascii="仿宋_GB2312" w:eastAsia="仿宋_GB2312"/>
          <w:sz w:val="32"/>
          <w:szCs w:val="32"/>
          <w:lang w:eastAsia="zh-CN"/>
        </w:rPr>
      </w:pPr>
      <w:r>
        <w:rPr>
          <w:rFonts w:hint="eastAsia" w:ascii="楷体_GB2312" w:eastAsia="楷体_GB2312"/>
          <w:b/>
          <w:color w:val="auto"/>
          <w:sz w:val="32"/>
          <w:szCs w:val="32"/>
          <w:highlight w:val="none"/>
          <w:u w:val="none"/>
          <w:lang w:val="zh-CN"/>
        </w:rPr>
        <w:t>（五）评价组织。</w:t>
      </w:r>
      <w:r>
        <w:rPr>
          <w:rFonts w:hint="eastAsia" w:ascii="仿宋_GB2312" w:eastAsia="仿宋_GB2312" w:cs="仿宋_GB2312"/>
          <w:color w:val="000000"/>
          <w:sz w:val="32"/>
          <w:szCs w:val="32"/>
          <w:lang w:bidi="ar-SA"/>
        </w:rPr>
        <w:t>根据财政绩效评价要求，由</w:t>
      </w:r>
      <w:r>
        <w:rPr>
          <w:rFonts w:ascii="仿宋_GB2312" w:eastAsia="仿宋_GB2312" w:cs="仿宋_GB2312"/>
          <w:color w:val="000000"/>
          <w:sz w:val="32"/>
          <w:szCs w:val="32"/>
          <w:lang w:bidi="ar-SA"/>
        </w:rPr>
        <w:t>分</w:t>
      </w:r>
      <w:r>
        <w:rPr>
          <w:rFonts w:hint="eastAsia" w:ascii="仿宋_GB2312" w:eastAsia="仿宋_GB2312" w:cs="仿宋_GB2312"/>
          <w:color w:val="000000"/>
          <w:sz w:val="32"/>
          <w:szCs w:val="32"/>
          <w:lang w:bidi="ar-SA"/>
        </w:rPr>
        <w:t>局办公室牵头，相关部室参与配合，绩效评价遵循科学规范、公正公开原则，办公室（财务室）负责审核项目资金</w:t>
      </w:r>
      <w:r>
        <w:rPr>
          <w:rFonts w:hint="eastAsia" w:ascii="仿宋_GB2312" w:eastAsia="仿宋_GB2312" w:cs="仿宋_GB2312"/>
          <w:color w:val="000000"/>
          <w:sz w:val="32"/>
          <w:szCs w:val="32"/>
          <w:lang w:val="en-US" w:eastAsia="zh-CN" w:bidi="ar-SA"/>
        </w:rPr>
        <w:t>支付情况及原始凭证</w:t>
      </w:r>
      <w:r>
        <w:rPr>
          <w:rFonts w:hint="eastAsia" w:ascii="仿宋_GB2312" w:eastAsia="仿宋_GB2312" w:cs="仿宋_GB2312"/>
          <w:color w:val="000000"/>
          <w:sz w:val="32"/>
          <w:szCs w:val="32"/>
          <w:lang w:eastAsia="zh-CN" w:bidi="ar-SA"/>
        </w:rPr>
        <w:t>。</w:t>
      </w:r>
    </w:p>
    <w:p w14:paraId="01C6AD7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仿宋_GB2312" w:eastAsia="仿宋_GB2312"/>
          <w:color w:val="auto"/>
          <w:sz w:val="32"/>
          <w:szCs w:val="32"/>
          <w:highlight w:val="none"/>
          <w:u w:val="none"/>
          <w:lang w:val="zh-CN"/>
        </w:rPr>
      </w:pPr>
      <w:r>
        <w:rPr>
          <w:rFonts w:hint="eastAsia" w:ascii="黑体" w:eastAsia="黑体"/>
          <w:color w:val="auto"/>
          <w:sz w:val="32"/>
          <w:szCs w:val="32"/>
          <w:highlight w:val="none"/>
          <w:u w:val="none"/>
        </w:rPr>
        <w:t>三、</w:t>
      </w:r>
      <w:r>
        <w:rPr>
          <w:rFonts w:hint="eastAsia" w:ascii="黑体" w:eastAsia="黑体"/>
          <w:color w:val="auto"/>
          <w:sz w:val="32"/>
          <w:szCs w:val="32"/>
          <w:highlight w:val="none"/>
          <w:u w:val="none"/>
          <w:lang w:eastAsia="zh-CN"/>
        </w:rPr>
        <w:t>绩效分析</w:t>
      </w:r>
      <w:r>
        <w:rPr>
          <w:rFonts w:hint="eastAsia" w:ascii="仿宋_GB2312" w:eastAsia="仿宋_GB2312"/>
          <w:color w:val="auto"/>
          <w:sz w:val="32"/>
          <w:szCs w:val="32"/>
          <w:highlight w:val="none"/>
          <w:u w:val="none"/>
          <w:lang w:val="zh-CN"/>
        </w:rPr>
        <w:tab/>
      </w:r>
    </w:p>
    <w:p w14:paraId="141EF11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eastAsia="楷体_GB2312" w:cs="Times New Roman"/>
          <w:b/>
          <w:color w:val="auto"/>
          <w:sz w:val="32"/>
          <w:szCs w:val="32"/>
          <w:highlight w:val="none"/>
          <w:u w:val="none"/>
          <w:lang w:val="en-US" w:eastAsia="zh-CN"/>
        </w:rPr>
      </w:pPr>
      <w:r>
        <w:rPr>
          <w:rFonts w:hint="eastAsia" w:ascii="楷体_GB2312" w:eastAsia="楷体_GB2312" w:cs="Times New Roman"/>
          <w:b/>
          <w:color w:val="auto"/>
          <w:sz w:val="32"/>
          <w:szCs w:val="32"/>
          <w:highlight w:val="none"/>
          <w:u w:val="none"/>
          <w:lang w:val="zh-CN"/>
        </w:rPr>
        <w:t>（一）</w:t>
      </w:r>
      <w:r>
        <w:rPr>
          <w:rFonts w:hint="eastAsia" w:ascii="楷体_GB2312" w:eastAsia="楷体_GB2312" w:cs="Times New Roman"/>
          <w:b/>
          <w:color w:val="auto"/>
          <w:sz w:val="32"/>
          <w:szCs w:val="32"/>
          <w:highlight w:val="none"/>
          <w:u w:val="none"/>
          <w:lang w:val="en-US" w:eastAsia="zh-CN"/>
        </w:rPr>
        <w:t>通用指标</w:t>
      </w:r>
      <w:r>
        <w:rPr>
          <w:rFonts w:ascii="Times New Roman" w:hAnsi="Times New Roman" w:eastAsia="楷体_GB2312" w:cs="Times New Roman"/>
          <w:b/>
          <w:bCs/>
          <w:color w:val="000000"/>
          <w:kern w:val="0"/>
          <w:sz w:val="32"/>
          <w:szCs w:val="32"/>
          <w:highlight w:val="none"/>
          <w:shd w:val="clear" w:color="auto" w:fill="FFFFFF"/>
          <w:lang w:val="zh-CN"/>
        </w:rPr>
        <w:t>绩效分析。</w:t>
      </w:r>
    </w:p>
    <w:p w14:paraId="34BC20D1">
      <w:pPr>
        <w:keepNext w:val="0"/>
        <w:keepLines w:val="0"/>
        <w:pageBreakBefore w:val="0"/>
        <w:widowControl w:val="0"/>
        <w:kinsoku/>
        <w:wordWrap/>
        <w:overflowPunct/>
        <w:topLinePunct w:val="0"/>
        <w:autoSpaceDE/>
        <w:autoSpaceDN/>
        <w:spacing w:line="560" w:lineRule="exact"/>
        <w:ind w:firstLine="640"/>
        <w:rPr>
          <w:rFonts w:hint="eastAsia" w:ascii="仿宋_GB2312" w:eastAsia="仿宋_GB2312"/>
          <w:sz w:val="32"/>
          <w:szCs w:val="32"/>
          <w:lang w:val="zh-CN"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项目决策。</w:t>
      </w:r>
      <w:r>
        <w:rPr>
          <w:rFonts w:hint="eastAsia" w:ascii="仿宋_GB2312" w:eastAsia="仿宋_GB2312"/>
          <w:sz w:val="32"/>
          <w:szCs w:val="32"/>
        </w:rPr>
        <w:t>该项目资金由</w:t>
      </w:r>
      <w:r>
        <w:rPr>
          <w:rFonts w:ascii="仿宋_GB2312" w:eastAsia="仿宋_GB2312"/>
          <w:sz w:val="32"/>
          <w:szCs w:val="32"/>
        </w:rPr>
        <w:t>分</w:t>
      </w:r>
      <w:r>
        <w:rPr>
          <w:rFonts w:hint="eastAsia" w:ascii="仿宋_GB2312" w:eastAsia="仿宋_GB2312"/>
          <w:sz w:val="32"/>
          <w:szCs w:val="32"/>
        </w:rPr>
        <w:t>局党组研究，州财政局相关业务科室审核</w:t>
      </w:r>
      <w:r>
        <w:rPr>
          <w:rFonts w:hint="eastAsia" w:ascii="仿宋_GB2312" w:eastAsia="仿宋_GB2312"/>
          <w:sz w:val="32"/>
          <w:szCs w:val="32"/>
          <w:lang w:val="en-US" w:eastAsia="zh-CN"/>
        </w:rPr>
        <w:t>登记入库</w:t>
      </w:r>
      <w:r>
        <w:rPr>
          <w:rFonts w:hint="eastAsia" w:ascii="仿宋_GB2312" w:eastAsia="仿宋_GB2312"/>
          <w:sz w:val="32"/>
          <w:szCs w:val="32"/>
          <w:lang w:eastAsia="zh-CN"/>
        </w:rPr>
        <w:t>。</w:t>
      </w:r>
    </w:p>
    <w:p w14:paraId="6E26228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项目管理。</w:t>
      </w:r>
      <w:r>
        <w:rPr>
          <w:rFonts w:hint="eastAsia" w:ascii="仿宋_GB2312" w:eastAsia="仿宋_GB2312"/>
          <w:sz w:val="32"/>
          <w:szCs w:val="32"/>
        </w:rPr>
        <w:t>严格按照</w:t>
      </w:r>
      <w:r>
        <w:rPr>
          <w:rFonts w:hint="eastAsia" w:ascii="仿宋_GB2312" w:eastAsia="仿宋_GB2312"/>
          <w:sz w:val="32"/>
          <w:szCs w:val="32"/>
          <w:lang w:val="en-US" w:eastAsia="zh-CN"/>
        </w:rPr>
        <w:t>年初预算进行部门项目支出，在支付过程中，能严格遵守各项规章制度。尤其在专项经费支出上，严格执行专项资金财务管理办法，专款专用，无截留、无挪用等现象，为规范财务制度，部门制定了内控制度</w:t>
      </w:r>
      <w:r>
        <w:rPr>
          <w:rFonts w:hint="eastAsia" w:ascii="仿宋_GB2312" w:eastAsia="仿宋_GB2312"/>
          <w:color w:val="000000"/>
          <w:sz w:val="32"/>
          <w:szCs w:val="32"/>
        </w:rPr>
        <w:t>。</w:t>
      </w:r>
    </w:p>
    <w:p w14:paraId="24198D7A">
      <w:pPr>
        <w:keepNext w:val="0"/>
        <w:keepLines w:val="0"/>
        <w:pageBreakBefore w:val="0"/>
        <w:widowControl w:val="0"/>
        <w:kinsoku/>
        <w:wordWrap/>
        <w:overflowPunct/>
        <w:topLinePunct w:val="0"/>
        <w:autoSpaceDE/>
        <w:autoSpaceDN/>
        <w:adjustRightInd/>
        <w:snapToGrid/>
        <w:spacing w:line="560" w:lineRule="exact"/>
        <w:ind w:firstLine="643" w:firstLineChars="200"/>
        <w:rPr>
          <w:rFonts w:hint="eastAsia" w:ascii="仿宋_GB2312" w:eastAsia="仿宋_GB2312"/>
          <w:sz w:val="32"/>
          <w:szCs w:val="32"/>
        </w:rPr>
      </w:pPr>
      <w:r>
        <w:rPr>
          <w:rFonts w:hint="eastAsia" w:ascii="仿宋_GB2312" w:hAnsi="仿宋_GB2312" w:eastAsia="仿宋_GB2312" w:cs="仿宋_GB2312"/>
          <w:b/>
          <w:bCs/>
          <w:color w:val="auto"/>
          <w:sz w:val="32"/>
          <w:szCs w:val="32"/>
          <w:lang w:val="en-US" w:eastAsia="zh-CN"/>
        </w:rPr>
        <w:t>3.项目实施。</w:t>
      </w:r>
      <w:r>
        <w:rPr>
          <w:rFonts w:hint="eastAsia" w:ascii="仿宋_GB2312" w:eastAsia="仿宋_GB2312" w:cs="仿宋_GB2312"/>
          <w:color w:val="000000"/>
          <w:sz w:val="32"/>
          <w:szCs w:val="32"/>
          <w:highlight w:val="none"/>
          <w:shd w:val="clear" w:color="auto" w:fill="FFFFFF"/>
          <w:lang w:val="zh-CN" w:eastAsia="zh-CN" w:bidi="ar-SA"/>
        </w:rPr>
        <w:t>严格依法依规有序推进</w:t>
      </w:r>
      <w:r>
        <w:rPr>
          <w:rFonts w:ascii="仿宋_GB2312" w:eastAsia="仿宋_GB2312" w:cs="仿宋_GB2312"/>
          <w:color w:val="000000"/>
          <w:sz w:val="32"/>
          <w:szCs w:val="32"/>
          <w:highlight w:val="none"/>
          <w:shd w:val="clear" w:color="auto" w:fill="FFFFFF"/>
          <w:lang w:val="zh-CN" w:eastAsia="zh-CN" w:bidi="ar-SA"/>
        </w:rPr>
        <w:t>改革工作</w:t>
      </w:r>
      <w:r>
        <w:rPr>
          <w:rFonts w:hint="eastAsia" w:ascii="仿宋_GB2312" w:eastAsia="仿宋_GB2312" w:cs="仿宋_GB2312"/>
          <w:color w:val="000000"/>
          <w:sz w:val="32"/>
          <w:szCs w:val="32"/>
          <w:highlight w:val="none"/>
          <w:shd w:val="clear" w:color="auto" w:fill="FFFFFF"/>
          <w:lang w:val="zh-CN" w:eastAsia="zh-CN" w:bidi="ar-SA"/>
        </w:rPr>
        <w:t>，根据</w:t>
      </w:r>
      <w:r>
        <w:rPr>
          <w:rFonts w:ascii="仿宋_GB2312" w:eastAsia="仿宋_GB2312" w:cs="仿宋_GB2312"/>
          <w:color w:val="000000"/>
          <w:sz w:val="32"/>
          <w:szCs w:val="32"/>
          <w:highlight w:val="none"/>
          <w:shd w:val="clear" w:color="auto" w:fill="FFFFFF"/>
          <w:lang w:val="zh-CN" w:eastAsia="zh-CN" w:bidi="ar-SA"/>
        </w:rPr>
        <w:t>工作</w:t>
      </w:r>
      <w:r>
        <w:rPr>
          <w:rFonts w:hint="eastAsia" w:ascii="仿宋_GB2312" w:eastAsia="仿宋_GB2312" w:cs="仿宋_GB2312"/>
          <w:color w:val="000000"/>
          <w:sz w:val="32"/>
          <w:szCs w:val="32"/>
          <w:highlight w:val="none"/>
          <w:shd w:val="clear" w:color="auto" w:fill="FFFFFF"/>
          <w:lang w:val="zh-CN" w:eastAsia="zh-CN" w:bidi="ar-SA"/>
        </w:rPr>
        <w:t>进度及时支付资金。</w:t>
      </w:r>
      <w:r>
        <w:rPr>
          <w:rFonts w:ascii="仿宋_GB2312" w:eastAsia="仿宋_GB2312" w:cs="仿宋_GB2312"/>
          <w:color w:val="000000"/>
          <w:sz w:val="32"/>
          <w:szCs w:val="32"/>
          <w:highlight w:val="none"/>
          <w:shd w:val="clear" w:color="auto" w:fill="FFFFFF"/>
          <w:lang w:val="zh-CN" w:eastAsia="zh-CN" w:bidi="ar-SA"/>
        </w:rPr>
        <w:t>由于卧龙体制改革工作由中央、省级部门统筹推进</w:t>
      </w:r>
      <w:r>
        <w:rPr>
          <w:rFonts w:hint="eastAsia" w:ascii="仿宋_GB2312" w:eastAsia="仿宋_GB2312" w:cs="仿宋_GB2312"/>
          <w:color w:val="000000"/>
          <w:sz w:val="32"/>
          <w:szCs w:val="32"/>
          <w:highlight w:val="none"/>
          <w:shd w:val="clear" w:color="auto" w:fill="FFFFFF"/>
          <w:lang w:val="zh-CN" w:eastAsia="zh-CN" w:bidi="ar-SA"/>
        </w:rPr>
        <w:t>，</w:t>
      </w:r>
      <w:r>
        <w:rPr>
          <w:rFonts w:hint="eastAsia" w:ascii="仿宋_GB2312" w:eastAsia="仿宋_GB2312" w:cs="仿宋_GB2312"/>
          <w:color w:val="000000"/>
          <w:sz w:val="32"/>
          <w:szCs w:val="32"/>
          <w:shd w:val="clear" w:color="auto" w:fill="FFFFFF"/>
          <w:lang w:val="zh-CN" w:eastAsia="zh-CN" w:bidi="ar-SA"/>
        </w:rPr>
        <w:t>导致</w:t>
      </w:r>
      <w:r>
        <w:rPr>
          <w:rFonts w:ascii="仿宋_GB2312" w:eastAsia="仿宋_GB2312" w:cs="仿宋_GB2312"/>
          <w:color w:val="000000"/>
          <w:sz w:val="32"/>
          <w:szCs w:val="32"/>
          <w:shd w:val="clear" w:color="auto" w:fill="FFFFFF"/>
          <w:lang w:val="zh-CN" w:eastAsia="zh-CN" w:bidi="ar-SA"/>
        </w:rPr>
        <w:t>改革推动缓慢</w:t>
      </w:r>
      <w:r>
        <w:rPr>
          <w:rFonts w:hint="eastAsia" w:ascii="仿宋_GB2312" w:eastAsia="仿宋_GB2312" w:cs="仿宋_GB2312"/>
          <w:color w:val="000000"/>
          <w:sz w:val="32"/>
          <w:szCs w:val="32"/>
          <w:highlight w:val="none"/>
          <w:shd w:val="clear" w:color="auto" w:fill="FFFFFF"/>
          <w:lang w:val="zh-CN" w:eastAsia="zh-CN" w:bidi="ar-SA"/>
        </w:rPr>
        <w:t>，</w:t>
      </w:r>
      <w:r>
        <w:rPr>
          <w:rFonts w:ascii="仿宋_GB2312" w:eastAsia="仿宋_GB2312" w:cs="仿宋_GB2312"/>
          <w:color w:val="000000"/>
          <w:sz w:val="32"/>
          <w:szCs w:val="32"/>
          <w:highlight w:val="none"/>
          <w:shd w:val="clear" w:color="auto" w:fill="FFFFFF"/>
          <w:lang w:val="zh-CN" w:eastAsia="zh-CN" w:bidi="ar-SA"/>
        </w:rPr>
        <w:t>资金</w:t>
      </w:r>
      <w:r>
        <w:rPr>
          <w:rFonts w:hint="eastAsia" w:ascii="仿宋_GB2312" w:eastAsia="仿宋_GB2312" w:cs="仿宋_GB2312"/>
          <w:color w:val="000000"/>
          <w:sz w:val="32"/>
          <w:szCs w:val="32"/>
          <w:highlight w:val="none"/>
          <w:shd w:val="clear" w:color="auto" w:fill="FFFFFF"/>
          <w:lang w:val="en-US" w:eastAsia="zh-CN" w:bidi="ar-SA"/>
        </w:rPr>
        <w:t>支付进度过缓</w:t>
      </w:r>
      <w:r>
        <w:rPr>
          <w:rFonts w:hint="eastAsia" w:ascii="仿宋_GB2312" w:eastAsia="仿宋_GB2312" w:cs="仿宋_GB2312"/>
          <w:color w:val="000000"/>
          <w:sz w:val="32"/>
          <w:szCs w:val="32"/>
          <w:highlight w:val="none"/>
          <w:shd w:val="clear" w:color="auto" w:fill="FFFFFF"/>
          <w:lang w:val="zh-CN" w:eastAsia="zh-CN" w:bidi="ar-SA"/>
        </w:rPr>
        <w:t>。</w:t>
      </w:r>
    </w:p>
    <w:p w14:paraId="5910DA64">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outlineLvl w:val="9"/>
        <w:rPr>
          <w:rFonts w:hint="eastAsia" w:ascii="仿宋_GB2312" w:eastAsia="仿宋_GB2312" w:cs="仿宋_GB2312"/>
          <w:color w:val="000000"/>
          <w:sz w:val="32"/>
          <w:szCs w:val="32"/>
          <w:shd w:val="clear" w:color="auto" w:fill="FFFFFF"/>
          <w:lang w:val="zh-CN"/>
        </w:rPr>
      </w:pPr>
      <w:r>
        <w:rPr>
          <w:rFonts w:hint="eastAsia" w:ascii="仿宋_GB2312" w:hAnsi="仿宋_GB2312" w:eastAsia="仿宋_GB2312" w:cs="仿宋_GB2312"/>
          <w:b/>
          <w:bCs/>
          <w:color w:val="auto"/>
          <w:sz w:val="32"/>
          <w:szCs w:val="32"/>
          <w:lang w:val="en-US" w:eastAsia="zh-CN"/>
        </w:rPr>
        <w:t>4.项目结果。</w:t>
      </w:r>
      <w:r>
        <w:rPr>
          <w:rFonts w:hint="eastAsia" w:ascii="仿宋_GB2312" w:eastAsia="楷体_GB2312" w:cs="仿宋_GB2312"/>
          <w:color w:val="000000"/>
          <w:sz w:val="32"/>
          <w:szCs w:val="32"/>
          <w:shd w:val="clear" w:color="auto" w:fill="FFFFFF"/>
          <w:lang w:val="en-US" w:eastAsia="zh-CN"/>
        </w:rPr>
        <w:t>2023年涉及卧龙体制改革相关费用</w:t>
      </w:r>
      <w:r>
        <w:rPr>
          <w:rFonts w:ascii="仿宋_GB2312" w:eastAsia="仿宋_GB2312" w:cs="仿宋_GB2312"/>
          <w:color w:val="000000"/>
          <w:sz w:val="32"/>
          <w:szCs w:val="32"/>
          <w:shd w:val="clear" w:color="auto" w:fill="FFFFFF"/>
          <w:lang w:val="zh-CN"/>
        </w:rPr>
        <w:t>支出</w:t>
      </w:r>
      <w:r>
        <w:rPr>
          <w:rFonts w:hint="eastAsia" w:ascii="仿宋_GB2312" w:eastAsia="仿宋_GB2312" w:cs="仿宋_GB2312"/>
          <w:color w:val="000000"/>
          <w:sz w:val="32"/>
          <w:szCs w:val="32"/>
          <w:shd w:val="clear" w:color="auto" w:fill="FFFFFF"/>
          <w:lang w:val="en-US" w:eastAsia="zh-CN"/>
        </w:rPr>
        <w:t>合计12.06万元，按规定合法合规完成支付</w:t>
      </w:r>
      <w:r>
        <w:rPr>
          <w:rFonts w:hint="eastAsia" w:ascii="仿宋_GB2312" w:eastAsia="仿宋_GB2312" w:cs="仿宋_GB2312"/>
          <w:color w:val="000000"/>
          <w:sz w:val="32"/>
          <w:szCs w:val="32"/>
          <w:shd w:val="clear" w:color="auto" w:fill="FFFFFF"/>
          <w:lang w:val="zh-CN"/>
        </w:rPr>
        <w:t>。</w:t>
      </w:r>
    </w:p>
    <w:p w14:paraId="27DD753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eastAsia="楷体_GB2312" w:cs="楷体_GB2312"/>
          <w:color w:val="auto"/>
          <w:sz w:val="32"/>
          <w:szCs w:val="32"/>
          <w:lang w:val="zh-CN" w:eastAsia="zh-CN"/>
        </w:rPr>
      </w:pPr>
      <w:r>
        <w:rPr>
          <w:rFonts w:hint="eastAsia" w:ascii="楷体_GB2312" w:eastAsia="楷体_GB2312" w:cs="Times New Roman"/>
          <w:b/>
          <w:color w:val="auto"/>
          <w:sz w:val="32"/>
          <w:szCs w:val="32"/>
          <w:highlight w:val="none"/>
          <w:u w:val="none"/>
          <w:lang w:val="zh-CN"/>
        </w:rPr>
        <w:t>（二）</w:t>
      </w:r>
      <w:r>
        <w:rPr>
          <w:rFonts w:hint="eastAsia" w:ascii="楷体_GB2312" w:eastAsia="楷体_GB2312" w:cs="Times New Roman"/>
          <w:b/>
          <w:color w:val="auto"/>
          <w:sz w:val="32"/>
          <w:szCs w:val="32"/>
          <w:highlight w:val="none"/>
          <w:u w:val="none"/>
          <w:lang w:val="en-US" w:eastAsia="zh-CN"/>
        </w:rPr>
        <w:t>专用指标</w:t>
      </w:r>
      <w:r>
        <w:rPr>
          <w:rFonts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eastAsia="仿宋_GB2312"/>
          <w:sz w:val="32"/>
          <w:szCs w:val="32"/>
        </w:rPr>
        <w:t>执行过程中，严格按照</w:t>
      </w:r>
      <w:r>
        <w:rPr>
          <w:rFonts w:ascii="仿宋_GB2312" w:eastAsia="仿宋_GB2312"/>
          <w:sz w:val="32"/>
          <w:szCs w:val="32"/>
        </w:rPr>
        <w:t>财经纪律及</w:t>
      </w:r>
      <w:r>
        <w:rPr>
          <w:rFonts w:hint="eastAsia" w:ascii="仿宋_GB2312" w:eastAsia="仿宋_GB2312"/>
          <w:sz w:val="32"/>
          <w:szCs w:val="32"/>
        </w:rPr>
        <w:t>相关要求</w:t>
      </w:r>
      <w:r>
        <w:rPr>
          <w:rFonts w:ascii="仿宋_GB2312" w:eastAsia="仿宋_GB2312"/>
          <w:sz w:val="32"/>
          <w:szCs w:val="32"/>
        </w:rPr>
        <w:t>执行</w:t>
      </w:r>
      <w:r>
        <w:rPr>
          <w:rFonts w:hint="eastAsia" w:ascii="仿宋_GB2312" w:eastAsia="仿宋_GB2312"/>
          <w:sz w:val="32"/>
          <w:szCs w:val="32"/>
        </w:rPr>
        <w:t>，政策实施对象中不存在明显不合理的排他性规定，政策实施后相关受益群体的整体满意调查良好，满意度100%。</w:t>
      </w:r>
    </w:p>
    <w:p w14:paraId="066A0C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textAlignment w:val="auto"/>
        <w:outlineLvl w:val="9"/>
        <w:rPr>
          <w:rFonts w:hint="eastAsia" w:eastAsia="仿宋_GB2312" w:cs="Times New Roman"/>
          <w:color w:val="auto"/>
          <w:sz w:val="32"/>
          <w:szCs w:val="32"/>
          <w:lang w:val="en-US" w:eastAsia="zh-CN"/>
        </w:rPr>
      </w:pPr>
      <w:r>
        <w:rPr>
          <w:rFonts w:hint="eastAsia" w:ascii="楷体_GB2312" w:eastAsia="楷体_GB2312" w:cs="Times New Roman"/>
          <w:b/>
          <w:color w:val="auto"/>
          <w:sz w:val="32"/>
          <w:szCs w:val="32"/>
          <w:highlight w:val="none"/>
          <w:u w:val="none"/>
          <w:lang w:val="zh-CN"/>
        </w:rPr>
        <w:t>（三）</w:t>
      </w:r>
      <w:r>
        <w:rPr>
          <w:rFonts w:hint="eastAsia" w:ascii="楷体_GB2312" w:eastAsia="楷体_GB2312" w:cs="Times New Roman"/>
          <w:b/>
          <w:color w:val="auto"/>
          <w:sz w:val="32"/>
          <w:szCs w:val="32"/>
          <w:highlight w:val="none"/>
          <w:u w:val="none"/>
          <w:lang w:val="en-US" w:eastAsia="zh-CN"/>
        </w:rPr>
        <w:t>个性指标</w:t>
      </w:r>
      <w:r>
        <w:rPr>
          <w:rFonts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hAnsi="仿宋_GB2312" w:eastAsia="仿宋_GB2312" w:cs="仿宋_GB2312"/>
          <w:color w:val="auto"/>
          <w:sz w:val="32"/>
          <w:szCs w:val="32"/>
          <w:lang w:val="en-US" w:eastAsia="zh-CN"/>
        </w:rPr>
        <w:t>年底，完成了按照</w:t>
      </w:r>
      <w:r>
        <w:rPr>
          <w:rFonts w:hint="eastAsia" w:ascii="仿宋_GB2312" w:hAnsi="仿宋_GB2312" w:eastAsia="仿宋_GB2312" w:cs="仿宋_GB2312"/>
          <w:sz w:val="32"/>
          <w:szCs w:val="32"/>
          <w:lang w:val="en-US" w:eastAsia="zh-CN"/>
        </w:rPr>
        <w:t>设置了的一级指标4个、二级指标5个、三级指标5个绩效目标。</w:t>
      </w:r>
    </w:p>
    <w:p w14:paraId="5B67F36D">
      <w:pPr>
        <w:pageBreakBefore w:val="0"/>
        <w:widowControl/>
        <w:tabs>
          <w:tab w:val="left" w:pos="2160"/>
        </w:tabs>
        <w:kinsoku/>
        <w:wordWrap/>
        <w:overflowPunct/>
        <w:topLinePunct w:val="0"/>
        <w:autoSpaceDE/>
        <w:autoSpaceDN/>
        <w:bidi w:val="0"/>
        <w:adjustRightInd/>
        <w:spacing w:line="600" w:lineRule="exact"/>
        <w:ind w:left="0" w:firstLine="640" w:firstLineChars="200"/>
        <w:jc w:val="left"/>
        <w:textAlignment w:val="auto"/>
        <w:rPr>
          <w:rFonts w:hint="eastAsia" w:ascii="黑体" w:hAnsi="楷体_GB2312" w:eastAsia="黑体" w:cs="Times New Roman"/>
          <w:color w:val="auto"/>
          <w:kern w:val="0"/>
          <w:position w:val="3"/>
          <w:sz w:val="32"/>
          <w:szCs w:val="32"/>
          <w:highlight w:val="none"/>
          <w:u w:val="none"/>
          <w:lang w:val="en-US" w:eastAsia="zh-CN" w:bidi="ar-SA"/>
        </w:rPr>
      </w:pPr>
      <w:r>
        <w:rPr>
          <w:rFonts w:hint="eastAsia" w:ascii="黑体" w:hAnsi="楷体_GB2312" w:eastAsia="黑体" w:cs="Times New Roman"/>
          <w:color w:val="auto"/>
          <w:kern w:val="0"/>
          <w:position w:val="3"/>
          <w:sz w:val="32"/>
          <w:szCs w:val="32"/>
          <w:highlight w:val="none"/>
          <w:u w:val="none"/>
          <w:lang w:val="en-US" w:eastAsia="zh-CN" w:bidi="ar-SA"/>
        </w:rPr>
        <w:t>四、评价结论</w:t>
      </w:r>
    </w:p>
    <w:p w14:paraId="41ABBD6F">
      <w:pPr>
        <w:pageBreakBefore w:val="0"/>
        <w:widowControl/>
        <w:tabs>
          <w:tab w:val="left" w:pos="2160"/>
        </w:tabs>
        <w:kinsoku/>
        <w:wordWrap/>
        <w:overflowPunct/>
        <w:topLinePunct w:val="0"/>
        <w:autoSpaceDE/>
        <w:autoSpaceDN/>
        <w:bidi w:val="0"/>
        <w:adjustRightInd/>
        <w:spacing w:line="600" w:lineRule="exact"/>
        <w:ind w:left="0" w:firstLine="640" w:firstLineChars="200"/>
        <w:jc w:val="left"/>
        <w:textAlignment w:val="auto"/>
        <w:rPr>
          <w:rFonts w:hint="eastAsia" w:ascii="黑体" w:hAnsi="楷体_GB2312" w:eastAsia="黑体" w:cs="黑体"/>
          <w:b w:val="0"/>
          <w:bCs w:val="0"/>
          <w:kern w:val="2"/>
          <w:position w:val="0"/>
          <w:sz w:val="32"/>
          <w:szCs w:val="32"/>
          <w:highlight w:val="none"/>
          <w:lang w:val="en-US" w:eastAsia="zh-CN" w:bidi="ar-SA"/>
        </w:rPr>
      </w:pPr>
      <w:r>
        <w:rPr>
          <w:rFonts w:hint="eastAsia" w:ascii="仿宋_GB2312" w:hAnsi="楷体_GB2312" w:eastAsia="仿宋_GB2312" w:cs="仿宋_GB2312"/>
          <w:kern w:val="0"/>
          <w:position w:val="3"/>
          <w:sz w:val="32"/>
          <w:szCs w:val="32"/>
          <w:lang w:val="zh-CN" w:eastAsia="zh-CN" w:bidi="ar-SA"/>
        </w:rPr>
        <w:t>从综合评价来看，项目立项依据充分，均设定了项目绩效目标，资金配置科学合理，严格项目管理，按规定履行报批手续，细化任务并明确绩效目标，经局党组会议研究同意后实施。整体情况良好。</w:t>
      </w:r>
    </w:p>
    <w:p w14:paraId="664BDCB6">
      <w:pPr>
        <w:pageBreakBefore w:val="0"/>
        <w:widowControl/>
        <w:tabs>
          <w:tab w:val="left" w:pos="2160"/>
        </w:tabs>
        <w:kinsoku/>
        <w:wordWrap/>
        <w:overflowPunct/>
        <w:topLinePunct w:val="0"/>
        <w:autoSpaceDE/>
        <w:autoSpaceDN/>
        <w:bidi w:val="0"/>
        <w:adjustRightInd/>
        <w:spacing w:line="600" w:lineRule="exact"/>
        <w:ind w:left="0" w:firstLine="640" w:firstLineChars="200"/>
        <w:jc w:val="left"/>
        <w:textAlignment w:val="auto"/>
        <w:rPr>
          <w:rFonts w:hint="eastAsia" w:ascii="黑体" w:hAnsi="楷体_GB2312" w:eastAsia="黑体" w:cs="Times New Roman"/>
          <w:color w:val="auto"/>
          <w:kern w:val="0"/>
          <w:position w:val="3"/>
          <w:sz w:val="32"/>
          <w:szCs w:val="32"/>
          <w:highlight w:val="none"/>
          <w:u w:val="none"/>
          <w:lang w:val="en-US" w:eastAsia="zh-CN" w:bidi="ar-SA"/>
        </w:rPr>
      </w:pPr>
      <w:r>
        <w:rPr>
          <w:rFonts w:hint="eastAsia" w:ascii="黑体" w:hAnsi="楷体_GB2312" w:eastAsia="黑体" w:cs="Times New Roman"/>
          <w:color w:val="auto"/>
          <w:kern w:val="0"/>
          <w:position w:val="3"/>
          <w:sz w:val="32"/>
          <w:szCs w:val="32"/>
          <w:highlight w:val="none"/>
          <w:u w:val="none"/>
          <w:lang w:val="en-US" w:eastAsia="zh-CN" w:bidi="ar-SA"/>
        </w:rPr>
        <w:t>五、存在主要问题</w:t>
      </w:r>
    </w:p>
    <w:p w14:paraId="3B821421">
      <w:pPr>
        <w:pageBreakBefore w:val="0"/>
        <w:widowControl/>
        <w:tabs>
          <w:tab w:val="left" w:pos="2160"/>
        </w:tabs>
        <w:kinsoku/>
        <w:wordWrap/>
        <w:overflowPunct/>
        <w:topLinePunct w:val="0"/>
        <w:autoSpaceDE/>
        <w:autoSpaceDN/>
        <w:bidi w:val="0"/>
        <w:adjustRightInd/>
        <w:spacing w:line="600" w:lineRule="exact"/>
        <w:ind w:left="0" w:firstLine="640" w:firstLineChars="200"/>
        <w:jc w:val="left"/>
        <w:textAlignment w:val="auto"/>
        <w:rPr>
          <w:rFonts w:hint="eastAsia" w:ascii="黑体" w:hAnsi="楷体_GB2312" w:eastAsia="黑体" w:cs="黑体"/>
          <w:b w:val="0"/>
          <w:bCs w:val="0"/>
          <w:kern w:val="2"/>
          <w:position w:val="0"/>
          <w:sz w:val="32"/>
          <w:szCs w:val="32"/>
          <w:highlight w:val="none"/>
          <w:lang w:val="en-US" w:eastAsia="zh-CN" w:bidi="ar-SA"/>
        </w:rPr>
      </w:pPr>
      <w:r>
        <w:rPr>
          <w:rFonts w:ascii="仿宋_GB2312" w:hAnsi="楷体_GB2312" w:eastAsia="仿宋_GB2312" w:cs="仿宋_GB2312"/>
          <w:b w:val="0"/>
          <w:bCs w:val="0"/>
          <w:kern w:val="0"/>
          <w:position w:val="0"/>
          <w:sz w:val="32"/>
          <w:szCs w:val="32"/>
          <w:highlight w:val="none"/>
          <w:lang w:val="en-US" w:eastAsia="zh-CN" w:bidi="ar-SA"/>
        </w:rPr>
        <w:t>无</w:t>
      </w:r>
      <w:r>
        <w:rPr>
          <w:rFonts w:hint="eastAsia" w:ascii="仿宋_GB2312" w:hAnsi="楷体_GB2312" w:eastAsia="仿宋_GB2312" w:cs="仿宋_GB2312"/>
          <w:b w:val="0"/>
          <w:bCs w:val="0"/>
          <w:kern w:val="0"/>
          <w:position w:val="0"/>
          <w:sz w:val="32"/>
          <w:szCs w:val="32"/>
          <w:highlight w:val="none"/>
          <w:lang w:val="en-US" w:eastAsia="zh-CN" w:bidi="ar-SA"/>
        </w:rPr>
        <w:t>。</w:t>
      </w:r>
    </w:p>
    <w:p w14:paraId="3C978715">
      <w:pPr>
        <w:pageBreakBefore w:val="0"/>
        <w:widowControl/>
        <w:tabs>
          <w:tab w:val="left" w:pos="2160"/>
        </w:tabs>
        <w:kinsoku/>
        <w:wordWrap/>
        <w:overflowPunct/>
        <w:topLinePunct w:val="0"/>
        <w:autoSpaceDE/>
        <w:autoSpaceDN/>
        <w:bidi w:val="0"/>
        <w:adjustRightInd/>
        <w:spacing w:line="600" w:lineRule="exact"/>
        <w:ind w:left="0" w:firstLine="640" w:firstLineChars="200"/>
        <w:jc w:val="left"/>
        <w:textAlignment w:val="auto"/>
        <w:rPr>
          <w:rFonts w:hint="eastAsia" w:ascii="黑体" w:hAnsi="楷体_GB2312" w:eastAsia="黑体" w:cs="Times New Roman"/>
          <w:color w:val="auto"/>
          <w:kern w:val="0"/>
          <w:position w:val="3"/>
          <w:sz w:val="32"/>
          <w:szCs w:val="32"/>
          <w:highlight w:val="none"/>
          <w:u w:val="none"/>
          <w:lang w:val="zh-CN" w:eastAsia="zh-CN" w:bidi="ar-SA"/>
        </w:rPr>
      </w:pPr>
      <w:r>
        <w:rPr>
          <w:rFonts w:hint="eastAsia" w:ascii="黑体" w:hAnsi="楷体_GB2312" w:eastAsia="黑体" w:cs="Times New Roman"/>
          <w:color w:val="auto"/>
          <w:kern w:val="0"/>
          <w:position w:val="3"/>
          <w:sz w:val="32"/>
          <w:szCs w:val="32"/>
          <w:highlight w:val="none"/>
          <w:u w:val="none"/>
          <w:lang w:val="zh-CN" w:eastAsia="zh-CN" w:bidi="ar-SA"/>
        </w:rPr>
        <w:t>六、改进建议</w:t>
      </w:r>
    </w:p>
    <w:p w14:paraId="317D0F73">
      <w:pPr>
        <w:tabs>
          <w:tab w:val="left" w:pos="1911"/>
        </w:tabs>
        <w:jc w:val="left"/>
        <w:rPr>
          <w:rFonts w:hint="eastAsia" w:ascii="仿宋_GB2312" w:eastAsia="仿宋_GB2312" w:cs="仿宋_GB2312"/>
          <w:b w:val="0"/>
          <w:bCs w:val="0"/>
          <w:kern w:val="0"/>
          <w:position w:val="0"/>
          <w:sz w:val="32"/>
          <w:szCs w:val="32"/>
          <w:highlight w:val="none"/>
          <w:lang w:eastAsia="zh-CN" w:bidi="ar-SA"/>
        </w:rPr>
      </w:pPr>
      <w:r>
        <w:rPr>
          <w:rFonts w:hint="eastAsia" w:asci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eastAsia="仿宋_GB2312" w:cs="仿宋_GB2312"/>
          <w:b w:val="0"/>
          <w:bCs w:val="0"/>
          <w:kern w:val="0"/>
          <w:position w:val="0"/>
          <w:sz w:val="32"/>
          <w:szCs w:val="32"/>
          <w:highlight w:val="none"/>
          <w:lang w:val="en-US" w:eastAsia="zh-CN" w:bidi="ar-SA"/>
        </w:rPr>
        <w:t xml:space="preserve"> </w:t>
      </w:r>
      <w:r>
        <w:rPr>
          <w:rFonts w:ascii="仿宋_GB2312" w:eastAsia="仿宋_GB2312" w:cs="仿宋_GB2312"/>
          <w:b w:val="0"/>
          <w:bCs w:val="0"/>
          <w:kern w:val="0"/>
          <w:position w:val="0"/>
          <w:sz w:val="32"/>
          <w:szCs w:val="32"/>
          <w:highlight w:val="none"/>
          <w:lang w:val="en-US" w:eastAsia="zh-CN" w:bidi="ar-SA"/>
        </w:rPr>
        <w:t xml:space="preserve">  无</w:t>
      </w:r>
      <w:r>
        <w:rPr>
          <w:rFonts w:hint="eastAsia" w:ascii="仿宋_GB2312" w:eastAsia="仿宋_GB2312" w:cs="仿宋_GB2312"/>
          <w:b w:val="0"/>
          <w:bCs w:val="0"/>
          <w:kern w:val="0"/>
          <w:position w:val="0"/>
          <w:sz w:val="32"/>
          <w:szCs w:val="32"/>
          <w:highlight w:val="none"/>
          <w:lang w:val="en-US" w:eastAsia="zh-CN" w:bidi="ar-SA"/>
        </w:rPr>
        <w:t>。</w:t>
      </w:r>
    </w:p>
    <w:p w14:paraId="07EB9368">
      <w:pPr>
        <w:keepNext w:val="0"/>
        <w:keepLines w:val="0"/>
        <w:pageBreakBefore w:val="0"/>
        <w:widowControl w:val="0"/>
        <w:kinsoku/>
        <w:wordWrap/>
        <w:overflowPunct/>
        <w:topLinePunct w:val="0"/>
        <w:autoSpaceDE/>
        <w:autoSpaceDN/>
        <w:bidi w:val="0"/>
        <w:adjustRightInd/>
        <w:snapToGrid w:val="0"/>
        <w:spacing w:line="578" w:lineRule="exact"/>
        <w:ind w:left="0" w:firstLine="640" w:firstLineChars="200"/>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eastAsia="zh-CN"/>
        </w:rPr>
      </w:pPr>
    </w:p>
    <w:p w14:paraId="3326BD28">
      <w:pPr>
        <w:keepNext w:val="0"/>
        <w:keepLines w:val="0"/>
        <w:pageBreakBefore w:val="0"/>
        <w:widowControl w:val="0"/>
        <w:kinsoku/>
        <w:wordWrap/>
        <w:overflowPunct/>
        <w:topLinePunct w:val="0"/>
        <w:autoSpaceDE/>
        <w:autoSpaceDN/>
        <w:bidi w:val="0"/>
        <w:adjustRightInd/>
        <w:snapToGrid w:val="0"/>
        <w:spacing w:line="578" w:lineRule="exact"/>
        <w:ind w:left="0" w:firstLine="640" w:firstLineChars="200"/>
        <w:textAlignment w:val="auto"/>
        <w:outlineLvl w:val="9"/>
        <w:rPr>
          <w:rFonts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附表：预算项目绩效目标完成情况自评表</w:t>
      </w:r>
    </w:p>
    <w:p w14:paraId="6DC179B8">
      <w:pPr>
        <w:keepNext w:val="0"/>
        <w:keepLines w:val="0"/>
        <w:pageBreakBefore w:val="0"/>
        <w:widowControl w:val="0"/>
        <w:kinsoku/>
        <w:wordWrap/>
        <w:overflowPunct/>
        <w:topLinePunct w:val="0"/>
        <w:autoSpaceDE/>
        <w:autoSpaceDN/>
        <w:bidi w:val="0"/>
        <w:adjustRightInd/>
        <w:snapToGrid w:val="0"/>
        <w:spacing w:line="578" w:lineRule="exact"/>
        <w:ind w:left="0" w:firstLine="640" w:firstLineChars="200"/>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eastAsia="zh-CN"/>
        </w:rPr>
        <w:sectPr>
          <w:pgSz w:w="11906" w:h="16838"/>
          <w:pgMar w:top="1440" w:right="1800" w:bottom="1440" w:left="1800" w:header="851" w:footer="992" w:gutter="0"/>
          <w:pgNumType w:fmt="decimal"/>
          <w:cols w:space="425" w:num="1"/>
          <w:titlePg/>
          <w:docGrid w:type="lines" w:linePitch="312" w:charSpace="0"/>
        </w:sectPr>
      </w:pPr>
    </w:p>
    <w:p w14:paraId="639D7073">
      <w:pPr>
        <w:pStyle w:val="22"/>
        <w:rPr>
          <w:rFonts w:hint="eastAsia"/>
          <w:lang w:val="zh-CN" w:eastAsia="zh-CN"/>
        </w:rPr>
        <w:sectPr>
          <w:pgSz w:w="16838" w:h="11906" w:orient="landscape"/>
          <w:pgMar w:top="1800" w:right="1440" w:bottom="1800" w:left="1440" w:header="851" w:footer="992" w:gutter="0"/>
          <w:pgNumType w:fmt="decimal"/>
          <w:cols w:space="425" w:num="1"/>
          <w:titlePg/>
          <w:docGrid w:type="lines" w:linePitch="312" w:charSpace="0"/>
        </w:sectPr>
      </w:pPr>
      <w:r>
        <w:rPr>
          <w:rFonts w:hint="eastAsia"/>
          <w:lang w:val="zh-CN" w:eastAsia="zh-CN"/>
        </w:rPr>
        <w:pict>
          <v:shape id="_x0000_s1033" o:spid="_x0000_s1033" o:spt="75" type="#_x0000_t75" style="position:absolute;left:0pt;margin-left:4.2pt;margin-top:-5.5pt;height:505.8pt;width:657.6pt;z-index:-251652096;mso-width-relative:page;mso-height-relative:page;" o:ole="t" filled="f" o:preferrelative="t" stroked="f" coordsize="21600,21600">
            <v:path/>
            <v:fill on="f" focussize="0,0"/>
            <v:stroke on="f"/>
            <v:imagedata r:id="rId26" o:title=""/>
            <o:lock v:ext="edit" aspectratio="t"/>
          </v:shape>
          <o:OLEObject Type="Embed" ProgID="Excel.Sheet.12" ShapeID="_x0000_s1033" DrawAspect="Content" ObjectID="_1468075733" r:id="rId25">
            <o:LockedField>false</o:LockedField>
          </o:OLEObject>
        </w:pict>
      </w:r>
    </w:p>
    <w:p w14:paraId="21768FA3">
      <w:pPr>
        <w:keepNext w:val="0"/>
        <w:keepLines w:val="0"/>
        <w:pageBreakBefore w:val="0"/>
        <w:widowControl w:val="0"/>
        <w:kinsoku/>
        <w:wordWrap/>
        <w:overflowPunct/>
        <w:topLinePunct w:val="0"/>
        <w:autoSpaceDE/>
        <w:autoSpaceDN/>
        <w:bidi w:val="0"/>
        <w:spacing w:line="578" w:lineRule="exact"/>
        <w:ind w:left="0"/>
        <w:jc w:val="center"/>
        <w:textAlignment w:val="auto"/>
        <w:rPr>
          <w:rFonts w:hint="eastAsia" w:ascii="方正小标宋简体" w:hAnsi="??" w:eastAsia="方正小标宋简体" w:cs="方正小标宋简体"/>
          <w:color w:val="auto"/>
          <w:kern w:val="2"/>
          <w:sz w:val="44"/>
          <w:szCs w:val="44"/>
          <w:highlight w:val="none"/>
          <w:lang w:val="en-US" w:eastAsia="zh-CN" w:bidi="ar-SA"/>
        </w:rPr>
      </w:pPr>
      <w:r>
        <w:rPr>
          <w:rFonts w:hint="eastAsia" w:ascii="方正小标宋简体" w:hAnsi="??" w:eastAsia="方正小标宋简体" w:cs="方正小标宋简体"/>
          <w:color w:val="auto"/>
          <w:kern w:val="2"/>
          <w:sz w:val="44"/>
          <w:szCs w:val="44"/>
          <w:highlight w:val="none"/>
          <w:lang w:val="en-US" w:eastAsia="zh-CN" w:bidi="ar-SA"/>
        </w:rPr>
        <w:t>大熊猫国家公园阿坝管理分局雪豹监测调查专项预算项目绩效评价报告</w:t>
      </w:r>
    </w:p>
    <w:p w14:paraId="71B35F7D">
      <w:pPr>
        <w:keepNext w:val="0"/>
        <w:keepLines w:val="0"/>
        <w:pageBreakBefore w:val="0"/>
        <w:widowControl w:val="0"/>
        <w:kinsoku/>
        <w:wordWrap/>
        <w:overflowPunct/>
        <w:topLinePunct w:val="0"/>
        <w:autoSpaceDE/>
        <w:autoSpaceDN/>
        <w:bidi w:val="0"/>
        <w:spacing w:line="578" w:lineRule="exact"/>
        <w:ind w:left="0" w:firstLine="640"/>
        <w:jc w:val="center"/>
        <w:textAlignment w:val="auto"/>
        <w:rPr>
          <w:rFonts w:hint="eastAsia" w:ascii="宋体" w:hAnsi="??" w:eastAsia="宋体" w:cs="Times New Roman"/>
          <w:color w:val="auto"/>
          <w:kern w:val="2"/>
          <w:sz w:val="32"/>
          <w:szCs w:val="32"/>
          <w:highlight w:val="none"/>
          <w:lang w:val="zh-CN" w:eastAsia="zh-CN" w:bidi="ar-SA"/>
        </w:rPr>
      </w:pPr>
    </w:p>
    <w:p w14:paraId="2650009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黑体" w:hAnsi="Times New Roman" w:eastAsia="黑体" w:cs="Times New Roman"/>
          <w:sz w:val="32"/>
          <w:szCs w:val="32"/>
          <w:highlight w:val="none"/>
          <w:lang w:val="zh-CN" w:eastAsia="zh-CN"/>
        </w:rPr>
      </w:pPr>
      <w:r>
        <w:rPr>
          <w:rFonts w:hint="eastAsia" w:ascii="黑体" w:hAnsi="Times New Roman" w:eastAsia="黑体" w:cs="Times New Roman"/>
          <w:sz w:val="32"/>
          <w:szCs w:val="32"/>
          <w:highlight w:val="none"/>
        </w:rPr>
        <w:t>一、</w:t>
      </w:r>
      <w:r>
        <w:rPr>
          <w:rFonts w:hint="eastAsia" w:ascii="黑体" w:hAnsi="Times New Roman" w:eastAsia="黑体" w:cs="Times New Roman"/>
          <w:sz w:val="32"/>
          <w:szCs w:val="32"/>
          <w:highlight w:val="none"/>
          <w:lang w:val="zh-CN" w:eastAsia="zh-CN"/>
        </w:rPr>
        <w:t>项目概况</w:t>
      </w:r>
    </w:p>
    <w:p w14:paraId="7C29B160">
      <w:pPr>
        <w:keepNext w:val="0"/>
        <w:keepLines w:val="0"/>
        <w:pageBreakBefore w:val="0"/>
        <w:widowControl/>
        <w:kinsoku/>
        <w:wordWrap/>
        <w:overflowPunct/>
        <w:topLinePunct w:val="0"/>
        <w:autoSpaceDE/>
        <w:autoSpaceDN/>
        <w:bidi w:val="0"/>
        <w:adjustRightInd w:val="0"/>
        <w:snapToGrid w:val="0"/>
        <w:spacing w:line="578" w:lineRule="exact"/>
        <w:ind w:left="0" w:firstLine="643" w:firstLineChars="200"/>
        <w:contextualSpacing/>
        <w:jc w:val="left"/>
        <w:textAlignment w:val="auto"/>
        <w:rPr>
          <w:rFonts w:hint="eastAsia" w:ascii="仿宋_GB2312" w:hAnsi="Times New Roman" w:eastAsia="仿宋_GB2312" w:cs="仿宋_GB2312"/>
          <w:color w:val="auto"/>
          <w:kern w:val="0"/>
          <w:sz w:val="32"/>
          <w:szCs w:val="32"/>
          <w:highlight w:val="none"/>
          <w:u w:val="none"/>
          <w:shd w:val="clear" w:color="auto" w:fill="FFFFFF"/>
          <w:lang w:val="zh-CN" w:eastAsia="zh-CN" w:bidi="ar-SA"/>
        </w:rPr>
      </w:pPr>
      <w:r>
        <w:rPr>
          <w:rFonts w:hint="eastAsia" w:ascii="楷体_GB2312" w:hAnsi="Times New Roman" w:eastAsia="楷体_GB2312" w:cs="Times New Roman"/>
          <w:b/>
          <w:color w:val="auto"/>
          <w:sz w:val="32"/>
          <w:szCs w:val="32"/>
          <w:highlight w:val="none"/>
          <w:u w:val="none"/>
          <w:lang w:val="zh-CN" w:eastAsia="zh-CN"/>
        </w:rPr>
        <w:t>（一）设立背景及基本情况</w:t>
      </w:r>
    </w:p>
    <w:p w14:paraId="72E1A4E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Times New Roman" w:eastAsia="仿宋_GB2312" w:cs="仿宋_GB2312"/>
          <w:sz w:val="32"/>
          <w:szCs w:val="32"/>
          <w:lang w:bidi="ar-SA"/>
        </w:rPr>
      </w:pPr>
      <w:r>
        <w:rPr>
          <w:rFonts w:hint="eastAsia" w:ascii="仿宋_GB2312" w:hAnsi="Times New Roman" w:eastAsia="仿宋_GB2312" w:cs="仿宋_GB2312"/>
          <w:sz w:val="32"/>
          <w:szCs w:val="32"/>
          <w:lang w:bidi="ar-SA"/>
        </w:rPr>
        <w:t>雪豹是我国被列入IUCN红色目录中的“易危”范围的一级保护物种，仅分布在亚洲12个国家的高山地区。中国是雪豹分布的核心区域，而四川又是我国野生雪豹的主要分布区之一。查清四川省野生雪豹种群数量、分布及栖息地情况，对于维护大熊猫国家公园生态系统的原真性、完整性和多样性具有重要意义。</w:t>
      </w:r>
    </w:p>
    <w:p w14:paraId="297BE6DB">
      <w:pPr>
        <w:keepNext w:val="0"/>
        <w:keepLines w:val="0"/>
        <w:pageBreakBefore w:val="0"/>
        <w:widowControl w:val="0"/>
        <w:kinsoku/>
        <w:wordWrap/>
        <w:overflowPunct/>
        <w:topLinePunct w:val="0"/>
        <w:autoSpaceDE/>
        <w:autoSpaceDN/>
        <w:adjustRightInd/>
        <w:snapToGrid/>
        <w:spacing w:line="578" w:lineRule="exact"/>
        <w:ind w:firstLine="640" w:firstLineChars="200"/>
        <w:rPr>
          <w:rFonts w:hint="eastAsia" w:ascii="仿宋_GB2312" w:hAnsi="Times New Roman" w:eastAsia="仿宋_GB2312" w:cs="仿宋_GB2312"/>
          <w:kern w:val="0"/>
          <w:sz w:val="32"/>
          <w:szCs w:val="32"/>
          <w:shd w:val="clear" w:color="auto" w:fill="FFFFFF"/>
          <w:lang w:bidi="ar-SA"/>
        </w:rPr>
      </w:pPr>
      <w:r>
        <w:rPr>
          <w:rFonts w:hint="eastAsia" w:ascii="仿宋_GB2312" w:hAnsi="Times New Roman" w:eastAsia="仿宋_GB2312" w:cs="仿宋_GB2312"/>
          <w:color w:val="auto"/>
          <w:kern w:val="0"/>
          <w:sz w:val="32"/>
          <w:szCs w:val="32"/>
          <w:highlight w:val="none"/>
          <w:u w:val="none"/>
          <w:shd w:val="clear" w:color="auto" w:fill="FFFFFF"/>
          <w:lang w:val="en-US" w:eastAsia="zh-CN" w:bidi="ar-SA"/>
        </w:rPr>
        <w:t>根据四川省林草局（大熊猫国家公园四川省管理局）统一安排部署，大熊猫国家公园管理机构承担大熊猫国家公园及周边紧邻地区的雪豹调查工作。为此大熊猫国家公园阿坝管理分局申报2023年度省级财政林草专项国家公园补助资金用于开展雪豹调查和购置所需设备。</w:t>
      </w:r>
    </w:p>
    <w:p w14:paraId="6B97278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Times New Roman" w:eastAsia="仿宋_GB2312" w:cs="仿宋_GB2312"/>
          <w:color w:val="auto"/>
          <w:kern w:val="0"/>
          <w:sz w:val="32"/>
          <w:szCs w:val="32"/>
          <w:highlight w:val="none"/>
          <w:u w:val="none"/>
          <w:shd w:val="clear" w:color="auto" w:fill="FFFFFF"/>
          <w:lang w:val="en-US" w:eastAsia="zh-CN" w:bidi="ar-SA"/>
        </w:rPr>
      </w:pPr>
      <w:r>
        <w:rPr>
          <w:rFonts w:hint="eastAsia" w:ascii="仿宋_GB2312" w:hAnsi="Times New Roman" w:eastAsia="仿宋_GB2312" w:cs="仿宋_GB2312"/>
          <w:color w:val="auto"/>
          <w:kern w:val="0"/>
          <w:sz w:val="32"/>
          <w:szCs w:val="32"/>
          <w:highlight w:val="none"/>
          <w:u w:val="none"/>
          <w:shd w:val="clear" w:color="auto" w:fill="FFFFFF"/>
          <w:lang w:val="en-US" w:eastAsia="zh-CN" w:bidi="ar-SA"/>
        </w:rPr>
        <w:t>项目主要内容包括购置调查所需的红外相机，通过访谈、样线调查的手段掌握大熊猫国家公园阿坝片区及毗邻地区雪豹分布、栖息地、食物资源以及主要干扰状况，形成调查报告，为大熊猫国家公园管理提决策供科学支撑。</w:t>
      </w:r>
    </w:p>
    <w:p w14:paraId="40C56F9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Times New Roman" w:eastAsia="仿宋_GB2312" w:cs="仿宋_GB2312"/>
          <w:color w:val="auto"/>
          <w:kern w:val="0"/>
          <w:sz w:val="32"/>
          <w:szCs w:val="32"/>
          <w:highlight w:val="none"/>
          <w:u w:val="none"/>
          <w:shd w:val="clear" w:color="auto" w:fill="FFFFFF"/>
          <w:lang w:val="en-US" w:eastAsia="zh-CN" w:bidi="ar-SA"/>
        </w:rPr>
      </w:pPr>
      <w:r>
        <w:rPr>
          <w:rFonts w:hint="eastAsia" w:ascii="仿宋_GB2312" w:hAnsi="Times New Roman" w:eastAsia="仿宋_GB2312" w:cs="仿宋_GB2312"/>
          <w:color w:val="auto"/>
          <w:kern w:val="0"/>
          <w:sz w:val="32"/>
          <w:szCs w:val="32"/>
          <w:highlight w:val="none"/>
          <w:u w:val="none"/>
          <w:shd w:val="clear" w:color="auto" w:fill="FFFFFF"/>
          <w:lang w:val="en-US" w:eastAsia="zh-CN" w:bidi="ar-SA"/>
        </w:rPr>
        <w:t>大熊猫国家公园阿坝管理分局作为项目业主，负责项目谋划和统筹推进。</w:t>
      </w:r>
    </w:p>
    <w:p w14:paraId="6F122EB4">
      <w:pPr>
        <w:ind w:firstLine="643" w:firstLineChars="200"/>
        <w:rPr>
          <w:rFonts w:hint="eastAsia" w:ascii="楷体_GB2312" w:hAnsi="Times New Roman" w:eastAsia="楷体_GB2312" w:cs="Times New Roman"/>
          <w:b/>
          <w:color w:val="auto"/>
          <w:sz w:val="32"/>
          <w:szCs w:val="32"/>
          <w:highlight w:val="none"/>
          <w:u w:val="none"/>
          <w:lang w:val="zh-CN" w:eastAsia="zh-CN"/>
        </w:rPr>
      </w:pPr>
      <w:r>
        <w:rPr>
          <w:rFonts w:hint="eastAsia" w:ascii="楷体_GB2312" w:hAnsi="Times New Roman" w:eastAsia="楷体_GB2312" w:cs="Times New Roman"/>
          <w:b/>
          <w:color w:val="auto"/>
          <w:sz w:val="32"/>
          <w:szCs w:val="32"/>
          <w:highlight w:val="none"/>
          <w:u w:val="none"/>
          <w:lang w:val="zh-CN" w:eastAsia="zh-CN"/>
        </w:rPr>
        <w:t>（</w:t>
      </w:r>
      <w:r>
        <w:rPr>
          <w:rFonts w:hint="eastAsia" w:ascii="楷体_GB2312" w:hAnsi="Times New Roman" w:eastAsia="楷体_GB2312" w:cs="Times New Roman"/>
          <w:b/>
          <w:color w:val="auto"/>
          <w:sz w:val="32"/>
          <w:szCs w:val="32"/>
          <w:highlight w:val="none"/>
          <w:u w:val="none"/>
          <w:lang w:val="zh-CN" w:eastAsia="zh-CN" w:bidi="ar-SA"/>
        </w:rPr>
        <w:t>二）</w:t>
      </w:r>
      <w:r>
        <w:rPr>
          <w:rFonts w:hint="eastAsia" w:ascii="楷体_GB2312" w:hAnsi="Times New Roman" w:eastAsia="楷体_GB2312" w:cs="Times New Roman"/>
          <w:b/>
          <w:color w:val="auto"/>
          <w:sz w:val="32"/>
          <w:szCs w:val="32"/>
          <w:highlight w:val="none"/>
          <w:u w:val="none"/>
          <w:lang w:val="en-US" w:eastAsia="zh-CN" w:bidi="ar-SA"/>
        </w:rPr>
        <w:t>实施目的及支持方向。</w:t>
      </w:r>
      <w:r>
        <w:rPr>
          <w:rFonts w:hint="eastAsia" w:ascii="仿宋_GB2312" w:hAnsi="Times New Roman" w:eastAsia="仿宋_GB2312" w:cs="仿宋_GB2312"/>
          <w:color w:val="auto"/>
          <w:kern w:val="0"/>
          <w:sz w:val="32"/>
          <w:szCs w:val="32"/>
          <w:highlight w:val="none"/>
          <w:u w:val="none"/>
          <w:shd w:val="clear" w:color="auto" w:fill="FFFFFF"/>
          <w:lang w:val="zh-CN" w:eastAsia="zh-CN" w:bidi="ar-SA"/>
        </w:rPr>
        <w:t>项目实施目的</w:t>
      </w:r>
      <w:r>
        <w:rPr>
          <w:rFonts w:hint="eastAsia" w:ascii="仿宋_GB2312" w:hAnsi="Times New Roman" w:eastAsia="仿宋_GB2312" w:cs="仿宋_GB2312"/>
          <w:color w:val="auto"/>
          <w:kern w:val="0"/>
          <w:sz w:val="32"/>
          <w:szCs w:val="32"/>
          <w:highlight w:val="none"/>
          <w:u w:val="none"/>
          <w:shd w:val="clear" w:color="auto" w:fill="FFFFFF"/>
          <w:lang w:val="en-US" w:eastAsia="zh-CN" w:bidi="ar-SA"/>
        </w:rPr>
        <w:t>是</w:t>
      </w:r>
      <w:r>
        <w:rPr>
          <w:rFonts w:hint="eastAsia" w:ascii="仿宋_GB2312" w:hAnsi="Times New Roman" w:eastAsia="仿宋_GB2312" w:cs="仿宋_GB2312"/>
          <w:sz w:val="32"/>
          <w:szCs w:val="32"/>
          <w:lang w:bidi="ar-SA"/>
        </w:rPr>
        <w:t>查清</w:t>
      </w:r>
      <w:r>
        <w:rPr>
          <w:rFonts w:hint="eastAsia" w:ascii="仿宋_GB2312" w:hAnsi="Times New Roman" w:eastAsia="仿宋_GB2312" w:cs="仿宋_GB2312"/>
          <w:sz w:val="32"/>
          <w:szCs w:val="32"/>
          <w:lang w:val="en-US" w:eastAsia="zh-CN" w:bidi="ar-SA"/>
        </w:rPr>
        <w:t>大熊猫国家公园阿坝片区及周边紧邻区域</w:t>
      </w:r>
      <w:r>
        <w:rPr>
          <w:rFonts w:hint="eastAsia" w:ascii="仿宋_GB2312" w:hAnsi="Times New Roman" w:eastAsia="仿宋_GB2312" w:cs="仿宋_GB2312"/>
          <w:sz w:val="32"/>
          <w:szCs w:val="32"/>
          <w:lang w:bidi="ar-SA"/>
        </w:rPr>
        <w:t>野生雪豹种群数量、分布及栖息地情况，逐渐掌握雪豹的行为学、生态学知识，借鉴大熊猫保护的成功经验，维护大熊猫国家公园生态系统的原真性、完整性和多样性。</w:t>
      </w:r>
      <w:r>
        <w:rPr>
          <w:rFonts w:hint="eastAsia" w:ascii="仿宋_GB2312" w:hAnsi="Times New Roman" w:eastAsia="仿宋_GB2312" w:cs="仿宋_GB2312"/>
          <w:color w:val="auto"/>
          <w:kern w:val="0"/>
          <w:sz w:val="32"/>
          <w:szCs w:val="32"/>
          <w:highlight w:val="none"/>
          <w:u w:val="none"/>
          <w:shd w:val="clear" w:color="auto" w:fill="FFFFFF"/>
          <w:lang w:val="zh-CN" w:eastAsia="zh-CN" w:bidi="ar-SA"/>
        </w:rPr>
        <w:t>主要工作任务</w:t>
      </w:r>
      <w:r>
        <w:rPr>
          <w:rFonts w:hint="eastAsia" w:ascii="仿宋_GB2312" w:hAnsi="Times New Roman" w:eastAsia="仿宋_GB2312" w:cs="仿宋_GB2312"/>
          <w:color w:val="auto"/>
          <w:kern w:val="0"/>
          <w:sz w:val="32"/>
          <w:szCs w:val="32"/>
          <w:highlight w:val="none"/>
          <w:u w:val="none"/>
          <w:shd w:val="clear" w:color="auto" w:fill="FFFFFF"/>
          <w:lang w:val="en-US" w:eastAsia="zh-CN" w:bidi="ar-SA"/>
        </w:rPr>
        <w:t>是对四川省林草局（大熊猫国家公园四川省管理局）规定的调查区内213个网格开展调查</w:t>
      </w:r>
      <w:r>
        <w:rPr>
          <w:rFonts w:hint="eastAsia" w:ascii="仿宋_GB2312" w:hAnsi="Times New Roman" w:eastAsia="仿宋_GB2312" w:cs="仿宋_GB2312"/>
          <w:color w:val="auto"/>
          <w:kern w:val="0"/>
          <w:sz w:val="32"/>
          <w:szCs w:val="32"/>
          <w:highlight w:val="none"/>
          <w:u w:val="none"/>
          <w:shd w:val="clear" w:color="auto" w:fill="FFFFFF"/>
          <w:lang w:val="zh-CN" w:eastAsia="zh-CN" w:bidi="ar-SA"/>
        </w:rPr>
        <w:t>，</w:t>
      </w:r>
      <w:r>
        <w:rPr>
          <w:rFonts w:hint="eastAsia" w:ascii="仿宋_GB2312" w:hAnsi="Times New Roman" w:eastAsia="仿宋_GB2312" w:cs="仿宋_GB2312"/>
          <w:color w:val="auto"/>
          <w:kern w:val="0"/>
          <w:sz w:val="32"/>
          <w:szCs w:val="32"/>
          <w:highlight w:val="none"/>
          <w:u w:val="none"/>
          <w:shd w:val="clear" w:color="auto" w:fill="FFFFFF"/>
          <w:lang w:val="en-US" w:eastAsia="zh-CN" w:bidi="ar-SA"/>
        </w:rPr>
        <w:t>通过访谈、样线调查和红外相机调查取得雪豹分布、活动等基本规律，形成雪豹数量种群等情况的调查报告。</w:t>
      </w:r>
      <w:r>
        <w:rPr>
          <w:rFonts w:hint="eastAsia" w:ascii="仿宋_GB2312" w:hAnsi="Times New Roman" w:eastAsia="仿宋_GB2312" w:cs="仿宋_GB2312"/>
          <w:color w:val="auto"/>
          <w:kern w:val="0"/>
          <w:sz w:val="32"/>
          <w:szCs w:val="32"/>
          <w:highlight w:val="none"/>
          <w:u w:val="none"/>
          <w:shd w:val="clear" w:color="auto" w:fill="FFFFFF"/>
          <w:lang w:val="zh-CN" w:eastAsia="zh-CN" w:bidi="ar-SA"/>
        </w:rPr>
        <w:t>项目支持方向</w:t>
      </w:r>
      <w:r>
        <w:rPr>
          <w:rFonts w:hint="eastAsia" w:ascii="仿宋_GB2312" w:hAnsi="Times New Roman" w:eastAsia="仿宋_GB2312" w:cs="仿宋_GB2312"/>
          <w:color w:val="auto"/>
          <w:kern w:val="0"/>
          <w:sz w:val="32"/>
          <w:szCs w:val="32"/>
          <w:highlight w:val="none"/>
          <w:u w:val="none"/>
          <w:shd w:val="clear" w:color="auto" w:fill="FFFFFF"/>
          <w:lang w:val="en-US" w:eastAsia="zh-CN" w:bidi="ar-SA"/>
        </w:rPr>
        <w:t>是所需设备设施购置和调查工作以及样品分析和报告编制</w:t>
      </w:r>
      <w:r>
        <w:rPr>
          <w:rFonts w:hint="eastAsia" w:ascii="仿宋_GB2312" w:hAnsi="Times New Roman" w:eastAsia="仿宋_GB2312" w:cs="仿宋_GB2312"/>
          <w:color w:val="auto"/>
          <w:kern w:val="0"/>
          <w:sz w:val="32"/>
          <w:szCs w:val="32"/>
          <w:highlight w:val="none"/>
          <w:u w:val="none"/>
          <w:shd w:val="clear" w:color="auto" w:fill="FFFFFF"/>
          <w:lang w:val="zh-CN" w:eastAsia="zh-CN" w:bidi="ar-SA"/>
        </w:rPr>
        <w:t>。</w:t>
      </w:r>
    </w:p>
    <w:p w14:paraId="418BE27A">
      <w:pPr>
        <w:keepNext w:val="0"/>
        <w:keepLines w:val="0"/>
        <w:pageBreakBefore w:val="0"/>
        <w:widowControl/>
        <w:kinsoku/>
        <w:wordWrap/>
        <w:overflowPunct/>
        <w:topLinePunct w:val="0"/>
        <w:autoSpaceDE/>
        <w:autoSpaceDN/>
        <w:bidi w:val="0"/>
        <w:adjustRightInd w:val="0"/>
        <w:snapToGrid w:val="0"/>
        <w:spacing w:line="578" w:lineRule="exact"/>
        <w:ind w:left="0" w:firstLine="643" w:firstLineChars="200"/>
        <w:contextualSpacing/>
        <w:jc w:val="left"/>
        <w:textAlignment w:val="auto"/>
        <w:rPr>
          <w:rFonts w:hint="eastAsia" w:ascii="仿宋_GB2312" w:hAnsi="Times New Roman" w:eastAsia="仿宋_GB2312" w:cs="仿宋_GB2312"/>
          <w:color w:val="auto"/>
          <w:kern w:val="0"/>
          <w:sz w:val="32"/>
          <w:szCs w:val="32"/>
          <w:highlight w:val="none"/>
          <w:u w:val="none"/>
          <w:shd w:val="clear" w:color="auto" w:fill="FFFFFF"/>
          <w:lang w:val="zh-CN" w:eastAsia="zh-CN" w:bidi="ar-SA"/>
        </w:rPr>
      </w:pPr>
      <w:r>
        <w:rPr>
          <w:rFonts w:hint="eastAsia" w:ascii="楷体_GB2312" w:hAnsi="Times New Roman" w:eastAsia="楷体_GB2312" w:cs="Times New Roman"/>
          <w:b/>
          <w:color w:val="auto"/>
          <w:sz w:val="32"/>
          <w:szCs w:val="32"/>
          <w:highlight w:val="none"/>
          <w:u w:val="none"/>
          <w:lang w:val="zh-CN" w:eastAsia="zh-CN" w:bidi="ar-SA"/>
        </w:rPr>
        <w:t>（三）</w:t>
      </w:r>
      <w:r>
        <w:rPr>
          <w:rFonts w:hint="eastAsia" w:ascii="楷体_GB2312" w:hAnsi="Times New Roman" w:eastAsia="楷体_GB2312" w:cs="Times New Roman"/>
          <w:b/>
          <w:color w:val="auto"/>
          <w:sz w:val="32"/>
          <w:szCs w:val="32"/>
          <w:highlight w:val="none"/>
          <w:u w:val="none"/>
          <w:lang w:val="en-US" w:eastAsia="zh-CN" w:bidi="ar-SA"/>
        </w:rPr>
        <w:t>预算安排及分配管理</w:t>
      </w:r>
      <w:r>
        <w:rPr>
          <w:rFonts w:hint="eastAsia" w:ascii="楷体_GB2312" w:hAnsi="Times New Roman" w:eastAsia="楷体_GB2312" w:cs="Times New Roman"/>
          <w:b/>
          <w:color w:val="auto"/>
          <w:sz w:val="32"/>
          <w:szCs w:val="32"/>
          <w:highlight w:val="none"/>
          <w:u w:val="none"/>
          <w:lang w:val="zh-CN" w:eastAsia="zh-CN" w:bidi="ar-SA"/>
        </w:rPr>
        <w:t>。</w:t>
      </w:r>
    </w:p>
    <w:p w14:paraId="2EB797C1">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contextualSpacing/>
        <w:jc w:val="left"/>
        <w:textAlignment w:val="auto"/>
        <w:rPr>
          <w:rFonts w:hint="eastAsia" w:ascii="仿宋_GB2312" w:hAnsi="Times New Roman" w:eastAsia="仿宋_GB2312" w:cs="仿宋_GB2312"/>
          <w:color w:val="auto"/>
          <w:kern w:val="0"/>
          <w:sz w:val="32"/>
          <w:szCs w:val="32"/>
          <w:highlight w:val="none"/>
          <w:u w:val="none"/>
          <w:shd w:val="clear" w:color="auto" w:fill="FFFFFF"/>
          <w:lang w:val="zh-CN" w:eastAsia="zh-CN" w:bidi="ar-SA"/>
        </w:rPr>
      </w:pPr>
      <w:r>
        <w:rPr>
          <w:rFonts w:hint="eastAsia" w:ascii="仿宋_GB2312" w:hAnsi="Times New Roman" w:eastAsia="仿宋_GB2312" w:cs="仿宋_GB2312"/>
          <w:color w:val="auto"/>
          <w:kern w:val="0"/>
          <w:sz w:val="32"/>
          <w:szCs w:val="32"/>
          <w:highlight w:val="none"/>
          <w:u w:val="none"/>
          <w:shd w:val="clear" w:color="auto" w:fill="FFFFFF"/>
          <w:lang w:val="zh-CN" w:eastAsia="zh-CN" w:bidi="ar-SA"/>
        </w:rPr>
        <w:t>根据项目建设内容，在</w:t>
      </w:r>
      <w:r>
        <w:rPr>
          <w:rFonts w:hint="eastAsia" w:ascii="仿宋_GB2312" w:hAnsi="Times New Roman" w:eastAsia="仿宋_GB2312" w:cs="仿宋_GB2312"/>
          <w:color w:val="auto"/>
          <w:kern w:val="0"/>
          <w:sz w:val="32"/>
          <w:szCs w:val="32"/>
          <w:highlight w:val="none"/>
          <w:u w:val="none"/>
          <w:shd w:val="clear" w:color="auto" w:fill="FFFFFF"/>
          <w:lang w:val="en-US" w:eastAsia="zh-CN" w:bidi="ar-SA"/>
        </w:rPr>
        <w:t>四川省林草局（大熊猫国家公园四川省管理局）指导下，逐一明确建设内容及单价进行合理测算，形成项目建设投资概算，经局党组研究同意足额分配资金。</w:t>
      </w:r>
    </w:p>
    <w:p w14:paraId="01D036E5">
      <w:pPr>
        <w:keepNext w:val="0"/>
        <w:keepLines w:val="0"/>
        <w:pageBreakBefore w:val="0"/>
        <w:widowControl w:val="0"/>
        <w:kinsoku/>
        <w:wordWrap/>
        <w:overflowPunct/>
        <w:topLinePunct w:val="0"/>
        <w:autoSpaceDE/>
        <w:autoSpaceDN/>
        <w:adjustRightInd w:val="0"/>
        <w:snapToGrid w:val="0"/>
        <w:spacing w:line="560" w:lineRule="exact"/>
        <w:ind w:left="0" w:firstLine="643" w:firstLineChars="200"/>
        <w:rPr>
          <w:rFonts w:hint="eastAsia" w:ascii="仿宋_GB2312" w:hAnsi="Times New Roman" w:eastAsia="仿宋_GB2312" w:cs="华文仿宋"/>
          <w:sz w:val="32"/>
          <w:szCs w:val="32"/>
          <w:lang w:bidi="ar-SA"/>
        </w:rPr>
      </w:pPr>
      <w:r>
        <w:rPr>
          <w:rFonts w:hint="eastAsia" w:ascii="楷体_GB2312" w:hAnsi="Times New Roman" w:eastAsia="楷体_GB2312" w:cs="Times New Roman"/>
          <w:b/>
          <w:color w:val="auto"/>
          <w:sz w:val="32"/>
          <w:szCs w:val="32"/>
          <w:highlight w:val="none"/>
          <w:u w:val="none"/>
          <w:lang w:val="zh-CN" w:eastAsia="zh-CN" w:bidi="ar-SA"/>
        </w:rPr>
        <w:t>（四）项目绩效目标设置。</w:t>
      </w:r>
      <w:r>
        <w:rPr>
          <w:rFonts w:hint="eastAsia" w:ascii="仿宋_GB2312" w:hAnsi="Times New Roman" w:eastAsia="仿宋_GB2312" w:cs="仿宋_GB2312"/>
          <w:bCs/>
          <w:color w:val="auto"/>
          <w:sz w:val="32"/>
          <w:szCs w:val="32"/>
          <w:highlight w:val="none"/>
          <w:u w:val="none"/>
          <w:lang w:val="en-US" w:eastAsia="zh-CN" w:bidi="ar-SA"/>
        </w:rPr>
        <w:t>本</w:t>
      </w:r>
      <w:r>
        <w:rPr>
          <w:rFonts w:hint="eastAsia" w:ascii="仿宋_GB2312" w:hAnsi="Times New Roman" w:eastAsia="仿宋_GB2312" w:cs="仿宋_GB2312"/>
          <w:bCs/>
          <w:color w:val="auto"/>
          <w:kern w:val="0"/>
          <w:sz w:val="32"/>
          <w:szCs w:val="32"/>
          <w:highlight w:val="none"/>
          <w:u w:val="none"/>
          <w:shd w:val="clear" w:color="auto" w:fill="FFFFFF"/>
          <w:lang w:val="zh-CN" w:eastAsia="zh-CN" w:bidi="ar-SA"/>
        </w:rPr>
        <w:t>项</w:t>
      </w:r>
      <w:r>
        <w:rPr>
          <w:rFonts w:hint="eastAsia" w:ascii="仿宋_GB2312" w:hAnsi="Times New Roman" w:eastAsia="仿宋_GB2312" w:cs="仿宋_GB2312"/>
          <w:color w:val="auto"/>
          <w:kern w:val="0"/>
          <w:sz w:val="32"/>
          <w:szCs w:val="32"/>
          <w:highlight w:val="none"/>
          <w:u w:val="none"/>
          <w:shd w:val="clear" w:color="auto" w:fill="FFFFFF"/>
          <w:lang w:val="zh-CN" w:eastAsia="zh-CN" w:bidi="ar-SA"/>
        </w:rPr>
        <w:t>目</w:t>
      </w:r>
      <w:r>
        <w:rPr>
          <w:rFonts w:hint="eastAsia" w:ascii="仿宋_GB2312" w:hAnsi="Times New Roman" w:eastAsia="仿宋_GB2312" w:cs="仿宋_GB2312"/>
          <w:color w:val="auto"/>
          <w:kern w:val="0"/>
          <w:sz w:val="32"/>
          <w:szCs w:val="32"/>
          <w:highlight w:val="none"/>
          <w:u w:val="none"/>
          <w:shd w:val="clear" w:color="auto" w:fill="FFFFFF"/>
          <w:lang w:val="en-US" w:eastAsia="zh-CN" w:bidi="ar-SA"/>
        </w:rPr>
        <w:t>的主要任务是在调查区开展样线调查、红外相机监测以及雪豹等野生动物样本监测，并以此为依据形成雪豹调查报告</w:t>
      </w:r>
      <w:r>
        <w:rPr>
          <w:rFonts w:hint="eastAsia" w:ascii="仿宋_GB2312" w:hAnsi="Times New Roman" w:eastAsia="仿宋_GB2312" w:cs="仿宋_GB2312"/>
          <w:color w:val="auto"/>
          <w:kern w:val="0"/>
          <w:sz w:val="32"/>
          <w:szCs w:val="32"/>
          <w:highlight w:val="none"/>
          <w:u w:val="none"/>
          <w:shd w:val="clear" w:color="auto" w:fill="FFFFFF"/>
          <w:lang w:val="zh-CN" w:eastAsia="zh-CN" w:bidi="ar-SA"/>
        </w:rPr>
        <w:t>，</w:t>
      </w:r>
      <w:r>
        <w:rPr>
          <w:rFonts w:hint="eastAsia" w:ascii="仿宋_GB2312" w:hAnsi="Times New Roman" w:eastAsia="仿宋_GB2312" w:cs="仿宋_GB2312"/>
          <w:color w:val="auto"/>
          <w:kern w:val="0"/>
          <w:sz w:val="32"/>
          <w:szCs w:val="32"/>
          <w:highlight w:val="none"/>
          <w:u w:val="none"/>
          <w:shd w:val="clear" w:color="auto" w:fill="FFFFFF"/>
          <w:lang w:val="en-US" w:eastAsia="zh-CN" w:bidi="ar-SA"/>
        </w:rPr>
        <w:t>目标相对单一。针对项目特点，设置了通用指标、专用指标和三项个性指标，确保如期完成项目建设，</w:t>
      </w:r>
      <w:r>
        <w:rPr>
          <w:rFonts w:hint="eastAsia" w:ascii="仿宋_GB2312" w:hAnsi="Times New Roman" w:eastAsia="仿宋_GB2312" w:cs="华文仿宋"/>
          <w:sz w:val="32"/>
          <w:szCs w:val="32"/>
          <w:lang w:bidi="ar-SA"/>
        </w:rPr>
        <w:t>国家公园内旗舰物种等得到有效保护。</w:t>
      </w:r>
    </w:p>
    <w:p w14:paraId="4A359825">
      <w:pPr>
        <w:keepNext w:val="0"/>
        <w:keepLines w:val="0"/>
        <w:pageBreakBefore w:val="0"/>
        <w:widowControl w:val="0"/>
        <w:kinsoku/>
        <w:wordWrap/>
        <w:overflowPunct/>
        <w:topLinePunct w:val="0"/>
        <w:autoSpaceDE/>
        <w:autoSpaceDN/>
        <w:adjustRightInd w:val="0"/>
        <w:snapToGrid w:val="0"/>
        <w:spacing w:line="560" w:lineRule="exact"/>
        <w:ind w:left="0" w:firstLine="640" w:firstLineChars="200"/>
        <w:rPr>
          <w:rFonts w:hint="eastAsia" w:ascii="仿宋_GB2312" w:hAnsi="Times New Roman" w:eastAsia="仿宋_GB2312" w:cs="仿宋_GB2312"/>
          <w:color w:val="FF0000"/>
          <w:kern w:val="0"/>
          <w:sz w:val="32"/>
          <w:szCs w:val="32"/>
          <w:shd w:val="clear" w:color="auto" w:fill="FFFFFF"/>
          <w:lang w:val="zh-CN" w:eastAsia="zh-CN" w:bidi="ar-SA"/>
        </w:rPr>
      </w:pPr>
      <w:r>
        <w:rPr>
          <w:rFonts w:hint="eastAsia" w:ascii="仿宋_GB2312" w:hAnsi="Times New Roman" w:eastAsia="仿宋_GB2312" w:cs="Times New Roman"/>
          <w:sz w:val="32"/>
          <w:szCs w:val="32"/>
        </w:rPr>
        <w:t>分局落实专人</w:t>
      </w:r>
      <w:r>
        <w:rPr>
          <w:rFonts w:hint="eastAsia" w:ascii="仿宋_GB2312" w:hAnsi="Times New Roman" w:eastAsia="仿宋_GB2312" w:cs="仿宋_GB2312"/>
          <w:color w:val="auto"/>
          <w:kern w:val="0"/>
          <w:sz w:val="32"/>
          <w:szCs w:val="32"/>
          <w:highlight w:val="none"/>
          <w:u w:val="none"/>
          <w:shd w:val="clear" w:color="auto" w:fill="FFFFFF"/>
          <w:lang w:val="en-US" w:eastAsia="zh-CN" w:bidi="ar-SA"/>
        </w:rPr>
        <w:t>根据项目实施进度情况开展</w:t>
      </w:r>
      <w:r>
        <w:rPr>
          <w:rFonts w:hint="eastAsia" w:ascii="仿宋_GB2312" w:hAnsi="Times New Roman" w:eastAsia="仿宋_GB2312" w:cs="仿宋_GB2312"/>
          <w:color w:val="auto"/>
          <w:kern w:val="0"/>
          <w:sz w:val="32"/>
          <w:szCs w:val="32"/>
          <w:highlight w:val="none"/>
          <w:u w:val="none"/>
          <w:shd w:val="clear" w:color="auto" w:fill="FFFFFF"/>
          <w:lang w:val="zh-CN" w:eastAsia="zh-CN" w:bidi="ar-SA"/>
        </w:rPr>
        <w:t>项目自评工作。</w:t>
      </w:r>
    </w:p>
    <w:p w14:paraId="2F7647C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Times New Roman" w:eastAsia="黑体" w:cs="Times New Roman"/>
          <w:sz w:val="32"/>
          <w:szCs w:val="32"/>
          <w:highlight w:val="none"/>
          <w:lang w:eastAsia="zh-CN"/>
        </w:rPr>
      </w:pPr>
      <w:r>
        <w:rPr>
          <w:rFonts w:hint="eastAsia" w:ascii="黑体" w:hAnsi="Times New Roman" w:eastAsia="黑体" w:cs="Times New Roman"/>
          <w:sz w:val="32"/>
          <w:szCs w:val="32"/>
          <w:highlight w:val="none"/>
        </w:rPr>
        <w:t>二、</w:t>
      </w:r>
      <w:r>
        <w:rPr>
          <w:rFonts w:hint="eastAsia" w:ascii="黑体" w:hAnsi="Times New Roman" w:eastAsia="黑体" w:cs="Times New Roman"/>
          <w:sz w:val="32"/>
          <w:szCs w:val="32"/>
          <w:highlight w:val="none"/>
          <w:lang w:eastAsia="zh-CN"/>
        </w:rPr>
        <w:t>评价实施</w:t>
      </w:r>
    </w:p>
    <w:p w14:paraId="3EEBF29B">
      <w:pPr>
        <w:spacing w:line="560" w:lineRule="exact"/>
        <w:ind w:firstLine="643" w:firstLineChars="200"/>
        <w:outlineLvl w:val="0"/>
        <w:rPr>
          <w:rFonts w:hint="eastAsia" w:ascii="仿宋_GB2312" w:hAnsi="Times New Roman" w:eastAsia="仿宋_GB2312" w:cs="Times New Roman"/>
          <w:sz w:val="32"/>
          <w:szCs w:val="32"/>
        </w:rPr>
      </w:pPr>
      <w:r>
        <w:rPr>
          <w:rFonts w:hint="eastAsia" w:ascii="楷体_GB2312" w:hAnsi="Times New Roman" w:eastAsia="楷体_GB2312" w:cs="Times New Roman"/>
          <w:b/>
          <w:color w:val="auto"/>
          <w:sz w:val="32"/>
          <w:szCs w:val="32"/>
          <w:highlight w:val="none"/>
          <w:u w:val="none"/>
          <w:lang w:val="zh-CN" w:eastAsia="zh-CN"/>
        </w:rPr>
        <w:t>（一）评价目的。</w:t>
      </w:r>
      <w:r>
        <w:rPr>
          <w:rFonts w:hint="eastAsia" w:ascii="仿宋_GB2312" w:hAnsi="Times New Roman" w:eastAsia="仿宋_GB2312" w:cs="Times New Roman"/>
          <w:sz w:val="32"/>
          <w:szCs w:val="32"/>
        </w:rPr>
        <w:t>全面评估项目的执行情况，确保项目顺利完成并实现原定目标。通过自评，检查项目是否按照预期的目标和计划进行，资源的使用是否有效，及时发现问题和不足并调整措施，‌提高执行效率和绩效水平确保项目能够按照预期目标顺利完成，同时提高组织的整体管理效率和效果，提高资金管理水平和使用效益。</w:t>
      </w:r>
    </w:p>
    <w:p w14:paraId="637CD0B3">
      <w:pPr>
        <w:keepNext w:val="0"/>
        <w:keepLines w:val="0"/>
        <w:pageBreakBefore w:val="0"/>
        <w:widowControl w:val="0"/>
        <w:kinsoku/>
        <w:wordWrap/>
        <w:overflowPunct/>
        <w:topLinePunct w:val="0"/>
        <w:autoSpaceDE/>
        <w:autoSpaceDN/>
        <w:adjustRightInd w:val="0"/>
        <w:snapToGrid w:val="0"/>
        <w:spacing w:line="578" w:lineRule="exact"/>
        <w:ind w:left="0" w:firstLine="643" w:firstLineChars="200"/>
        <w:rPr>
          <w:rFonts w:hint="eastAsia" w:ascii="楷体_GB2312" w:hAnsi="Times New Roman" w:eastAsia="楷体_GB2312" w:cs="Times New Roman"/>
          <w:b/>
          <w:sz w:val="32"/>
          <w:szCs w:val="32"/>
          <w:lang w:val="zh-CN" w:eastAsia="zh-CN"/>
        </w:rPr>
      </w:pPr>
      <w:r>
        <w:rPr>
          <w:rFonts w:hint="eastAsia" w:ascii="楷体_GB2312" w:hAnsi="Times New Roman" w:eastAsia="楷体_GB2312" w:cs="Times New Roman"/>
          <w:b/>
          <w:color w:val="auto"/>
          <w:sz w:val="32"/>
          <w:szCs w:val="32"/>
          <w:highlight w:val="none"/>
          <w:u w:val="none"/>
          <w:lang w:val="zh-CN" w:eastAsia="zh-CN"/>
        </w:rPr>
        <w:t>（二）预设问题及评价重点。</w:t>
      </w:r>
      <w:r>
        <w:rPr>
          <w:rFonts w:hint="eastAsia" w:ascii="仿宋_GB2312" w:hAnsi="Times New Roman" w:eastAsia="仿宋_GB2312" w:cs="Times New Roman"/>
          <w:sz w:val="32"/>
          <w:szCs w:val="32"/>
        </w:rPr>
        <w:t>项目资金目前在大熊猫国家公园阿坝管理分局专门账户上，专款专用、单独建帐、单独核算，在资金使用中严格执行国家财务管理制度，编制专项报表，严格资金的审批和使用，</w:t>
      </w:r>
      <w:r>
        <w:rPr>
          <w:rFonts w:hint="eastAsia" w:ascii="仿宋_GB2312" w:hAnsi="Times New Roman" w:eastAsia="仿宋_GB2312" w:cs="仿宋_GB2312"/>
          <w:sz w:val="32"/>
          <w:szCs w:val="32"/>
          <w:lang w:bidi="ar-SA"/>
        </w:rPr>
        <w:t>资金使用规范，会计核算结果真实、准确，自评过程中未发现有截留、挤占或挪用项目资金的情况。</w:t>
      </w:r>
    </w:p>
    <w:p w14:paraId="23C7C762">
      <w:pPr>
        <w:keepNext w:val="0"/>
        <w:keepLines w:val="0"/>
        <w:pageBreakBefore w:val="0"/>
        <w:widowControl w:val="0"/>
        <w:kinsoku/>
        <w:wordWrap/>
        <w:overflowPunct/>
        <w:topLinePunct w:val="0"/>
        <w:autoSpaceDE/>
        <w:autoSpaceDN/>
        <w:adjustRightInd w:val="0"/>
        <w:snapToGrid w:val="0"/>
        <w:spacing w:line="578" w:lineRule="exact"/>
        <w:ind w:left="0" w:firstLine="643" w:firstLineChars="200"/>
        <w:rPr>
          <w:rFonts w:hint="eastAsia" w:ascii="Times New Roman" w:hAnsi="Times New Roman" w:eastAsia="仿宋_GB2312" w:cs="Times New Roman"/>
          <w:sz w:val="32"/>
          <w:szCs w:val="32"/>
          <w:lang w:val="zh-CN" w:eastAsia="zh-CN"/>
        </w:rPr>
      </w:pPr>
      <w:r>
        <w:rPr>
          <w:rFonts w:hint="eastAsia" w:ascii="楷体_GB2312" w:hAnsi="Times New Roman" w:eastAsia="楷体_GB2312" w:cs="Times New Roman"/>
          <w:b/>
          <w:color w:val="auto"/>
          <w:sz w:val="32"/>
          <w:szCs w:val="32"/>
          <w:highlight w:val="none"/>
          <w:u w:val="none"/>
          <w:lang w:val="zh-CN" w:eastAsia="zh-CN"/>
        </w:rPr>
        <w:t>（三）评价选点。</w:t>
      </w:r>
      <w:r>
        <w:rPr>
          <w:rFonts w:hint="eastAsia" w:ascii="仿宋_GB2312" w:hAnsi="Times New Roman" w:eastAsia="仿宋_GB2312" w:cs="仿宋_GB2312"/>
          <w:bCs/>
          <w:color w:val="auto"/>
          <w:sz w:val="32"/>
          <w:szCs w:val="32"/>
          <w:highlight w:val="none"/>
          <w:u w:val="none"/>
          <w:lang w:val="en-US" w:eastAsia="zh-CN" w:bidi="ar-SA"/>
        </w:rPr>
        <w:t>本</w:t>
      </w:r>
      <w:r>
        <w:rPr>
          <w:rFonts w:hint="eastAsia" w:ascii="仿宋_GB2312" w:hAnsi="Times New Roman" w:eastAsia="仿宋_GB2312" w:cs="仿宋_GB2312"/>
          <w:bCs/>
          <w:color w:val="auto"/>
          <w:kern w:val="0"/>
          <w:sz w:val="32"/>
          <w:szCs w:val="32"/>
          <w:highlight w:val="none"/>
          <w:u w:val="none"/>
          <w:shd w:val="clear" w:color="auto" w:fill="FFFFFF"/>
          <w:lang w:val="zh-CN" w:eastAsia="zh-CN" w:bidi="ar-SA"/>
        </w:rPr>
        <w:t>项</w:t>
      </w:r>
      <w:r>
        <w:rPr>
          <w:rFonts w:hint="eastAsia" w:ascii="仿宋_GB2312" w:hAnsi="Times New Roman" w:eastAsia="仿宋_GB2312" w:cs="仿宋_GB2312"/>
          <w:color w:val="auto"/>
          <w:kern w:val="0"/>
          <w:sz w:val="32"/>
          <w:szCs w:val="32"/>
          <w:highlight w:val="none"/>
          <w:u w:val="none"/>
          <w:shd w:val="clear" w:color="auto" w:fill="FFFFFF"/>
          <w:lang w:val="zh-CN" w:eastAsia="zh-CN" w:bidi="ar-SA"/>
        </w:rPr>
        <w:t>目</w:t>
      </w:r>
      <w:r>
        <w:rPr>
          <w:rFonts w:hint="eastAsia" w:ascii="仿宋_GB2312" w:hAnsi="Times New Roman" w:eastAsia="仿宋_GB2312" w:cs="仿宋_GB2312"/>
          <w:color w:val="auto"/>
          <w:kern w:val="0"/>
          <w:sz w:val="32"/>
          <w:szCs w:val="32"/>
          <w:highlight w:val="none"/>
          <w:u w:val="none"/>
          <w:shd w:val="clear" w:color="auto" w:fill="FFFFFF"/>
          <w:lang w:val="en-US" w:eastAsia="zh-CN" w:bidi="ar-SA"/>
        </w:rPr>
        <w:t>目标相对单一，分局落实专人全程参与野外红外相机布设及调查监测，实时跟踪汇报项目建设进度，并形成雪豹调查报告呈报省局进行复核验收。</w:t>
      </w:r>
    </w:p>
    <w:p w14:paraId="6D145A8F">
      <w:pPr>
        <w:spacing w:line="560" w:lineRule="exact"/>
        <w:ind w:firstLine="643" w:firstLineChars="200"/>
        <w:outlineLvl w:val="0"/>
        <w:rPr>
          <w:rFonts w:hint="eastAsia" w:ascii="仿宋_GB2312" w:hAnsi="Times New Roman" w:eastAsia="仿宋_GB2312" w:cs="Times New Roman"/>
          <w:sz w:val="32"/>
          <w:szCs w:val="32"/>
        </w:rPr>
      </w:pPr>
      <w:r>
        <w:rPr>
          <w:rFonts w:hint="eastAsia" w:ascii="楷体_GB2312" w:hAnsi="Times New Roman" w:eastAsia="楷体_GB2312" w:cs="Times New Roman"/>
          <w:b/>
          <w:color w:val="auto"/>
          <w:sz w:val="32"/>
          <w:szCs w:val="32"/>
          <w:highlight w:val="none"/>
          <w:u w:val="none"/>
          <w:lang w:val="zh-CN" w:eastAsia="zh-CN"/>
        </w:rPr>
        <w:t>（四）评价方法。</w:t>
      </w:r>
      <w:r>
        <w:rPr>
          <w:rFonts w:hint="eastAsia" w:ascii="仿宋_GB2312" w:hAnsi="Times New Roman" w:eastAsia="仿宋_GB2312" w:cs="Times New Roman"/>
          <w:sz w:val="32"/>
          <w:szCs w:val="32"/>
        </w:rPr>
        <w:t>分局组织人员到现场查看项目实施情况，查阅项目财务及管理等相关资料，对其审核分析。</w:t>
      </w:r>
    </w:p>
    <w:p w14:paraId="104446D8">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Times New Roman" w:eastAsia="仿宋_GB2312" w:cs="Times New Roman"/>
          <w:sz w:val="32"/>
          <w:szCs w:val="32"/>
          <w:lang w:eastAsia="zh-CN" w:bidi="ar-SA"/>
        </w:rPr>
      </w:pPr>
      <w:r>
        <w:rPr>
          <w:rFonts w:hint="eastAsia" w:ascii="楷体_GB2312" w:hAnsi="Times New Roman" w:eastAsia="楷体_GB2312" w:cs="Times New Roman"/>
          <w:b/>
          <w:color w:val="auto"/>
          <w:sz w:val="32"/>
          <w:szCs w:val="32"/>
          <w:highlight w:val="none"/>
          <w:u w:val="none"/>
          <w:lang w:val="zh-CN" w:eastAsia="zh-CN"/>
        </w:rPr>
        <w:t>（五）评价组织。</w:t>
      </w:r>
      <w:r>
        <w:rPr>
          <w:rFonts w:hint="eastAsia" w:ascii="仿宋_GB2312" w:hAnsi="Times New Roman" w:eastAsia="仿宋_GB2312" w:cs="仿宋_GB2312"/>
          <w:color w:val="000000"/>
          <w:sz w:val="32"/>
          <w:szCs w:val="32"/>
          <w:lang w:bidi="ar-SA"/>
        </w:rPr>
        <w:t>根据财政绩效评价要求，由局办公室牵头，相关部室参与配合，绩效评价遵循科学规范原、公正公开原则，统一安排部署省级财政林业草原生态保护恢复（国家公园补助）资金项目管理，有序推进省级财政资金项目绩效评价工作。办公室（财务室）负责审核项目资金及凭证，建设管理部、法规督查部、栖息地保护部现场查看项目建设进度，查阅项目建设资料。</w:t>
      </w:r>
    </w:p>
    <w:p w14:paraId="2FF8CE4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Times New Roman" w:eastAsia="仿宋_GB2312" w:cs="Times New Roman"/>
          <w:color w:val="auto"/>
          <w:sz w:val="32"/>
          <w:szCs w:val="32"/>
          <w:highlight w:val="none"/>
          <w:u w:val="none"/>
          <w:lang w:val="zh-CN" w:eastAsia="zh-CN"/>
        </w:rPr>
      </w:pPr>
      <w:r>
        <w:rPr>
          <w:rFonts w:hint="eastAsia" w:ascii="黑体" w:hAnsi="Times New Roman" w:eastAsia="黑体" w:cs="Times New Roman"/>
          <w:color w:val="auto"/>
          <w:sz w:val="32"/>
          <w:szCs w:val="32"/>
          <w:highlight w:val="none"/>
          <w:u w:val="none"/>
        </w:rPr>
        <w:t>三、</w:t>
      </w:r>
      <w:r>
        <w:rPr>
          <w:rFonts w:hint="eastAsia" w:ascii="黑体" w:hAnsi="Times New Roman" w:eastAsia="黑体" w:cs="Times New Roman"/>
          <w:color w:val="auto"/>
          <w:sz w:val="32"/>
          <w:szCs w:val="32"/>
          <w:highlight w:val="none"/>
          <w:u w:val="none"/>
          <w:lang w:eastAsia="zh-CN"/>
        </w:rPr>
        <w:t>绩效分析</w:t>
      </w:r>
      <w:r>
        <w:rPr>
          <w:rFonts w:hint="eastAsia" w:ascii="仿宋_GB2312" w:hAnsi="Times New Roman" w:eastAsia="仿宋_GB2312" w:cs="Times New Roman"/>
          <w:color w:val="auto"/>
          <w:sz w:val="32"/>
          <w:szCs w:val="32"/>
          <w:highlight w:val="none"/>
          <w:u w:val="none"/>
          <w:lang w:val="zh-CN" w:eastAsia="zh-CN"/>
        </w:rPr>
        <w:tab/>
      </w:r>
    </w:p>
    <w:p w14:paraId="2833413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zh-CN" w:eastAsia="zh-CN" w:bidi="ar-SA"/>
        </w:rPr>
        <w:t>根据</w:t>
      </w:r>
      <w:r>
        <w:rPr>
          <w:rFonts w:hint="eastAsia" w:ascii="Times New Roman" w:hAnsi="Times New Roman" w:eastAsia="仿宋_GB2312" w:cs="Times New Roman"/>
          <w:sz w:val="32"/>
          <w:szCs w:val="32"/>
          <w:lang w:val="zh-CN" w:eastAsia="zh-CN" w:bidi="ar-SA"/>
        </w:rPr>
        <w:t>项目</w:t>
      </w:r>
      <w:r>
        <w:rPr>
          <w:rFonts w:hint="default" w:ascii="Times New Roman" w:hAnsi="Times New Roman" w:eastAsia="仿宋_GB2312" w:cs="Times New Roman"/>
          <w:sz w:val="32"/>
          <w:szCs w:val="32"/>
          <w:lang w:val="zh-CN" w:eastAsia="zh-CN" w:bidi="ar-SA"/>
        </w:rPr>
        <w:t>预算绩效评价指标体系“</w:t>
      </w:r>
      <w:r>
        <w:rPr>
          <w:rFonts w:hint="eastAsia" w:ascii="Times New Roman" w:hAnsi="Times New Roman" w:eastAsia="仿宋_GB2312" w:cs="Times New Roman"/>
          <w:sz w:val="32"/>
          <w:szCs w:val="32"/>
          <w:lang w:val="zh-CN" w:eastAsia="zh-CN" w:bidi="ar-SA"/>
        </w:rPr>
        <w:t>通用指标</w:t>
      </w:r>
      <w:r>
        <w:rPr>
          <w:rFonts w:hint="default" w:ascii="Times New Roman" w:hAnsi="Times New Roman" w:eastAsia="仿宋_GB2312" w:cs="Times New Roman"/>
          <w:sz w:val="32"/>
          <w:szCs w:val="32"/>
          <w:lang w:val="zh-CN" w:eastAsia="zh-CN" w:bidi="ar-SA"/>
        </w:rPr>
        <w:t>”</w:t>
      </w:r>
      <w:r>
        <w:rPr>
          <w:rFonts w:hint="eastAsia" w:ascii="Times New Roman" w:hAnsi="Times New Roman" w:eastAsia="仿宋_GB2312" w:cs="Times New Roman"/>
          <w:sz w:val="32"/>
          <w:szCs w:val="32"/>
          <w:lang w:val="zh-CN" w:eastAsia="zh-CN" w:bidi="ar-SA"/>
        </w:rPr>
        <w:t>“专用指标”“个性指标”</w:t>
      </w:r>
      <w:r>
        <w:rPr>
          <w:rFonts w:hint="default" w:ascii="Times New Roman" w:hAnsi="Times New Roman" w:eastAsia="仿宋_GB2312" w:cs="Times New Roman"/>
          <w:sz w:val="32"/>
          <w:szCs w:val="32"/>
          <w:lang w:val="zh-CN" w:eastAsia="zh-CN" w:bidi="ar-SA"/>
        </w:rPr>
        <w:t>涉及</w:t>
      </w:r>
      <w:r>
        <w:rPr>
          <w:rFonts w:hint="eastAsia" w:ascii="Times New Roman" w:hAnsi="Times New Roman" w:eastAsia="仿宋_GB2312" w:cs="Times New Roman"/>
          <w:sz w:val="32"/>
          <w:szCs w:val="32"/>
          <w:lang w:val="zh-CN" w:eastAsia="zh-CN" w:bidi="ar-SA"/>
        </w:rPr>
        <w:t>二、三级</w:t>
      </w:r>
      <w:r>
        <w:rPr>
          <w:rFonts w:hint="default" w:ascii="Times New Roman" w:hAnsi="Times New Roman" w:eastAsia="仿宋_GB2312" w:cs="Times New Roman"/>
          <w:sz w:val="32"/>
          <w:szCs w:val="32"/>
          <w:lang w:val="zh-CN" w:eastAsia="zh-CN" w:bidi="ar-SA"/>
        </w:rPr>
        <w:t>指标进行</w:t>
      </w:r>
      <w:r>
        <w:rPr>
          <w:rFonts w:hint="eastAsia" w:ascii="Times New Roman" w:hAnsi="Times New Roman" w:eastAsia="仿宋_GB2312" w:cs="Times New Roman"/>
          <w:sz w:val="32"/>
          <w:szCs w:val="32"/>
          <w:lang w:val="zh-CN" w:eastAsia="zh-CN" w:bidi="ar-SA"/>
        </w:rPr>
        <w:t>逐项</w:t>
      </w:r>
      <w:r>
        <w:rPr>
          <w:rFonts w:hint="default" w:ascii="Times New Roman" w:hAnsi="Times New Roman" w:eastAsia="仿宋_GB2312" w:cs="Times New Roman"/>
          <w:sz w:val="32"/>
          <w:szCs w:val="32"/>
          <w:lang w:val="zh-CN" w:eastAsia="zh-CN" w:bidi="ar-SA"/>
        </w:rPr>
        <w:t>绩效分析</w:t>
      </w:r>
      <w:r>
        <w:rPr>
          <w:rFonts w:hint="eastAsia" w:ascii="Times New Roman" w:hAnsi="Times New Roman" w:eastAsia="仿宋_GB2312" w:cs="Times New Roman"/>
          <w:sz w:val="32"/>
          <w:szCs w:val="32"/>
          <w:lang w:val="zh-CN" w:eastAsia="zh-CN" w:bidi="ar-SA"/>
        </w:rPr>
        <w:t>并评分</w:t>
      </w:r>
      <w:r>
        <w:rPr>
          <w:rFonts w:hint="eastAsia" w:ascii="Times New Roman" w:hAnsi="Times New Roman" w:eastAsia="仿宋_GB2312" w:cs="Times New Roman"/>
          <w:sz w:val="32"/>
          <w:szCs w:val="32"/>
          <w:lang w:val="en-US" w:eastAsia="zh-CN" w:bidi="ar-SA"/>
        </w:rPr>
        <w:t>。</w:t>
      </w:r>
    </w:p>
    <w:p w14:paraId="6987319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Times New Roman" w:eastAsia="楷体_GB2312" w:cs="Times New Roman"/>
          <w:b/>
          <w:color w:val="auto"/>
          <w:sz w:val="32"/>
          <w:szCs w:val="32"/>
          <w:highlight w:val="none"/>
          <w:u w:val="none"/>
          <w:lang w:val="en-US" w:eastAsia="zh-CN" w:bidi="ar-SA"/>
        </w:rPr>
      </w:pPr>
      <w:r>
        <w:rPr>
          <w:rFonts w:hint="eastAsia" w:ascii="楷体_GB2312" w:hAnsi="Times New Roman" w:eastAsia="楷体_GB2312" w:cs="Times New Roman"/>
          <w:b/>
          <w:color w:val="auto"/>
          <w:sz w:val="32"/>
          <w:szCs w:val="32"/>
          <w:highlight w:val="none"/>
          <w:u w:val="none"/>
          <w:lang w:val="zh-CN" w:eastAsia="zh-CN" w:bidi="ar-SA"/>
        </w:rPr>
        <w:t>（一）</w:t>
      </w:r>
      <w:r>
        <w:rPr>
          <w:rFonts w:hint="eastAsia" w:ascii="楷体_GB2312" w:hAnsi="Times New Roman" w:eastAsia="楷体_GB2312" w:cs="Times New Roman"/>
          <w:b/>
          <w:color w:val="auto"/>
          <w:sz w:val="32"/>
          <w:szCs w:val="32"/>
          <w:highlight w:val="none"/>
          <w:u w:val="none"/>
          <w:lang w:val="en-US" w:eastAsia="zh-CN" w:bidi="ar-SA"/>
        </w:rPr>
        <w:t>通用指标</w:t>
      </w: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绩效分析。</w:t>
      </w:r>
    </w:p>
    <w:p w14:paraId="687E13D7">
      <w:pPr>
        <w:keepNext w:val="0"/>
        <w:keepLines w:val="0"/>
        <w:pageBreakBefore w:val="0"/>
        <w:widowControl w:val="0"/>
        <w:kinsoku/>
        <w:wordWrap/>
        <w:overflowPunct/>
        <w:topLinePunct w:val="0"/>
        <w:autoSpaceDE/>
        <w:autoSpaceDN/>
        <w:spacing w:line="560" w:lineRule="exact"/>
        <w:ind w:firstLine="640"/>
        <w:rPr>
          <w:rFonts w:hint="eastAsia" w:ascii="仿宋_GB2312" w:hAnsi="Times New Roman" w:eastAsia="仿宋_GB2312" w:cs="Times New Roman"/>
          <w:sz w:val="32"/>
          <w:szCs w:val="32"/>
          <w:lang w:val="zh-CN" w:eastAsia="zh-CN"/>
        </w:rPr>
      </w:pPr>
      <w:r>
        <w:rPr>
          <w:rFonts w:hint="eastAsia" w:ascii="仿宋_GB2312" w:hAnsi="Times New Roman" w:eastAsia="仿宋_GB2312" w:cs="楷体_GB2312"/>
          <w:b/>
          <w:bCs/>
          <w:color w:val="auto"/>
          <w:sz w:val="32"/>
          <w:szCs w:val="32"/>
          <w:lang w:val="en-US" w:eastAsia="zh-CN" w:bidi="ar-SA"/>
        </w:rPr>
        <w:t>1.</w:t>
      </w:r>
      <w:r>
        <w:rPr>
          <w:rFonts w:hint="eastAsia" w:ascii="仿宋_GB2312" w:hAnsi="Times New Roman" w:eastAsia="仿宋_GB2312" w:cs="楷体_GB2312"/>
          <w:b/>
          <w:bCs/>
          <w:color w:val="auto"/>
          <w:sz w:val="32"/>
          <w:szCs w:val="32"/>
          <w:lang w:eastAsia="zh-CN" w:bidi="ar-SA"/>
        </w:rPr>
        <w:t>项目决策。</w:t>
      </w:r>
      <w:r>
        <w:rPr>
          <w:rFonts w:hint="eastAsia" w:ascii="仿宋_GB2312" w:hAnsi="Times New Roman" w:eastAsia="仿宋_GB2312" w:cs="Times New Roman"/>
          <w:sz w:val="32"/>
          <w:szCs w:val="32"/>
        </w:rPr>
        <w:t>该项目资金由局党组研究，州财政局相关业务科室审核，报经州人民政府审议后按程序执行，按要求及时完成项目方案编制，资金执行情况及时报告大熊猫国家公园四川省管理局。资金投向严格按照《四川省财政厅 四川省林业和草原局关于印发〈四川省林业草原专项资金管理办法〉的通知》（川财资环〔2023〕90号）规定及相关政策要求执行。</w:t>
      </w:r>
    </w:p>
    <w:p w14:paraId="576C5A43">
      <w:pPr>
        <w:keepNext w:val="0"/>
        <w:keepLines w:val="0"/>
        <w:pageBreakBefore w:val="0"/>
        <w:widowControl w:val="0"/>
        <w:spacing w:line="560" w:lineRule="exact"/>
        <w:ind w:firstLine="643" w:firstLineChars="200"/>
        <w:jc w:val="both"/>
        <w:rPr>
          <w:rFonts w:hint="eastAsia" w:ascii="仿宋_GB2312" w:hAnsi="Calibri" w:eastAsia="仿宋_GB2312" w:cs="Arial"/>
          <w:bCs/>
          <w:color w:val="000000"/>
          <w:kern w:val="2"/>
          <w:sz w:val="32"/>
          <w:szCs w:val="32"/>
          <w:lang w:val="en-US" w:eastAsia="zh-CN" w:bidi="ar-SA"/>
        </w:rPr>
      </w:pPr>
      <w:r>
        <w:rPr>
          <w:rFonts w:hint="eastAsia" w:ascii="仿宋_GB2312" w:hAnsi="Calibri" w:eastAsia="仿宋_GB2312" w:cs="楷体_GB2312"/>
          <w:b/>
          <w:bCs/>
          <w:kern w:val="2"/>
          <w:sz w:val="32"/>
          <w:szCs w:val="32"/>
          <w:lang w:val="en-US" w:eastAsia="zh-CN" w:bidi="ar-SA"/>
        </w:rPr>
        <w:t>2.项目管理。</w:t>
      </w:r>
      <w:r>
        <w:rPr>
          <w:rFonts w:hint="eastAsia" w:ascii="仿宋_GB2312" w:hAnsi="Calibri" w:eastAsia="仿宋_GB2312" w:cs="Arial"/>
          <w:bCs/>
          <w:kern w:val="2"/>
          <w:sz w:val="32"/>
          <w:szCs w:val="32"/>
          <w:lang w:val="en-US" w:eastAsia="zh-CN" w:bidi="ar-SA"/>
        </w:rPr>
        <w:t>严格按照《阿坝州</w:t>
      </w:r>
      <w:r>
        <w:rPr>
          <w:rFonts w:hint="eastAsia" w:ascii="仿宋_GB2312" w:hAnsi="Calibri" w:eastAsia="仿宋_GB2312" w:cs="Arial"/>
          <w:bCs/>
          <w:kern w:val="2"/>
          <w:sz w:val="32"/>
          <w:szCs w:val="32"/>
          <w:shd w:val="clear" w:color="auto" w:fill="FFFFFF"/>
          <w:lang w:val="en-US" w:eastAsia="zh-CN" w:bidi="ar-SA"/>
        </w:rPr>
        <w:t>林业和草原建设项目管理办法》</w:t>
      </w:r>
      <w:r>
        <w:rPr>
          <w:rFonts w:hint="eastAsia" w:ascii="仿宋_GB2312" w:hAnsi="Calibri" w:eastAsia="仿宋_GB2312" w:cs="Arial"/>
          <w:bCs/>
          <w:color w:val="000000"/>
          <w:kern w:val="2"/>
          <w:sz w:val="32"/>
          <w:szCs w:val="32"/>
          <w:shd w:val="clear" w:color="auto" w:fill="FFFFFF"/>
          <w:lang w:val="en-US" w:eastAsia="zh-CN" w:bidi="ar-SA"/>
        </w:rPr>
        <w:t>《大熊猫国家公园阿坝片区项目申报立项流程图》《大熊猫国家公园阿坝片区项目管理流程图》</w:t>
      </w:r>
      <w:r>
        <w:rPr>
          <w:rFonts w:hint="eastAsia" w:ascii="仿宋_GB2312" w:hAnsi="Calibri" w:eastAsia="仿宋_GB2312" w:cs="Arial"/>
          <w:bCs/>
          <w:kern w:val="2"/>
          <w:sz w:val="32"/>
          <w:szCs w:val="32"/>
          <w:shd w:val="clear" w:color="auto" w:fill="FFFFFF"/>
          <w:lang w:val="en-US" w:eastAsia="zh-CN" w:bidi="ar-SA"/>
        </w:rPr>
        <w:t>做好项目申报及</w:t>
      </w:r>
      <w:r>
        <w:rPr>
          <w:rFonts w:hint="eastAsia" w:ascii="仿宋_GB2312" w:hAnsi="Calibri" w:eastAsia="仿宋_GB2312" w:cs="Arial"/>
          <w:bCs/>
          <w:color w:val="000000"/>
          <w:kern w:val="2"/>
          <w:sz w:val="32"/>
          <w:szCs w:val="32"/>
          <w:shd w:val="clear" w:color="auto" w:fill="FFFFFF"/>
          <w:lang w:val="en-US" w:eastAsia="zh-CN" w:bidi="ar-SA"/>
        </w:rPr>
        <w:t>管理工作。项目总投资286万元，</w:t>
      </w:r>
      <w:r>
        <w:rPr>
          <w:rFonts w:hint="eastAsia" w:ascii="仿宋_GB2312" w:hAnsi="Calibri" w:eastAsia="仿宋_GB2312" w:cs="Arial"/>
          <w:bCs/>
          <w:color w:val="000000"/>
          <w:kern w:val="2"/>
          <w:sz w:val="32"/>
          <w:szCs w:val="32"/>
          <w:lang w:val="en-US" w:eastAsia="zh-CN" w:bidi="ar-SA"/>
        </w:rPr>
        <w:t>累计支付资金197.36万元，剩余资金88.64万元。</w:t>
      </w:r>
    </w:p>
    <w:p w14:paraId="332B3737">
      <w:pPr>
        <w:keepNext w:val="0"/>
        <w:keepLines w:val="0"/>
        <w:pageBreakBefore w:val="0"/>
        <w:widowControl w:val="0"/>
        <w:kinsoku/>
        <w:wordWrap/>
        <w:overflowPunct/>
        <w:topLinePunct w:val="0"/>
        <w:autoSpaceDE/>
        <w:autoSpaceDN/>
        <w:adjustRightInd/>
        <w:snapToGrid/>
        <w:spacing w:line="560" w:lineRule="exact"/>
        <w:ind w:firstLine="643" w:firstLineChars="200"/>
        <w:rPr>
          <w:rFonts w:hint="eastAsia" w:ascii="仿宋_GB2312" w:hAnsi="Times New Roman" w:eastAsia="仿宋_GB2312" w:cs="Times New Roman"/>
          <w:sz w:val="32"/>
          <w:szCs w:val="32"/>
        </w:rPr>
      </w:pPr>
      <w:r>
        <w:rPr>
          <w:rFonts w:hint="eastAsia" w:ascii="仿宋_GB2312" w:hAnsi="Times New Roman" w:eastAsia="仿宋_GB2312" w:cs="楷体_GB2312"/>
          <w:b/>
          <w:sz w:val="32"/>
          <w:szCs w:val="32"/>
          <w:lang w:val="zh-CN" w:eastAsia="zh-CN" w:bidi="ar-SA"/>
        </w:rPr>
        <w:t>3.项目实施。</w:t>
      </w:r>
      <w:r>
        <w:rPr>
          <w:rFonts w:hint="eastAsia" w:ascii="仿宋_GB2312" w:hAnsi="Times New Roman" w:eastAsia="仿宋_GB2312" w:cs="仿宋_GB2312"/>
          <w:color w:val="000000"/>
          <w:sz w:val="32"/>
          <w:szCs w:val="32"/>
          <w:highlight w:val="none"/>
          <w:shd w:val="clear" w:color="auto" w:fill="FFFFFF"/>
          <w:lang w:val="zh-CN" w:eastAsia="zh-CN" w:bidi="ar-SA"/>
        </w:rPr>
        <w:t>严格依法依规有序推进项目建设，根据建设进度及时支付资金。受野外</w:t>
      </w:r>
      <w:r>
        <w:rPr>
          <w:rFonts w:hint="eastAsia" w:ascii="仿宋_GB2312" w:hAnsi="Times New Roman" w:eastAsia="仿宋_GB2312" w:cs="仿宋_GB2312"/>
          <w:color w:val="000000"/>
          <w:sz w:val="32"/>
          <w:szCs w:val="32"/>
          <w:shd w:val="clear" w:color="auto" w:fill="FFFFFF"/>
          <w:lang w:val="zh-CN" w:eastAsia="zh-CN" w:bidi="ar-SA"/>
        </w:rPr>
        <w:t>天气原因影响，为确保野外作业人员及设备安全，导致项目进度有所延迟</w:t>
      </w:r>
      <w:r>
        <w:rPr>
          <w:rFonts w:hint="eastAsia" w:ascii="仿宋_GB2312" w:hAnsi="Times New Roman" w:eastAsia="仿宋_GB2312" w:cs="仿宋_GB2312"/>
          <w:color w:val="000000"/>
          <w:sz w:val="32"/>
          <w:szCs w:val="32"/>
          <w:highlight w:val="none"/>
          <w:shd w:val="clear" w:color="auto" w:fill="FFFFFF"/>
          <w:lang w:val="zh-CN" w:eastAsia="zh-CN" w:bidi="ar-SA"/>
        </w:rPr>
        <w:t>，已优化施工方案，责令项目实施单位有序推进项目建设。</w:t>
      </w:r>
    </w:p>
    <w:p w14:paraId="3D6A2DDB">
      <w:pPr>
        <w:keepNext w:val="0"/>
        <w:keepLines w:val="0"/>
        <w:pageBreakBefore w:val="0"/>
        <w:widowControl w:val="0"/>
        <w:kinsoku/>
        <w:wordWrap/>
        <w:overflowPunct/>
        <w:topLinePunct w:val="0"/>
        <w:autoSpaceDE/>
        <w:autoSpaceDN/>
        <w:adjustRightInd/>
        <w:snapToGrid/>
        <w:spacing w:line="560" w:lineRule="exact"/>
        <w:ind w:firstLine="643" w:firstLineChars="200"/>
        <w:rPr>
          <w:rFonts w:hint="eastAsia" w:ascii="仿宋_GB2312" w:hAnsi="Times New Roman" w:eastAsia="仿宋_GB2312" w:cs="Times New Roman"/>
          <w:color w:val="FF0000"/>
          <w:sz w:val="32"/>
          <w:szCs w:val="32"/>
        </w:rPr>
      </w:pPr>
      <w:r>
        <w:rPr>
          <w:rFonts w:hint="eastAsia" w:ascii="仿宋_GB2312" w:hAnsi="Times New Roman" w:eastAsia="仿宋_GB2312" w:cs="楷体_GB2312"/>
          <w:b/>
          <w:sz w:val="32"/>
          <w:szCs w:val="32"/>
          <w:lang w:val="zh-CN" w:eastAsia="zh-CN" w:bidi="ar-SA"/>
        </w:rPr>
        <w:t>4.项目结果。</w:t>
      </w:r>
      <w:r>
        <w:rPr>
          <w:rFonts w:hint="eastAsia" w:ascii="仿宋_GB2312" w:hAnsi="Times New Roman" w:eastAsia="仿宋_GB2312" w:cs="仿宋_GB2312"/>
          <w:sz w:val="32"/>
          <w:szCs w:val="32"/>
          <w:lang w:val="zh-CN" w:eastAsia="zh-CN" w:bidi="ar-SA"/>
        </w:rPr>
        <w:t>项目正在推进中，受冰雪、降雨及泥石流灾害影响，进度受阻，预计年底全面完成建设，将及时完成成项目验收及结算等相关工作。</w:t>
      </w:r>
    </w:p>
    <w:p w14:paraId="78B82B15">
      <w:pPr>
        <w:keepNext w:val="0"/>
        <w:keepLines w:val="0"/>
        <w:pageBreakBefore w:val="0"/>
        <w:widowControl w:val="0"/>
        <w:kinsoku/>
        <w:wordWrap/>
        <w:overflowPunct/>
        <w:topLinePunct w:val="0"/>
        <w:autoSpaceDE/>
        <w:autoSpaceDN/>
        <w:adjustRightInd/>
        <w:snapToGrid/>
        <w:spacing w:line="578" w:lineRule="exact"/>
        <w:ind w:firstLine="643" w:firstLineChars="200"/>
        <w:rPr>
          <w:rFonts w:hint="eastAsia" w:ascii="楷体_GB2312" w:hAnsi="Times New Roman" w:eastAsia="楷体_GB2312" w:cs="楷体_GB2312"/>
          <w:sz w:val="32"/>
          <w:szCs w:val="32"/>
          <w:lang w:val="zh-CN" w:eastAsia="zh-CN" w:bidi="ar-SA"/>
        </w:rPr>
      </w:pPr>
      <w:r>
        <w:rPr>
          <w:rFonts w:hint="eastAsia" w:ascii="楷体_GB2312" w:hAnsi="Times New Roman" w:eastAsia="楷体_GB2312" w:cs="Times New Roman"/>
          <w:b/>
          <w:color w:val="auto"/>
          <w:sz w:val="32"/>
          <w:szCs w:val="32"/>
          <w:highlight w:val="none"/>
          <w:u w:val="none"/>
          <w:lang w:val="zh-CN" w:eastAsia="zh-CN" w:bidi="ar-SA"/>
        </w:rPr>
        <w:t>（二）</w:t>
      </w:r>
      <w:r>
        <w:rPr>
          <w:rFonts w:hint="eastAsia" w:ascii="楷体_GB2312" w:hAnsi="Times New Roman" w:eastAsia="楷体_GB2312" w:cs="Times New Roman"/>
          <w:b/>
          <w:color w:val="auto"/>
          <w:sz w:val="32"/>
          <w:szCs w:val="32"/>
          <w:highlight w:val="none"/>
          <w:u w:val="none"/>
          <w:lang w:val="en-US" w:eastAsia="zh-CN" w:bidi="ar-SA"/>
        </w:rPr>
        <w:t>专用指标</w:t>
      </w: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绩效分析。</w:t>
      </w:r>
      <w:r>
        <w:rPr>
          <w:rFonts w:hint="eastAsia" w:ascii="仿宋_GB2312" w:hAnsi="Times New Roman" w:eastAsia="仿宋_GB2312" w:cs="Times New Roman"/>
          <w:sz w:val="32"/>
          <w:szCs w:val="32"/>
        </w:rPr>
        <w:t>执行过程中，严格按照管理办法相关要求，在充分考虑国家公园及紧邻区域雪豹分布情况、红外相机布设需求等情况下设定分配要素、合理应用基础数据、科学选取测算依据，分配结果公平合理。政策实施对象中不存在明显不合理的排他性规定，政策实施后相关受益群体的整体满意调查良好，满意度100%。</w:t>
      </w:r>
    </w:p>
    <w:p w14:paraId="4F3E0CB1">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eastAsia" w:ascii="仿宋_GB2312" w:hAnsi="Times New Roman" w:eastAsia="仿宋_GB2312" w:cs="Arial"/>
          <w:sz w:val="32"/>
          <w:szCs w:val="32"/>
          <w:lang w:bidi="ar-SA"/>
        </w:rPr>
      </w:pPr>
      <w:r>
        <w:rPr>
          <w:rFonts w:hint="eastAsia" w:ascii="楷体_GB2312" w:hAnsi="Times New Roman" w:eastAsia="楷体_GB2312" w:cs="Times New Roman"/>
          <w:b/>
          <w:color w:val="auto"/>
          <w:sz w:val="32"/>
          <w:szCs w:val="32"/>
          <w:highlight w:val="none"/>
          <w:u w:val="none"/>
          <w:lang w:val="zh-CN" w:eastAsia="zh-CN" w:bidi="ar-SA"/>
        </w:rPr>
        <w:t>（三）</w:t>
      </w:r>
      <w:r>
        <w:rPr>
          <w:rFonts w:hint="eastAsia" w:ascii="楷体_GB2312" w:hAnsi="Times New Roman" w:eastAsia="楷体_GB2312" w:cs="Times New Roman"/>
          <w:b/>
          <w:color w:val="auto"/>
          <w:sz w:val="32"/>
          <w:szCs w:val="32"/>
          <w:highlight w:val="none"/>
          <w:u w:val="none"/>
          <w:lang w:val="en-US" w:eastAsia="zh-CN" w:bidi="ar-SA"/>
        </w:rPr>
        <w:t>个性指标</w:t>
      </w: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绩效分析。</w:t>
      </w:r>
      <w:r>
        <w:rPr>
          <w:rFonts w:hint="eastAsia" w:ascii="仿宋_GB2312" w:hAnsi="Times New Roman" w:eastAsia="仿宋_GB2312" w:cs="Times New Roman"/>
          <w:sz w:val="32"/>
          <w:szCs w:val="32"/>
        </w:rPr>
        <w:t>预计年底完成项目建设，项目完工后便于上级业务主管部门有效掌握国家公园及紧邻区域雪豹分布情况</w:t>
      </w:r>
      <w:r>
        <w:rPr>
          <w:rFonts w:hint="eastAsia" w:ascii="仿宋_GB2312" w:hAnsi="Times New Roman" w:eastAsia="仿宋_GB2312" w:cs="Arial"/>
          <w:sz w:val="32"/>
          <w:szCs w:val="32"/>
          <w:lang w:bidi="ar-SA"/>
        </w:rPr>
        <w:t>，为后期科学保护提供数据支撑，确保国家公园内旗舰物种等得到有效保护。</w:t>
      </w:r>
    </w:p>
    <w:p w14:paraId="789359C1">
      <w:pPr>
        <w:pageBreakBefore w:val="0"/>
        <w:widowControl/>
        <w:kinsoku/>
        <w:wordWrap/>
        <w:overflowPunct/>
        <w:topLinePunct w:val="0"/>
        <w:autoSpaceDE/>
        <w:autoSpaceDN/>
        <w:bidi w:val="0"/>
        <w:adjustRightInd/>
        <w:spacing w:line="600" w:lineRule="exact"/>
        <w:ind w:left="0" w:firstLine="640" w:firstLineChars="200"/>
        <w:jc w:val="left"/>
        <w:textAlignment w:val="auto"/>
        <w:rPr>
          <w:rFonts w:hint="eastAsia" w:ascii="黑体" w:hAnsi="楷体_GB2312" w:eastAsia="黑体" w:cs="Times New Roman"/>
          <w:color w:val="auto"/>
          <w:kern w:val="0"/>
          <w:position w:val="3"/>
          <w:sz w:val="32"/>
          <w:szCs w:val="32"/>
          <w:highlight w:val="none"/>
          <w:u w:val="none"/>
          <w:lang w:val="en-US" w:eastAsia="zh-CN" w:bidi="ar-SA"/>
        </w:rPr>
      </w:pPr>
      <w:r>
        <w:rPr>
          <w:rFonts w:hint="eastAsia" w:ascii="黑体" w:hAnsi="楷体_GB2312" w:eastAsia="黑体" w:cs="Times New Roman"/>
          <w:color w:val="auto"/>
          <w:kern w:val="0"/>
          <w:position w:val="3"/>
          <w:sz w:val="32"/>
          <w:szCs w:val="32"/>
          <w:highlight w:val="none"/>
          <w:u w:val="none"/>
          <w:lang w:val="en-US" w:eastAsia="zh-CN" w:bidi="ar-SA"/>
        </w:rPr>
        <w:t>四、评价结论</w:t>
      </w:r>
    </w:p>
    <w:p w14:paraId="1193936F">
      <w:pPr>
        <w:spacing w:line="560" w:lineRule="exact"/>
        <w:ind w:firstLine="640" w:firstLineChars="200"/>
        <w:rPr>
          <w:rFonts w:hint="eastAsia" w:ascii="仿宋_GB2312" w:hAnsi="Times New Roman" w:eastAsia="仿宋_GB2312" w:cs="仿宋_GB2312"/>
          <w:sz w:val="32"/>
          <w:szCs w:val="32"/>
          <w:lang w:val="zh-CN" w:eastAsia="zh-CN" w:bidi="ar-SA"/>
        </w:rPr>
      </w:pPr>
      <w:r>
        <w:rPr>
          <w:rFonts w:hint="eastAsia" w:ascii="仿宋_GB2312" w:hAnsi="Times New Roman" w:eastAsia="仿宋_GB2312" w:cs="仿宋_GB2312"/>
          <w:sz w:val="32"/>
          <w:szCs w:val="32"/>
          <w:lang w:val="zh-CN" w:eastAsia="zh-CN" w:bidi="ar-SA"/>
        </w:rPr>
        <w:t>从综合评价来看，项目立项依据充分，均设定了项目绩效目标，资金配置科学合理，严格项目管理，按规定履行报批手续，制定了实施方案，细化任务并明确绩效目标，经局党组会议研究同意后实施。涉及采购的严格按照政府采购相关程序执行，建设、验收等严格执行相关制度规定。整体情况良好。</w:t>
      </w:r>
    </w:p>
    <w:p w14:paraId="7240FB98">
      <w:pPr>
        <w:pageBreakBefore w:val="0"/>
        <w:widowControl/>
        <w:kinsoku/>
        <w:wordWrap/>
        <w:overflowPunct/>
        <w:topLinePunct w:val="0"/>
        <w:autoSpaceDE/>
        <w:autoSpaceDN/>
        <w:bidi w:val="0"/>
        <w:adjustRightInd/>
        <w:spacing w:line="600" w:lineRule="exact"/>
        <w:ind w:left="0" w:firstLine="640" w:firstLineChars="200"/>
        <w:jc w:val="left"/>
        <w:textAlignment w:val="auto"/>
        <w:rPr>
          <w:rFonts w:hint="eastAsia" w:ascii="黑体" w:hAnsi="楷体_GB2312" w:eastAsia="黑体" w:cs="Times New Roman"/>
          <w:color w:val="auto"/>
          <w:kern w:val="0"/>
          <w:position w:val="3"/>
          <w:sz w:val="32"/>
          <w:szCs w:val="32"/>
          <w:highlight w:val="none"/>
          <w:u w:val="none"/>
          <w:lang w:val="en-US" w:eastAsia="zh-CN" w:bidi="ar-SA"/>
        </w:rPr>
      </w:pPr>
      <w:r>
        <w:rPr>
          <w:rFonts w:hint="eastAsia" w:ascii="黑体" w:hAnsi="楷体_GB2312" w:eastAsia="黑体" w:cs="Times New Roman"/>
          <w:color w:val="auto"/>
          <w:kern w:val="0"/>
          <w:position w:val="3"/>
          <w:sz w:val="32"/>
          <w:szCs w:val="32"/>
          <w:highlight w:val="none"/>
          <w:u w:val="none"/>
          <w:lang w:val="en-US" w:eastAsia="zh-CN" w:bidi="ar-SA"/>
        </w:rPr>
        <w:t>五、存在主要问题</w:t>
      </w:r>
    </w:p>
    <w:p w14:paraId="037FEDDD">
      <w:pPr>
        <w:keepNext w:val="0"/>
        <w:keepLines w:val="0"/>
        <w:pageBreakBefore w:val="0"/>
        <w:widowControl w:val="0"/>
        <w:kinsoku/>
        <w:wordWrap/>
        <w:overflowPunct/>
        <w:topLinePunct w:val="0"/>
        <w:autoSpaceDE/>
        <w:autoSpaceDN/>
        <w:adjustRightInd/>
        <w:snapToGrid/>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仿宋_GB2312"/>
          <w:color w:val="000000"/>
          <w:sz w:val="32"/>
          <w:szCs w:val="32"/>
          <w:highlight w:val="none"/>
          <w:shd w:val="clear" w:color="auto" w:fill="FFFFFF"/>
          <w:lang w:val="zh-CN" w:eastAsia="zh-CN" w:bidi="ar-SA"/>
        </w:rPr>
        <w:t>实施方案制定时，计划不够周全，未将天气等因素考虑在内，受野外</w:t>
      </w:r>
      <w:r>
        <w:rPr>
          <w:rFonts w:hint="eastAsia" w:ascii="仿宋_GB2312" w:hAnsi="Times New Roman" w:eastAsia="仿宋_GB2312" w:cs="仿宋_GB2312"/>
          <w:color w:val="000000"/>
          <w:sz w:val="32"/>
          <w:szCs w:val="32"/>
          <w:shd w:val="clear" w:color="auto" w:fill="FFFFFF"/>
          <w:lang w:val="zh-CN" w:eastAsia="zh-CN" w:bidi="ar-SA"/>
        </w:rPr>
        <w:t>天气原因影响，为确保野外作业人员及设备安全，导致项目实际进度与计划进度有出入。与施工单位充分沟通后</w:t>
      </w:r>
      <w:r>
        <w:rPr>
          <w:rFonts w:hint="eastAsia" w:ascii="仿宋_GB2312" w:hAnsi="Times New Roman" w:eastAsia="仿宋_GB2312" w:cs="仿宋_GB2312"/>
          <w:color w:val="000000"/>
          <w:sz w:val="32"/>
          <w:szCs w:val="32"/>
          <w:highlight w:val="none"/>
          <w:shd w:val="clear" w:color="auto" w:fill="FFFFFF"/>
          <w:lang w:val="zh-CN" w:eastAsia="zh-CN" w:bidi="ar-SA"/>
        </w:rPr>
        <w:t>已优化方案，正加快工期有序推进项目建设。</w:t>
      </w:r>
    </w:p>
    <w:p w14:paraId="4753171D">
      <w:pPr>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ascii="黑体" w:hAnsi="楷体_GB2312" w:eastAsia="黑体" w:cs="Times New Roman"/>
          <w:color w:val="auto"/>
          <w:kern w:val="0"/>
          <w:position w:val="3"/>
          <w:sz w:val="32"/>
          <w:szCs w:val="32"/>
          <w:highlight w:val="none"/>
          <w:u w:val="none"/>
          <w:lang w:val="zh-CN" w:eastAsia="zh-CN" w:bidi="ar-SA"/>
        </w:rPr>
      </w:pPr>
      <w:r>
        <w:rPr>
          <w:rFonts w:hint="eastAsia" w:ascii="黑体" w:hAnsi="楷体_GB2312" w:eastAsia="黑体" w:cs="Times New Roman"/>
          <w:color w:val="auto"/>
          <w:kern w:val="0"/>
          <w:position w:val="3"/>
          <w:sz w:val="32"/>
          <w:szCs w:val="32"/>
          <w:highlight w:val="none"/>
          <w:u w:val="none"/>
          <w:lang w:val="zh-CN" w:eastAsia="zh-CN" w:bidi="ar-SA"/>
        </w:rPr>
        <w:t>六、改进建议</w:t>
      </w:r>
    </w:p>
    <w:p w14:paraId="4ABEE278">
      <w:pPr>
        <w:spacing w:line="560" w:lineRule="exact"/>
        <w:ind w:firstLine="640" w:firstLineChars="200"/>
        <w:rPr>
          <w:rFonts w:hint="eastAsia" w:ascii="仿宋_GB2312" w:hAnsi="Times New Roman" w:eastAsia="仿宋_GB2312" w:cs="仿宋_GB2312"/>
          <w:sz w:val="32"/>
          <w:szCs w:val="32"/>
          <w:lang w:val="zh-CN" w:eastAsia="zh-CN" w:bidi="ar-SA"/>
        </w:rPr>
      </w:pPr>
      <w:r>
        <w:rPr>
          <w:rFonts w:hint="eastAsia" w:ascii="仿宋_GB2312" w:hAnsi="Times New Roman" w:eastAsia="仿宋_GB2312" w:cs="仿宋_GB2312"/>
          <w:sz w:val="32"/>
          <w:szCs w:val="32"/>
          <w:lang w:val="zh-CN" w:eastAsia="zh-CN" w:bidi="ar-SA"/>
        </w:rPr>
        <w:t>加强基层项目管理人员政策法规及业务培训，提高基层项目管理水平及能力，确保项目资金执行效益。</w:t>
      </w:r>
    </w:p>
    <w:p w14:paraId="4ECD2A7E">
      <w:pPr>
        <w:keepNext w:val="0"/>
        <w:keepLines w:val="0"/>
        <w:pageBreakBefore w:val="0"/>
        <w:widowControl w:val="0"/>
        <w:kinsoku/>
        <w:wordWrap/>
        <w:overflowPunct/>
        <w:topLinePunct w:val="0"/>
        <w:autoSpaceDE/>
        <w:autoSpaceDN/>
        <w:bidi w:val="0"/>
        <w:adjustRightInd/>
        <w:snapToGrid w:val="0"/>
        <w:spacing w:line="578" w:lineRule="exact"/>
        <w:ind w:left="0" w:firstLine="640" w:firstLineChars="200"/>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bidi="ar-SA"/>
        </w:rPr>
      </w:pPr>
    </w:p>
    <w:p w14:paraId="7E8528D9">
      <w:pPr>
        <w:keepNext w:val="0"/>
        <w:keepLines w:val="0"/>
        <w:pageBreakBefore w:val="0"/>
        <w:widowControl w:val="0"/>
        <w:kinsoku/>
        <w:wordWrap/>
        <w:overflowPunct/>
        <w:topLinePunct w:val="0"/>
        <w:autoSpaceDE/>
        <w:autoSpaceDN/>
        <w:bidi w:val="0"/>
        <w:adjustRightInd/>
        <w:snapToGrid w:val="0"/>
        <w:spacing w:line="578" w:lineRule="exact"/>
        <w:ind w:left="0" w:firstLine="640" w:firstLineChars="200"/>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bidi="ar-SA"/>
        </w:rPr>
        <w:sectPr>
          <w:pgSz w:w="11906" w:h="16838"/>
          <w:pgMar w:top="1440" w:right="1800" w:bottom="1440" w:left="1800" w:header="851" w:footer="992" w:gutter="0"/>
          <w:pgNumType w:fmt="decimal"/>
          <w:cols w:space="425" w:num="1"/>
          <w:titlePg/>
          <w:docGrid w:type="lines" w:linePitch="312" w:charSpace="0"/>
        </w:sectPr>
      </w:pPr>
      <w:r>
        <w:rPr>
          <w:rFonts w:hint="eastAsia" w:ascii="Times New Roman" w:hAnsi="Times New Roman" w:eastAsia="仿宋_GB2312" w:cs="Times New Roman"/>
          <w:color w:val="000000"/>
          <w:kern w:val="0"/>
          <w:sz w:val="32"/>
          <w:szCs w:val="32"/>
          <w:highlight w:val="none"/>
          <w:shd w:val="clear" w:color="auto" w:fill="FFFFFF"/>
          <w:lang w:val="en-US" w:eastAsia="zh-CN" w:bidi="ar-SA"/>
        </w:rPr>
        <w:t>附表：专项预算项目绩效目标完成情况自评表</w:t>
      </w:r>
    </w:p>
    <w:p w14:paraId="4FC37164">
      <w:pPr>
        <w:keepNext w:val="0"/>
        <w:keepLines w:val="0"/>
        <w:pageBreakBefore w:val="0"/>
        <w:widowControl w:val="0"/>
        <w:kinsoku/>
        <w:wordWrap/>
        <w:overflowPunct/>
        <w:topLinePunct w:val="0"/>
        <w:autoSpaceDE/>
        <w:autoSpaceDN/>
        <w:bidi w:val="0"/>
        <w:adjustRightInd/>
        <w:snapToGrid w:val="0"/>
        <w:spacing w:line="578" w:lineRule="exact"/>
        <w:ind w:left="0" w:firstLine="640" w:firstLineChars="200"/>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bidi="ar-SA"/>
        </w:rPr>
        <w:sectPr>
          <w:pgSz w:w="16838" w:h="11906" w:orient="landscape"/>
          <w:pgMar w:top="1800" w:right="1440" w:bottom="1800" w:left="1440" w:header="851" w:footer="992" w:gutter="0"/>
          <w:pgNumType w:fmt="decimal"/>
          <w:cols w:space="425" w:num="1"/>
          <w:titlePg/>
          <w:docGrid w:type="lines" w:linePitch="312" w:charSpace="0"/>
        </w:sectPr>
      </w:pPr>
      <w:r>
        <w:rPr>
          <w:rFonts w:hint="eastAsia" w:ascii="Times New Roman" w:hAnsi="Times New Roman" w:eastAsia="仿宋_GB2312" w:cs="Times New Roman"/>
          <w:color w:val="000000"/>
          <w:kern w:val="0"/>
          <w:sz w:val="32"/>
          <w:szCs w:val="32"/>
          <w:highlight w:val="none"/>
          <w:shd w:val="clear" w:color="auto" w:fill="FFFFFF"/>
          <w:lang w:val="en-US" w:eastAsia="zh-CN" w:bidi="ar-SA"/>
        </w:rPr>
        <w:pict>
          <v:shape id="_x0000_s1039" o:spid="_x0000_s1039" o:spt="75" type="#_x0000_t75" style="position:absolute;left:0pt;margin-left:26pt;margin-top:-78.85pt;height:540.6pt;width:666.6pt;z-index:-251650048;mso-width-relative:page;mso-height-relative:page;" o:ole="t" filled="f" o:preferrelative="t" stroked="f" coordsize="21600,21600">
            <v:path/>
            <v:fill on="f" focussize="0,0"/>
            <v:stroke on="f"/>
            <v:imagedata r:id="rId28" o:title=""/>
            <o:lock v:ext="edit" aspectratio="t"/>
          </v:shape>
          <o:OLEObject Type="Embed" ProgID="Excel.Sheet.12" ShapeID="_x0000_s1039" DrawAspect="Content" ObjectID="_1468075734" r:id="rId27">
            <o:LockedField>false</o:LockedField>
          </o:OLEObject>
        </w:pict>
      </w:r>
    </w:p>
    <w:p w14:paraId="384FD6E3">
      <w:pPr>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7029608C">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大熊猫国家公园阿坝管理分局巡护终端采购专项预算项目绩效评价报告</w:t>
      </w:r>
    </w:p>
    <w:p w14:paraId="45141379">
      <w:pPr>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eastAsia="宋体" w:cs="Times New Roman"/>
          <w:color w:val="auto"/>
          <w:kern w:val="2"/>
          <w:sz w:val="32"/>
          <w:szCs w:val="32"/>
          <w:highlight w:val="none"/>
          <w:lang w:val="zh-CN" w:eastAsia="zh-CN" w:bidi="ar-SA"/>
        </w:rPr>
      </w:pPr>
    </w:p>
    <w:p w14:paraId="291560B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3042D53F">
      <w:pPr>
        <w:adjustRightInd w:val="0"/>
        <w:snapToGrid w:val="0"/>
        <w:spacing w:line="520" w:lineRule="exact"/>
        <w:ind w:firstLine="643" w:firstLineChars="200"/>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eastAsia="仿宋_GB2312"/>
          <w:sz w:val="32"/>
          <w:szCs w:val="32"/>
        </w:rPr>
        <w:t>大熊猫国家公园阿坝片区涉及汶川县、茂县、松潘县、九寨沟县共</w:t>
      </w:r>
      <w:r>
        <w:rPr>
          <w:rFonts w:ascii="仿宋_GB2312" w:eastAsia="仿宋_GB2312"/>
          <w:sz w:val="32"/>
          <w:szCs w:val="32"/>
        </w:rPr>
        <w:t>14个保护地，总面积59.64万公顷，占全州栖息地面积93.6%。据第四次全国大熊猫调查，阿坝州境内有野生大熊猫348只，其中划入大熊猫国家公园范围内330余只，占全国野生大熊猫数量的17.7%。涉及4县24个乡镇。</w:t>
      </w:r>
      <w:r>
        <w:rPr>
          <w:rFonts w:hint="eastAsia" w:ascii="仿宋_GB2312" w:eastAsia="仿宋_GB2312"/>
          <w:sz w:val="32"/>
          <w:szCs w:val="32"/>
        </w:rPr>
        <w:t>大熊猫国家公园阿坝管理分局是阿坝片区大熊猫国家公园的管理机构，各县管理总站是负责具体组织巡护监测等工作的基层单位，成立以来对公园生态保护、社区发展、科研宣教、项目建设做了大量工作</w:t>
      </w:r>
    </w:p>
    <w:p w14:paraId="792C1F49">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eastAsia="仿宋_GB2312"/>
          <w:sz w:val="32"/>
          <w:szCs w:val="32"/>
        </w:rPr>
        <w:t>大熊猫国家公园阿坝管理分局于2019年挂牌，2021年正式成立。近年来，巡护监测等基础工作顺利推进，基层巡护队伍逐渐建立充实，样线巡护、日常巡护、红外相机监测的工作顺利开展。随着巡护监测等工作量逐年增加，现有巡护设备已经不能满足当前工作所需。经分局研究决定分批逐年添置卫星通讯设备以满足巡护工作质量和安全的需要。</w:t>
      </w:r>
    </w:p>
    <w:p w14:paraId="424EE288">
      <w:pPr>
        <w:adjustRightInd w:val="0"/>
        <w:snapToGrid w:val="0"/>
        <w:spacing w:line="520" w:lineRule="exact"/>
        <w:ind w:firstLine="643" w:firstLineChars="200"/>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宋体" w:eastAsia="仿宋_GB2312"/>
          <w:sz w:val="32"/>
          <w:szCs w:val="32"/>
        </w:rPr>
        <w:t>通过市场调查和查询卫星电话官网价经综合测算不存在漏项。</w:t>
      </w:r>
    </w:p>
    <w:p w14:paraId="64E272A0">
      <w:pPr>
        <w:adjustRightInd w:val="0"/>
        <w:snapToGrid w:val="0"/>
        <w:spacing w:line="520" w:lineRule="exact"/>
        <w:ind w:firstLine="643" w:firstLineChars="200"/>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宋体" w:eastAsia="仿宋_GB2312"/>
          <w:sz w:val="32"/>
          <w:szCs w:val="32"/>
        </w:rPr>
        <w:t>完成采购卫星电话52台、车载天线10个、3年天通卫星服务费。采购完成后</w:t>
      </w:r>
      <w:r>
        <w:rPr>
          <w:rFonts w:hint="eastAsia" w:ascii="仿宋_GB2312" w:eastAsia="仿宋_GB2312"/>
          <w:sz w:val="32"/>
          <w:szCs w:val="32"/>
        </w:rPr>
        <w:t>让公园生态保护能力提升。</w:t>
      </w:r>
    </w:p>
    <w:p w14:paraId="058DADA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2C2D267F">
      <w:pPr>
        <w:spacing w:line="560" w:lineRule="exact"/>
        <w:ind w:firstLine="643" w:firstLineChars="200"/>
        <w:outlineLvl w:val="0"/>
        <w:rPr>
          <w:rFonts w:hint="default" w:eastAsia="仿宋_GB2312" w:cs="Times New Roman"/>
          <w:sz w:val="32"/>
          <w:szCs w:val="32"/>
          <w:lang w:val="en-US" w:eastAsia="zh-CN"/>
        </w:rPr>
      </w:pPr>
      <w:r>
        <w:rPr>
          <w:rFonts w:hint="eastAsia" w:ascii="楷体_GB2312" w:hAnsi="宋体" w:eastAsia="楷体_GB2312"/>
          <w:b/>
          <w:color w:val="auto"/>
          <w:sz w:val="32"/>
          <w:szCs w:val="32"/>
          <w:highlight w:val="none"/>
          <w:u w:val="none"/>
          <w:lang w:val="zh-CN"/>
        </w:rPr>
        <w:t>（一）评价目的。</w:t>
      </w:r>
      <w:r>
        <w:rPr>
          <w:rFonts w:hint="eastAsia" w:ascii="仿宋_GB2312" w:eastAsia="仿宋_GB2312"/>
          <w:sz w:val="32"/>
          <w:szCs w:val="32"/>
        </w:rPr>
        <w:t>全面评估项目的执行情况，确保项目顺利完成并实现原定目标。通过自评，检查项目是否按照预期的目标和计划进行，资源的使用是否有效，及时发现问题和不足并调整措施，‌提高执行效率和绩效水平确保项目能够按照预期目标顺利完成，同时提高组织的整体管理效率和效果，提高资金管理水平和使用效益。</w:t>
      </w:r>
    </w:p>
    <w:p w14:paraId="5189DEC4">
      <w:pPr>
        <w:keepNext w:val="0"/>
        <w:keepLines w:val="0"/>
        <w:pageBreakBefore w:val="0"/>
        <w:widowControl w:val="0"/>
        <w:kinsoku/>
        <w:wordWrap/>
        <w:overflowPunct/>
        <w:topLinePunct w:val="0"/>
        <w:autoSpaceDE/>
        <w:autoSpaceDN/>
        <w:adjustRightInd w:val="0"/>
        <w:snapToGrid w:val="0"/>
        <w:spacing w:line="578" w:lineRule="exact"/>
        <w:ind w:left="0" w:firstLine="643" w:firstLineChars="200"/>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eastAsia="仿宋_GB2312"/>
          <w:sz w:val="32"/>
          <w:szCs w:val="32"/>
        </w:rPr>
        <w:t>项目资金目前在大熊猫国家公园阿坝管理分局专门账户上，专款专用、单独建帐、单独核算，在资金使用中严格执行国家财务管理制度，编制专项报表，严格资金的审批和使用，</w:t>
      </w:r>
      <w:r>
        <w:rPr>
          <w:rFonts w:hint="eastAsia" w:ascii="仿宋_GB2312" w:eastAsia="仿宋_GB2312" w:cs="仿宋_GB2312"/>
          <w:sz w:val="32"/>
          <w:szCs w:val="32"/>
          <w:lang w:bidi="ar-SA"/>
        </w:rPr>
        <w:t>资金使用规范，会计核算结果真实、准确，自评过程中未发现有截留、挤占或挪用项目资金的情况</w:t>
      </w:r>
    </w:p>
    <w:p w14:paraId="1EEE8D4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eastAsia="仿宋_GB2312" w:cs="Times New Roman"/>
          <w:sz w:val="32"/>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ascii="仿宋_GB2312" w:eastAsia="仿宋_GB2312" w:cs="仿宋_GB2312"/>
          <w:bCs/>
          <w:color w:val="auto"/>
          <w:sz w:val="32"/>
          <w:szCs w:val="32"/>
          <w:highlight w:val="none"/>
          <w:u w:val="none"/>
          <w:lang w:val="en-US" w:eastAsia="zh-CN" w:bidi="ar-SA"/>
        </w:rPr>
        <w:t>本</w:t>
      </w:r>
      <w:r>
        <w:rPr>
          <w:rFonts w:hint="eastAsia" w:ascii="仿宋_GB2312" w:eastAsia="仿宋_GB2312" w:cs="仿宋_GB2312"/>
          <w:bCs/>
          <w:color w:val="auto"/>
          <w:kern w:val="0"/>
          <w:sz w:val="32"/>
          <w:szCs w:val="32"/>
          <w:highlight w:val="none"/>
          <w:u w:val="none"/>
          <w:shd w:val="clear" w:color="auto" w:fill="FFFFFF"/>
          <w:lang w:val="zh-CN" w:eastAsia="zh-CN" w:bidi="ar-SA"/>
        </w:rPr>
        <w:t>项</w:t>
      </w:r>
      <w:r>
        <w:rPr>
          <w:rFonts w:hint="eastAsia" w:ascii="仿宋_GB2312" w:eastAsia="仿宋_GB2312" w:cs="仿宋_GB2312"/>
          <w:color w:val="auto"/>
          <w:kern w:val="0"/>
          <w:sz w:val="32"/>
          <w:szCs w:val="32"/>
          <w:highlight w:val="none"/>
          <w:u w:val="none"/>
          <w:shd w:val="clear" w:color="auto" w:fill="FFFFFF"/>
          <w:lang w:val="zh-CN" w:eastAsia="zh-CN" w:bidi="ar-SA"/>
        </w:rPr>
        <w:t>目</w:t>
      </w:r>
      <w:r>
        <w:rPr>
          <w:rFonts w:hint="eastAsia" w:ascii="仿宋_GB2312" w:eastAsia="仿宋_GB2312" w:cs="仿宋_GB2312"/>
          <w:color w:val="auto"/>
          <w:kern w:val="0"/>
          <w:sz w:val="32"/>
          <w:szCs w:val="32"/>
          <w:highlight w:val="none"/>
          <w:u w:val="none"/>
          <w:shd w:val="clear" w:color="auto" w:fill="FFFFFF"/>
          <w:lang w:val="en-US" w:eastAsia="zh-CN" w:bidi="ar-SA"/>
        </w:rPr>
        <w:t>目标相对单一，分局落实专人全程开展采购工作，实时跟踪汇报项目建设进度。</w:t>
      </w:r>
    </w:p>
    <w:p w14:paraId="0E8FE4A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（四）评价方法。</w:t>
      </w:r>
      <w:r>
        <w:rPr>
          <w:rFonts w:hint="eastAsia" w:ascii="仿宋_GB2312" w:eastAsia="仿宋_GB2312"/>
          <w:sz w:val="32"/>
          <w:szCs w:val="32"/>
        </w:rPr>
        <w:t>分局组织</w:t>
      </w:r>
      <w:r>
        <w:rPr>
          <w:rFonts w:hint="eastAsia" w:ascii="仿宋_GB2312" w:eastAsia="仿宋_GB2312"/>
          <w:sz w:val="32"/>
          <w:szCs w:val="32"/>
          <w:lang w:val="en-US" w:eastAsia="zh-CN"/>
        </w:rPr>
        <w:t>采购小组及验收小组</w:t>
      </w:r>
      <w:r>
        <w:rPr>
          <w:rFonts w:hint="eastAsia" w:ascii="仿宋_GB2312" w:eastAsia="仿宋_GB2312"/>
          <w:sz w:val="32"/>
          <w:szCs w:val="32"/>
        </w:rPr>
        <w:t>，查阅项目财务及管理等相关资料，对其审核分析。</w:t>
      </w:r>
    </w:p>
    <w:p w14:paraId="1E0EB606">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eastAsia="仿宋_GB2312" w:cs="Times New Roman"/>
          <w:bCs/>
          <w:sz w:val="32"/>
          <w:szCs w:val="32"/>
          <w:lang w:eastAsia="zh-CN"/>
        </w:rPr>
      </w:pPr>
      <w:r>
        <w:rPr>
          <w:rFonts w:hint="eastAsia" w:ascii="楷体_GB2312" w:hAnsi="宋体" w:eastAsia="楷体_GB2312"/>
          <w:b/>
          <w:color w:val="auto"/>
          <w:sz w:val="32"/>
          <w:szCs w:val="32"/>
          <w:highlight w:val="none"/>
          <w:u w:val="none"/>
          <w:lang w:val="zh-CN"/>
        </w:rPr>
        <w:t>（五）评价组织。</w:t>
      </w:r>
      <w:r>
        <w:rPr>
          <w:rFonts w:hint="eastAsia" w:ascii="仿宋_GB2312" w:eastAsia="仿宋_GB2312" w:cs="仿宋_GB2312"/>
          <w:color w:val="000000"/>
          <w:sz w:val="32"/>
          <w:szCs w:val="32"/>
          <w:lang w:bidi="ar-SA"/>
        </w:rPr>
        <w:t>根据财政绩效评价要求，由局办公室牵头，相关部室参与配合，绩效评价遵循科学规范原、公正公开原则，统一安排部署省级财政林业草原生态保护恢复（国家公园补助）资金项目管理，有序推进省级财政资金项目绩效评价工作。办公室（财务室）负责审核项目资金及凭证，建设管理部、法规督查部、栖息地保护部现场查看项目建设进度，查阅项目建设资料。</w:t>
      </w:r>
    </w:p>
    <w:p w14:paraId="4B7A98FC">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eastAsia="仿宋_GB2312"/>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eastAsia="仿宋_GB2312"/>
          <w:color w:val="auto"/>
          <w:sz w:val="32"/>
          <w:szCs w:val="32"/>
          <w:highlight w:val="none"/>
          <w:u w:val="none"/>
          <w:lang w:val="zh-CN"/>
        </w:rPr>
        <w:tab/>
      </w:r>
    </w:p>
    <w:p w14:paraId="6EF2066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 w:val="32"/>
          <w:szCs w:val="32"/>
          <w:lang w:val="en-US" w:eastAsia="zh-CN" w:bidi="ar-SA"/>
        </w:rPr>
      </w:pPr>
      <w:r>
        <w:rPr>
          <w:rFonts w:hint="default" w:eastAsia="仿宋_GB2312" w:cs="Times New Roman"/>
          <w:sz w:val="32"/>
          <w:szCs w:val="32"/>
          <w:lang w:val="zh-CN" w:eastAsia="zh-CN" w:bidi="ar-SA"/>
        </w:rPr>
        <w:t>根据</w:t>
      </w:r>
      <w:r>
        <w:rPr>
          <w:rFonts w:hint="eastAsia" w:eastAsia="仿宋_GB2312" w:cs="Times New Roman"/>
          <w:sz w:val="32"/>
          <w:szCs w:val="32"/>
          <w:lang w:val="zh-CN" w:eastAsia="zh-CN" w:bidi="ar-SA"/>
        </w:rPr>
        <w:t>项目</w:t>
      </w:r>
      <w:r>
        <w:rPr>
          <w:rFonts w:hint="default" w:eastAsia="仿宋_GB2312" w:cs="Times New Roman"/>
          <w:sz w:val="32"/>
          <w:szCs w:val="32"/>
          <w:lang w:val="zh-CN" w:eastAsia="zh-CN" w:bidi="ar-SA"/>
        </w:rPr>
        <w:t>预算绩效评价指标体系“</w:t>
      </w:r>
      <w:r>
        <w:rPr>
          <w:rFonts w:hint="eastAsia" w:eastAsia="仿宋_GB2312" w:cs="Times New Roman"/>
          <w:sz w:val="32"/>
          <w:szCs w:val="32"/>
          <w:lang w:val="zh-CN" w:eastAsia="zh-CN" w:bidi="ar-SA"/>
        </w:rPr>
        <w:t>通用指标</w:t>
      </w:r>
      <w:r>
        <w:rPr>
          <w:rFonts w:hint="default" w:eastAsia="仿宋_GB2312" w:cs="Times New Roman"/>
          <w:sz w:val="32"/>
          <w:szCs w:val="32"/>
          <w:lang w:val="zh-CN" w:eastAsia="zh-CN" w:bidi="ar-SA"/>
        </w:rPr>
        <w:t>”</w:t>
      </w:r>
      <w:r>
        <w:rPr>
          <w:rFonts w:hint="eastAsia" w:eastAsia="仿宋_GB2312" w:cs="Times New Roman"/>
          <w:sz w:val="32"/>
          <w:szCs w:val="32"/>
          <w:lang w:val="zh-CN" w:eastAsia="zh-CN" w:bidi="ar-SA"/>
        </w:rPr>
        <w:t>“专用指标”“个性指标”</w:t>
      </w:r>
      <w:r>
        <w:rPr>
          <w:rFonts w:hint="default" w:eastAsia="仿宋_GB2312" w:cs="Times New Roman"/>
          <w:sz w:val="32"/>
          <w:szCs w:val="32"/>
          <w:lang w:val="zh-CN" w:eastAsia="zh-CN" w:bidi="ar-SA"/>
        </w:rPr>
        <w:t>涉及</w:t>
      </w:r>
      <w:r>
        <w:rPr>
          <w:rFonts w:hint="eastAsia" w:eastAsia="仿宋_GB2312" w:cs="Times New Roman"/>
          <w:sz w:val="32"/>
          <w:szCs w:val="32"/>
          <w:lang w:val="zh-CN" w:eastAsia="zh-CN" w:bidi="ar-SA"/>
        </w:rPr>
        <w:t>二、三级</w:t>
      </w:r>
      <w:r>
        <w:rPr>
          <w:rFonts w:hint="default" w:eastAsia="仿宋_GB2312" w:cs="Times New Roman"/>
          <w:sz w:val="32"/>
          <w:szCs w:val="32"/>
          <w:lang w:val="zh-CN" w:eastAsia="zh-CN" w:bidi="ar-SA"/>
        </w:rPr>
        <w:t>指标进行</w:t>
      </w:r>
      <w:r>
        <w:rPr>
          <w:rFonts w:hint="eastAsia" w:eastAsia="仿宋_GB2312" w:cs="Times New Roman"/>
          <w:sz w:val="32"/>
          <w:szCs w:val="32"/>
          <w:lang w:val="zh-CN" w:eastAsia="zh-CN" w:bidi="ar-SA"/>
        </w:rPr>
        <w:t>逐项</w:t>
      </w:r>
      <w:r>
        <w:rPr>
          <w:rFonts w:hint="default" w:eastAsia="仿宋_GB2312" w:cs="Times New Roman"/>
          <w:sz w:val="32"/>
          <w:szCs w:val="32"/>
          <w:lang w:val="zh-CN" w:eastAsia="zh-CN" w:bidi="ar-SA"/>
        </w:rPr>
        <w:t>绩效分析</w:t>
      </w:r>
      <w:r>
        <w:rPr>
          <w:rFonts w:hint="eastAsia" w:eastAsia="仿宋_GB2312" w:cs="Times New Roman"/>
          <w:sz w:val="32"/>
          <w:szCs w:val="32"/>
          <w:lang w:val="zh-CN" w:eastAsia="zh-CN" w:bidi="ar-SA"/>
        </w:rPr>
        <w:t>并评分</w:t>
      </w:r>
      <w:r>
        <w:rPr>
          <w:rFonts w:hint="eastAsia" w:eastAsia="仿宋_GB2312" w:cs="Times New Roman"/>
          <w:sz w:val="32"/>
          <w:szCs w:val="32"/>
          <w:lang w:val="en-US" w:eastAsia="zh-CN" w:bidi="ar-SA"/>
        </w:rPr>
        <w:t>。</w:t>
      </w:r>
    </w:p>
    <w:p w14:paraId="040B974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6BBFEF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eastAsia="zh-CN"/>
        </w:rPr>
      </w:pPr>
      <w:r>
        <w:rPr>
          <w:rFonts w:hint="eastAsia" w:ascii="仿宋_GB2312" w:hAnsi="Times New Roman" w:eastAsia="仿宋_GB2312" w:cs="楷体_GB2312"/>
          <w:b/>
          <w:kern w:val="2"/>
          <w:sz w:val="32"/>
          <w:szCs w:val="32"/>
          <w:lang w:val="en-US" w:eastAsia="zh-CN" w:bidi="ar-SA"/>
        </w:rPr>
        <w:t>1.项目决策。</w:t>
      </w:r>
      <w:r>
        <w:rPr>
          <w:rFonts w:hint="eastAsia" w:ascii="Times New Roman" w:hAnsi="Times New Roman" w:eastAsia="仿宋_GB2312" w:cs="Times New Roman"/>
          <w:bCs/>
          <w:sz w:val="32"/>
          <w:szCs w:val="32"/>
          <w:lang w:eastAsia="zh-CN"/>
        </w:rPr>
        <w:t>大熊猫国家公园阿坝片区野外巡护终端采购项目</w:t>
      </w:r>
      <w:r>
        <w:rPr>
          <w:rFonts w:hint="eastAsia" w:ascii="Times New Roman" w:hAnsi="Times New Roman" w:eastAsia="仿宋_GB2312"/>
          <w:bCs/>
          <w:sz w:val="32"/>
          <w:szCs w:val="32"/>
          <w:lang w:val="en-US" w:eastAsia="zh-CN"/>
        </w:rPr>
        <w:t>资金来源为</w:t>
      </w:r>
      <w:r>
        <w:rPr>
          <w:rFonts w:ascii="Times New Roman" w:hAnsi="Times New Roman" w:eastAsia="仿宋_GB2312"/>
          <w:bCs/>
          <w:sz w:val="32"/>
          <w:szCs w:val="32"/>
        </w:rPr>
        <w:t>202</w:t>
      </w:r>
      <w:r>
        <w:rPr>
          <w:rFonts w:hint="eastAsia" w:ascii="Times New Roman" w:hAnsi="Times New Roman" w:eastAsia="仿宋_GB2312"/>
          <w:bCs/>
          <w:sz w:val="32"/>
          <w:szCs w:val="32"/>
          <w:lang w:val="en-US" w:eastAsia="zh-CN"/>
        </w:rPr>
        <w:t>3</w:t>
      </w:r>
      <w:r>
        <w:rPr>
          <w:rFonts w:ascii="Times New Roman" w:hAnsi="Times New Roman" w:eastAsia="仿宋_GB2312"/>
          <w:bCs/>
          <w:sz w:val="32"/>
          <w:szCs w:val="32"/>
        </w:rPr>
        <w:t>年</w:t>
      </w:r>
      <w:r>
        <w:rPr>
          <w:rFonts w:hint="eastAsia" w:ascii="Times New Roman" w:hAnsi="Times New Roman" w:eastAsia="仿宋_GB2312"/>
          <w:bCs/>
          <w:sz w:val="32"/>
          <w:szCs w:val="32"/>
          <w:lang w:val="en-US" w:eastAsia="zh-CN"/>
        </w:rPr>
        <w:t>省级财政林业草原生态保护恢复国家公园补助资金。分局</w:t>
      </w:r>
      <w:r>
        <w:rPr>
          <w:rFonts w:hint="eastAsia" w:ascii="仿宋_GB2312" w:eastAsia="仿宋_GB2312"/>
          <w:sz w:val="32"/>
          <w:szCs w:val="32"/>
          <w:lang w:val="en-US" w:eastAsia="zh-CN"/>
        </w:rPr>
        <w:t>栖息地保护部根据年度工作安排编制《2023年度大熊猫国家公园阿坝管理分局巡护终端采购方案》，经</w:t>
      </w:r>
      <w:r>
        <w:rPr>
          <w:rFonts w:ascii="Times New Roman" w:hAnsi="Times New Roman" w:eastAsia="仿宋_GB2312"/>
          <w:bCs/>
          <w:sz w:val="32"/>
          <w:szCs w:val="32"/>
        </w:rPr>
        <w:t>局</w:t>
      </w:r>
      <w:r>
        <w:rPr>
          <w:rFonts w:hint="eastAsia" w:ascii="Times New Roman" w:hAnsi="Times New Roman" w:eastAsia="仿宋_GB2312"/>
          <w:bCs/>
          <w:sz w:val="32"/>
          <w:szCs w:val="32"/>
          <w:lang w:val="en-US" w:eastAsia="zh-CN"/>
        </w:rPr>
        <w:t>党组研究审议通过，</w:t>
      </w:r>
      <w:r>
        <w:rPr>
          <w:rFonts w:ascii="Times New Roman" w:hAnsi="Times New Roman" w:eastAsia="仿宋_GB2312"/>
          <w:bCs/>
          <w:sz w:val="32"/>
          <w:szCs w:val="32"/>
        </w:rPr>
        <w:t>对项目安全、保密、质量、管理、工期等方面特别做了</w:t>
      </w:r>
      <w:r>
        <w:rPr>
          <w:rFonts w:hint="eastAsia" w:ascii="Times New Roman" w:hAnsi="Times New Roman" w:eastAsia="仿宋_GB2312"/>
          <w:bCs/>
          <w:sz w:val="32"/>
          <w:szCs w:val="32"/>
          <w:lang w:val="en-US" w:eastAsia="zh-CN"/>
        </w:rPr>
        <w:t>强调及</w:t>
      </w:r>
      <w:r>
        <w:rPr>
          <w:rFonts w:ascii="Times New Roman" w:hAnsi="Times New Roman" w:eastAsia="仿宋_GB2312"/>
          <w:bCs/>
          <w:sz w:val="32"/>
          <w:szCs w:val="32"/>
        </w:rPr>
        <w:t>要求</w:t>
      </w: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Times New Roman" w:hAnsi="Times New Roman" w:eastAsia="仿宋_GB2312" w:cs="Times New Roman"/>
          <w:color w:val="auto"/>
          <w:sz w:val="32"/>
          <w:szCs w:val="32"/>
          <w:lang w:eastAsia="zh-CN"/>
        </w:rPr>
        <w:t>围绕制度办法、分配管理、绩效监管进行绩效分析。</w:t>
      </w:r>
    </w:p>
    <w:p w14:paraId="1E6D86FB">
      <w:pPr>
        <w:keepNext w:val="0"/>
        <w:keepLines w:val="0"/>
        <w:pageBreakBefore w:val="0"/>
        <w:widowControl w:val="0"/>
        <w:spacing w:line="560" w:lineRule="exact"/>
        <w:ind w:firstLine="643" w:firstLineChars="200"/>
        <w:jc w:val="both"/>
        <w:rPr>
          <w:rFonts w:hint="default" w:ascii="楷体_GB2312" w:hAnsi="楷体_GB2312" w:eastAsia="楷体_GB2312" w:cs="楷体_GB2312"/>
          <w:color w:val="auto"/>
          <w:kern w:val="2"/>
          <w:sz w:val="32"/>
          <w:szCs w:val="32"/>
          <w:lang w:val="en-US" w:eastAsia="zh-CN" w:bidi="ar-SA"/>
        </w:rPr>
      </w:pPr>
      <w:r>
        <w:rPr>
          <w:rFonts w:hint="eastAsia" w:ascii="仿宋_GB2312" w:hAnsi="Times New Roman" w:eastAsia="仿宋_GB2312" w:cs="楷体_GB2312"/>
          <w:b/>
          <w:kern w:val="2"/>
          <w:sz w:val="32"/>
          <w:szCs w:val="32"/>
          <w:lang w:val="en-US" w:eastAsia="zh-CN" w:bidi="ar-SA"/>
        </w:rPr>
        <w:t>2.项目管理。</w:t>
      </w:r>
      <w:r>
        <w:rPr>
          <w:rFonts w:hint="eastAsia" w:ascii="仿宋_GB2312" w:hAnsi="Times New Roman" w:eastAsia="仿宋_GB2312" w:cs="Times New Roman"/>
          <w:kern w:val="2"/>
          <w:sz w:val="32"/>
          <w:szCs w:val="32"/>
          <w:lang w:val="en-US" w:eastAsia="zh-CN" w:bidi="ar-SA"/>
        </w:rPr>
        <w:t>严格按照《阿坝州</w:t>
      </w:r>
      <w:r>
        <w:rPr>
          <w:rFonts w:hint="eastAsia" w:ascii="仿宋_GB2312" w:hAnsi="Times New Roman" w:eastAsia="仿宋_GB2312" w:cs="Times New Roman"/>
          <w:kern w:val="2"/>
          <w:sz w:val="32"/>
          <w:szCs w:val="32"/>
          <w:shd w:val="clear" w:color="auto" w:fill="FFFFFF"/>
          <w:lang w:val="en-US" w:eastAsia="zh-CN" w:bidi="ar-SA"/>
        </w:rPr>
        <w:t>林业和草原建设项目管理办法》</w:t>
      </w:r>
      <w:r>
        <w:rPr>
          <w:rFonts w:hint="eastAsia" w:ascii="仿宋_GB2312" w:hAnsi="Times New Roman" w:eastAsia="仿宋_GB2312" w:cs="Times New Roman"/>
          <w:color w:val="000000"/>
          <w:kern w:val="2"/>
          <w:sz w:val="32"/>
          <w:szCs w:val="32"/>
          <w:shd w:val="clear" w:color="auto" w:fill="FFFFFF"/>
          <w:lang w:val="en-US" w:eastAsia="zh-CN" w:bidi="ar-SA"/>
        </w:rPr>
        <w:t>《大熊猫国家公园阿坝片区项目申报立项流程图》《大熊猫国家公园阿坝片区项目管理流程图》</w:t>
      </w:r>
      <w:r>
        <w:rPr>
          <w:rFonts w:hint="eastAsia" w:ascii="仿宋_GB2312" w:hAnsi="Times New Roman" w:eastAsia="仿宋_GB2312" w:cs="Times New Roman"/>
          <w:kern w:val="2"/>
          <w:sz w:val="32"/>
          <w:szCs w:val="32"/>
          <w:shd w:val="clear" w:color="auto" w:fill="FFFFFF"/>
          <w:lang w:val="en-US" w:eastAsia="zh-CN" w:bidi="ar-SA"/>
        </w:rPr>
        <w:t>做好项目申报及</w:t>
      </w:r>
      <w:r>
        <w:rPr>
          <w:rFonts w:hint="eastAsia" w:ascii="仿宋_GB2312" w:hAnsi="Times New Roman" w:eastAsia="仿宋_GB2312" w:cs="Times New Roman"/>
          <w:color w:val="000000"/>
          <w:kern w:val="2"/>
          <w:sz w:val="32"/>
          <w:szCs w:val="32"/>
          <w:shd w:val="clear" w:color="auto" w:fill="FFFFFF"/>
          <w:lang w:val="en-US" w:eastAsia="zh-CN" w:bidi="ar-SA"/>
        </w:rPr>
        <w:t>管理工作。项目总投资50万元，</w:t>
      </w:r>
      <w:r>
        <w:rPr>
          <w:rFonts w:hint="eastAsia" w:ascii="仿宋_GB2312" w:hAnsi="Times New Roman" w:eastAsia="仿宋_GB2312" w:cs="Times New Roman"/>
          <w:color w:val="000000"/>
          <w:kern w:val="2"/>
          <w:sz w:val="32"/>
          <w:szCs w:val="32"/>
          <w:lang w:val="en-US" w:eastAsia="zh-CN" w:bidi="ar-SA"/>
        </w:rPr>
        <w:t>累计支付资金0万元，剩余资金50万元。</w:t>
      </w:r>
    </w:p>
    <w:p w14:paraId="68C16F00">
      <w:pPr>
        <w:keepNext w:val="0"/>
        <w:keepLines w:val="0"/>
        <w:pageBreakBefore w:val="0"/>
        <w:widowControl w:val="0"/>
        <w:kinsoku/>
        <w:wordWrap/>
        <w:overflowPunct/>
        <w:topLinePunct w:val="0"/>
        <w:autoSpaceDE/>
        <w:autoSpaceDN/>
        <w:bidi w:val="0"/>
        <w:adjustRightInd/>
        <w:snapToGrid/>
        <w:spacing w:line="578" w:lineRule="exact"/>
        <w:ind w:left="420" w:leftChars="200" w:firstLine="0" w:firstLineChars="0"/>
        <w:textAlignment w:val="auto"/>
        <w:outlineLvl w:val="9"/>
        <w:rPr>
          <w:rFonts w:hint="eastAsia" w:ascii="Times New Roman" w:hAnsi="Times New Roman" w:eastAsia="仿宋_GB2312" w:cs="Times New Roman"/>
          <w:bCs/>
          <w:sz w:val="32"/>
          <w:szCs w:val="32"/>
          <w:lang w:val="en-US" w:eastAsia="zh-CN"/>
        </w:rPr>
      </w:pPr>
      <w:r>
        <w:rPr>
          <w:rFonts w:hint="eastAsia" w:ascii="仿宋_GB2312" w:hAnsi="Times New Roman" w:eastAsia="仿宋_GB2312" w:cs="楷体_GB2312"/>
          <w:b/>
          <w:kern w:val="2"/>
          <w:sz w:val="32"/>
          <w:szCs w:val="32"/>
          <w:lang w:val="en-US" w:eastAsia="zh-CN" w:bidi="ar-SA"/>
        </w:rPr>
        <w:t>3.项目实施。</w:t>
      </w:r>
      <w:r>
        <w:rPr>
          <w:rFonts w:hint="eastAsia" w:ascii="Times New Roman" w:hAnsi="Times New Roman" w:eastAsia="仿宋_GB2312" w:cs="Times New Roman"/>
          <w:bCs/>
          <w:sz w:val="32"/>
          <w:szCs w:val="32"/>
          <w:lang w:val="en-US" w:eastAsia="zh-CN"/>
        </w:rPr>
        <w:t>招标代理公司于2024年6月3日在四川省政府采购网发布公告，2024年6月7日10:00（北京时间）组织响应采购的18家公司在成都市高新区吉泰五路香年广场T3写字楼44楼开标中心开标。四川青骄科技有限责任公司以399880元（大写：叁拾玖万玖仟捌佰捌拾元整）低价中标。6月25日，招标代理公司收到四川青矜之志科技有限公司质疑，我局立即暂停后续合同签订，责令招标代理公司立即调查相关投诉内容并答复。</w:t>
      </w:r>
    </w:p>
    <w:p w14:paraId="50E4DC4A">
      <w:pPr>
        <w:keepNext w:val="0"/>
        <w:keepLines w:val="0"/>
        <w:pageBreakBefore w:val="0"/>
        <w:widowControl w:val="0"/>
        <w:kinsoku/>
        <w:wordWrap/>
        <w:overflowPunct/>
        <w:topLinePunct w:val="0"/>
        <w:autoSpaceDE/>
        <w:autoSpaceDN/>
        <w:bidi w:val="0"/>
        <w:adjustRightInd/>
        <w:snapToGrid/>
        <w:spacing w:line="578" w:lineRule="exact"/>
        <w:ind w:left="420" w:leftChars="200" w:firstLine="0" w:firstLineChars="0"/>
        <w:textAlignment w:val="auto"/>
        <w:outlineLvl w:val="9"/>
        <w:rPr>
          <w:rFonts w:hint="default" w:ascii="Times New Roman" w:hAnsi="Times New Roman" w:eastAsia="仿宋_GB2312" w:cs="Times New Roman"/>
          <w:color w:val="auto"/>
          <w:sz w:val="32"/>
          <w:szCs w:val="32"/>
          <w:lang w:val="en-US" w:eastAsia="zh-CN"/>
        </w:rPr>
      </w:pPr>
      <w:r>
        <w:rPr>
          <w:rFonts w:hint="eastAsia" w:ascii="仿宋_GB2312" w:hAnsi="Times New Roman" w:eastAsia="仿宋_GB2312" w:cs="楷体_GB2312"/>
          <w:b/>
          <w:kern w:val="2"/>
          <w:sz w:val="32"/>
          <w:szCs w:val="32"/>
          <w:lang w:val="en-US" w:eastAsia="zh-CN" w:bidi="ar-SA"/>
        </w:rPr>
        <w:t>4.项目结果。</w:t>
      </w:r>
      <w:r>
        <w:rPr>
          <w:rFonts w:hint="eastAsia" w:ascii="仿宋_GB2312" w:eastAsia="仿宋_GB2312" w:cs="仿宋_GB2312"/>
          <w:sz w:val="32"/>
          <w:szCs w:val="32"/>
          <w:lang w:val="zh-CN" w:eastAsia="zh-CN" w:bidi="ar-SA"/>
        </w:rPr>
        <w:t>项目正在推进中，</w:t>
      </w:r>
      <w:r>
        <w:rPr>
          <w:rFonts w:hint="eastAsia" w:ascii="仿宋_GB2312" w:eastAsia="仿宋_GB2312" w:cs="仿宋_GB2312"/>
          <w:sz w:val="32"/>
          <w:szCs w:val="32"/>
          <w:lang w:val="en-US" w:eastAsia="zh-CN" w:bidi="ar-SA"/>
        </w:rPr>
        <w:t>等州财政局完成本次投诉反馈后，按照程序实施。</w:t>
      </w:r>
    </w:p>
    <w:p w14:paraId="35C3124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仿宋_GB2312" w:cs="楷体_GB2312"/>
          <w:color w:val="auto"/>
          <w:sz w:val="32"/>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eastAsia="仿宋_GB2312"/>
          <w:sz w:val="32"/>
          <w:szCs w:val="32"/>
        </w:rPr>
        <w:t>执行过程中，严格按照管理办法相关要求，在充分考虑</w:t>
      </w:r>
      <w:r>
        <w:rPr>
          <w:rFonts w:hint="eastAsia" w:ascii="仿宋_GB2312" w:eastAsia="仿宋_GB2312"/>
          <w:sz w:val="32"/>
          <w:szCs w:val="32"/>
          <w:lang w:val="en-US" w:eastAsia="zh-CN"/>
        </w:rPr>
        <w:t>卫星电话市场情况</w:t>
      </w:r>
      <w:r>
        <w:rPr>
          <w:rFonts w:hint="eastAsia" w:ascii="仿宋_GB2312" w:eastAsia="仿宋_GB2312"/>
          <w:sz w:val="32"/>
          <w:szCs w:val="32"/>
        </w:rPr>
        <w:t>、合理应用基础数据、科学选取测算依据，分配结果公平合理。政策实施对象中不存在明显不合理的排他性规定</w:t>
      </w:r>
      <w:r>
        <w:rPr>
          <w:rFonts w:hint="eastAsia" w:ascii="仿宋_GB2312" w:eastAsia="仿宋_GB2312"/>
          <w:sz w:val="32"/>
          <w:szCs w:val="32"/>
          <w:lang w:eastAsia="zh-CN"/>
        </w:rPr>
        <w:t>。</w:t>
      </w:r>
    </w:p>
    <w:p w14:paraId="7EEF4E0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eastAsia="仿宋_GB2312" w:cs="Times New Roman"/>
          <w:color w:val="auto"/>
          <w:sz w:val="32"/>
          <w:szCs w:val="32"/>
          <w:lang w:val="en-US"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eastAsia="仿宋_GB2312"/>
          <w:sz w:val="32"/>
          <w:szCs w:val="32"/>
        </w:rPr>
        <w:t>预计</w:t>
      </w:r>
      <w:r>
        <w:rPr>
          <w:rFonts w:hint="eastAsia" w:ascii="仿宋_GB2312" w:eastAsia="仿宋_GB2312"/>
          <w:sz w:val="32"/>
          <w:szCs w:val="32"/>
          <w:lang w:val="en-US" w:eastAsia="zh-CN"/>
        </w:rPr>
        <w:t>9月</w:t>
      </w:r>
      <w:r>
        <w:rPr>
          <w:rFonts w:hint="eastAsia" w:ascii="仿宋_GB2312" w:eastAsia="仿宋_GB2312"/>
          <w:sz w:val="32"/>
          <w:szCs w:val="32"/>
        </w:rPr>
        <w:t>底完成项目建设，</w:t>
      </w:r>
      <w:r>
        <w:rPr>
          <w:rFonts w:hint="eastAsia" w:ascii="仿宋_GB2312" w:eastAsia="仿宋_GB2312"/>
          <w:sz w:val="32"/>
          <w:szCs w:val="32"/>
          <w:lang w:val="en-US" w:eastAsia="zh-CN"/>
        </w:rPr>
        <w:t>保障阿坝片区巡护人员安全。</w:t>
      </w:r>
    </w:p>
    <w:p w14:paraId="25FC1FA7">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5CFB0A1E">
      <w:pPr>
        <w:spacing w:line="560" w:lineRule="exact"/>
        <w:ind w:firstLine="640" w:firstLineChars="200"/>
        <w:rPr>
          <w:rFonts w:hint="eastAsia" w:ascii="黑体" w:hAnsi="黑体" w:eastAsia="仿宋_GB2312" w:cs="黑体"/>
          <w:b w:val="0"/>
          <w:bCs w:val="0"/>
          <w:kern w:val="2"/>
          <w:position w:val="0"/>
          <w:sz w:val="32"/>
          <w:szCs w:val="32"/>
          <w:highlight w:val="none"/>
          <w:lang w:val="en-US" w:eastAsia="zh-CN" w:bidi="ar-SA"/>
        </w:rPr>
      </w:pPr>
      <w:r>
        <w:rPr>
          <w:rFonts w:hint="eastAsia" w:ascii="仿宋_GB2312" w:eastAsia="仿宋_GB2312" w:cs="仿宋_GB2312"/>
          <w:sz w:val="32"/>
          <w:szCs w:val="32"/>
          <w:lang w:val="zh-CN" w:eastAsia="zh-CN" w:bidi="ar-SA"/>
        </w:rPr>
        <w:t>从综合评价来看，项目立项依据充分，均设定了项目绩效目标，资金配置科学合理，严格项目管理，按规定履行报批手续，制定了实施方案，细化任务并明确绩效目标，经局党组会议研究同意后实施。涉及采购的严格按照政府采购相关程序执行，建设、验收等严格执行相关制度规定。整体情况良好</w:t>
      </w:r>
      <w:r>
        <w:rPr>
          <w:rFonts w:hint="eastAsia" w:ascii="仿宋_GB2312" w:hAnsi="仿宋_GB2312" w:eastAsia="仿宋_GB2312" w:cs="仿宋_GB2312"/>
          <w:b w:val="0"/>
          <w:bCs w:val="0"/>
          <w:sz w:val="32"/>
          <w:szCs w:val="32"/>
          <w:highlight w:val="none"/>
          <w:lang w:val="zh-CN"/>
        </w:rPr>
        <w:t>。</w:t>
      </w:r>
    </w:p>
    <w:p w14:paraId="4D04E375">
      <w:pPr>
        <w:pageBreakBefore w:val="0"/>
        <w:widowControl/>
        <w:numPr>
          <w:ilvl w:val="0"/>
          <w:numId w:val="4"/>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存在主要问题、</w:t>
      </w:r>
    </w:p>
    <w:p w14:paraId="20D78628">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default"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无</w:t>
      </w:r>
    </w:p>
    <w:p w14:paraId="33F6C626">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348523A3">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 w:eastAsia="zh-CN" w:bidi="ar-SA"/>
        </w:rPr>
      </w:pPr>
      <w:r>
        <w:rPr>
          <w:rFonts w:hint="eastAsia" w:ascii="黑体" w:hAnsi="宋体" w:eastAsia="黑体" w:cs="Times New Roman"/>
          <w:color w:val="auto"/>
          <w:kern w:val="0"/>
          <w:position w:val="3"/>
          <w:sz w:val="32"/>
          <w:szCs w:val="32"/>
          <w:highlight w:val="none"/>
          <w:u w:val="none"/>
          <w:lang w:val="en-US" w:eastAsia="zh-CN" w:bidi="ar-SA"/>
        </w:rPr>
        <w:t>无</w:t>
      </w:r>
    </w:p>
    <w:p w14:paraId="6CC1E1BC">
      <w:pPr>
        <w:keepNext w:val="0"/>
        <w:keepLines w:val="0"/>
        <w:pageBreakBefore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eastAsia="zh-CN"/>
        </w:rPr>
      </w:pPr>
    </w:p>
    <w:p w14:paraId="0AA8AFCA">
      <w:pPr>
        <w:keepNext w:val="0"/>
        <w:keepLines w:val="0"/>
        <w:pageBreakBefore w:val="0"/>
        <w:kinsoku/>
        <w:wordWrap/>
        <w:overflowPunct/>
        <w:topLinePunct w:val="0"/>
        <w:autoSpaceDE/>
        <w:autoSpaceDN/>
        <w:bidi w:val="0"/>
        <w:adjustRightInd/>
        <w:snapToGrid w:val="0"/>
        <w:spacing w:line="578" w:lineRule="exact"/>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附表：专项预算项目绩效目标完成情况自评表</w:t>
      </w:r>
    </w:p>
    <w:p w14:paraId="1831A3B9">
      <w:pPr>
        <w:rPr>
          <w:rFonts w:hint="eastAsia" w:ascii="黑体" w:hAnsi="黑体" w:eastAsia="黑体"/>
          <w:sz w:val="32"/>
          <w:szCs w:val="32"/>
        </w:rPr>
      </w:pPr>
    </w:p>
    <w:p w14:paraId="606676FE">
      <w:pPr>
        <w:rPr>
          <w:rFonts w:hint="eastAsia" w:ascii="黑体" w:hAnsi="黑体" w:eastAsia="黑体"/>
          <w:sz w:val="32"/>
          <w:szCs w:val="32"/>
        </w:rPr>
      </w:pPr>
    </w:p>
    <w:p w14:paraId="7C22B297">
      <w:pPr>
        <w:rPr>
          <w:rFonts w:hint="eastAsia" w:ascii="黑体" w:hAnsi="黑体" w:eastAsia="黑体"/>
          <w:sz w:val="32"/>
          <w:szCs w:val="32"/>
        </w:rPr>
        <w:sectPr>
          <w:pgSz w:w="11906" w:h="16838"/>
          <w:pgMar w:top="1440" w:right="1800" w:bottom="1440" w:left="1800" w:header="851" w:footer="992" w:gutter="0"/>
          <w:pgNumType w:fmt="decimal"/>
          <w:cols w:space="425" w:num="1"/>
          <w:titlePg/>
          <w:docGrid w:type="lines" w:linePitch="312" w:charSpace="0"/>
        </w:sectPr>
      </w:pPr>
    </w:p>
    <w:p w14:paraId="0463B7FA">
      <w:pPr>
        <w:rPr>
          <w:rFonts w:hint="eastAsia" w:ascii="黑体" w:hAnsi="黑体" w:eastAsia="黑体"/>
          <w:sz w:val="32"/>
          <w:szCs w:val="32"/>
          <w:lang w:eastAsia="zh-CN"/>
        </w:rPr>
        <w:sectPr>
          <w:pgSz w:w="16838" w:h="11906" w:orient="landscape"/>
          <w:pgMar w:top="1800" w:right="1440" w:bottom="1800" w:left="1440" w:header="851" w:footer="992" w:gutter="0"/>
          <w:pgNumType w:fmt="decimal"/>
          <w:cols w:space="425" w:num="1"/>
          <w:titlePg/>
          <w:docGrid w:type="lines" w:linePitch="312" w:charSpace="0"/>
        </w:sectPr>
      </w:pPr>
      <w:r>
        <w:rPr>
          <w:rFonts w:hint="eastAsia" w:ascii="黑体" w:hAnsi="黑体" w:eastAsia="黑体"/>
          <w:sz w:val="32"/>
          <w:szCs w:val="32"/>
          <w:lang w:eastAsia="zh-CN"/>
        </w:rPr>
        <w:pict>
          <v:shape id="_x0000_s1036" o:spid="_x0000_s1036" o:spt="75" type="#_x0000_t75" style="position:absolute;left:0pt;margin-left:1.2pt;margin-top:-72.3pt;height:647.4pt;width:678.6pt;z-index:-251651072;mso-width-relative:page;mso-height-relative:page;" o:ole="t" filled="f" o:preferrelative="t" stroked="f" coordsize="21600,21600">
            <v:path/>
            <v:fill on="f" focussize="0,0"/>
            <v:stroke on="f"/>
            <v:imagedata r:id="rId30" o:title=""/>
            <o:lock v:ext="edit" aspectratio="t"/>
          </v:shape>
          <o:OLEObject Type="Embed" ProgID="Excel.Sheet.12" ShapeID="_x0000_s1036" DrawAspect="Content" ObjectID="_1468075735" r:id="rId29">
            <o:LockedField>false</o:LockedField>
          </o:OLEObject>
        </w:pict>
      </w:r>
    </w:p>
    <w:p w14:paraId="0FE2C273">
      <w:pPr>
        <w:pStyle w:val="2"/>
        <w:ind w:firstLine="2650" w:firstLineChars="600"/>
        <w:jc w:val="both"/>
        <w:rPr>
          <w:rFonts w:ascii="黑体" w:hAnsi="黑体" w:eastAsia="黑体"/>
        </w:rPr>
      </w:pPr>
      <w:r>
        <w:rPr>
          <w:rFonts w:hint="eastAsia" w:ascii="黑体" w:hAnsi="黑体" w:eastAsia="黑体"/>
        </w:rPr>
        <w:t>第五部分 附表</w:t>
      </w:r>
    </w:p>
    <w:p w14:paraId="50092CA5">
      <w:pPr>
        <w:rPr>
          <w:rFonts w:ascii="仿宋" w:hAnsi="仿宋" w:eastAsia="仿宋"/>
          <w:sz w:val="32"/>
          <w:szCs w:val="32"/>
        </w:rPr>
      </w:pPr>
      <w:r>
        <w:rPr>
          <w:rFonts w:hint="eastAsia" w:ascii="仿宋" w:hAnsi="仿宋" w:eastAsia="仿宋"/>
          <w:sz w:val="32"/>
          <w:szCs w:val="32"/>
        </w:rPr>
        <w:t>一、收入支出决算总表</w:t>
      </w:r>
    </w:p>
    <w:p w14:paraId="378058AC">
      <w:pPr>
        <w:rPr>
          <w:rFonts w:ascii="仿宋" w:hAnsi="仿宋" w:eastAsia="仿宋"/>
          <w:sz w:val="32"/>
          <w:szCs w:val="32"/>
        </w:rPr>
      </w:pPr>
      <w:r>
        <w:rPr>
          <w:rFonts w:hint="eastAsia" w:ascii="仿宋" w:hAnsi="仿宋" w:eastAsia="仿宋"/>
          <w:sz w:val="32"/>
          <w:szCs w:val="32"/>
        </w:rPr>
        <w:t>二、收入决算表</w:t>
      </w:r>
    </w:p>
    <w:p w14:paraId="1BA0F914">
      <w:pPr>
        <w:rPr>
          <w:rFonts w:ascii="仿宋" w:hAnsi="仿宋" w:eastAsia="仿宋"/>
          <w:sz w:val="32"/>
          <w:szCs w:val="32"/>
        </w:rPr>
      </w:pPr>
      <w:r>
        <w:rPr>
          <w:rFonts w:hint="eastAsia" w:ascii="仿宋" w:hAnsi="仿宋" w:eastAsia="仿宋"/>
          <w:sz w:val="32"/>
          <w:szCs w:val="32"/>
        </w:rPr>
        <w:t>三、支出决算表</w:t>
      </w:r>
    </w:p>
    <w:p w14:paraId="4169C04F">
      <w:pPr>
        <w:rPr>
          <w:rFonts w:ascii="仿宋" w:hAnsi="仿宋" w:eastAsia="仿宋"/>
          <w:sz w:val="32"/>
          <w:szCs w:val="32"/>
        </w:rPr>
      </w:pPr>
      <w:r>
        <w:rPr>
          <w:rFonts w:hint="eastAsia" w:ascii="仿宋" w:hAnsi="仿宋" w:eastAsia="仿宋"/>
          <w:sz w:val="32"/>
          <w:szCs w:val="32"/>
        </w:rPr>
        <w:t>四、财政拨款收入支出决算总表</w:t>
      </w:r>
    </w:p>
    <w:p w14:paraId="601F8A09">
      <w:pPr>
        <w:rPr>
          <w:rFonts w:ascii="仿宋" w:hAnsi="仿宋" w:eastAsia="仿宋"/>
          <w:sz w:val="32"/>
          <w:szCs w:val="32"/>
        </w:rPr>
      </w:pPr>
      <w:r>
        <w:rPr>
          <w:rFonts w:hint="eastAsia" w:ascii="仿宋" w:hAnsi="仿宋" w:eastAsia="仿宋"/>
          <w:sz w:val="32"/>
          <w:szCs w:val="32"/>
        </w:rPr>
        <w:t>五、财政拨款支出决算明细表</w:t>
      </w:r>
    </w:p>
    <w:p w14:paraId="378EB005">
      <w:pPr>
        <w:rPr>
          <w:rFonts w:ascii="仿宋" w:hAnsi="仿宋" w:eastAsia="仿宋"/>
          <w:sz w:val="32"/>
          <w:szCs w:val="32"/>
        </w:rPr>
      </w:pPr>
      <w:r>
        <w:rPr>
          <w:rFonts w:hint="eastAsia" w:ascii="仿宋" w:hAnsi="仿宋" w:eastAsia="仿宋"/>
          <w:sz w:val="32"/>
          <w:szCs w:val="32"/>
        </w:rPr>
        <w:t>六、一般公共预算财政拨款支出决算表</w:t>
      </w:r>
    </w:p>
    <w:p w14:paraId="3A14ABE1">
      <w:pPr>
        <w:rPr>
          <w:rFonts w:ascii="仿宋" w:hAnsi="仿宋" w:eastAsia="仿宋"/>
          <w:sz w:val="32"/>
          <w:szCs w:val="32"/>
        </w:rPr>
      </w:pPr>
      <w:r>
        <w:rPr>
          <w:rFonts w:hint="eastAsia" w:ascii="仿宋" w:hAnsi="仿宋" w:eastAsia="仿宋"/>
          <w:sz w:val="32"/>
          <w:szCs w:val="32"/>
        </w:rPr>
        <w:t>七、一般公共预算财政拨款支出决算明细表</w:t>
      </w:r>
    </w:p>
    <w:p w14:paraId="774F9BFF">
      <w:pPr>
        <w:rPr>
          <w:rFonts w:ascii="仿宋" w:hAnsi="仿宋" w:eastAsia="仿宋"/>
          <w:sz w:val="32"/>
          <w:szCs w:val="32"/>
        </w:rPr>
      </w:pPr>
      <w:r>
        <w:rPr>
          <w:rFonts w:hint="eastAsia" w:ascii="仿宋" w:hAnsi="仿宋" w:eastAsia="仿宋"/>
          <w:sz w:val="32"/>
          <w:szCs w:val="32"/>
        </w:rPr>
        <w:t>八、一般公共预算财政拨款基本支出决算表</w:t>
      </w:r>
    </w:p>
    <w:p w14:paraId="082EC2A2">
      <w:pPr>
        <w:rPr>
          <w:rFonts w:ascii="仿宋" w:hAnsi="仿宋" w:eastAsia="仿宋"/>
          <w:sz w:val="32"/>
          <w:szCs w:val="32"/>
        </w:rPr>
      </w:pPr>
      <w:r>
        <w:rPr>
          <w:rFonts w:hint="eastAsia" w:ascii="仿宋" w:hAnsi="仿宋" w:eastAsia="仿宋"/>
          <w:sz w:val="32"/>
          <w:szCs w:val="32"/>
        </w:rPr>
        <w:t>九、一般公共预算财政拨款项目支出决算表</w:t>
      </w:r>
    </w:p>
    <w:p w14:paraId="615600BE">
      <w:pPr>
        <w:rPr>
          <w:rFonts w:ascii="仿宋" w:hAnsi="仿宋" w:eastAsia="仿宋"/>
          <w:sz w:val="32"/>
          <w:szCs w:val="32"/>
        </w:rPr>
      </w:pPr>
      <w:r>
        <w:rPr>
          <w:rFonts w:hint="eastAsia" w:ascii="仿宋" w:hAnsi="仿宋" w:eastAsia="仿宋"/>
          <w:sz w:val="32"/>
          <w:szCs w:val="32"/>
        </w:rPr>
        <w:t>十、政府性基金预算财政拨款收入支出决算表</w:t>
      </w:r>
    </w:p>
    <w:p w14:paraId="53BAFCDE">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19EA5F11">
      <w:pPr>
        <w:rPr>
          <w:rFonts w:ascii="仿宋" w:hAnsi="仿宋" w:eastAsia="仿宋"/>
          <w:sz w:val="32"/>
          <w:szCs w:val="32"/>
        </w:rPr>
      </w:pPr>
      <w:r>
        <w:rPr>
          <w:rFonts w:hint="eastAsia" w:ascii="仿宋" w:hAnsi="仿宋" w:eastAsia="仿宋"/>
          <w:sz w:val="32"/>
          <w:szCs w:val="32"/>
        </w:rPr>
        <w:t>十二、国有资本经营预算财政拨款支出决算表</w:t>
      </w:r>
    </w:p>
    <w:p w14:paraId="77584941">
      <w:pPr>
        <w:rPr>
          <w:rFonts w:ascii="仿宋" w:hAnsi="仿宋" w:eastAsia="仿宋"/>
          <w:sz w:val="32"/>
          <w:szCs w:val="32"/>
        </w:rPr>
      </w:pPr>
      <w:r>
        <w:rPr>
          <w:rFonts w:hint="eastAsia" w:ascii="仿宋" w:hAnsi="仿宋" w:eastAsia="仿宋"/>
          <w:sz w:val="32"/>
          <w:szCs w:val="32"/>
        </w:rPr>
        <w:t>十三、财政拨款“三公”经费支出决算表</w:t>
      </w: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 PL UKai CN">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方正舒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54DEC">
    <w:pPr>
      <w:pStyle w:val="11"/>
      <w:jc w:val="center"/>
    </w:pPr>
  </w:p>
  <w:p w14:paraId="3F49613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8D4C2">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5449"/>
                          </w:sdtPr>
                          <w:sdtContent>
                            <w:p w14:paraId="15A3959A">
                              <w:pPr>
                                <w:pStyle w:val="11"/>
                                <w:jc w:val="center"/>
                              </w:pPr>
                              <w:r>
                                <w:fldChar w:fldCharType="begin"/>
                              </w:r>
                              <w:r>
                                <w:instrText xml:space="preserve">PAGE   \* MERGEFORMAT</w:instrText>
                              </w:r>
                              <w:r>
                                <w:fldChar w:fldCharType="separate"/>
                              </w:r>
                              <w:r>
                                <w:rPr>
                                  <w:lang w:val="zh-CN"/>
                                </w:rPr>
                                <w:t>23</w:t>
                              </w:r>
                              <w:r>
                                <w:fldChar w:fldCharType="end"/>
                              </w:r>
                            </w:p>
                          </w:sdtContent>
                        </w:sdt>
                        <w:p w14:paraId="3DA1187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75449"/>
                    </w:sdtPr>
                    <w:sdtContent>
                      <w:p w14:paraId="15A3959A">
                        <w:pPr>
                          <w:pStyle w:val="11"/>
                          <w:jc w:val="center"/>
                        </w:pPr>
                        <w:r>
                          <w:fldChar w:fldCharType="begin"/>
                        </w:r>
                        <w:r>
                          <w:instrText xml:space="preserve">PAGE   \* MERGEFORMAT</w:instrText>
                        </w:r>
                        <w:r>
                          <w:fldChar w:fldCharType="separate"/>
                        </w:r>
                        <w:r>
                          <w:rPr>
                            <w:lang w:val="zh-CN"/>
                          </w:rPr>
                          <w:t>23</w:t>
                        </w:r>
                        <w:r>
                          <w:fldChar w:fldCharType="end"/>
                        </w:r>
                      </w:p>
                    </w:sdtContent>
                  </w:sdt>
                  <w:p w14:paraId="3DA1187C"/>
                </w:txbxContent>
              </v:textbox>
            </v:shape>
          </w:pict>
        </mc:Fallback>
      </mc:AlternateContent>
    </w:r>
  </w:p>
  <w:p w14:paraId="11B229A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96194">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8873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F48873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2991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0E9C6"/>
    <w:multiLevelType w:val="singleLevel"/>
    <w:tmpl w:val="9030E9C6"/>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D697221"/>
    <w:multiLevelType w:val="singleLevel"/>
    <w:tmpl w:val="2D697221"/>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wMjBiMDE0NDAzMDYwOGJjM2NjMzIxY2I3MmFjYzY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06BF"/>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37C28"/>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E0AA6"/>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550F"/>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15B64"/>
    <w:rsid w:val="015975B8"/>
    <w:rsid w:val="022136DA"/>
    <w:rsid w:val="02FEBE30"/>
    <w:rsid w:val="033C0D96"/>
    <w:rsid w:val="036F8141"/>
    <w:rsid w:val="03A569EC"/>
    <w:rsid w:val="03AD58A1"/>
    <w:rsid w:val="03D03E03"/>
    <w:rsid w:val="03F71530"/>
    <w:rsid w:val="04642403"/>
    <w:rsid w:val="04E2021A"/>
    <w:rsid w:val="05043121"/>
    <w:rsid w:val="055B6DFD"/>
    <w:rsid w:val="05767993"/>
    <w:rsid w:val="05767C98"/>
    <w:rsid w:val="05907D5C"/>
    <w:rsid w:val="05A54E56"/>
    <w:rsid w:val="05AC6C47"/>
    <w:rsid w:val="05EC2511"/>
    <w:rsid w:val="065B7836"/>
    <w:rsid w:val="066E0107"/>
    <w:rsid w:val="07295647"/>
    <w:rsid w:val="07996F6E"/>
    <w:rsid w:val="07DFD8BA"/>
    <w:rsid w:val="08070D8F"/>
    <w:rsid w:val="08AA23AF"/>
    <w:rsid w:val="08B80F70"/>
    <w:rsid w:val="08CC0577"/>
    <w:rsid w:val="09106CA4"/>
    <w:rsid w:val="091A7535"/>
    <w:rsid w:val="09D27BEE"/>
    <w:rsid w:val="09DA523D"/>
    <w:rsid w:val="0A2032A3"/>
    <w:rsid w:val="0AA01CBB"/>
    <w:rsid w:val="0B2D1E1D"/>
    <w:rsid w:val="0B863D15"/>
    <w:rsid w:val="0BA27D31"/>
    <w:rsid w:val="0BB86D32"/>
    <w:rsid w:val="0BC96FF0"/>
    <w:rsid w:val="0BDE6F3F"/>
    <w:rsid w:val="0CB324A4"/>
    <w:rsid w:val="0D336E17"/>
    <w:rsid w:val="0D35B1ED"/>
    <w:rsid w:val="0D37140D"/>
    <w:rsid w:val="0D9C49BC"/>
    <w:rsid w:val="0E7ED1F5"/>
    <w:rsid w:val="0F98263C"/>
    <w:rsid w:val="0FF716BD"/>
    <w:rsid w:val="101860EC"/>
    <w:rsid w:val="10192347"/>
    <w:rsid w:val="102B2C7D"/>
    <w:rsid w:val="104A4D1B"/>
    <w:rsid w:val="10671B62"/>
    <w:rsid w:val="107E4172"/>
    <w:rsid w:val="10807F49"/>
    <w:rsid w:val="10C055FF"/>
    <w:rsid w:val="11252DA0"/>
    <w:rsid w:val="113A4C18"/>
    <w:rsid w:val="118107EC"/>
    <w:rsid w:val="118305C9"/>
    <w:rsid w:val="119A66DC"/>
    <w:rsid w:val="119E1C7A"/>
    <w:rsid w:val="11B9300B"/>
    <w:rsid w:val="124C0DF9"/>
    <w:rsid w:val="1255782F"/>
    <w:rsid w:val="12850115"/>
    <w:rsid w:val="12FD1940"/>
    <w:rsid w:val="13D50BC4"/>
    <w:rsid w:val="13F5616D"/>
    <w:rsid w:val="141676A6"/>
    <w:rsid w:val="143040B0"/>
    <w:rsid w:val="1432607A"/>
    <w:rsid w:val="144E2A4B"/>
    <w:rsid w:val="1475249B"/>
    <w:rsid w:val="14783B7B"/>
    <w:rsid w:val="148D1784"/>
    <w:rsid w:val="1497412F"/>
    <w:rsid w:val="14A45A4F"/>
    <w:rsid w:val="14B73BDC"/>
    <w:rsid w:val="14E7655D"/>
    <w:rsid w:val="15557573"/>
    <w:rsid w:val="15813E5B"/>
    <w:rsid w:val="158741A4"/>
    <w:rsid w:val="1597358E"/>
    <w:rsid w:val="163464B0"/>
    <w:rsid w:val="16633DD5"/>
    <w:rsid w:val="16BB723D"/>
    <w:rsid w:val="16EE4EED"/>
    <w:rsid w:val="17CC2342"/>
    <w:rsid w:val="17D91989"/>
    <w:rsid w:val="17F9714D"/>
    <w:rsid w:val="1845298F"/>
    <w:rsid w:val="18D35AB7"/>
    <w:rsid w:val="1918F934"/>
    <w:rsid w:val="19424803"/>
    <w:rsid w:val="197B44A1"/>
    <w:rsid w:val="19C85E69"/>
    <w:rsid w:val="1A911621"/>
    <w:rsid w:val="1AD80FFE"/>
    <w:rsid w:val="1AF000F5"/>
    <w:rsid w:val="1BE8440E"/>
    <w:rsid w:val="1C006A5E"/>
    <w:rsid w:val="1C6568C1"/>
    <w:rsid w:val="1D155CEE"/>
    <w:rsid w:val="1D4330A6"/>
    <w:rsid w:val="1D4A28D1"/>
    <w:rsid w:val="1DD84EFC"/>
    <w:rsid w:val="1DFBC4B3"/>
    <w:rsid w:val="1E075364"/>
    <w:rsid w:val="1E6A25DB"/>
    <w:rsid w:val="1E740ACF"/>
    <w:rsid w:val="1EE241F9"/>
    <w:rsid w:val="1EF01034"/>
    <w:rsid w:val="1F19C781"/>
    <w:rsid w:val="1F30765A"/>
    <w:rsid w:val="1F33FCE5"/>
    <w:rsid w:val="1F4F396E"/>
    <w:rsid w:val="1F6831C9"/>
    <w:rsid w:val="1F7F7398"/>
    <w:rsid w:val="1FD2DB6F"/>
    <w:rsid w:val="1FF35744"/>
    <w:rsid w:val="1FF6BC77"/>
    <w:rsid w:val="1FF9236D"/>
    <w:rsid w:val="203025A9"/>
    <w:rsid w:val="20CC6104"/>
    <w:rsid w:val="2120725A"/>
    <w:rsid w:val="21210B89"/>
    <w:rsid w:val="21732F80"/>
    <w:rsid w:val="219C2C6E"/>
    <w:rsid w:val="22967136"/>
    <w:rsid w:val="23304103"/>
    <w:rsid w:val="2333840E"/>
    <w:rsid w:val="23533917"/>
    <w:rsid w:val="237D3FC9"/>
    <w:rsid w:val="23860B96"/>
    <w:rsid w:val="23A128D5"/>
    <w:rsid w:val="23FB76B9"/>
    <w:rsid w:val="240371BF"/>
    <w:rsid w:val="248A43A7"/>
    <w:rsid w:val="257C638F"/>
    <w:rsid w:val="25E71A49"/>
    <w:rsid w:val="266F2B9B"/>
    <w:rsid w:val="26AD1590"/>
    <w:rsid w:val="26F2431C"/>
    <w:rsid w:val="275B2D9A"/>
    <w:rsid w:val="28060F58"/>
    <w:rsid w:val="282B42E1"/>
    <w:rsid w:val="28A80373"/>
    <w:rsid w:val="28B5297E"/>
    <w:rsid w:val="28C36E49"/>
    <w:rsid w:val="28FE7C39"/>
    <w:rsid w:val="29503E1D"/>
    <w:rsid w:val="296E7C76"/>
    <w:rsid w:val="29E654E5"/>
    <w:rsid w:val="29FD04D3"/>
    <w:rsid w:val="2A082BA9"/>
    <w:rsid w:val="2B51698E"/>
    <w:rsid w:val="2B797C93"/>
    <w:rsid w:val="2B98280F"/>
    <w:rsid w:val="2BFF7BC6"/>
    <w:rsid w:val="2C2E0A7D"/>
    <w:rsid w:val="2C3E3168"/>
    <w:rsid w:val="2C793E3A"/>
    <w:rsid w:val="2C8A61B5"/>
    <w:rsid w:val="2CD59C95"/>
    <w:rsid w:val="2CE130DC"/>
    <w:rsid w:val="2CF3012F"/>
    <w:rsid w:val="2D0F4D53"/>
    <w:rsid w:val="2D156019"/>
    <w:rsid w:val="2DF04E50"/>
    <w:rsid w:val="2E217BD4"/>
    <w:rsid w:val="2E4D18E9"/>
    <w:rsid w:val="2E6D7F83"/>
    <w:rsid w:val="2EB931C8"/>
    <w:rsid w:val="2EFD05E5"/>
    <w:rsid w:val="2F040D46"/>
    <w:rsid w:val="2F4F95CE"/>
    <w:rsid w:val="2F511653"/>
    <w:rsid w:val="2F7E0CFF"/>
    <w:rsid w:val="2F9C22EC"/>
    <w:rsid w:val="2F9E2895"/>
    <w:rsid w:val="2FA15A0A"/>
    <w:rsid w:val="2FAA06C0"/>
    <w:rsid w:val="2FACAFDD"/>
    <w:rsid w:val="2FAE5751"/>
    <w:rsid w:val="2FB1A395"/>
    <w:rsid w:val="2FBE3786"/>
    <w:rsid w:val="2FCC06D3"/>
    <w:rsid w:val="2FCF0B76"/>
    <w:rsid w:val="2FD9A7D8"/>
    <w:rsid w:val="30071912"/>
    <w:rsid w:val="30322C37"/>
    <w:rsid w:val="30A43A04"/>
    <w:rsid w:val="30BD496A"/>
    <w:rsid w:val="313308E4"/>
    <w:rsid w:val="319F7F4E"/>
    <w:rsid w:val="31E02956"/>
    <w:rsid w:val="32821FE9"/>
    <w:rsid w:val="329E3C4D"/>
    <w:rsid w:val="3304709D"/>
    <w:rsid w:val="334B6A8F"/>
    <w:rsid w:val="33D12D62"/>
    <w:rsid w:val="33DC34B5"/>
    <w:rsid w:val="342860E3"/>
    <w:rsid w:val="34B85698"/>
    <w:rsid w:val="34E05F88"/>
    <w:rsid w:val="3543504E"/>
    <w:rsid w:val="35867372"/>
    <w:rsid w:val="35902EA0"/>
    <w:rsid w:val="36AA5135"/>
    <w:rsid w:val="36B40A6A"/>
    <w:rsid w:val="36BE0DA7"/>
    <w:rsid w:val="373A0C1E"/>
    <w:rsid w:val="37500442"/>
    <w:rsid w:val="37582AC4"/>
    <w:rsid w:val="375B62C1"/>
    <w:rsid w:val="376B6AA6"/>
    <w:rsid w:val="376D39B2"/>
    <w:rsid w:val="377A1BC4"/>
    <w:rsid w:val="379636A6"/>
    <w:rsid w:val="37CF1373"/>
    <w:rsid w:val="37E16F03"/>
    <w:rsid w:val="37E56DDC"/>
    <w:rsid w:val="37F53A3B"/>
    <w:rsid w:val="382E2FFF"/>
    <w:rsid w:val="38767A34"/>
    <w:rsid w:val="38D469F0"/>
    <w:rsid w:val="38F78389"/>
    <w:rsid w:val="39227BBC"/>
    <w:rsid w:val="394D5E45"/>
    <w:rsid w:val="397BAF1F"/>
    <w:rsid w:val="39A24859"/>
    <w:rsid w:val="39E45F74"/>
    <w:rsid w:val="39E54399"/>
    <w:rsid w:val="39E7B272"/>
    <w:rsid w:val="39F7642F"/>
    <w:rsid w:val="39FF7B37"/>
    <w:rsid w:val="39FF7EFD"/>
    <w:rsid w:val="3AB79AF3"/>
    <w:rsid w:val="3AC151B3"/>
    <w:rsid w:val="3AD13648"/>
    <w:rsid w:val="3ADF0492"/>
    <w:rsid w:val="3AFDCB77"/>
    <w:rsid w:val="3B7EF35A"/>
    <w:rsid w:val="3B7F1E02"/>
    <w:rsid w:val="3B9FDB6C"/>
    <w:rsid w:val="3BF5BC2F"/>
    <w:rsid w:val="3BF7C23A"/>
    <w:rsid w:val="3BFF223E"/>
    <w:rsid w:val="3C265151"/>
    <w:rsid w:val="3C6EC0A1"/>
    <w:rsid w:val="3CC821AD"/>
    <w:rsid w:val="3CDB0824"/>
    <w:rsid w:val="3CEBA265"/>
    <w:rsid w:val="3D6A7F9F"/>
    <w:rsid w:val="3D7E7F4D"/>
    <w:rsid w:val="3D903E83"/>
    <w:rsid w:val="3D98207C"/>
    <w:rsid w:val="3D9CF30A"/>
    <w:rsid w:val="3DFF5A3E"/>
    <w:rsid w:val="3E78745D"/>
    <w:rsid w:val="3EEE77E9"/>
    <w:rsid w:val="3F394AF5"/>
    <w:rsid w:val="3F7A2500"/>
    <w:rsid w:val="3FBE5714"/>
    <w:rsid w:val="3FDD8615"/>
    <w:rsid w:val="3FDFB2FF"/>
    <w:rsid w:val="3FF4CAE0"/>
    <w:rsid w:val="3FF75FAF"/>
    <w:rsid w:val="3FF7B227"/>
    <w:rsid w:val="403A6655"/>
    <w:rsid w:val="40E61294"/>
    <w:rsid w:val="4185798B"/>
    <w:rsid w:val="41A80029"/>
    <w:rsid w:val="41C47AD3"/>
    <w:rsid w:val="42240018"/>
    <w:rsid w:val="4236339B"/>
    <w:rsid w:val="42594B93"/>
    <w:rsid w:val="425F6221"/>
    <w:rsid w:val="42A2103B"/>
    <w:rsid w:val="436560E8"/>
    <w:rsid w:val="439D244F"/>
    <w:rsid w:val="43AE09CA"/>
    <w:rsid w:val="445B5A99"/>
    <w:rsid w:val="4464552C"/>
    <w:rsid w:val="449E2D2B"/>
    <w:rsid w:val="44E268DA"/>
    <w:rsid w:val="45094353"/>
    <w:rsid w:val="457F4F6B"/>
    <w:rsid w:val="46827655"/>
    <w:rsid w:val="46853538"/>
    <w:rsid w:val="469F0817"/>
    <w:rsid w:val="46AD6644"/>
    <w:rsid w:val="46F96AB7"/>
    <w:rsid w:val="4737FB58"/>
    <w:rsid w:val="473C76EF"/>
    <w:rsid w:val="47811F51"/>
    <w:rsid w:val="47ECCB02"/>
    <w:rsid w:val="47FA6A3F"/>
    <w:rsid w:val="47FC782A"/>
    <w:rsid w:val="48270A63"/>
    <w:rsid w:val="48A26714"/>
    <w:rsid w:val="48EB1A05"/>
    <w:rsid w:val="49D7AE48"/>
    <w:rsid w:val="49F9234B"/>
    <w:rsid w:val="4A040A64"/>
    <w:rsid w:val="4A3F6C7E"/>
    <w:rsid w:val="4A627F82"/>
    <w:rsid w:val="4A6718D3"/>
    <w:rsid w:val="4ABB1C1E"/>
    <w:rsid w:val="4AC43ED9"/>
    <w:rsid w:val="4B0E749A"/>
    <w:rsid w:val="4B4A7ED0"/>
    <w:rsid w:val="4B4F25DA"/>
    <w:rsid w:val="4BAE072C"/>
    <w:rsid w:val="4BBB4781"/>
    <w:rsid w:val="4BD709A5"/>
    <w:rsid w:val="4BDD9BFF"/>
    <w:rsid w:val="4BE068DB"/>
    <w:rsid w:val="4C013661"/>
    <w:rsid w:val="4C6E2610"/>
    <w:rsid w:val="4CAF0204"/>
    <w:rsid w:val="4CBC441B"/>
    <w:rsid w:val="4CC2070E"/>
    <w:rsid w:val="4D114EE7"/>
    <w:rsid w:val="4D2F37DC"/>
    <w:rsid w:val="4D387556"/>
    <w:rsid w:val="4D554104"/>
    <w:rsid w:val="4D577224"/>
    <w:rsid w:val="4DBF1CEB"/>
    <w:rsid w:val="4DBF6A6B"/>
    <w:rsid w:val="4DE23C80"/>
    <w:rsid w:val="4DF6A672"/>
    <w:rsid w:val="4E6F0D2F"/>
    <w:rsid w:val="4EAB630A"/>
    <w:rsid w:val="4ECE2238"/>
    <w:rsid w:val="4ED45C0C"/>
    <w:rsid w:val="4EDD03B5"/>
    <w:rsid w:val="4EE47996"/>
    <w:rsid w:val="4F766114"/>
    <w:rsid w:val="4F7EA413"/>
    <w:rsid w:val="4FAB812F"/>
    <w:rsid w:val="4FDA2B47"/>
    <w:rsid w:val="4FE9BD67"/>
    <w:rsid w:val="4FEE4C07"/>
    <w:rsid w:val="4FFB052F"/>
    <w:rsid w:val="507765E7"/>
    <w:rsid w:val="50927906"/>
    <w:rsid w:val="50A3113A"/>
    <w:rsid w:val="50CE2CB7"/>
    <w:rsid w:val="50DB3DCF"/>
    <w:rsid w:val="526130AB"/>
    <w:rsid w:val="5274459D"/>
    <w:rsid w:val="52A511EA"/>
    <w:rsid w:val="52B85D80"/>
    <w:rsid w:val="52D61080"/>
    <w:rsid w:val="534D108E"/>
    <w:rsid w:val="537E6D0A"/>
    <w:rsid w:val="53AB6B88"/>
    <w:rsid w:val="53DD3A73"/>
    <w:rsid w:val="53F74C96"/>
    <w:rsid w:val="54183C3E"/>
    <w:rsid w:val="549D0DE1"/>
    <w:rsid w:val="55780E38"/>
    <w:rsid w:val="5583522D"/>
    <w:rsid w:val="5587107B"/>
    <w:rsid w:val="558C043F"/>
    <w:rsid w:val="55A64150"/>
    <w:rsid w:val="564A72B4"/>
    <w:rsid w:val="56DF6C95"/>
    <w:rsid w:val="57212FAC"/>
    <w:rsid w:val="57706625"/>
    <w:rsid w:val="579A3FE8"/>
    <w:rsid w:val="57BD3DD4"/>
    <w:rsid w:val="57E954DF"/>
    <w:rsid w:val="57E97C16"/>
    <w:rsid w:val="57F9CD1E"/>
    <w:rsid w:val="58ED5699"/>
    <w:rsid w:val="596B43D5"/>
    <w:rsid w:val="59847464"/>
    <w:rsid w:val="59DD74BB"/>
    <w:rsid w:val="5A253745"/>
    <w:rsid w:val="5AC81FAD"/>
    <w:rsid w:val="5AF92295"/>
    <w:rsid w:val="5AF9D8E9"/>
    <w:rsid w:val="5B2353A2"/>
    <w:rsid w:val="5B6C0E8F"/>
    <w:rsid w:val="5BDD38BD"/>
    <w:rsid w:val="5BDD79E6"/>
    <w:rsid w:val="5BEFC772"/>
    <w:rsid w:val="5BFF5DFC"/>
    <w:rsid w:val="5CB4703A"/>
    <w:rsid w:val="5CD71FC4"/>
    <w:rsid w:val="5CDB2B0E"/>
    <w:rsid w:val="5D1F11B5"/>
    <w:rsid w:val="5D3647F9"/>
    <w:rsid w:val="5DA644D4"/>
    <w:rsid w:val="5DAE1B18"/>
    <w:rsid w:val="5DE7D9E5"/>
    <w:rsid w:val="5ECEC941"/>
    <w:rsid w:val="5EFF8FC6"/>
    <w:rsid w:val="5F322057"/>
    <w:rsid w:val="5F5BA39A"/>
    <w:rsid w:val="5F7D3B79"/>
    <w:rsid w:val="5F7F4610"/>
    <w:rsid w:val="5FBF9FF3"/>
    <w:rsid w:val="5FC02406"/>
    <w:rsid w:val="5FCD4E2C"/>
    <w:rsid w:val="5FEF394A"/>
    <w:rsid w:val="5FF67715"/>
    <w:rsid w:val="604A41BB"/>
    <w:rsid w:val="60AA0540"/>
    <w:rsid w:val="60C348E3"/>
    <w:rsid w:val="61CA71D5"/>
    <w:rsid w:val="61EF146C"/>
    <w:rsid w:val="61FB1E9C"/>
    <w:rsid w:val="627EE9EA"/>
    <w:rsid w:val="62953680"/>
    <w:rsid w:val="62E95123"/>
    <w:rsid w:val="630E2892"/>
    <w:rsid w:val="633021BD"/>
    <w:rsid w:val="63344891"/>
    <w:rsid w:val="63495A8C"/>
    <w:rsid w:val="6388493C"/>
    <w:rsid w:val="63A63014"/>
    <w:rsid w:val="63B23AA5"/>
    <w:rsid w:val="647749B0"/>
    <w:rsid w:val="647F5392"/>
    <w:rsid w:val="64B91CCC"/>
    <w:rsid w:val="64E322C4"/>
    <w:rsid w:val="64E75692"/>
    <w:rsid w:val="65905D2A"/>
    <w:rsid w:val="65FB93B9"/>
    <w:rsid w:val="6633C463"/>
    <w:rsid w:val="66A870A3"/>
    <w:rsid w:val="67334BBF"/>
    <w:rsid w:val="673E5311"/>
    <w:rsid w:val="67C021CA"/>
    <w:rsid w:val="67CB3049"/>
    <w:rsid w:val="67D55B77"/>
    <w:rsid w:val="67EE7F84"/>
    <w:rsid w:val="683C7AA3"/>
    <w:rsid w:val="686F5F53"/>
    <w:rsid w:val="68C91F4E"/>
    <w:rsid w:val="692C5CD5"/>
    <w:rsid w:val="6972337C"/>
    <w:rsid w:val="6AD12974"/>
    <w:rsid w:val="6AD71D05"/>
    <w:rsid w:val="6AFFCEAF"/>
    <w:rsid w:val="6B312972"/>
    <w:rsid w:val="6B96E9E6"/>
    <w:rsid w:val="6B9E0A74"/>
    <w:rsid w:val="6BBA1B4A"/>
    <w:rsid w:val="6BCC13FC"/>
    <w:rsid w:val="6BCE57B5"/>
    <w:rsid w:val="6BFEA4DB"/>
    <w:rsid w:val="6BFFB662"/>
    <w:rsid w:val="6C20148A"/>
    <w:rsid w:val="6C4A05C8"/>
    <w:rsid w:val="6C8B2DA7"/>
    <w:rsid w:val="6CFF4FB8"/>
    <w:rsid w:val="6D2033D6"/>
    <w:rsid w:val="6D61223D"/>
    <w:rsid w:val="6D6BD6E0"/>
    <w:rsid w:val="6D77E73C"/>
    <w:rsid w:val="6D831CB0"/>
    <w:rsid w:val="6DBF5E93"/>
    <w:rsid w:val="6DFF077E"/>
    <w:rsid w:val="6E5D5839"/>
    <w:rsid w:val="6E7E3605"/>
    <w:rsid w:val="6E7FDCC7"/>
    <w:rsid w:val="6EC02CC6"/>
    <w:rsid w:val="6ED6A62E"/>
    <w:rsid w:val="6EE00B15"/>
    <w:rsid w:val="6EE737B2"/>
    <w:rsid w:val="6EEB2329"/>
    <w:rsid w:val="6EECE67A"/>
    <w:rsid w:val="6F6F90A8"/>
    <w:rsid w:val="6F6FB3EB"/>
    <w:rsid w:val="6F8731EA"/>
    <w:rsid w:val="6FBC2ADD"/>
    <w:rsid w:val="6FD57C00"/>
    <w:rsid w:val="6FE87B62"/>
    <w:rsid w:val="6FEFFFD8"/>
    <w:rsid w:val="6FF5CC65"/>
    <w:rsid w:val="6FFB47EC"/>
    <w:rsid w:val="6FFF034A"/>
    <w:rsid w:val="703A6FBE"/>
    <w:rsid w:val="706A0DDC"/>
    <w:rsid w:val="71233EF6"/>
    <w:rsid w:val="712A28F1"/>
    <w:rsid w:val="715C0E4B"/>
    <w:rsid w:val="71D8659D"/>
    <w:rsid w:val="71FFD401"/>
    <w:rsid w:val="721D373C"/>
    <w:rsid w:val="72233669"/>
    <w:rsid w:val="72734D90"/>
    <w:rsid w:val="72DD7DA7"/>
    <w:rsid w:val="7303587F"/>
    <w:rsid w:val="73090EC9"/>
    <w:rsid w:val="7332FE48"/>
    <w:rsid w:val="7370719A"/>
    <w:rsid w:val="73AD73D5"/>
    <w:rsid w:val="73B01345"/>
    <w:rsid w:val="73B6EB34"/>
    <w:rsid w:val="73E01C2A"/>
    <w:rsid w:val="73FA497D"/>
    <w:rsid w:val="74090005"/>
    <w:rsid w:val="742F670E"/>
    <w:rsid w:val="744731E5"/>
    <w:rsid w:val="74A215D5"/>
    <w:rsid w:val="74A73931"/>
    <w:rsid w:val="74BBD01D"/>
    <w:rsid w:val="74ED5379"/>
    <w:rsid w:val="757840E4"/>
    <w:rsid w:val="758D4034"/>
    <w:rsid w:val="75B710B1"/>
    <w:rsid w:val="75CB06B8"/>
    <w:rsid w:val="75DEEEC2"/>
    <w:rsid w:val="75EF25F8"/>
    <w:rsid w:val="767F479D"/>
    <w:rsid w:val="76C361D8"/>
    <w:rsid w:val="76D50FE1"/>
    <w:rsid w:val="76E3355F"/>
    <w:rsid w:val="76F742AF"/>
    <w:rsid w:val="76F7BE7D"/>
    <w:rsid w:val="76FF5125"/>
    <w:rsid w:val="771B1288"/>
    <w:rsid w:val="773570D3"/>
    <w:rsid w:val="77463ACF"/>
    <w:rsid w:val="77597F31"/>
    <w:rsid w:val="776F6FFA"/>
    <w:rsid w:val="7777A522"/>
    <w:rsid w:val="777A2396"/>
    <w:rsid w:val="77858688"/>
    <w:rsid w:val="778769C8"/>
    <w:rsid w:val="77CB741A"/>
    <w:rsid w:val="77D71596"/>
    <w:rsid w:val="77D7BE3A"/>
    <w:rsid w:val="77DC22F5"/>
    <w:rsid w:val="78042CF7"/>
    <w:rsid w:val="797E3A6C"/>
    <w:rsid w:val="79C50170"/>
    <w:rsid w:val="79CF70E2"/>
    <w:rsid w:val="79D7FD79"/>
    <w:rsid w:val="79E75806"/>
    <w:rsid w:val="79EE5BA4"/>
    <w:rsid w:val="79EF706B"/>
    <w:rsid w:val="7A3A5E0C"/>
    <w:rsid w:val="7A641148"/>
    <w:rsid w:val="7A6F8BF5"/>
    <w:rsid w:val="7A894339"/>
    <w:rsid w:val="7A9B4AFD"/>
    <w:rsid w:val="7AAD5F02"/>
    <w:rsid w:val="7ACF82B5"/>
    <w:rsid w:val="7AFF28C9"/>
    <w:rsid w:val="7AFF72A0"/>
    <w:rsid w:val="7AFF7572"/>
    <w:rsid w:val="7B6C7DFB"/>
    <w:rsid w:val="7B7D76A7"/>
    <w:rsid w:val="7BAE2FE2"/>
    <w:rsid w:val="7BAF6951"/>
    <w:rsid w:val="7BBFBED0"/>
    <w:rsid w:val="7BC3E394"/>
    <w:rsid w:val="7BF3FE4C"/>
    <w:rsid w:val="7BFB5035"/>
    <w:rsid w:val="7BFDE17E"/>
    <w:rsid w:val="7C756F0E"/>
    <w:rsid w:val="7CBFC87B"/>
    <w:rsid w:val="7CC16371"/>
    <w:rsid w:val="7CC3033B"/>
    <w:rsid w:val="7CF0527F"/>
    <w:rsid w:val="7CF54C7A"/>
    <w:rsid w:val="7CF60710"/>
    <w:rsid w:val="7CFE0F48"/>
    <w:rsid w:val="7D3DE31C"/>
    <w:rsid w:val="7D7EC23E"/>
    <w:rsid w:val="7D7F8A13"/>
    <w:rsid w:val="7DBBCB01"/>
    <w:rsid w:val="7DC765D0"/>
    <w:rsid w:val="7DCE7506"/>
    <w:rsid w:val="7DD65E4C"/>
    <w:rsid w:val="7DDB0EE0"/>
    <w:rsid w:val="7DFF51D8"/>
    <w:rsid w:val="7E2B43EA"/>
    <w:rsid w:val="7E4D5689"/>
    <w:rsid w:val="7E634199"/>
    <w:rsid w:val="7E6E2528"/>
    <w:rsid w:val="7E722019"/>
    <w:rsid w:val="7E8ADEBF"/>
    <w:rsid w:val="7EAF2A4F"/>
    <w:rsid w:val="7EEF11D3"/>
    <w:rsid w:val="7EF78C20"/>
    <w:rsid w:val="7F0A3FFF"/>
    <w:rsid w:val="7F3F679B"/>
    <w:rsid w:val="7F4FC4EF"/>
    <w:rsid w:val="7F5E4D54"/>
    <w:rsid w:val="7F6B75FA"/>
    <w:rsid w:val="7F6F0306"/>
    <w:rsid w:val="7F9F518D"/>
    <w:rsid w:val="7FA30C79"/>
    <w:rsid w:val="7FAF8ABF"/>
    <w:rsid w:val="7FB7269E"/>
    <w:rsid w:val="7FBD6753"/>
    <w:rsid w:val="7FBFABB4"/>
    <w:rsid w:val="7FC65084"/>
    <w:rsid w:val="7FC96657"/>
    <w:rsid w:val="7FCB5DA3"/>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qFormat/>
    <w:uiPriority w:val="0"/>
    <w:pPr>
      <w:widowControl w:val="0"/>
      <w:spacing w:line="578" w:lineRule="exact"/>
      <w:ind w:left="1680"/>
      <w:jc w:val="center"/>
    </w:pPr>
    <w:rPr>
      <w:rFonts w:ascii="仿宋_GB2312" w:hAnsi="Times New Roman" w:eastAsia="仿宋_GB2312" w:cs="Arial"/>
      <w:kern w:val="2"/>
      <w:sz w:val="21"/>
      <w:szCs w:val="22"/>
      <w:lang w:val="en-US" w:eastAsia="zh-CN" w:bidi="ar-SA"/>
    </w:rPr>
  </w:style>
  <w:style w:type="paragraph" w:styleId="6">
    <w:name w:val="index 6"/>
    <w:basedOn w:val="1"/>
    <w:next w:val="1"/>
    <w:qFormat/>
    <w:uiPriority w:val="0"/>
    <w:pPr>
      <w:ind w:left="2100"/>
    </w:p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next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HTML Preformatted"/>
    <w:next w:val="6"/>
    <w:qFormat/>
    <w:uiPriority w:val="0"/>
    <w:pPr>
      <w:widowControl w:val="0"/>
      <w:spacing w:before="100" w:beforeAutospacing="1" w:after="100" w:afterAutospacing="1" w:line="240" w:lineRule="auto"/>
      <w:jc w:val="left"/>
    </w:pPr>
    <w:rPr>
      <w:rFonts w:ascii="Courier New" w:hAnsi="Courier New" w:eastAsia="宋体" w:cs="AR PL UKai CN"/>
      <w:kern w:val="2"/>
      <w:sz w:val="20"/>
      <w:szCs w:val="21"/>
      <w:lang w:val="en-US" w:eastAsia="zh-CN" w:bidi="ar-SA"/>
    </w:rPr>
  </w:style>
  <w:style w:type="paragraph" w:styleId="16">
    <w:name w:val="Normal (Web)"/>
    <w:basedOn w:val="1"/>
    <w:unhideWhenUsed/>
    <w:qFormat/>
    <w:uiPriority w:val="0"/>
    <w:pPr>
      <w:spacing w:before="100" w:beforeAutospacing="1" w:after="100" w:afterAutospacing="1"/>
    </w:pPr>
  </w:style>
  <w:style w:type="paragraph" w:styleId="17">
    <w:name w:val="Body Text First Indent 2"/>
    <w:basedOn w:val="8"/>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9"/>
    <w:link w:val="2"/>
    <w:qFormat/>
    <w:uiPriority w:val="9"/>
    <w:rPr>
      <w:rFonts w:ascii="Times New Roman" w:hAnsi="Times New Roman"/>
      <w:b/>
      <w:bCs/>
      <w:kern w:val="44"/>
      <w:sz w:val="44"/>
      <w:szCs w:val="44"/>
    </w:rPr>
  </w:style>
  <w:style w:type="character" w:customStyle="1" w:styleId="32">
    <w:name w:val="标题 2 字符"/>
    <w:basedOn w:val="19"/>
    <w:link w:val="3"/>
    <w:qFormat/>
    <w:uiPriority w:val="9"/>
    <w:rPr>
      <w:rFonts w:asciiTheme="majorHAnsi" w:hAnsiTheme="majorHAnsi" w:eastAsiaTheme="majorEastAsia" w:cstheme="majorBidi"/>
      <w:b/>
      <w:bCs/>
      <w:kern w:val="2"/>
      <w:sz w:val="32"/>
      <w:szCs w:val="32"/>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10"/>
    <w:semiHidden/>
    <w:qFormat/>
    <w:uiPriority w:val="99"/>
    <w:rPr>
      <w:rFonts w:ascii="Times New Roman" w:hAnsi="Times New Roman"/>
      <w:kern w:val="2"/>
      <w:sz w:val="18"/>
      <w:szCs w:val="18"/>
    </w:rPr>
  </w:style>
  <w:style w:type="character" w:customStyle="1" w:styleId="35">
    <w:name w:val="标题 3 字符"/>
    <w:basedOn w:val="19"/>
    <w:link w:val="4"/>
    <w:qFormat/>
    <w:uiPriority w:val="9"/>
    <w:rPr>
      <w:rFonts w:ascii="Times New Roman" w:hAnsi="Times New Roman"/>
      <w:b/>
      <w:bCs/>
      <w:kern w:val="2"/>
      <w:sz w:val="32"/>
      <w:szCs w:val="32"/>
    </w:rPr>
  </w:style>
  <w:style w:type="paragraph" w:customStyle="1" w:styleId="36">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5.e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4.emf"/><Relationship Id="rId27" Type="http://schemas.openxmlformats.org/officeDocument/2006/relationships/oleObject" Target="embeddings/oleObject7.bin"/><Relationship Id="rId26" Type="http://schemas.openxmlformats.org/officeDocument/2006/relationships/image" Target="media/image13.emf"/><Relationship Id="rId25" Type="http://schemas.openxmlformats.org/officeDocument/2006/relationships/oleObject" Target="embeddings/oleObject6.bin"/><Relationship Id="rId24" Type="http://schemas.openxmlformats.org/officeDocument/2006/relationships/image" Target="media/image12.emf"/><Relationship Id="rId23" Type="http://schemas.openxmlformats.org/officeDocument/2006/relationships/oleObject" Target="embeddings/oleObject5.bin"/><Relationship Id="rId22" Type="http://schemas.openxmlformats.org/officeDocument/2006/relationships/image" Target="media/image11.emf"/><Relationship Id="rId21" Type="http://schemas.openxmlformats.org/officeDocument/2006/relationships/oleObject" Target="embeddings/oleObject4.bin"/><Relationship Id="rId20" Type="http://schemas.openxmlformats.org/officeDocument/2006/relationships/image" Target="media/image10.e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emf"/><Relationship Id="rId17" Type="http://schemas.openxmlformats.org/officeDocument/2006/relationships/oleObject" Target="embeddings/oleObject2.bin"/><Relationship Id="rId16" Type="http://schemas.openxmlformats.org/officeDocument/2006/relationships/image" Target="media/image8.e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2"/>
    <customShpInfo spid="_x0000_s1033"/>
    <customShpInfo spid="_x0000_s1039"/>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65</Pages>
  <Words>1062</Words>
  <Characters>1664</Characters>
  <Lines>72</Lines>
  <Paragraphs>20</Paragraphs>
  <TotalTime>20</TotalTime>
  <ScaleCrop>false</ScaleCrop>
  <LinksUpToDate>false</LinksUpToDate>
  <CharactersWithSpaces>1670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花红易衰</cp:lastModifiedBy>
  <cp:lastPrinted>2023-08-03T10:35:00Z</cp:lastPrinted>
  <dcterms:modified xsi:type="dcterms:W3CDTF">2026-05-25T09:53:11Z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C7973928349C4008BE532B071326DA5F_13</vt:lpwstr>
  </property>
  <property fmtid="{D5CDD505-2E9C-101B-9397-08002B2CF9AE}" pid="4" name="KSOTemplateDocerSaveRecord">
    <vt:lpwstr>eyJoZGlkIjoiOGUxMjc5MjYzMDQzZjQ3YjY1MjJkZmYwMWJhNDdkY2EiLCJ1c2VySWQiOiI0MzMxNDkwMDYifQ==</vt:lpwstr>
  </property>
</Properties>
</file>