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rPr>
          <w:rFonts w:ascii="Times New Roman" w:eastAsia="黑体" w:hAnsi="Times New Roman"/>
          <w:color w:val="auto"/>
          <w:kern w:val="2"/>
          <w:sz w:val="32"/>
          <w:szCs w:val="32"/>
          <w:lang w:val="en-US" w:eastAsia="zh-CN" w:bidi="ar-SA"/>
          <w:highlight w:val="auto"/>
        </w:rPr>
      </w:pPr>
      <w:bookmarkStart w:id="0" w:name="_Toc15378441"/>
      <w:bookmarkStart w:id="1" w:name="_Toc15377425"/>
      <w:bookmarkStart w:id="2" w:name="_Toc15377193"/>
      <w:bookmarkStart w:id="3" w:name="_Toc15396597"/>
      <w:bookmarkStart w:id="4" w:name="_Toc15396475"/>
      <w:bookmarkStart w:id="5" w:name="_Toc15306267"/>
      <w:r>
        <w:rPr>
          <w:rFonts w:ascii="Times New Roman" w:eastAsia="黑体" w:hAnsi="Times New Roman"/>
          <w:color w:val="auto"/>
          <w:kern w:val="2"/>
          <w:sz w:val="32"/>
          <w:szCs w:val="32"/>
          <w:lang w:val="en-US" w:eastAsia="zh-CN" w:bidi="ar-SA"/>
          <w:highlight w:val="auto"/>
        </w:rPr>
        <w:t>附件4</w:t>
      </w:r>
    </w:p>
    <w:p>
      <w:pPr>
        <w:pStyle w:val="18"/>
        <w:rPr>
          <w:rFonts w:ascii="Times New Roman" w:eastAsia="方正小标宋简体" w:hAnsi="Times New Roman"/>
          <w:color w:val="auto"/>
          <w:kern w:val="2"/>
          <w:sz w:val="72"/>
          <w:szCs w:val="72"/>
          <w:lang w:val="en-US" w:eastAsia="zh-CN" w:bidi="ar-SA"/>
          <w:highlight w:val="auto"/>
        </w:rPr>
      </w:pPr>
    </w:p>
    <w:p>
      <w:pPr>
        <w:pStyle w:val="18"/>
        <w:rPr>
          <w:rFonts w:ascii="Times New Roman" w:eastAsia="方正小标宋简体" w:hAnsi="Times New Roman"/>
          <w:color w:val="auto"/>
          <w:kern w:val="2"/>
          <w:sz w:val="72"/>
          <w:szCs w:val="72"/>
          <w:lang w:val="en-US" w:eastAsia="zh-CN" w:bidi="ar-SA"/>
          <w:highlight w:val="auto"/>
        </w:rPr>
      </w:pPr>
    </w:p>
    <w:p>
      <w:pPr>
        <w:pStyle w:val="18"/>
        <w:rPr>
          <w:rFonts w:ascii="Times New Roman" w:eastAsia="方正小标宋简体" w:hAnsi="Times New Roman"/>
          <w:color w:val="auto"/>
          <w:kern w:val="2"/>
          <w:sz w:val="72"/>
          <w:szCs w:val="72"/>
          <w:lang w:val="en-US" w:eastAsia="zh-CN" w:bidi="ar-SA"/>
          <w:highlight w:val="auto"/>
        </w:rPr>
      </w:pPr>
    </w:p>
    <w:p>
      <w:pPr>
        <w:pStyle w:val="18"/>
        <w:rPr>
          <w:rFonts w:ascii="Times New Roman" w:eastAsia="方正小标宋简体" w:hAnsi="Times New Roman"/>
          <w:color w:val="auto"/>
          <w:kern w:val="2"/>
          <w:sz w:val="72"/>
          <w:szCs w:val="72"/>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r>
        <w:rPr>
          <w:rFonts w:ascii="Times New Roman" w:eastAsia="方正小标宋简体" w:hAnsi="Times New Roman"/>
          <w:color w:val="auto"/>
          <w:kern w:val="2"/>
          <w:sz w:val="44"/>
          <w:szCs w:val="44"/>
          <w:lang w:val="en-US" w:eastAsia="zh-CN" w:bidi="ar-SA"/>
          <w:highlight w:val="auto"/>
        </w:rPr>
        <w:t>2025年度州级部门（单位）决算</w:t>
      </w:r>
    </w:p>
    <w:p>
      <w:pPr>
        <w:pStyle w:val="18"/>
        <w:jc w:val="center"/>
        <w:rPr>
          <w:rFonts w:ascii="Times New Roman" w:eastAsia="方正小标宋简体" w:hAnsi="Times New Roman"/>
          <w:color w:val="auto"/>
          <w:kern w:val="2"/>
          <w:sz w:val="44"/>
          <w:szCs w:val="44"/>
          <w:lang w:val="en-US" w:eastAsia="zh-CN" w:bidi="ar-SA"/>
          <w:highlight w:val="auto"/>
        </w:rPr>
      </w:pPr>
      <w:r>
        <w:rPr>
          <w:rFonts w:ascii="Times New Roman" w:eastAsia="方正小标宋简体" w:hAnsi="Times New Roman"/>
          <w:color w:val="auto"/>
          <w:kern w:val="2"/>
          <w:sz w:val="44"/>
          <w:szCs w:val="44"/>
          <w:lang w:val="en-US" w:eastAsia="zh-CN" w:bidi="ar-SA"/>
          <w:highlight w:val="auto"/>
        </w:rPr>
        <w:t>公开文字说明范本及样表</w:t>
      </w:r>
    </w:p>
    <w:p>
      <w:pPr>
        <w:spacing w:line="600" w:lineRule="exact"/>
        <w:jc w:val="center"/>
        <w:outlineLvl w:val="0"/>
        <w:rPr>
          <w:rFonts w:eastAsia="方正小标宋简体"/>
          <w:color w:val="auto"/>
          <w:sz w:val="72"/>
          <w:szCs w:val="72"/>
          <w:highlight w:val="auto"/>
        </w:rPr>
      </w:pPr>
    </w:p>
    <w:p>
      <w:pPr>
        <w:pStyle w:val="27"/>
        <w:rPr>
          <w:rFonts w:ascii="Times New Roman" w:hAnsi="Times New Roman"/>
        </w:rPr>
        <w:sectPr>
          <w:headerReference w:type="default" r:id="rId2"/>
          <w:footerReference w:type="default" r:id="rId3"/>
          <w:pgSz w:w="11906" w:h="16838"/>
          <w:pgMar w:top="1440" w:right="1800" w:bottom="1440" w:left="1800" w:header="851" w:footer="992" w:gutter="0"/>
          <w:pgNumType w:start="1"/>
          <w:titlePg/>
          <w:docGrid w:type="lines" w:linePitch="312" w:charSpace="0"/>
        </w:sectPr>
      </w:pPr>
    </w:p>
    <w:p/>
    <w:p>
      <w:pPr>
        <w:pStyle w:val="18"/>
        <w:spacing w:beforeLines="0" w:before="93"/>
        <w:jc w:val="center"/>
        <w:rPr>
          <w:rFonts w:ascii="Times New Roman" w:eastAsia="方正小标宋简体" w:hAnsi="Times New Roman"/>
          <w:kern w:val="2"/>
          <w:sz w:val="44"/>
          <w:szCs w:val="44"/>
        </w:rPr>
      </w:pPr>
      <w:bookmarkStart w:id="6" w:name="_Toc15377426"/>
      <w:bookmarkStart w:id="7" w:name="_Toc15378442"/>
      <w:bookmarkStart w:id="8" w:name="_Toc15377194"/>
      <w:bookmarkStart w:id="9" w:name="_Toc15396476"/>
      <w:bookmarkStart w:id="10" w:name="_Toc15396598"/>
      <w:bookmarkEnd w:id="0"/>
      <w:bookmarkEnd w:id="1"/>
      <w:bookmarkEnd w:id="2"/>
      <w:bookmarkEnd w:id="3"/>
      <w:bookmarkEnd w:id="4"/>
      <w:r>
        <w:rPr>
          <w:rFonts w:ascii="Times New Roman" w:eastAsia="方正小标宋简体" w:hAnsi="Times New Roman"/>
          <w:kern w:val="2"/>
          <w:sz w:val="44"/>
          <w:szCs w:val="44"/>
        </w:rPr>
        <w:t>2025年度四川省阿坝州</w:t>
      </w:r>
    </w:p>
    <w:p>
      <w:pPr>
        <w:pStyle w:val="18"/>
        <w:spacing w:beforeLines="0" w:before="93"/>
        <w:jc w:val="center"/>
        <w:rPr>
          <w:rFonts w:ascii="Times New Roman" w:eastAsia="方正小标宋简体" w:hAnsi="Times New Roman"/>
          <w:kern w:val="2"/>
          <w:sz w:val="44"/>
          <w:szCs w:val="44"/>
          <w:lang w:val="en-US" w:eastAsia="zh-CN"/>
        </w:rPr>
      </w:pPr>
      <w:r>
        <w:rPr>
          <w:rFonts w:ascii="Times New Roman" w:eastAsia="方正小标宋简体" w:hAnsi="Times New Roman"/>
          <w:kern w:val="2"/>
          <w:sz w:val="44"/>
          <w:szCs w:val="44"/>
          <w:lang w:val="en-US" w:eastAsia="zh-CN"/>
        </w:rPr>
        <w:t>大熊猫国家公园阿坝管理分局</w:t>
      </w:r>
      <w:bookmarkStart w:id="11" w:name="_Toc15306268"/>
      <w:r>
        <w:rPr>
          <w:rFonts w:ascii="Times New Roman" w:eastAsia="方正小标宋简体" w:hAnsi="Times New Roman"/>
          <w:color w:val="auto"/>
          <w:kern w:val="2"/>
          <w:sz w:val="44"/>
          <w:szCs w:val="44"/>
          <w:lang w:val="en-US" w:eastAsia="zh-CN" w:bidi="ar-SA"/>
          <w:highlight w:val="auto"/>
        </w:rPr>
        <w:t>部门决算</w:t>
      </w:r>
      <w:bookmarkEnd w:id="11"/>
    </w:p>
    <w:p>
      <w:pPr>
        <w:pStyle w:val="18"/>
        <w:jc w:val="center"/>
        <w:rPr>
          <w:rFonts w:ascii="Times New Roman" w:eastAsia="方正小标宋简体" w:hAnsi="Times New Roman"/>
          <w:color w:val="auto"/>
          <w:kern w:val="2"/>
          <w:sz w:val="44"/>
          <w:szCs w:val="44"/>
          <w:lang w:val="en-US" w:eastAsia="zh-CN" w:bidi="ar-SA"/>
          <w:highlight w:val="auto"/>
        </w:rPr>
      </w:pPr>
      <w:r>
        <w:rPr>
          <w:rFonts w:ascii="Times New Roman" w:eastAsia="方正小标宋简体" w:hAnsi="Times New Roman"/>
          <w:color w:val="auto"/>
          <w:kern w:val="2"/>
          <w:sz w:val="44"/>
          <w:szCs w:val="44"/>
          <w:lang w:val="en-US" w:eastAsia="zh-CN" w:bidi="ar-SA"/>
          <w:highlight w:val="auto"/>
        </w:rPr>
        <w:t>、</w:t>
      </w: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p>
    <w:p>
      <w:pPr>
        <w:widowControl/>
        <w:jc w:val="center"/>
        <w:rPr>
          <w:rFonts w:eastAsia="黑体"/>
          <w:color w:val="auto"/>
          <w:sz w:val="48"/>
          <w:szCs w:val="48"/>
          <w:highlight w:val="auto"/>
        </w:rPr>
      </w:pPr>
      <w:bookmarkEnd w:id="5"/>
      <w:bookmarkEnd w:id="6"/>
      <w:bookmarkEnd w:id="7"/>
      <w:bookmarkEnd w:id="8"/>
      <w:bookmarkEnd w:id="9"/>
      <w:bookmarkEnd w:id="10"/>
      <w:r>
        <w:rPr>
          <w:rFonts w:eastAsia="黑体"/>
          <w:color w:val="auto"/>
          <w:sz w:val="48"/>
          <w:szCs w:val="48"/>
          <w:highlight w:val="auto"/>
        </w:rPr>
        <w:t>目录</w:t>
      </w:r>
    </w:p>
    <w:p>
      <w:pPr>
        <w:widowControl/>
        <w:jc w:val="center"/>
        <w:rPr>
          <w:rFonts w:eastAsia="黑体"/>
          <w:color w:val="auto"/>
          <w:sz w:val="28"/>
          <w:szCs w:val="28"/>
          <w:highlight w:val="auto"/>
        </w:rPr>
      </w:pPr>
    </w:p>
    <w:p>
      <w:pPr>
        <w:pStyle w:val="23"/>
        <w:tabs>
          <w:tab w:val="right" w:leader="dot" w:pos="8296"/>
        </w:tabs>
        <w:rPr>
          <w:rFonts w:ascii="Times New Roman" w:eastAsia="仿宋_GB2312" w:hAnsi="Times New Roman"/>
          <w:color w:val="auto"/>
          <w:sz w:val="32"/>
          <w:szCs w:val="32"/>
          <w:highlight w:val="auto"/>
        </w:rPr>
      </w:pPr>
      <w:r>
        <w:rPr>
          <w:rFonts w:ascii="Times New Roman" w:eastAsia="仿宋_GB2312" w:hAnsi="Times New Roman"/>
          <w:color w:val="auto"/>
          <w:sz w:val="32"/>
          <w:szCs w:val="32"/>
          <w:highlight w:val="auto"/>
        </w:rPr>
        <w:t>公开时间：20</w:t>
      </w:r>
      <w:r>
        <w:rPr>
          <w:rFonts w:ascii="Times New Roman" w:eastAsia="仿宋_GB2312" w:hAnsi="Times New Roman"/>
          <w:color w:val="auto"/>
          <w:sz w:val="32"/>
          <w:szCs w:val="32"/>
          <w:lang w:val="en-US" w:eastAsia="zh-CN"/>
          <w:highlight w:val="auto"/>
        </w:rPr>
        <w:t>26</w:t>
      </w:r>
      <w:r>
        <w:rPr>
          <w:rFonts w:ascii="Times New Roman" w:eastAsia="仿宋_GB2312" w:hAnsi="Times New Roman"/>
          <w:color w:val="auto"/>
          <w:sz w:val="32"/>
          <w:szCs w:val="32"/>
          <w:highlight w:val="auto"/>
        </w:rPr>
        <w:t>年</w:t>
      </w:r>
      <w:r>
        <w:rPr>
          <w:rFonts w:ascii="Times New Roman" w:eastAsia="仿宋_GB2312" w:hAnsi="Times New Roman"/>
          <w:color w:val="auto"/>
          <w:sz w:val="32"/>
          <w:szCs w:val="32"/>
          <w:lang w:val="en-US" w:eastAsia="zh-CN"/>
          <w:highlight w:val="auto"/>
        </w:rPr>
        <w:t>9</w:t>
      </w:r>
      <w:r>
        <w:rPr>
          <w:rFonts w:ascii="Times New Roman" w:eastAsia="仿宋_GB2312" w:hAnsi="Times New Roman"/>
          <w:color w:val="auto"/>
          <w:sz w:val="32"/>
          <w:szCs w:val="32"/>
          <w:highlight w:val="auto"/>
        </w:rPr>
        <w:t>月</w:t>
      </w:r>
      <w:r>
        <w:rPr>
          <w:rFonts w:ascii="Times New Roman" w:eastAsia="仿宋_GB2312" w:hAnsi="Times New Roman"/>
          <w:color w:val="auto"/>
          <w:sz w:val="32"/>
          <w:szCs w:val="32"/>
          <w:lang w:val="en-US" w:eastAsia="zh-CN"/>
          <w:highlight w:val="auto"/>
        </w:rPr>
        <w:t>3</w:t>
      </w:r>
      <w:r>
        <w:rPr>
          <w:rFonts w:ascii="Times New Roman" w:eastAsia="仿宋_GB2312" w:hAnsi="Times New Roman"/>
          <w:color w:val="auto"/>
          <w:sz w:val="32"/>
          <w:szCs w:val="32"/>
          <w:highlight w:val="auto"/>
        </w:rPr>
        <w:t>日</w:t>
      </w:r>
      <w:bookmarkStart w:id="12" w:name="_GoBack"/>
      <w:bookmarkEnd w:id="12"/>
    </w:p>
    <w:p>
      <w:pPr>
        <w:rPr>
          <w:color w:val="auto"/>
          <w:highlight w:val="auto"/>
        </w:rPr>
      </w:pP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hAnsi="Times New Roman"/>
          <w:color w:val="auto"/>
          <w:sz w:val="32"/>
          <w:szCs w:val="32"/>
          <w:highlight w:val="auto"/>
        </w:rPr>
      </w:pPr>
      <w:r>
        <w:rPr>
          <w:rFonts w:ascii="Times New Roman" w:eastAsia="黑体" w:hAnsi="Times New Roman"/>
          <w:color w:val="auto"/>
          <w:sz w:val="32"/>
          <w:szCs w:val="32"/>
          <w:highlight w:val="auto"/>
        </w:rPr>
        <w:t xml:space="preserve">第一部分 部门概况..................................................................4 </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一、</w:t>
      </w:r>
      <w:r>
        <w:rPr>
          <w:rFonts w:eastAsia="仿宋_GB2312"/>
          <w:color w:val="auto"/>
          <w:sz w:val="32"/>
          <w:szCs w:val="32"/>
          <w:lang w:eastAsia="zh-CN"/>
          <w:highlight w:val="auto"/>
        </w:rPr>
        <w:t>部门职责............................</w:t>
      </w:r>
      <w:r>
        <w:rPr>
          <w:rFonts w:ascii="Times New Roman" w:eastAsia="黑体" w:hAnsi="Times New Roman"/>
          <w:color w:val="auto"/>
          <w:sz w:val="32"/>
          <w:szCs w:val="32"/>
          <w:highlight w:val="auto"/>
        </w:rPr>
        <w:t>...................................</w:t>
      </w:r>
      <w:r>
        <w:rPr>
          <w:rFonts w:eastAsia="仿宋_GB2312"/>
          <w:color w:val="auto"/>
          <w:sz w:val="32"/>
          <w:szCs w:val="32"/>
          <w:lang w:eastAsia="zh-CN"/>
          <w:highlight w:val="auto"/>
        </w:rPr>
        <w:t>.....4</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二、机构设置...........................................</w:t>
      </w:r>
      <w:r>
        <w:rPr>
          <w:rFonts w:ascii="Times New Roman" w:eastAsia="黑体" w:hAnsi="Times New Roman"/>
          <w:color w:val="auto"/>
          <w:sz w:val="32"/>
          <w:szCs w:val="32"/>
          <w:highlight w:val="auto"/>
        </w:rPr>
        <w:t>..........................</w:t>
      </w:r>
      <w:r>
        <w:rPr>
          <w:rFonts w:eastAsia="仿宋_GB2312"/>
          <w:color w:val="auto"/>
          <w:sz w:val="32"/>
          <w:szCs w:val="32"/>
          <w:highlight w:val="auto"/>
        </w:rPr>
        <w:t>6</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hAnsi="Times New Roman"/>
          <w:color w:val="auto"/>
          <w:sz w:val="32"/>
          <w:szCs w:val="32"/>
          <w:highlight w:val="auto"/>
        </w:rPr>
      </w:pPr>
      <w:r>
        <w:rPr>
          <w:rFonts w:ascii="Times New Roman" w:eastAsia="黑体" w:hAnsi="Times New Roman"/>
          <w:color w:val="auto"/>
          <w:sz w:val="32"/>
          <w:szCs w:val="32"/>
          <w:highlight w:val="auto"/>
        </w:rPr>
        <w:t>第二部分</w:t>
      </w:r>
      <w:r>
        <w:rPr>
          <w:rFonts w:ascii="Times New Roman" w:eastAsia="黑体" w:hAnsi="Times New Roman"/>
          <w:color w:val="auto"/>
          <w:sz w:val="32"/>
          <w:szCs w:val="32"/>
          <w:lang w:val="en-US" w:eastAsia="zh-CN"/>
          <w:highlight w:val="auto"/>
        </w:rPr>
        <w:t xml:space="preserve"> 2025年度</w:t>
      </w:r>
      <w:r>
        <w:rPr>
          <w:rFonts w:ascii="Times New Roman" w:eastAsia="黑体" w:hAnsi="Times New Roman"/>
          <w:color w:val="auto"/>
          <w:sz w:val="32"/>
          <w:szCs w:val="32"/>
          <w:highlight w:val="auto"/>
        </w:rPr>
        <w:t>部门决算情况说明</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一、收入支出决算总体情况说明....................................7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二、收入决算情况说明.....................................................8</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三、支出决算情况说明......................................................8</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四、财政拨款收入支出决算总体情况说明.......................9</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五、一般公共预算财政拨款支出决算情况说明</w:t>
      </w:r>
      <w:r>
        <w:rPr>
          <w:rFonts w:ascii="Times New Roman" w:eastAsia="黑体" w:hAnsi="Times New Roman"/>
          <w:color w:val="auto"/>
          <w:sz w:val="32"/>
          <w:szCs w:val="32"/>
          <w:highlight w:val="auto"/>
        </w:rPr>
        <w:t>...............9</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六、一般公共预算财政拨款基本支出决算情况说明</w:t>
      </w:r>
      <w:r>
        <w:rPr>
          <w:rFonts w:ascii="Times New Roman" w:eastAsia="黑体" w:hAnsi="Times New Roman"/>
          <w:color w:val="auto"/>
          <w:sz w:val="32"/>
          <w:szCs w:val="32"/>
          <w:highlight w:val="auto"/>
        </w:rPr>
        <w:t>.....12</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七、财政拨款</w:t>
      </w:r>
      <w:r>
        <w:rPr>
          <w:rFonts w:eastAsia="仿宋_GB2312"/>
          <w:color w:val="auto"/>
          <w:sz w:val="32"/>
          <w:szCs w:val="32"/>
          <w:lang w:eastAsia="zh-CN"/>
          <w:highlight w:val="auto"/>
        </w:rPr>
        <w:t>“</w:t>
      </w:r>
      <w:r>
        <w:rPr>
          <w:rFonts w:eastAsia="仿宋_GB2312"/>
          <w:color w:val="auto"/>
          <w:sz w:val="32"/>
          <w:szCs w:val="32"/>
          <w:highlight w:val="auto"/>
        </w:rPr>
        <w:t>三公”经费支出决算情况说明</w:t>
      </w:r>
      <w:r>
        <w:rPr>
          <w:rFonts w:ascii="Times New Roman" w:eastAsia="黑体" w:hAnsi="Times New Roman"/>
          <w:color w:val="auto"/>
          <w:sz w:val="32"/>
          <w:szCs w:val="32"/>
          <w:highlight w:val="auto"/>
        </w:rPr>
        <w:t>..................13</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八、政府性基金预算支出决算情况说明</w:t>
      </w:r>
      <w:r>
        <w:rPr>
          <w:rFonts w:ascii="Times New Roman" w:eastAsia="黑体" w:hAnsi="Times New Roman"/>
          <w:color w:val="auto"/>
          <w:sz w:val="32"/>
          <w:szCs w:val="32"/>
          <w:highlight w:val="auto"/>
        </w:rPr>
        <w:t>.........................15</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九、</w:t>
      </w:r>
      <w:r>
        <w:rPr>
          <w:rFonts w:eastAsia="仿宋_GB2312"/>
          <w:color w:val="auto"/>
          <w:sz w:val="32"/>
          <w:szCs w:val="32"/>
          <w:lang w:eastAsia="zh-CN"/>
          <w:highlight w:val="auto"/>
        </w:rPr>
        <w:t>国</w:t>
      </w:r>
      <w:r>
        <w:rPr>
          <w:rFonts w:eastAsia="仿宋_GB2312"/>
          <w:color w:val="auto"/>
          <w:sz w:val="32"/>
          <w:szCs w:val="32"/>
          <w:highlight w:val="auto"/>
        </w:rPr>
        <w:t>有资本经营预算支出决算情况说明</w:t>
      </w:r>
      <w:r>
        <w:rPr>
          <w:rFonts w:ascii="Times New Roman" w:eastAsia="黑体" w:hAnsi="Times New Roman"/>
          <w:color w:val="auto"/>
          <w:sz w:val="32"/>
          <w:szCs w:val="32"/>
          <w:highlight w:val="auto"/>
        </w:rPr>
        <w:t>.....................15</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lang w:eastAsia="zh-CN"/>
          <w:highlight w:val="auto"/>
        </w:rPr>
        <w:t>十</w:t>
      </w:r>
      <w:r>
        <w:rPr>
          <w:rFonts w:eastAsia="仿宋_GB2312"/>
          <w:color w:val="auto"/>
          <w:sz w:val="32"/>
          <w:szCs w:val="32"/>
          <w:highlight w:val="auto"/>
        </w:rPr>
        <w:t>、其他重要事项的情况说明</w:t>
      </w:r>
      <w:r>
        <w:rPr>
          <w:rFonts w:ascii="Times New Roman" w:eastAsia="黑体" w:hAnsi="Times New Roman"/>
          <w:color w:val="auto"/>
          <w:sz w:val="32"/>
          <w:szCs w:val="32"/>
          <w:highlight w:val="auto"/>
        </w:rPr>
        <w:t>........................................15</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hAnsi="Times New Roman"/>
          <w:color w:val="auto"/>
          <w:sz w:val="32"/>
          <w:szCs w:val="32"/>
          <w:highlight w:val="auto"/>
        </w:rPr>
      </w:pPr>
      <w:r>
        <w:rPr>
          <w:rFonts w:ascii="Times New Roman" w:eastAsia="黑体" w:hAnsi="Times New Roman"/>
          <w:color w:val="auto"/>
          <w:sz w:val="32"/>
          <w:szCs w:val="32"/>
          <w:highlight w:val="auto"/>
        </w:rPr>
        <w:t>第三部分 名词解释.................................................................18</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hAnsi="Times New Roman"/>
          <w:color w:val="auto"/>
          <w:sz w:val="32"/>
          <w:szCs w:val="32"/>
          <w:highlight w:val="auto"/>
        </w:rPr>
      </w:pPr>
      <w:r>
        <w:rPr>
          <w:rFonts w:ascii="Times New Roman" w:eastAsia="黑体" w:hAnsi="Times New Roman"/>
          <w:color w:val="auto"/>
          <w:sz w:val="32"/>
          <w:szCs w:val="32"/>
          <w:highlight w:val="auto"/>
        </w:rPr>
        <w:t>第四部分 附件.........................................................................21</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hAnsi="Times New Roman"/>
          <w:color w:val="auto"/>
          <w:sz w:val="32"/>
          <w:szCs w:val="32"/>
          <w:highlight w:val="auto"/>
        </w:rPr>
      </w:pPr>
      <w:r>
        <w:rPr>
          <w:rFonts w:ascii="Times New Roman" w:eastAsia="黑体" w:hAnsi="Times New Roman"/>
          <w:color w:val="auto"/>
          <w:sz w:val="32"/>
          <w:szCs w:val="32"/>
          <w:highlight w:val="auto"/>
        </w:rPr>
        <w:t>第五部分 附表.........................................................................40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一、收入支出决算总表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二、收入决算表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三、支出决算表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adjustRightInd w:val="0"/>
        <w:snapToGrid w:val="0"/>
        <w:spacing w:line="560" w:lineRule="exact"/>
        <w:ind w:leftChars="0" w:left="0" w:firstLineChars="200" w:firstLine="640"/>
        <w:jc w:val="left"/>
        <w:rPr>
          <w:rFonts w:eastAsia="仿宋_GB2312"/>
          <w:color w:val="auto"/>
          <w:sz w:val="32"/>
          <w:szCs w:val="32"/>
          <w:highlight w:val="auto"/>
        </w:rPr>
      </w:pPr>
      <w:r>
        <w:rPr>
          <w:rFonts w:eastAsia="仿宋_GB2312"/>
          <w:color w:val="auto"/>
          <w:sz w:val="32"/>
          <w:szCs w:val="32"/>
          <w:highlight w:val="auto"/>
        </w:rPr>
        <w:t>四、财政拨款收入支出决算总表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五、财政拨款支出决算明细表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六、一般公共预算财政拨款支出决算表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七、一般公共预算财政拨款支出决算明细表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八、一般公共预算财政拨款基本支出决算</w:t>
      </w:r>
      <w:r>
        <w:rPr>
          <w:rFonts w:eastAsia="仿宋_GB2312"/>
          <w:color w:val="auto"/>
          <w:sz w:val="32"/>
          <w:szCs w:val="32"/>
          <w:lang w:eastAsia="zh-CN"/>
          <w:highlight w:val="auto"/>
        </w:rPr>
        <w:t>明细</w:t>
      </w:r>
      <w:r>
        <w:rPr>
          <w:rFonts w:eastAsia="仿宋_GB2312"/>
          <w:color w:val="auto"/>
          <w:sz w:val="32"/>
          <w:szCs w:val="32"/>
          <w:highlight w:val="auto"/>
        </w:rPr>
        <w:t>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九、一般公共预算财政拨款项目支出决算表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十、政府性基金预算财政拨款收入支出决算表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十一、国有资本经营预算财政拨款收入支出决算表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十二、</w:t>
      </w:r>
      <w:r>
        <w:rPr>
          <w:rFonts w:eastAsia="仿宋_GB2312"/>
          <w:color w:val="auto"/>
          <w:sz w:val="32"/>
          <w:szCs w:val="32"/>
          <w:lang w:val="en-US" w:eastAsia="zh-CN"/>
          <w:highlight w:val="auto"/>
        </w:rPr>
        <w:t>国有资本经营预算财政拨款支出决算表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color w:val="auto"/>
          <w:sz w:val="32"/>
          <w:szCs w:val="32"/>
          <w:highlight w:val="auto"/>
        </w:rPr>
      </w:pPr>
      <w:r>
        <w:rPr>
          <w:rFonts w:eastAsia="仿宋_GB2312"/>
          <w:color w:val="auto"/>
          <w:sz w:val="32"/>
          <w:szCs w:val="32"/>
          <w:highlight w:val="auto"/>
        </w:rPr>
        <w:t>十三、财政拨款“三公”经费支出决算表</w:t>
      </w:r>
      <w:r>
        <w:rPr>
          <w:rFonts w:ascii="Times New Roman" w:eastAsia="黑体" w:hAnsi="Times New Roman"/>
          <w:color w:val="auto"/>
          <w:sz w:val="32"/>
          <w:szCs w:val="32"/>
          <w:highlight w:val="auto"/>
        </w:rPr>
        <w:t>..........................40</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eastAsia="仿宋_GB2312"/>
          <w:b/>
          <w:bCs/>
          <w:color w:val="auto"/>
          <w:sz w:val="32"/>
          <w:szCs w:val="32"/>
          <w:lang w:eastAsia="zh-CN"/>
          <w:highlight w:val="auto"/>
        </w:rPr>
      </w:pPr>
      <w:r>
        <w:rPr>
          <w:rFonts w:eastAsia="仿宋_GB2312"/>
          <w:b/>
          <w:bCs/>
          <w:color w:val="auto"/>
          <w:sz w:val="32"/>
          <w:szCs w:val="32"/>
          <w:lang w:eastAsia="zh-CN"/>
          <w:highlight w:val="auto"/>
        </w:rPr>
        <w:t>（</w:t>
      </w:r>
      <w:r>
        <w:rPr>
          <w:rFonts w:eastAsia="仿宋_GB2312"/>
          <w:b/>
          <w:bCs/>
          <w:color w:val="auto"/>
          <w:sz w:val="32"/>
          <w:szCs w:val="32"/>
          <w:highlight w:val="auto"/>
        </w:rPr>
        <w:t>注：请部门根据实际注明页码</w:t>
      </w:r>
      <w:r>
        <w:rPr>
          <w:rFonts w:eastAsia="仿宋_GB2312"/>
          <w:b/>
          <w:bCs/>
          <w:color w:val="auto"/>
          <w:sz w:val="32"/>
          <w:szCs w:val="32"/>
          <w:lang w:eastAsia="zh-CN"/>
          <w:highlight w:val="auto"/>
        </w:rPr>
        <w:t>）</w:t>
      </w:r>
    </w:p>
    <w:p>
      <w:pPr>
        <w:keepNext w:val="0"/>
        <w:keepLines w:val="0"/>
        <w:pageBreakBefore w:val="0"/>
        <w:widowControl/>
        <w:kinsoku/>
        <w:wordWrap/>
        <w:overflowPunct/>
        <w:topLinePunct w:val="0"/>
        <w:autoSpaceDE/>
        <w:autoSpaceDN/>
        <w:bidi w:val="0"/>
        <w:spacing w:line="560" w:lineRule="exact"/>
        <w:jc w:val="left"/>
        <w:textAlignment w:val="auto"/>
        <w:rPr>
          <w:rFonts w:eastAsia="仿宋_GB2312"/>
          <w:bCs/>
          <w:color w:val="auto"/>
          <w:kern w:val="44"/>
          <w:sz w:val="32"/>
          <w:szCs w:val="32"/>
          <w:highlight w:val="auto"/>
        </w:rPr>
      </w:pPr>
      <w:bookmarkStart w:id="13" w:name="_Toc15377196"/>
      <w:bookmarkStart w:id="14" w:name="_Toc15396599"/>
      <w:r>
        <w:rPr>
          <w:rFonts w:eastAsia="仿宋_GB2312"/>
          <w:b/>
          <w:color w:val="auto"/>
          <w:sz w:val="32"/>
          <w:szCs w:val="32"/>
          <w:highlight w:val="auto"/>
        </w:rPr>
        <w:br w:type="page"/>
      </w:r>
    </w:p>
    <w:p>
      <w:pPr>
        <w:pStyle w:val="1"/>
        <w:jc w:val="center"/>
        <w:rPr>
          <w:rStyle w:val="1Char"/>
          <w:rFonts w:eastAsia="方正小标宋简体"/>
          <w:b/>
          <w:bCs w:val="0"/>
          <w:color w:val="auto"/>
          <w:highlight w:val="auto"/>
        </w:rPr>
      </w:pPr>
      <w:r>
        <w:rPr>
          <w:rFonts w:eastAsia="方正小标宋简体"/>
          <w:b w:val="0"/>
          <w:color w:val="auto"/>
          <w:highlight w:val="auto"/>
        </w:rPr>
        <w:t>第一部分</w:t>
      </w:r>
      <w:r>
        <w:rPr>
          <w:rFonts w:eastAsia="方正小标宋简体"/>
          <w:b w:val="0"/>
          <w:color w:val="auto"/>
          <w:lang w:val="en-US" w:eastAsia="zh-CN"/>
          <w:highlight w:val="auto"/>
        </w:rPr>
        <w:t xml:space="preserve"> </w:t>
      </w:r>
      <w:r>
        <w:rPr>
          <w:rFonts w:eastAsia="方正小标宋简体"/>
          <w:b w:val="0"/>
          <w:color w:val="auto"/>
          <w:highlight w:val="auto"/>
        </w:rPr>
        <w:t xml:space="preserve"> </w:t>
      </w:r>
      <w:r>
        <w:rPr>
          <w:rStyle w:val="1Char"/>
          <w:rFonts w:eastAsia="方正小标宋简体"/>
          <w:b w:val="0"/>
          <w:bCs w:val="0"/>
          <w:color w:val="auto"/>
          <w:highlight w:val="auto"/>
        </w:rPr>
        <w:t>部门概况</w:t>
      </w:r>
      <w:bookmarkEnd w:id="13"/>
      <w:bookmarkEnd w:id="14"/>
    </w:p>
    <w:p>
      <w:pPr>
        <w:widowControl/>
        <w:jc w:val="left"/>
        <w:rPr>
          <w:rFonts w:eastAsia="黑体"/>
          <w:color w:val="auto"/>
          <w:sz w:val="32"/>
          <w:szCs w:val="32"/>
          <w:highlight w:val="auto"/>
        </w:rPr>
      </w:pPr>
    </w:p>
    <w:p>
      <w:pPr>
        <w:pStyle w:val="2"/>
        <w:numPr>
          <w:ilvl w:val="0"/>
          <w:numId w:val="1"/>
        </w:numPr>
        <w:rPr>
          <w:rFonts w:ascii="Times New Roman" w:eastAsia="黑体" w:hAnsi="Times New Roman"/>
          <w:b w:val="0"/>
          <w:color w:val="auto"/>
          <w:lang w:eastAsia="zh-CN"/>
          <w:highlight w:val="auto"/>
        </w:rPr>
      </w:pPr>
      <w:bookmarkStart w:id="15" w:name="_Toc15396600"/>
      <w:bookmarkStart w:id="16" w:name="_Toc15377197"/>
      <w:bookmarkEnd w:id="15"/>
      <w:bookmarkEnd w:id="16"/>
      <w:r>
        <w:rPr>
          <w:rFonts w:ascii="Times New Roman" w:eastAsia="黑体" w:hAnsi="Times New Roman"/>
          <w:b w:val="0"/>
          <w:color w:val="auto"/>
          <w:lang w:eastAsia="zh-CN"/>
          <w:highlight w:val="auto"/>
        </w:rPr>
        <w:t>部门职责</w:t>
      </w:r>
    </w:p>
    <w:p>
      <w:pPr>
        <w:ind w:firstLineChars="250" w:firstLine="800"/>
        <w:rPr>
          <w:rFonts w:eastAsia="仿宋_GB2312"/>
          <w:sz w:val="32"/>
          <w:szCs w:val="32"/>
        </w:rPr>
      </w:pPr>
      <w:r>
        <w:rPr>
          <w:rFonts w:eastAsia="仿宋_GB2312"/>
          <w:sz w:val="32"/>
          <w:szCs w:val="32"/>
        </w:rPr>
        <w:t>根据阿委办发〔2020〕12号文件规定，我局主要职责是：具体承担辖区内大熊猫国家公园体制试点工作。负责以大熊猫为核心的生物多样性保护和资源环境综合执法；负责项目审查；组织实施特许经营和社会参与，建立社区可持续发展机制；配合地方政府落实国家公园内生产经营设施退出和生态移民搬迁工作；开展巡护监测、科学研究、生态体验和科普教育；组织实施生态工程、保护设施建设。完成省局交办的其他工作。</w:t>
      </w:r>
    </w:p>
    <w:p>
      <w:pPr>
        <w:ind w:firstLineChars="250" w:firstLine="800"/>
        <w:rPr>
          <w:rFonts w:eastAsia="仿宋_GB2312"/>
          <w:sz w:val="32"/>
          <w:szCs w:val="32"/>
        </w:rPr>
      </w:pPr>
      <w:r>
        <w:rPr>
          <w:rFonts w:eastAsia="仿宋_GB2312"/>
          <w:sz w:val="32"/>
          <w:szCs w:val="32"/>
        </w:rPr>
        <w:t>负责监督管理大熊猫国家公园阿坝园区野生动植物保护工作。开展阿坝园区野生动植物资源调查和资源状况评估，制定和落实野生动植物资源保护发展方案；监督管理阿坝园区陆生野生植物的采集、培植、经营利用；组织开展大熊猫保护、繁育、科研工作以及对外合作研究展示管理工作；开展陆生野生植物救护工作，开展野生动植物资源的保护与开发利用工作；开展陆生野生动物疫源疫病监测工作。</w:t>
      </w:r>
    </w:p>
    <w:p>
      <w:pPr>
        <w:ind w:firstLineChars="250" w:firstLine="800"/>
        <w:rPr>
          <w:rFonts w:eastAsia="仿宋_GB2312"/>
          <w:sz w:val="32"/>
          <w:szCs w:val="32"/>
        </w:rPr>
      </w:pPr>
      <w:r>
        <w:rPr>
          <w:rFonts w:eastAsia="仿宋_GB2312"/>
          <w:sz w:val="32"/>
          <w:szCs w:val="32"/>
        </w:rPr>
        <w:t>负责栖息地保护管理和相关规划。组织编制并组织实施大熊猫国家公园有关规划；负责大熊猫国家公园区划调整和保护地整合相关工作；组织开展大熊猫国家公园自然资源资产调查统计、监测评价；制定实施大熊猫国家公园自然生态保护计划和措施；组织实施大熊猫国家公园生态修复；负责规定权限内的项目审查。</w:t>
      </w:r>
    </w:p>
    <w:p>
      <w:pPr>
        <w:ind w:firstLineChars="250" w:firstLine="800"/>
        <w:rPr>
          <w:rFonts w:eastAsia="仿宋_GB2312"/>
          <w:sz w:val="32"/>
          <w:szCs w:val="32"/>
        </w:rPr>
      </w:pPr>
      <w:r>
        <w:rPr>
          <w:rFonts w:eastAsia="仿宋_GB2312"/>
          <w:sz w:val="32"/>
          <w:szCs w:val="32"/>
        </w:rPr>
        <w:t>负责大熊猫研究和科普宣教。组织开展国家公园大熊猫保护科学研究；组织开展大熊猫国家公园生物多样性和其他重要物种保护科学研究；承担大熊猫国家公园对外交流合作；组织开展大熊猫国家公园科学普及和自然教育活动；指导开展大熊猫国家公园游憩展示、生态体验和文化品牌建设。</w:t>
      </w:r>
    </w:p>
    <w:p>
      <w:pPr>
        <w:ind w:firstLineChars="250" w:firstLine="800"/>
        <w:rPr>
          <w:rFonts w:eastAsia="仿宋_GB2312"/>
          <w:sz w:val="32"/>
          <w:szCs w:val="32"/>
        </w:rPr>
      </w:pPr>
      <w:r>
        <w:rPr>
          <w:rFonts w:eastAsia="仿宋_GB2312"/>
          <w:sz w:val="32"/>
          <w:szCs w:val="32"/>
        </w:rPr>
        <w:t>负责建立社区生态保护共建共管运行机制。监督管理大熊猫国家公园特许经营活动；组织实施大熊猫国家公园生态移民搬迁工作；开展大熊猫国家公园社会参与、生态公益岗位管理；开展大熊猫国家公园社区共建共管；加强大熊猫国家公园生态产业发展；开展大熊猫国家公园集体土地流转和生态效益补偿。</w:t>
      </w:r>
    </w:p>
    <w:p>
      <w:pPr>
        <w:ind w:firstLineChars="250" w:firstLine="800"/>
        <w:rPr>
          <w:rFonts w:eastAsia="仿宋_GB2312"/>
          <w:sz w:val="32"/>
          <w:szCs w:val="32"/>
        </w:rPr>
      </w:pPr>
      <w:r>
        <w:rPr>
          <w:rFonts w:eastAsia="仿宋_GB2312"/>
          <w:sz w:val="32"/>
          <w:szCs w:val="32"/>
        </w:rPr>
        <w:t>负责政策法规研究和执法监督。组织开展大熊猫国家公园重大问题调查研究；执行大熊猫国家公园栖息地保护管理重要政策和标准；执行大熊猫国家公园相关法规和规章；开展大熊猫国家公园资源环境综合执法；配合大熊猫国家公园生态环境保护督察检查；负责大熊猫国家公园资源环境综合执法队伍建设。</w:t>
      </w:r>
    </w:p>
    <w:p>
      <w:pPr>
        <w:ind w:firstLineChars="250" w:firstLine="800"/>
        <w:rPr>
          <w:rFonts w:eastAsia="仿宋_GB2312"/>
          <w:sz w:val="32"/>
          <w:szCs w:val="32"/>
        </w:rPr>
      </w:pPr>
      <w:r>
        <w:rPr>
          <w:rFonts w:eastAsia="仿宋_GB2312"/>
          <w:sz w:val="32"/>
          <w:szCs w:val="32"/>
        </w:rPr>
        <w:t>负责各项建设和运行管理。组织编制并实施大熊猫国家公园基础设施建设规划；配合地方政府落实退出大熊猫国家公园生产经营设施；承担大熊猫国家公园管理、运营、公共服务等基础设施建设；承担大熊猫国家公园标识标志设置管理；负责大熊猫国家公园相关资产和设备管理；承担大熊猫国家公园数字化建设工作。</w:t>
      </w:r>
    </w:p>
    <w:p>
      <w:pPr>
        <w:pStyle w:val="2"/>
        <w:rPr>
          <w:rStyle w:val="0"/>
          <w:rFonts w:eastAsia="黑体"/>
          <w:b w:val="0"/>
          <w:bCs w:val="0"/>
          <w:sz w:val="32"/>
          <w:szCs w:val="32"/>
          <w:highlight w:val="auto"/>
        </w:rPr>
      </w:pPr>
      <w:bookmarkStart w:id="17" w:name="_Toc15396601"/>
      <w:bookmarkStart w:id="18" w:name="_Toc15377200"/>
      <w:r>
        <w:rPr>
          <w:rFonts w:ascii="Times New Roman" w:eastAsia="黑体" w:hAnsi="Times New Roman"/>
          <w:b w:val="0"/>
          <w:highlight w:val="auto"/>
        </w:rPr>
        <w:t>二、机</w:t>
      </w:r>
      <w:r>
        <w:rPr>
          <w:rStyle w:val="0"/>
          <w:rFonts w:eastAsia="黑体"/>
          <w:b w:val="0"/>
          <w:bCs w:val="0"/>
          <w:sz w:val="32"/>
          <w:szCs w:val="32"/>
          <w:highlight w:val="auto"/>
        </w:rPr>
        <w:t>构设置</w:t>
      </w:r>
      <w:bookmarkEnd w:id="17"/>
      <w:bookmarkEnd w:id="18"/>
    </w:p>
    <w:p>
      <w:pPr>
        <w:pStyle w:val="2"/>
        <w:ind w:firstLineChars="200" w:firstLine="640"/>
        <w:rPr>
          <w:rStyle w:val="2Char"/>
          <w:rFonts w:ascii="Times New Roman" w:eastAsia="黑体" w:hAnsi="Times New Roman"/>
          <w:b w:val="0"/>
          <w:bCs w:val="0"/>
        </w:rPr>
      </w:pPr>
      <w:r>
        <w:rPr>
          <w:rFonts w:ascii="Times New Roman" w:eastAsia="仿宋_GB2312" w:hAnsi="Times New Roman"/>
          <w:b w:val="0"/>
          <w:lang w:val="en-US" w:eastAsia="zh-CN"/>
        </w:rPr>
        <w:t>大熊猫国家公园阿坝管理分局</w:t>
      </w:r>
      <w:r>
        <w:rPr>
          <w:rFonts w:ascii="Times New Roman" w:eastAsia="仿宋_GB2312" w:hAnsi="Times New Roman"/>
          <w:b w:val="0"/>
        </w:rPr>
        <w:t>下属二级预算单位</w:t>
      </w:r>
      <w:r>
        <w:rPr>
          <w:rFonts w:ascii="Times New Roman" w:eastAsia="仿宋_GB2312" w:hAnsi="Times New Roman"/>
          <w:b w:val="0"/>
          <w:lang w:val="en-US" w:eastAsia="zh-CN"/>
        </w:rPr>
        <w:t>0</w:t>
      </w:r>
      <w:r>
        <w:rPr>
          <w:rFonts w:ascii="Times New Roman" w:eastAsia="仿宋_GB2312" w:hAnsi="Times New Roman"/>
          <w:b w:val="0"/>
        </w:rPr>
        <w:t>个，其中行政单位</w:t>
      </w:r>
      <w:r>
        <w:rPr>
          <w:rFonts w:ascii="Times New Roman" w:eastAsia="仿宋_GB2312" w:hAnsi="Times New Roman"/>
          <w:b w:val="0"/>
          <w:lang w:val="en-US" w:eastAsia="zh-CN"/>
        </w:rPr>
        <w:t>0</w:t>
      </w:r>
      <w:r>
        <w:rPr>
          <w:rFonts w:ascii="Times New Roman" w:eastAsia="仿宋_GB2312" w:hAnsi="Times New Roman"/>
          <w:b w:val="0"/>
        </w:rPr>
        <w:t>个，参照公务员法管理的事业单位</w:t>
      </w:r>
      <w:r>
        <w:rPr>
          <w:rFonts w:ascii="Times New Roman" w:eastAsia="仿宋_GB2312" w:hAnsi="Times New Roman"/>
          <w:b w:val="0"/>
          <w:lang w:val="en-US" w:eastAsia="zh-CN"/>
        </w:rPr>
        <w:t>0</w:t>
      </w:r>
      <w:r>
        <w:rPr>
          <w:rFonts w:ascii="Times New Roman" w:eastAsia="仿宋_GB2312" w:hAnsi="Times New Roman"/>
          <w:b w:val="0"/>
        </w:rPr>
        <w:t>个，其他事业单位</w:t>
      </w:r>
      <w:r>
        <w:rPr>
          <w:rFonts w:ascii="Times New Roman" w:eastAsia="仿宋_GB2312" w:hAnsi="Times New Roman"/>
          <w:b w:val="0"/>
          <w:lang w:val="en-US" w:eastAsia="zh-CN"/>
        </w:rPr>
        <w:t>0</w:t>
      </w:r>
      <w:r>
        <w:rPr>
          <w:rFonts w:ascii="Times New Roman" w:eastAsia="仿宋_GB2312" w:hAnsi="Times New Roman"/>
          <w:b w:val="0"/>
        </w:rPr>
        <w:t>个</w:t>
      </w:r>
      <w:r>
        <w:rPr>
          <w:rFonts w:ascii="Times New Roman" w:eastAsia="仿宋_GB2312" w:hAnsi="Times New Roman"/>
          <w:b w:val="0"/>
          <w:lang w:eastAsia="zh-CN"/>
        </w:rPr>
        <w:t>。</w:t>
      </w:r>
    </w:p>
    <w:p>
      <w:pPr>
        <w:widowControl/>
        <w:jc w:val="left"/>
        <w:rPr>
          <w:rFonts w:eastAsia="仿宋"/>
          <w:color w:val="auto"/>
          <w:kern w:val="0"/>
          <w:sz w:val="32"/>
          <w:szCs w:val="32"/>
          <w:highlight w:val="auto"/>
        </w:rPr>
      </w:pPr>
    </w:p>
    <w:p>
      <w:pPr>
        <w:pStyle w:val="15"/>
        <w:jc w:val="left"/>
      </w:pPr>
    </w:p>
    <w:p>
      <w:pPr>
        <w:pStyle w:val="17"/>
        <w:jc w:val="both"/>
        <w:rPr>
          <w:rFonts w:ascii="Times New Roman" w:hAnsi="Times New Roman"/>
        </w:rPr>
      </w:pPr>
    </w:p>
    <w:p/>
    <w:p>
      <w:pPr>
        <w:pStyle w:val="15"/>
      </w:pPr>
    </w:p>
    <w:p>
      <w:pPr>
        <w:pStyle w:val="17"/>
        <w:rPr>
          <w:rFonts w:ascii="Times New Roman" w:hAnsi="Times New Roman"/>
        </w:rPr>
      </w:pPr>
    </w:p>
    <w:p/>
    <w:p>
      <w:pPr>
        <w:pStyle w:val="15"/>
      </w:pPr>
    </w:p>
    <w:p>
      <w:pPr>
        <w:pStyle w:val="17"/>
        <w:rPr>
          <w:rFonts w:ascii="Times New Roman" w:hAnsi="Times New Roman"/>
        </w:rPr>
      </w:pPr>
    </w:p>
    <w:p/>
    <w:p>
      <w:pPr>
        <w:pStyle w:val="15"/>
      </w:pPr>
    </w:p>
    <w:p>
      <w:pPr>
        <w:pStyle w:val="17"/>
        <w:rPr>
          <w:rFonts w:ascii="Times New Roman" w:hAnsi="Times New Roman"/>
        </w:rPr>
      </w:pPr>
    </w:p>
    <w:p/>
    <w:p>
      <w:pPr>
        <w:pStyle w:val="15"/>
      </w:pPr>
    </w:p>
    <w:p>
      <w:pPr>
        <w:pStyle w:val="17"/>
        <w:rPr>
          <w:rFonts w:ascii="Times New Roman" w:hAnsi="Times New Roman"/>
        </w:rPr>
      </w:pPr>
    </w:p>
    <w:p/>
    <w:p>
      <w:pPr>
        <w:pStyle w:val="15"/>
      </w:pPr>
    </w:p>
    <w:p>
      <w:pPr>
        <w:pStyle w:val="17"/>
        <w:rPr>
          <w:rFonts w:ascii="Times New Roman" w:hAnsi="Times New Roman"/>
        </w:rPr>
      </w:pPr>
    </w:p>
    <w:p/>
    <w:p>
      <w:pPr>
        <w:pStyle w:val="1"/>
        <w:jc w:val="center"/>
        <w:rPr>
          <w:rFonts w:eastAsia="方正小标宋简体"/>
          <w:b w:val="0"/>
          <w:color w:val="auto"/>
          <w:highlight w:val="auto"/>
        </w:rPr>
      </w:pPr>
      <w:bookmarkStart w:id="19" w:name="_Toc15377204"/>
      <w:bookmarkStart w:id="20" w:name="_Toc15396602"/>
      <w:r>
        <w:rPr>
          <w:rFonts w:eastAsia="方正小标宋简体"/>
          <w:b w:val="0"/>
          <w:color w:val="auto"/>
          <w:highlight w:val="auto"/>
        </w:rPr>
        <w:t>第二部分</w:t>
      </w:r>
      <w:r>
        <w:rPr>
          <w:rFonts w:eastAsia="方正小标宋简体"/>
          <w:b w:val="0"/>
          <w:color w:val="auto"/>
          <w:lang w:val="en-US" w:eastAsia="zh-CN"/>
          <w:highlight w:val="auto"/>
        </w:rPr>
        <w:t xml:space="preserve"> </w:t>
      </w:r>
      <w:r>
        <w:rPr>
          <w:rFonts w:eastAsia="方正小标宋简体"/>
          <w:b w:val="0"/>
          <w:color w:val="auto"/>
          <w:highlight w:val="auto"/>
        </w:rPr>
        <w:t xml:space="preserve"> </w:t>
      </w:r>
      <w:r>
        <w:rPr>
          <w:rFonts w:eastAsia="方正小标宋简体"/>
          <w:b w:val="0"/>
          <w:color w:val="auto"/>
          <w:lang w:val="en-US" w:eastAsia="zh-CN"/>
          <w:highlight w:val="auto"/>
        </w:rPr>
        <w:t>2025年度</w:t>
      </w:r>
      <w:r>
        <w:rPr>
          <w:rFonts w:eastAsia="方正小标宋简体"/>
          <w:b w:val="0"/>
          <w:color w:val="auto"/>
          <w:highlight w:val="auto"/>
        </w:rPr>
        <w:t>部门决算情况说明</w:t>
      </w:r>
      <w:bookmarkEnd w:id="19"/>
      <w:bookmarkEnd w:id="20"/>
    </w:p>
    <w:p>
      <w:pPr>
        <w:rPr>
          <w:color w:val="auto"/>
          <w:highlight w:val="auto"/>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b w:val="0"/>
          <w:color w:val="auto"/>
          <w:highlight w:val="auto"/>
        </w:rPr>
      </w:pPr>
      <w:bookmarkStart w:id="21" w:name="_Toc15377205"/>
      <w:bookmarkStart w:id="22" w:name="_Toc15396603"/>
      <w:r>
        <w:rPr>
          <w:rFonts w:eastAsia="黑体"/>
          <w:color w:val="auto"/>
          <w:sz w:val="32"/>
          <w:szCs w:val="32"/>
          <w:lang w:eastAsia="zh-CN"/>
          <w:highlight w:val="auto"/>
        </w:rPr>
        <w:t>一、</w:t>
      </w:r>
      <w:r>
        <w:rPr>
          <w:rFonts w:eastAsia="黑体"/>
          <w:color w:val="auto"/>
          <w:sz w:val="32"/>
          <w:szCs w:val="32"/>
          <w:highlight w:val="auto"/>
        </w:rPr>
        <w:t>收</w:t>
      </w:r>
      <w:r>
        <w:rPr>
          <w:rStyle w:val="2Char"/>
          <w:rFonts w:ascii="Times New Roman" w:eastAsia="黑体" w:hAnsi="Times New Roman"/>
          <w:b w:val="0"/>
          <w:color w:val="auto"/>
          <w:highlight w:val="auto"/>
        </w:rPr>
        <w:t>入支出决算总体情况说明</w:t>
      </w:r>
      <w:bookmarkEnd w:id="21"/>
      <w:bookmarkEnd w:id="22"/>
    </w:p>
    <w:p>
      <w:pPr>
        <w:pStyle w:val="32"/>
        <w:spacing w:line="600" w:lineRule="exact"/>
        <w:jc w:val="left"/>
        <w:outlineLvl w:val="1"/>
        <w:rPr>
          <w:rFonts w:eastAsia="仿宋_GB2312"/>
          <w:kern w:val="2"/>
          <w:sz w:val="32"/>
          <w:szCs w:val="32"/>
          <w:lang w:val="en-US" w:eastAsia="zh-CN" w:bidi="ar-SA"/>
        </w:rPr>
      </w:pPr>
      <w:r>
        <w:rPr>
          <w:rFonts w:eastAsia="仿宋_GB2312"/>
          <w:kern w:val="2"/>
          <w:sz w:val="32"/>
          <w:szCs w:val="32"/>
          <w:lang w:val="en-US" w:eastAsia="zh-CN" w:bidi="ar-SA"/>
        </w:rPr>
        <w:t>2025年度收入、支出总计均为</w:t>
      </w:r>
      <w:r>
        <w:rPr>
          <w:rFonts w:eastAsia="仿宋_GB2312"/>
          <w:sz w:val="32"/>
          <w:szCs w:val="32"/>
          <w:lang w:val="en-US" w:eastAsia="zh-CN" w:bidi="ar-SA"/>
        </w:rPr>
        <w:t>862.5</w:t>
      </w:r>
      <w:r>
        <w:rPr>
          <w:rFonts w:eastAsia="仿宋_GB2312"/>
          <w:kern w:val="2"/>
          <w:sz w:val="32"/>
          <w:szCs w:val="32"/>
          <w:lang w:val="en-US" w:eastAsia="zh-CN" w:bidi="ar-SA"/>
        </w:rPr>
        <w:t>万元。与2024年度相比，收入、支出总计各减少增加110.42万元，增加14.68%。主要变动原因是人员经费的减少和项目经费的增加。</w:t>
      </w:r>
    </w:p>
    <w:p>
      <w:pPr>
        <w:pStyle w:val="32"/>
        <w:spacing w:line="600" w:lineRule="exact"/>
        <w:outlineLvl w:val="1"/>
        <w:rPr>
          <w:rFonts w:eastAsia="仿宋_GB2312"/>
          <w:sz w:val="32"/>
          <w:szCs w:val="32"/>
          <w:lang w:val="en-US" w:eastAsia="zh-CN"/>
        </w:rPr>
      </w:pPr>
      <w:r>
        <w:rPr>
          <w:rFonts w:eastAsia="仿宋_GB2312"/>
          <w:sz w:val="32"/>
          <w:szCs w:val="32"/>
        </w:rPr>
        <w:t>（图1：收入、支出决算总计变动情况图）（柱状图）</w:t>
      </w:r>
    </w:p>
    <w:p>
      <w:pPr>
        <w:keepNext w:val="0"/>
        <w:keepLines w:val="0"/>
        <w:pageBreakBefore w:val="0"/>
        <w:widowControl w:val="0"/>
        <w:kinsoku/>
        <w:wordWrap/>
        <w:overflowPunct/>
        <w:topLinePunct w:val="0"/>
        <w:autoSpaceDE/>
        <w:autoSpaceDN/>
        <w:bidi w:val="0"/>
        <w:adjustRightInd/>
        <w:snapToGrid/>
        <w:ind w:firstLineChars="200" w:firstLine="420"/>
        <w:textAlignment w:val="auto"/>
        <w:rPr>
          <w:rFonts w:eastAsia="仿宋_GB2312"/>
          <w:color w:val="auto"/>
          <w:sz w:val="32"/>
          <w:szCs w:val="32"/>
          <w:highlight w:val="auto"/>
        </w:rPr>
      </w:pPr>
      <w:r>
        <w:rPr>
          <w:lang w:eastAsia="zh-CN"/>
        </w:rPr>
        <w:drawing>
          <wp:inline distT="0" distB="0" distL="114300" distR="114300">
            <wp:extent cx="4099559" cy="2023110"/>
            <wp:effectExtent l="0" t="0" r="14" b="31"/>
            <wp:docPr id="4" name="图片 2" descr="6d80e4b7-0e91-4cb8-9535-8337a07304d0"/>
            <wp:cNvGraphicFramePr>
              <a:graphicFrameLocks noChangeAspect="1"/>
            </wp:cNvGraphicFramePr>
            <a:graphic>
              <a:graphicData uri="http://schemas.openxmlformats.org/drawingml/2006/picture">
                <pic:pic>
                  <pic:nvPicPr>
                    <pic:cNvPr id="6" name="图片 2 6"/>
                    <pic:cNvPicPr/>
                  </pic:nvPicPr>
                  <pic:blipFill>
                    <a:blip r:embed="rId6"/>
                    <a:stretch>
                      <a:fillRect/>
                    </a:stretch>
                  </pic:blipFill>
                  <pic:spPr>
                    <a:xfrm rot="0">
                      <a:off x="0" y="0"/>
                      <a:ext cx="4099559" cy="2023110"/>
                    </a:xfrm>
                    <a:prstGeom prst="rect"/>
                    <a:noFill/>
                    <a:ln w="9525" cmpd="sng" cap="flat">
                      <a:noFill/>
                      <a:prstDash val="solid"/>
                      <a:miter/>
                    </a:ln>
                  </pic:spPr>
                </pic:pic>
              </a:graphicData>
            </a:graphic>
          </wp:inline>
        </w:drawing>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highlight w:val="auto"/>
        </w:rPr>
      </w:pPr>
      <w:bookmarkStart w:id="23" w:name="_Toc15396604"/>
      <w:bookmarkStart w:id="24" w:name="_Toc15377206"/>
      <w:r>
        <w:rPr>
          <w:rFonts w:eastAsia="黑体"/>
          <w:color w:val="auto"/>
          <w:sz w:val="32"/>
          <w:szCs w:val="32"/>
          <w:lang w:eastAsia="zh-CN"/>
          <w:highlight w:val="auto"/>
        </w:rPr>
        <w:t>二、收入决算情况说明</w:t>
      </w:r>
      <w:bookmarkEnd w:id="23"/>
      <w:bookmarkEnd w:id="24"/>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仿宋_GB2312"/>
          <w:b/>
          <w:bCs/>
          <w:color w:val="auto"/>
          <w:sz w:val="32"/>
          <w:szCs w:val="32"/>
          <w:lang w:eastAsia="zh-CN"/>
          <w:highlight w:val="auto"/>
        </w:rPr>
      </w:pPr>
      <w:r>
        <w:rPr>
          <w:rFonts w:eastAsia="仿宋_GB2312"/>
          <w:color w:val="auto"/>
          <w:sz w:val="32"/>
          <w:szCs w:val="32"/>
          <w:lang w:eastAsia="zh-CN"/>
          <w:highlight w:val="auto"/>
        </w:rPr>
        <w:t>2025年度本年收入合计862.5万元，其中：一般公共预算财政拨款收入862.5万元，占100%；政府性基金预算财政拨款收入0万元，占0%；国有资本经营预算财政拨款收入0万元，占0%；上级补助收入0万元，占0%；事业收入0万元，占0%；经营收入0万元，占0%；附属单位上缴收入0万元，占0%；其他收入0万元，占0%。</w:t>
      </w:r>
      <w:r>
        <w:rPr>
          <w:rFonts w:eastAsia="仿宋_GB2312"/>
          <w:b/>
          <w:bCs/>
          <w:color w:val="auto"/>
          <w:sz w:val="32"/>
          <w:szCs w:val="32"/>
          <w:lang w:eastAsia="zh-CN"/>
          <w:highlight w:val="auto"/>
        </w:rPr>
        <w:t>（注：仅罗列本部门涉及的收入）</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仿宋_GB2312"/>
          <w:color w:val="auto"/>
          <w:sz w:val="32"/>
          <w:szCs w:val="32"/>
          <w:lang w:eastAsia="zh-CN"/>
          <w:highlight w:val="auto"/>
        </w:rPr>
      </w:pPr>
      <w:r>
        <w:rPr>
          <w:rFonts w:eastAsia="仿宋_GB2312"/>
          <w:color w:val="auto"/>
          <w:sz w:val="32"/>
          <w:szCs w:val="32"/>
          <w:lang w:eastAsia="zh-CN"/>
          <w:highlight w:val="auto"/>
        </w:rPr>
        <w:t>（图2：收入决算结构图）（饼状图）</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bookmarkStart w:id="25" w:name="_Toc15377207"/>
      <w:bookmarkStart w:id="26" w:name="_Toc15396605"/>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黑体"/>
          <w:color w:val="auto"/>
          <w:sz w:val="32"/>
          <w:szCs w:val="32"/>
          <w:lang w:eastAsia="zh-CN"/>
        </w:rPr>
      </w:pPr>
    </w:p>
    <w:p>
      <w:pPr>
        <w:pStyle w:val="32"/>
        <w:keepNext w:val="0"/>
        <w:keepLines w:val="0"/>
        <w:pageBreakBefore w:val="0"/>
        <w:widowControl w:val="0"/>
        <w:kinsoku/>
        <w:wordWrap/>
        <w:overflowPunct/>
        <w:topLinePunct w:val="0"/>
        <w:autoSpaceDE/>
        <w:autoSpaceDN/>
        <w:adjustRightInd/>
        <w:snapToGrid/>
        <w:spacing w:line="600" w:lineRule="exact"/>
        <w:ind w:left="0" w:firstLineChars="200" w:firstLine="640"/>
        <w:outlineLvl w:val="1"/>
        <w:rPr>
          <w:rFonts w:eastAsia="黑体"/>
          <w:sz w:val="32"/>
          <w:szCs w:val="32"/>
        </w:rPr>
      </w:pPr>
      <w:r>
        <w:rPr>
          <w:rFonts w:eastAsia="黑体"/>
          <w:color w:val="auto"/>
          <w:sz w:val="32"/>
          <w:szCs w:val="32"/>
          <w:lang w:eastAsia="zh-CN"/>
        </w:rPr>
        <w:drawing>
          <wp:anchor distT="0" distB="0" distL="68578" distR="68578" simplePos="0" relativeHeight="27" behindDoc="0" locked="0" layoutInCell="1" hidden="0" allowOverlap="1">
            <wp:simplePos x="0" y="0"/>
            <wp:positionH relativeFrom="column">
              <wp:posOffset>406368</wp:posOffset>
            </wp:positionH>
            <wp:positionV relativeFrom="paragraph">
              <wp:posOffset>-2918263</wp:posOffset>
            </wp:positionV>
            <wp:extent cx="3426383" cy="2769568"/>
            <wp:effectExtent l="0" t="0" r="0" b="0"/>
            <wp:wrapThrough wrapText="bothSides">
              <wp:wrapPolygon>
                <wp:start x="-16" y="-1"/>
                <wp:lineTo x="-16" y="21570"/>
                <wp:lineTo x="21551" y="21570"/>
                <wp:lineTo x="21551" y="-1"/>
                <wp:lineTo x="-16" y="-1"/>
              </wp:wrapPolygon>
            </wp:wrapThrough>
            <wp:docPr id="7" name="图片"/>
            <wp:cNvGraphicFramePr>
              <a:graphicFrameLocks noChangeAspect="1"/>
            </wp:cNvGraphicFramePr>
            <a:graphic>
              <a:graphicData uri="http://schemas.openxmlformats.org/drawingml/2006/picture">
                <pic:pic>
                  <pic:nvPicPr>
                    <pic:cNvPr id="9" name="图片 9"/>
                    <pic:cNvPicPr/>
                  </pic:nvPicPr>
                  <pic:blipFill>
                    <a:blip r:embed="rId7"/>
                    <a:stretch>
                      <a:fillRect/>
                    </a:stretch>
                  </pic:blipFill>
                  <pic:spPr>
                    <a:xfrm rot="0">
                      <a:off x="0" y="0"/>
                      <a:ext cx="3426383" cy="2769568"/>
                    </a:xfrm>
                    <a:prstGeom prst="rect"/>
                    <a:noFill/>
                    <a:ln w="9525" cmpd="sng" cap="flat">
                      <a:noFill/>
                      <a:prstDash val="solid"/>
                      <a:miter/>
                    </a:ln>
                  </pic:spPr>
                </pic:pic>
              </a:graphicData>
            </a:graphic>
          </wp:anchor>
        </w:drawing>
      </w:r>
      <w:r>
        <w:rPr>
          <w:rFonts w:eastAsia="黑体"/>
          <w:color w:val="auto"/>
          <w:sz w:val="32"/>
          <w:szCs w:val="32"/>
          <w:lang w:eastAsia="zh-CN"/>
          <w:highlight w:val="auto"/>
        </w:rPr>
        <w:t>三、</w:t>
      </w:r>
      <w:r>
        <w:rPr>
          <w:rFonts w:eastAsia="黑体"/>
          <w:color w:val="auto"/>
          <w:sz w:val="32"/>
          <w:szCs w:val="32"/>
          <w:highlight w:val="auto"/>
        </w:rPr>
        <w:t>支</w:t>
      </w:r>
      <w:r>
        <w:rPr>
          <w:rStyle w:val="2Char"/>
          <w:rFonts w:ascii="Times New Roman" w:eastAsia="黑体" w:hAnsi="Times New Roman"/>
          <w:b w:val="0"/>
          <w:color w:val="auto"/>
          <w:highlight w:val="auto"/>
        </w:rPr>
        <w:t>出决算情况说明</w:t>
      </w:r>
      <w:bookmarkEnd w:id="25"/>
      <w:bookmarkEnd w:id="26"/>
    </w:p>
    <w:p>
      <w:pPr>
        <w:pStyle w:val="32"/>
        <w:keepNext w:val="0"/>
        <w:keepLines w:val="0"/>
        <w:pageBreakBefore w:val="0"/>
        <w:widowControl w:val="0"/>
        <w:kinsoku/>
        <w:wordWrap/>
        <w:overflowPunct/>
        <w:topLinePunct w:val="0"/>
        <w:autoSpaceDE/>
        <w:autoSpaceDN/>
        <w:adjustRightInd/>
        <w:snapToGrid/>
        <w:spacing w:line="600" w:lineRule="exact"/>
        <w:ind w:left="0" w:firstLineChars="200" w:firstLine="640"/>
        <w:outlineLvl w:val="1"/>
        <w:rPr>
          <w:rFonts w:eastAsia="仿宋_GB2312"/>
          <w:sz w:val="32"/>
          <w:szCs w:val="32"/>
        </w:rPr>
      </w:pPr>
      <w:r>
        <w:rPr>
          <w:rFonts w:eastAsia="仿宋_GB2312"/>
          <w:color w:val="auto"/>
          <w:sz w:val="32"/>
          <w:szCs w:val="32"/>
          <w:lang w:eastAsia="zh-CN"/>
          <w:highlight w:val="auto"/>
        </w:rPr>
        <w:t>2025年度本年支出合计862.5万元，其中：</w:t>
      </w:r>
      <w:r>
        <w:rPr>
          <w:rFonts w:eastAsia="仿宋_GB2312"/>
          <w:sz w:val="32"/>
          <w:szCs w:val="32"/>
          <w:lang w:val="en-US" w:bidi="ar-SA"/>
        </w:rPr>
        <w:t>基本支出为499.13万元，占总支出57.87%，其中：人员经费支出：473.49万元，公用经费支出：25.64万元；项目支出为363.37万元，占总支出42.13%；</w:t>
      </w:r>
      <w:r>
        <w:rPr>
          <w:rFonts w:eastAsia="仿宋_GB2312"/>
          <w:color w:val="auto"/>
          <w:sz w:val="32"/>
          <w:szCs w:val="32"/>
          <w:lang w:eastAsia="zh-CN"/>
          <w:highlight w:val="auto"/>
        </w:rPr>
        <w:t>上缴上级支出0万元，占0%；经营支出0万元，占0%；对附属单位补助支出0万元，占0%。</w:t>
      </w:r>
      <w:r>
        <w:rPr>
          <w:rFonts w:eastAsia="仿宋_GB2312"/>
          <w:b/>
          <w:bCs/>
          <w:color w:val="auto"/>
          <w:sz w:val="32"/>
          <w:szCs w:val="32"/>
          <w:lang w:eastAsia="zh-CN"/>
          <w:highlight w:val="auto"/>
        </w:rPr>
        <w:t>（注：仅罗列本部门涉及的支出）</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eastAsia="仿宋_GB2312"/>
          <w:color w:val="auto"/>
          <w:sz w:val="32"/>
          <w:szCs w:val="32"/>
          <w:lang w:eastAsia="zh-CN"/>
          <w:highlight w:val="auto"/>
        </w:rPr>
      </w:pPr>
      <w:r>
        <w:rPr>
          <w:rFonts w:eastAsia="仿宋_GB2312"/>
          <w:color w:val="auto"/>
          <w:sz w:val="32"/>
          <w:szCs w:val="32"/>
          <w:lang w:eastAsia="zh-CN"/>
          <w:highlight w:val="auto"/>
        </w:rPr>
        <w:t>（图3：支出决算结构图）（饼状图）</w:t>
      </w:r>
    </w:p>
    <w:p>
      <w:pPr>
        <w:ind w:firstLineChars="250" w:firstLine="525"/>
        <w:rPr>
          <w:rFonts w:eastAsia="仿宋_GB2312"/>
          <w:color w:val="auto"/>
          <w:sz w:val="32"/>
          <w:szCs w:val="32"/>
          <w:lang w:eastAsia="zh-CN"/>
          <w:highlight w:val="auto"/>
        </w:rPr>
      </w:pPr>
      <w:r>
        <w:drawing>
          <wp:anchor distT="0" distB="0" distL="68578" distR="68578" simplePos="0" relativeHeight="2" behindDoc="1" locked="0" layoutInCell="1" hidden="0" allowOverlap="1">
            <wp:simplePos x="0" y="0"/>
            <wp:positionH relativeFrom="column">
              <wp:posOffset>236216</wp:posOffset>
            </wp:positionH>
            <wp:positionV relativeFrom="paragraph">
              <wp:posOffset>106678</wp:posOffset>
            </wp:positionV>
            <wp:extent cx="4274754" cy="2750777"/>
            <wp:effectExtent l="0" t="0" r="0" b="0"/>
            <wp:wrapNone/>
            <wp:docPr id="10" name="图片"/>
            <wp:cNvGraphicFramePr>
              <a:graphicFrameLocks noChangeAspect="1"/>
            </wp:cNvGraphicFramePr>
            <a:graphic>
              <a:graphicData uri="http://schemas.openxmlformats.org/drawingml/2006/picture">
                <pic:pic>
                  <pic:nvPicPr>
                    <pic:cNvPr id="12" name="图片 12"/>
                    <pic:cNvPicPr/>
                  </pic:nvPicPr>
                  <pic:blipFill>
                    <a:blip r:embed="rId8"/>
                    <a:stretch>
                      <a:fillRect/>
                    </a:stretch>
                  </pic:blipFill>
                  <pic:spPr>
                    <a:xfrm rot="0">
                      <a:off x="0" y="0"/>
                      <a:ext cx="4274754" cy="2750777"/>
                    </a:xfrm>
                    <a:prstGeom prst="rect"/>
                    <a:noFill/>
                    <a:ln w="9525" cmpd="sng" cap="flat">
                      <a:noFill/>
                      <a:prstDash val="solid"/>
                      <a:miter/>
                    </a:ln>
                  </pic:spPr>
                </pic:pic>
              </a:graphicData>
            </a:graphic>
          </wp:anchor>
        </w:drawing>
      </w:r>
    </w:p>
    <w:p>
      <w:pPr>
        <w:pStyle w:val="15"/>
      </w:pPr>
    </w:p>
    <w:p>
      <w:pPr>
        <w:pStyle w:val="17"/>
        <w:rPr>
          <w:rFonts w:ascii="Times New Roman" w:hAnsi="Times New Roman"/>
        </w:rPr>
      </w:pPr>
    </w:p>
    <w:p/>
    <w:p>
      <w:pPr>
        <w:pStyle w:val="15"/>
      </w:pPr>
    </w:p>
    <w:p>
      <w:pPr>
        <w:pStyle w:val="17"/>
        <w:rPr>
          <w:rFonts w:ascii="Times New Roman" w:hAnsi="Times New Roman"/>
        </w:rPr>
      </w:pPr>
    </w:p>
    <w:p/>
    <w:p>
      <w:pPr>
        <w:pStyle w:val="15"/>
      </w:pPr>
    </w:p>
    <w:p>
      <w:pPr>
        <w:pStyle w:val="17"/>
        <w:rPr>
          <w:rFonts w:ascii="Times New Roman" w:hAnsi="Times New Roman"/>
        </w:rPr>
      </w:pPr>
    </w:p>
    <w:p/>
    <w:p>
      <w:pPr>
        <w:pStyle w:val="15"/>
      </w:pPr>
    </w:p>
    <w:p>
      <w:pPr>
        <w:pStyle w:val="17"/>
        <w:rPr>
          <w:rFonts w:ascii="Times New Roman" w:hAnsi="Times New Roman"/>
        </w:rPr>
      </w:pPr>
    </w:p>
    <w:p>
      <w:pPr>
        <w:spacing w:line="600" w:lineRule="exact"/>
        <w:ind w:firstLineChars="200" w:firstLine="640"/>
        <w:outlineLvl w:val="1"/>
        <w:rPr>
          <w:rStyle w:val="2Char"/>
          <w:rFonts w:ascii="Times New Roman" w:eastAsia="黑体" w:hAnsi="Times New Roman"/>
          <w:b w:val="0"/>
          <w:color w:val="auto"/>
          <w:highlight w:val="auto"/>
        </w:rPr>
      </w:pPr>
      <w:bookmarkStart w:id="27" w:name="_Toc15396606"/>
      <w:bookmarkStart w:id="28" w:name="_Toc15377208"/>
      <w:r>
        <w:rPr>
          <w:rFonts w:eastAsia="黑体"/>
          <w:color w:val="auto"/>
          <w:sz w:val="32"/>
          <w:szCs w:val="32"/>
          <w:highlight w:val="auto"/>
        </w:rPr>
        <w:t>四、财</w:t>
      </w:r>
      <w:r>
        <w:rPr>
          <w:rStyle w:val="2Char"/>
          <w:rFonts w:ascii="Times New Roman" w:eastAsia="黑体" w:hAnsi="Times New Roman"/>
          <w:b w:val="0"/>
          <w:color w:val="auto"/>
          <w:highlight w:val="auto"/>
        </w:rPr>
        <w:t>政拨款收入支出决算总体情况说明</w:t>
      </w:r>
      <w:bookmarkEnd w:id="27"/>
      <w:bookmarkEnd w:id="28"/>
    </w:p>
    <w:p>
      <w:pPr>
        <w:spacing w:line="600" w:lineRule="exact"/>
        <w:ind w:firstLine="640"/>
        <w:rPr>
          <w:rFonts w:eastAsia="仿宋_GB2312"/>
          <w:sz w:val="32"/>
          <w:szCs w:val="32"/>
          <w:highlight w:val="auto"/>
        </w:rPr>
      </w:pPr>
      <w:r>
        <w:rPr>
          <w:rFonts w:eastAsia="仿宋_GB2312"/>
          <w:color w:val="auto"/>
          <w:kern w:val="2"/>
          <w:sz w:val="32"/>
          <w:szCs w:val="32"/>
          <w:lang w:val="en-US" w:eastAsia="zh-CN" w:bidi="ar-SA"/>
          <w:highlight w:val="auto"/>
        </w:rPr>
        <w:t>2025年度财政拨款收入、支出总计均为862.5万元。与上年度相比，财政拨款收入、支出总计各增加110.42万元，增加14.68%。主要变动原因是</w:t>
      </w:r>
      <w:r>
        <w:rPr>
          <w:rFonts w:eastAsia="仿宋_GB2312"/>
          <w:sz w:val="32"/>
          <w:szCs w:val="32"/>
        </w:rPr>
        <w:t>2025年度调出2人人，退休1人，故造成人员经费、五险一金和公用经费减少，2025年度项目经费的增加。</w:t>
      </w:r>
    </w:p>
    <w:p>
      <w:pPr>
        <w:spacing w:line="600" w:lineRule="exact"/>
        <w:ind w:firstLineChars="200"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（图4：财政拨款收、支决算总计变动情况）（柱状图）</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rPr>
        <w:drawing>
          <wp:anchor distT="0" distB="0" distL="68578" distR="68578" simplePos="0" relativeHeight="29" behindDoc="0" locked="0" layoutInCell="1" hidden="0" allowOverlap="1">
            <wp:simplePos x="0" y="0"/>
            <wp:positionH relativeFrom="column">
              <wp:posOffset>673064</wp:posOffset>
            </wp:positionH>
            <wp:positionV relativeFrom="paragraph">
              <wp:posOffset>91438</wp:posOffset>
            </wp:positionV>
            <wp:extent cx="3848041" cy="2529799"/>
            <wp:effectExtent l="0" t="0" r="0" b="0"/>
            <wp:wrapTight wrapText="bothSides">
              <wp:wrapPolygon>
                <wp:start x="-14" y="0"/>
                <wp:lineTo x="-14" y="21599"/>
                <wp:lineTo x="21585" y="21599"/>
                <wp:lineTo x="21585" y="0"/>
                <wp:lineTo x="-14" y="0"/>
              </wp:wrapPolygon>
            </wp:wrapTight>
            <wp:docPr id="13" name="图片"/>
            <wp:cNvGraphicFramePr>
              <a:graphicFrameLocks noChangeAspect="1"/>
            </wp:cNvGraphicFramePr>
            <a:graphic>
              <a:graphicData uri="http://schemas.openxmlformats.org/drawingml/2006/picture">
                <pic:pic>
                  <pic:nvPicPr>
                    <pic:cNvPr id="15" name="图片 15"/>
                    <pic:cNvPicPr/>
                  </pic:nvPicPr>
                  <pic:blipFill>
                    <a:blip r:embed="rId9"/>
                    <a:stretch>
                      <a:fillRect/>
                    </a:stretch>
                  </pic:blipFill>
                  <pic:spPr>
                    <a:xfrm rot="0">
                      <a:off x="0" y="0"/>
                      <a:ext cx="3848041" cy="2529799"/>
                    </a:xfrm>
                    <a:prstGeom prst="rect"/>
                    <a:noFill/>
                    <a:ln w="9525" cmpd="sng" cap="flat">
                      <a:noFill/>
                      <a:prstDash val="solid"/>
                      <a:miter/>
                    </a:ln>
                  </pic:spPr>
                </pic:pic>
              </a:graphicData>
            </a:graphic>
          </wp:anchor>
        </w:drawing>
      </w:r>
    </w:p>
    <w:p>
      <w:pPr>
        <w:pStyle w:val="15"/>
      </w:pPr>
    </w:p>
    <w:p>
      <w:pPr>
        <w:pStyle w:val="17"/>
        <w:rPr>
          <w:rFonts w:ascii="Times New Roman" w:hAnsi="Times New Roman"/>
        </w:rPr>
      </w:pPr>
    </w:p>
    <w:p/>
    <w:p>
      <w:pPr>
        <w:pStyle w:val="15"/>
      </w:pPr>
    </w:p>
    <w:p>
      <w:pPr>
        <w:pStyle w:val="17"/>
        <w:rPr>
          <w:rFonts w:ascii="Times New Roman" w:hAnsi="Times New Roman"/>
        </w:rPr>
      </w:pPr>
    </w:p>
    <w:p/>
    <w:p>
      <w:pPr>
        <w:pStyle w:val="15"/>
      </w:pPr>
    </w:p>
    <w:p>
      <w:pPr>
        <w:pStyle w:val="17"/>
        <w:rPr>
          <w:rFonts w:ascii="Times New Roman" w:hAnsi="Times New Roman"/>
        </w:rPr>
      </w:pPr>
    </w:p>
    <w:p>
      <w:pPr>
        <w:spacing w:line="600" w:lineRule="exact"/>
        <w:ind w:firstLineChars="200" w:firstLine="640"/>
        <w:outlineLvl w:val="1"/>
        <w:rPr>
          <w:rStyle w:val="2Char"/>
          <w:rFonts w:ascii="Times New Roman" w:eastAsia="黑体" w:hAnsi="Times New Roman"/>
          <w:b w:val="0"/>
          <w:color w:val="auto"/>
          <w:highlight w:val="auto"/>
        </w:rPr>
      </w:pPr>
      <w:bookmarkStart w:id="29" w:name="_Toc15377209"/>
      <w:bookmarkStart w:id="30" w:name="_Toc15396607"/>
      <w:r>
        <w:rPr>
          <w:rFonts w:eastAsia="黑体"/>
          <w:color w:val="auto"/>
          <w:sz w:val="32"/>
          <w:szCs w:val="32"/>
          <w:highlight w:val="auto"/>
        </w:rPr>
        <w:t>五、</w:t>
      </w:r>
      <w:r>
        <w:rPr>
          <w:rFonts w:eastAsia="黑体"/>
          <w:b/>
          <w:color w:val="auto"/>
          <w:sz w:val="32"/>
          <w:szCs w:val="32"/>
          <w:highlight w:val="auto"/>
        </w:rPr>
        <w:t>一</w:t>
      </w:r>
      <w:r>
        <w:rPr>
          <w:rStyle w:val="2Char"/>
          <w:rFonts w:ascii="Times New Roman" w:eastAsia="黑体" w:hAnsi="Times New Roman"/>
          <w:b w:val="0"/>
          <w:color w:val="auto"/>
          <w:highlight w:val="auto"/>
        </w:rPr>
        <w:t>般公共预算财政拨款支出决算情况说明</w:t>
      </w:r>
      <w:bookmarkEnd w:id="29"/>
      <w:bookmarkEnd w:id="30"/>
    </w:p>
    <w:p>
      <w:pPr>
        <w:spacing w:line="600" w:lineRule="exact"/>
        <w:ind w:firstLineChars="200" w:firstLine="640"/>
        <w:outlineLvl w:val="2"/>
        <w:rPr>
          <w:rFonts w:eastAsia="楷体_GB2312"/>
          <w:b/>
          <w:color w:val="auto"/>
          <w:sz w:val="32"/>
          <w:szCs w:val="32"/>
          <w:highlight w:val="auto"/>
        </w:rPr>
      </w:pPr>
      <w:bookmarkStart w:id="31" w:name="_Toc15377210"/>
      <w:r>
        <w:rPr>
          <w:rFonts w:eastAsia="楷体_GB2312"/>
          <w:b/>
          <w:color w:val="auto"/>
          <w:sz w:val="32"/>
          <w:szCs w:val="32"/>
          <w:highlight w:val="auto"/>
        </w:rPr>
        <w:t>（一）一般公共预算财政拨款支出决算总体情况</w:t>
      </w:r>
      <w:bookmarkEnd w:id="31"/>
    </w:p>
    <w:p>
      <w:pPr>
        <w:spacing w:line="600" w:lineRule="exact"/>
        <w:ind w:firstLine="640"/>
        <w:rPr>
          <w:rFonts w:eastAsia="仿宋_GB2312"/>
          <w:sz w:val="32"/>
          <w:szCs w:val="32"/>
          <w:lang w:val="en-US" w:eastAsia="zh-CN" w:bidi="ar-SA"/>
        </w:rPr>
      </w:pPr>
      <w:r>
        <w:rPr>
          <w:rFonts w:eastAsia="仿宋_GB2312"/>
          <w:color w:val="auto"/>
          <w:kern w:val="2"/>
          <w:sz w:val="32"/>
          <w:szCs w:val="32"/>
          <w:lang w:val="en-US" w:eastAsia="zh-CN" w:bidi="ar-SA"/>
          <w:highlight w:val="auto"/>
        </w:rPr>
        <w:t>2025年度一般公共预算财政拨款支出862.5万元，占本年支出合计的100%。与上年度相比，一般公共预算财政拨款支出增加110.42万元，增长14.68%。主要变动原因是</w:t>
      </w:r>
      <w:r>
        <w:rPr>
          <w:rFonts w:eastAsia="仿宋_GB2312"/>
          <w:sz w:val="32"/>
          <w:szCs w:val="32"/>
          <w:lang w:val="en-US" w:eastAsia="zh-CN" w:bidi="ar-SA"/>
        </w:rPr>
        <w:t>人员经费的减少和项目经费的增加</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（图5：一般公共预算财政拨款支出决算变动情况）（柱状图）</w:t>
      </w:r>
    </w:p>
    <w:p>
      <w:pPr>
        <w:spacing w:line="600" w:lineRule="exact"/>
        <w:ind w:firstLine="640"/>
        <w:rPr>
          <w:rFonts w:eastAsia="仿宋_GB2312"/>
          <w:color w:val="auto"/>
          <w:kern w:val="2"/>
          <w:sz w:val="32"/>
          <w:szCs w:val="32"/>
          <w:lang w:val="en-US" w:eastAsia="zh-CN" w:bidi="ar-SA"/>
          <w:highlight w:val="auto"/>
        </w:rPr>
      </w:pPr>
    </w:p>
    <w:p>
      <w:pPr>
        <w:pStyle w:val="15"/>
      </w:pPr>
    </w:p>
    <w:p>
      <w:pPr>
        <w:pStyle w:val="17"/>
        <w:rPr>
          <w:rFonts w:ascii="Times New Roman" w:hAnsi="Times New Roman"/>
        </w:rPr>
      </w:pPr>
      <w:r>
        <w:rPr>
          <w:rFonts w:ascii="Times New Roman" w:hAnsi="Times New Roman"/>
        </w:rPr>
        <w:drawing>
          <wp:inline distT="0" distB="0" distL="68578" distR="68578">
            <wp:extent cx="3893760" cy="2567900"/>
            <wp:effectExtent l="0" t="0" r="0" b="0"/>
            <wp:docPr id="16" name="图片"/>
            <wp:cNvGraphicFramePr>
              <a:graphicFrameLocks noChangeAspect="1"/>
            </wp:cNvGraphicFramePr>
            <a:graphic>
              <a:graphicData uri="http://schemas.openxmlformats.org/drawingml/2006/picture">
                <pic:pic>
                  <pic:nvPicPr>
                    <pic:cNvPr id="18" name="图片 18"/>
                    <pic:cNvPicPr/>
                  </pic:nvPicPr>
                  <pic:blipFill>
                    <a:blip r:embed="rId10"/>
                    <a:stretch>
                      <a:fillRect/>
                    </a:stretch>
                  </pic:blipFill>
                  <pic:spPr>
                    <a:xfrm rot="0">
                      <a:off x="0" y="0"/>
                      <a:ext cx="3893760" cy="2567900"/>
                    </a:xfrm>
                    <a:prstGeom prst="rect"/>
                    <a:noFill/>
                    <a:ln w="9525" cmpd="sng" cap="flat">
                      <a:noFill/>
                      <a:prstDash val="solid"/>
                      <a:miter/>
                    </a:ln>
                  </pic:spPr>
                </pic:pic>
              </a:graphicData>
            </a:graphic>
          </wp:inline>
        </w:drawing>
      </w:r>
    </w:p>
    <w:p/>
    <w:p>
      <w:pPr>
        <w:pStyle w:val="15"/>
      </w:pPr>
    </w:p>
    <w:p>
      <w:pPr>
        <w:spacing w:line="600" w:lineRule="exact"/>
        <w:ind w:firstLineChars="200" w:firstLine="640"/>
        <w:outlineLvl w:val="2"/>
        <w:rPr>
          <w:rFonts w:eastAsia="楷体_GB2312"/>
          <w:b/>
          <w:color w:val="auto"/>
          <w:sz w:val="32"/>
          <w:szCs w:val="32"/>
          <w:highlight w:val="auto"/>
        </w:rPr>
      </w:pPr>
      <w:bookmarkStart w:id="32" w:name="_Toc15377211"/>
      <w:r>
        <w:rPr>
          <w:rFonts w:eastAsia="楷体_GB2312"/>
          <w:b/>
          <w:color w:val="auto"/>
          <w:sz w:val="32"/>
          <w:szCs w:val="32"/>
          <w:highlight w:val="auto"/>
        </w:rPr>
        <w:t>（二）一般公共预算财政拨款支出决算结构情况</w:t>
      </w:r>
      <w:bookmarkEnd w:id="32"/>
    </w:p>
    <w:p>
      <w:pPr>
        <w:spacing w:line="600" w:lineRule="exact"/>
        <w:ind w:firstLine="640"/>
        <w:rPr>
          <w:rFonts w:eastAsia="仿宋_GB2312"/>
          <w:sz w:val="32"/>
          <w:szCs w:val="32"/>
          <w:highlight w:val="auto"/>
        </w:rPr>
      </w:pPr>
      <w:r>
        <w:rPr>
          <w:rFonts w:eastAsia="仿宋_GB2312"/>
          <w:sz w:val="32"/>
          <w:szCs w:val="32"/>
          <w:highlight w:val="auto"/>
        </w:rPr>
        <w:t>2025年度一般公共预算财政拨款支出862.5万元，主要用于以下方面：社会保障和就业支出</w:t>
      </w:r>
      <w:r>
        <w:rPr>
          <w:rFonts w:eastAsia="仿宋_GB2312"/>
          <w:sz w:val="32"/>
          <w:szCs w:val="32"/>
        </w:rPr>
        <w:t>65.15万元，占比7.56</w:t>
      </w:r>
      <w:r>
        <w:rPr>
          <w:rFonts w:eastAsia="仿宋_GB2312"/>
          <w:sz w:val="32"/>
          <w:szCs w:val="32"/>
          <w:highlight w:val="auto"/>
        </w:rPr>
        <w:t>%；卫生健康支出</w:t>
      </w:r>
      <w:r>
        <w:rPr>
          <w:rFonts w:eastAsia="仿宋_GB2312"/>
          <w:sz w:val="32"/>
          <w:szCs w:val="32"/>
        </w:rPr>
        <w:t>为24.53万元，占比2.84</w:t>
      </w:r>
      <w:r>
        <w:rPr>
          <w:rFonts w:eastAsia="仿宋_GB2312"/>
          <w:sz w:val="32"/>
          <w:szCs w:val="32"/>
          <w:highlight w:val="auto"/>
        </w:rPr>
        <w:t>%；</w:t>
      </w:r>
      <w:r>
        <w:rPr>
          <w:rFonts w:eastAsia="仿宋_GB2312"/>
          <w:sz w:val="32"/>
          <w:szCs w:val="32"/>
        </w:rPr>
        <w:t>住房保障支出为37.09万元，占比4.3%；节能环保支出为253.49万元，占比29.39%；农林水支出为482.24万元，占比55.91%</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（图6：一般公共预算财政拨款支出决算结构）（饼状图）</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rPr>
        <w:drawing>
          <wp:anchor distT="0" distB="0" distL="68578" distR="68578" simplePos="0" relativeHeight="31" behindDoc="0" locked="0" layoutInCell="1" hidden="0" allowOverlap="1">
            <wp:simplePos x="0" y="0"/>
            <wp:positionH relativeFrom="column">
              <wp:posOffset>246350</wp:posOffset>
            </wp:positionH>
            <wp:positionV relativeFrom="paragraph">
              <wp:posOffset>165503</wp:posOffset>
            </wp:positionV>
            <wp:extent cx="4274754" cy="2712678"/>
            <wp:effectExtent l="0" t="0" r="0" b="0"/>
            <wp:wrapTight wrapText="bothSides">
              <wp:wrapPolygon>
                <wp:start x="-12" y="-60"/>
                <wp:lineTo x="-12" y="21539"/>
                <wp:lineTo x="21587" y="21539"/>
                <wp:lineTo x="21587" y="-60"/>
                <wp:lineTo x="-12" y="-60"/>
              </wp:wrapPolygon>
            </wp:wrapTight>
            <wp:docPr id="19" name="图片"/>
            <wp:cNvGraphicFramePr>
              <a:graphicFrameLocks noChangeAspect="1"/>
            </wp:cNvGraphicFramePr>
            <a:graphic>
              <a:graphicData uri="http://schemas.openxmlformats.org/drawingml/2006/picture">
                <pic:pic>
                  <pic:nvPicPr>
                    <pic:cNvPr id="21" name="图片 21"/>
                    <pic:cNvPicPr/>
                  </pic:nvPicPr>
                  <pic:blipFill>
                    <a:blip r:embed="rId11"/>
                    <a:stretch>
                      <a:fillRect/>
                    </a:stretch>
                  </pic:blipFill>
                  <pic:spPr>
                    <a:xfrm rot="0">
                      <a:off x="0" y="0"/>
                      <a:ext cx="4274754" cy="2712678"/>
                    </a:xfrm>
                    <a:prstGeom prst="rect"/>
                    <a:noFill/>
                    <a:ln w="9525" cmpd="sng" cap="flat">
                      <a:noFill/>
                      <a:prstDash val="solid"/>
                      <a:miter/>
                    </a:ln>
                  </pic:spPr>
                </pic:pic>
              </a:graphicData>
            </a:graphic>
          </wp:anchor>
        </w:drawing>
      </w:r>
    </w:p>
    <w:p>
      <w:pPr>
        <w:pStyle w:val="15"/>
      </w:pPr>
    </w:p>
    <w:p>
      <w:pPr>
        <w:pStyle w:val="17"/>
        <w:rPr>
          <w:rFonts w:ascii="Times New Roman" w:hAnsi="Times New Roman"/>
        </w:rPr>
      </w:pPr>
    </w:p>
    <w:p/>
    <w:p>
      <w:pPr>
        <w:pStyle w:val="15"/>
      </w:pPr>
    </w:p>
    <w:p>
      <w:pPr>
        <w:pStyle w:val="17"/>
        <w:rPr>
          <w:rFonts w:ascii="Times New Roman" w:hAnsi="Times New Roman"/>
        </w:rPr>
      </w:pPr>
    </w:p>
    <w:p/>
    <w:p>
      <w:pPr>
        <w:spacing w:line="600" w:lineRule="exact"/>
        <w:ind w:firstLineChars="200" w:firstLine="640"/>
        <w:outlineLvl w:val="2"/>
        <w:rPr>
          <w:rFonts w:eastAsia="楷体_GB2312"/>
          <w:b/>
          <w:color w:val="auto"/>
          <w:sz w:val="32"/>
          <w:szCs w:val="32"/>
          <w:highlight w:val="auto"/>
        </w:rPr>
      </w:pPr>
      <w:bookmarkStart w:id="33" w:name="_Toc15377212"/>
      <w:r>
        <w:rPr>
          <w:rFonts w:eastAsia="楷体_GB2312"/>
          <w:b/>
          <w:color w:val="auto"/>
          <w:sz w:val="32"/>
          <w:szCs w:val="32"/>
          <w:highlight w:val="auto"/>
        </w:rPr>
        <w:t>（三）一般公共预算财政拨款支出决算具体情况</w:t>
      </w:r>
      <w:bookmarkEnd w:id="33"/>
    </w:p>
    <w:p>
      <w:pPr>
        <w:spacing w:line="600" w:lineRule="exact"/>
        <w:ind w:firstLine="640"/>
        <w:rPr>
          <w:rFonts w:eastAsia="仿宋_GB2312"/>
          <w:color w:val="auto"/>
          <w:kern w:val="2"/>
          <w:sz w:val="32"/>
          <w:szCs w:val="32"/>
          <w:lang w:val="en-US" w:eastAsia="zh-CN" w:bidi="ar-SA"/>
          <w:highlight w:val="auto"/>
        </w:rPr>
      </w:pPr>
      <w:bookmarkStart w:id="34" w:name="_Toc15378460"/>
      <w:bookmarkStart w:id="35" w:name="_Toc15377213"/>
      <w:bookmarkStart w:id="36" w:name="_Toc15377444"/>
      <w:r>
        <w:rPr>
          <w:rFonts w:eastAsia="仿宋_GB2312"/>
          <w:color w:val="auto"/>
          <w:kern w:val="2"/>
          <w:sz w:val="32"/>
          <w:szCs w:val="32"/>
          <w:lang w:val="en-US" w:eastAsia="zh-CN" w:bidi="ar-SA"/>
          <w:highlight w:val="auto"/>
        </w:rPr>
        <w:t>2025年度一般公共预算支出决算数为862.5，完成预算100%。其中：</w:t>
      </w:r>
      <w:bookmarkEnd w:id="34"/>
      <w:bookmarkEnd w:id="35"/>
      <w:bookmarkEnd w:id="36"/>
    </w:p>
    <w:p>
      <w:pPr>
        <w:pStyle w:val="18"/>
        <w:ind w:firstLineChars="200" w:firstLine="640"/>
        <w:rPr>
          <w:rFonts w:ascii="Times New Roman" w:hAnsi="Times New Roman"/>
          <w:sz w:val="32"/>
          <w:szCs w:val="32"/>
          <w:lang w:val="en-US" w:eastAsia="zh-CN" w:bidi="ar-SA"/>
        </w:rPr>
      </w:pPr>
      <w:r>
        <w:rPr>
          <w:rFonts w:ascii="Times New Roman" w:eastAsia="仿宋_GB2312" w:hAnsi="Times New Roman"/>
          <w:sz w:val="32"/>
          <w:szCs w:val="32"/>
          <w:lang w:val="en-US" w:eastAsia="zh-CN"/>
        </w:rPr>
        <w:t>1.</w:t>
      </w:r>
      <w:r>
        <w:rPr>
          <w:rFonts w:ascii="Times New Roman" w:eastAsia="仿宋_GB2312" w:hAnsi="Times New Roman"/>
          <w:sz w:val="32"/>
          <w:szCs w:val="32"/>
        </w:rPr>
        <w:t>社会保障和就业</w:t>
      </w:r>
      <w:r>
        <w:rPr>
          <w:rFonts w:ascii="Times New Roman" w:eastAsia="仿宋_GB2312" w:hAnsi="Times New Roman"/>
          <w:sz w:val="32"/>
          <w:szCs w:val="32"/>
          <w:lang w:val="en-US" w:eastAsia="zh-CN"/>
        </w:rPr>
        <w:t>支出</w:t>
      </w:r>
      <w:r>
        <w:rPr>
          <w:rFonts w:ascii="Times New Roman" w:eastAsia="仿宋_GB2312" w:hAnsi="Times New Roman"/>
          <w:sz w:val="32"/>
          <w:szCs w:val="32"/>
        </w:rPr>
        <w:t>（208类）行政事业单位养老支出（05款）机关事业单位基本养老保险缴费支出（05项）</w:t>
      </w:r>
      <w:r>
        <w:rPr>
          <w:rFonts w:ascii="Times New Roman" w:eastAsia="仿宋_GB2312" w:hAnsi="Times New Roman"/>
          <w:sz w:val="32"/>
          <w:szCs w:val="32"/>
          <w:lang w:eastAsia="zh-CN"/>
        </w:rPr>
        <w:t>：</w:t>
      </w:r>
      <w:r>
        <w:rPr>
          <w:rStyle w:val="0"/>
          <w:rFonts w:eastAsia="仿宋_GB2312"/>
          <w:bCs/>
          <w:kern w:val="0"/>
          <w:sz w:val="32"/>
          <w:szCs w:val="32"/>
        </w:rPr>
        <w:t>支出决算为</w:t>
      </w:r>
      <w:r>
        <w:rPr>
          <w:rStyle w:val="0"/>
          <w:rFonts w:eastAsia="仿宋_GB2312"/>
          <w:bCs/>
          <w:kern w:val="0"/>
          <w:sz w:val="32"/>
          <w:szCs w:val="32"/>
          <w:lang w:val="en-US" w:eastAsia="zh-CN"/>
        </w:rPr>
        <w:t>43.44</w:t>
      </w:r>
      <w:r>
        <w:rPr>
          <w:rStyle w:val="0"/>
          <w:rFonts w:eastAsia="仿宋_GB2312"/>
          <w:bCs/>
          <w:kern w:val="0"/>
          <w:sz w:val="32"/>
          <w:szCs w:val="32"/>
        </w:rPr>
        <w:t>万元，</w:t>
      </w:r>
      <w:r>
        <w:rPr>
          <w:rFonts w:ascii="Times New Roman" w:hAnsi="Times New Roman"/>
          <w:sz w:val="32"/>
          <w:szCs w:val="32"/>
          <w:lang w:val="en-US" w:eastAsia="zh-CN" w:bidi="ar-SA"/>
        </w:rPr>
        <w:t>结余8.64万元，完成预算83.41%，决算数小于预算数原因为人员减少。</w:t>
      </w:r>
    </w:p>
    <w:p>
      <w:pPr>
        <w:pStyle w:val="18"/>
        <w:ind w:firstLineChars="200" w:firstLine="600"/>
        <w:rPr>
          <w:rFonts w:ascii="Times New Roman" w:eastAsia="仿宋_GB2312" w:hAnsi="Times New Roman"/>
          <w:kern w:val="2"/>
          <w:sz w:val="32"/>
          <w:szCs w:val="32"/>
          <w:lang w:val="en-US" w:eastAsia="zh-CN" w:bidi="ar-SA"/>
        </w:rPr>
      </w:pPr>
      <w:r>
        <w:rPr>
          <w:rFonts w:ascii="Times New Roman" w:hAnsi="Times New Roman"/>
          <w:lang w:val="en-US" w:eastAsia="zh-CN"/>
        </w:rPr>
        <w:t xml:space="preserve"> </w:t>
      </w:r>
      <w:r>
        <w:rPr>
          <w:rFonts w:ascii="Times New Roman" w:eastAsia="仿宋_GB2312" w:hAnsi="Times New Roman"/>
          <w:kern w:val="2"/>
          <w:sz w:val="32"/>
          <w:szCs w:val="32"/>
          <w:lang w:val="en-US" w:eastAsia="zh-CN" w:bidi="ar-SA"/>
        </w:rPr>
        <w:t>2.社会保障和就业支出（208类）行政事业单位养老支出（05款）机关事业单位职业年金缴费支出（06项）：支出决算为21.72万元，结余4.32万元，完成预算83.41%，决算数小于预算数原因为人员减少。</w:t>
      </w:r>
    </w:p>
    <w:p>
      <w:pPr>
        <w:pStyle w:val="18"/>
        <w:ind w:firstLineChars="200" w:firstLine="640"/>
        <w:rPr>
          <w:rFonts w:ascii="Times New Roman" w:eastAsia="仿宋_GB2312" w:hAnsi="Times New Roman"/>
          <w:kern w:val="2"/>
          <w:sz w:val="32"/>
          <w:szCs w:val="32"/>
          <w:lang w:val="en-US" w:eastAsia="zh-CN" w:bidi="ar-SA"/>
        </w:rPr>
      </w:pPr>
      <w:r>
        <w:rPr>
          <w:rFonts w:ascii="Times New Roman" w:eastAsia="仿宋_GB2312" w:hAnsi="Times New Roman"/>
          <w:kern w:val="2"/>
          <w:sz w:val="32"/>
          <w:szCs w:val="32"/>
          <w:lang w:val="en-US" w:eastAsia="zh-CN" w:bidi="ar-SA"/>
        </w:rPr>
        <w:t>3.卫生健康支出（210类）行政事业单位医疗（11款）事业单位医疗保险（02项）:支出决算为20.8万元，结余6.73万元，完成预算75.55%，决算数小于预算数原因为人员减少。</w:t>
      </w:r>
    </w:p>
    <w:p>
      <w:pPr>
        <w:pStyle w:val="18"/>
        <w:ind w:firstLineChars="200" w:firstLine="640"/>
        <w:rPr>
          <w:rFonts w:ascii="Times New Roman" w:eastAsia="仿宋_GB2312" w:hAnsi="Times New Roman"/>
          <w:kern w:val="2"/>
          <w:sz w:val="32"/>
          <w:szCs w:val="32"/>
          <w:lang w:val="en-US" w:eastAsia="zh-CN" w:bidi="ar-SA"/>
        </w:rPr>
      </w:pPr>
      <w:r>
        <w:rPr>
          <w:rFonts w:ascii="Times New Roman" w:eastAsia="仿宋_GB2312" w:hAnsi="Times New Roman"/>
          <w:kern w:val="2"/>
          <w:sz w:val="32"/>
          <w:szCs w:val="32"/>
          <w:lang w:val="en-US" w:eastAsia="zh-CN" w:bidi="ar-SA"/>
        </w:rPr>
        <w:t>4.卫生健康支出（210类）行政事业单位医疗（11款）其他行政事业单位医疗（99项）：支出决算为3.73万元，结余0.81万元，完成预算82.16%，决算数小于预算数原因为人员减少。</w:t>
      </w:r>
    </w:p>
    <w:p>
      <w:pPr>
        <w:pStyle w:val="18"/>
        <w:ind w:firstLineChars="200" w:firstLine="640"/>
        <w:rPr>
          <w:rFonts w:ascii="Times New Roman" w:eastAsia="仿宋_GB2312" w:hAnsi="Times New Roman"/>
          <w:kern w:val="2"/>
          <w:sz w:val="32"/>
          <w:szCs w:val="32"/>
          <w:lang w:val="en-US" w:eastAsia="zh-CN" w:bidi="ar-SA"/>
        </w:rPr>
      </w:pPr>
      <w:r>
        <w:rPr>
          <w:rFonts w:ascii="Times New Roman" w:eastAsia="仿宋_GB2312" w:hAnsi="Times New Roman"/>
          <w:kern w:val="2"/>
          <w:sz w:val="32"/>
          <w:szCs w:val="32"/>
          <w:lang w:val="en-US" w:eastAsia="zh-CN" w:bidi="ar-SA"/>
        </w:rPr>
        <w:t>5.住房保障支出（221类）住房改革支出（02款）住房公积金（01项）:支出决算为37.09万元，结余9.12万元，完成预算80.26%，决算数小于预算数原因为人员减少。</w:t>
      </w:r>
    </w:p>
    <w:p>
      <w:pPr>
        <w:pStyle w:val="18"/>
        <w:ind w:firstLineChars="200" w:firstLine="640"/>
        <w:rPr>
          <w:rFonts w:ascii="Times New Roman" w:eastAsia="仿宋_GB2312" w:hAnsi="Times New Roman"/>
          <w:kern w:val="2"/>
          <w:sz w:val="32"/>
          <w:szCs w:val="32"/>
          <w:lang w:val="en-US" w:eastAsia="zh-CN" w:bidi="ar-SA"/>
        </w:rPr>
      </w:pPr>
      <w:r>
        <w:rPr>
          <w:rFonts w:ascii="Times New Roman" w:eastAsia="仿宋_GB2312" w:hAnsi="Times New Roman"/>
          <w:kern w:val="2"/>
          <w:sz w:val="32"/>
          <w:szCs w:val="32"/>
          <w:lang w:val="en-US" w:eastAsia="zh-CN" w:bidi="ar-SA"/>
        </w:rPr>
        <w:t>6.农林水支出（213类）林业和草原（02款）事业机构（04项）：支出决算为482.24万元，结余29.84万元，完成预算94.17%，决算数小于预算数原因为人员减少。</w:t>
      </w:r>
    </w:p>
    <w:p>
      <w:pPr>
        <w:spacing w:line="600" w:lineRule="exact"/>
        <w:ind w:firstLine="640"/>
        <w:rPr>
          <w:rFonts w:eastAsia="仿宋_GB2312"/>
          <w:kern w:val="2"/>
          <w:sz w:val="32"/>
          <w:szCs w:val="32"/>
          <w:lang w:val="en-US" w:eastAsia="zh-CN" w:bidi="ar-SA"/>
        </w:rPr>
      </w:pPr>
      <w:r>
        <w:rPr>
          <w:rFonts w:eastAsia="仿宋_GB2312"/>
          <w:kern w:val="2"/>
          <w:sz w:val="32"/>
          <w:szCs w:val="32"/>
          <w:lang w:val="en-US" w:eastAsia="zh-CN" w:bidi="ar-SA"/>
        </w:rPr>
        <w:t>7.节能环保支出（211类）自然生态保护（04款）自然保护地（06项）：支出决算为253.49万元，完成预算100%，决算数与预算数持平。</w:t>
      </w:r>
    </w:p>
    <w:p>
      <w:pPr>
        <w:tabs>
          <w:tab w:val="right" w:pos="8306"/>
        </w:tabs>
        <w:spacing w:line="600" w:lineRule="exact"/>
        <w:ind w:firstLine="640"/>
        <w:outlineLvl w:val="1"/>
        <w:rPr>
          <w:rStyle w:val="2Char"/>
          <w:rFonts w:ascii="Times New Roman" w:hAnsi="Times New Roman"/>
          <w:color w:val="auto"/>
          <w:highlight w:val="auto"/>
        </w:rPr>
      </w:pPr>
      <w:bookmarkStart w:id="37" w:name="_Toc15377214"/>
      <w:bookmarkStart w:id="38" w:name="_Toc15396608"/>
      <w:r>
        <w:rPr>
          <w:rFonts w:eastAsia="黑体"/>
          <w:color w:val="auto"/>
          <w:sz w:val="32"/>
          <w:szCs w:val="32"/>
          <w:highlight w:val="auto"/>
        </w:rPr>
        <w:t>六</w:t>
      </w:r>
      <w:r>
        <w:rPr>
          <w:rFonts w:eastAsia="黑体"/>
          <w:b/>
          <w:color w:val="auto"/>
          <w:sz w:val="32"/>
          <w:szCs w:val="32"/>
          <w:highlight w:val="auto"/>
        </w:rPr>
        <w:t>、一</w:t>
      </w:r>
      <w:r>
        <w:rPr>
          <w:rStyle w:val="2Char"/>
          <w:rFonts w:ascii="Times New Roman" w:eastAsia="黑体" w:hAnsi="Times New Roman"/>
          <w:b w:val="0"/>
          <w:color w:val="auto"/>
          <w:highlight w:val="auto"/>
        </w:rPr>
        <w:t>般公共预算财政拨款基本支出决算情况说明</w:t>
      </w:r>
      <w:bookmarkEnd w:id="37"/>
      <w:bookmarkEnd w:id="38"/>
      <w:r>
        <w:rPr>
          <w:rStyle w:val="2Char"/>
          <w:rFonts w:ascii="Times New Roman" w:eastAsia="黑体" w:hAnsi="Times New Roman"/>
          <w:b w:val="0"/>
          <w:color w:val="auto"/>
          <w:highlight w:val="auto"/>
        </w:rPr>
        <w:tab/>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2025年度一般公共预算财政拨款基本支出862.5万元，其中：</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人员经费473.49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br/>
        <w:t>　　公用经费25.64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Chars="200" w:firstLine="640"/>
        <w:textAlignment w:val="auto"/>
        <w:rPr>
          <w:rFonts w:eastAsia="仿宋_GB2312"/>
          <w:sz w:val="32"/>
          <w:szCs w:val="32"/>
        </w:rPr>
      </w:pPr>
      <w:r>
        <w:rPr>
          <w:rFonts w:eastAsia="仿宋_GB2312"/>
          <w:sz w:val="32"/>
          <w:szCs w:val="32"/>
        </w:rPr>
        <w:t>项目支出中基本建设类项目支出为0万元，支出要按照基本支出和项目支出分析具体构成及特点：</w:t>
      </w:r>
      <w:r>
        <w:rPr>
          <w:rStyle w:val="0"/>
          <w:rFonts w:eastAsia="仿宋_GB2312"/>
          <w:sz w:val="32"/>
          <w:szCs w:val="32"/>
        </w:rPr>
        <w:t>本单位无建设类项目支出。</w:t>
      </w:r>
      <w:r>
        <w:rPr>
          <w:rFonts w:eastAsia="仿宋_GB2312"/>
          <w:sz w:val="32"/>
          <w:szCs w:val="32"/>
        </w:rPr>
        <w:t>项目支出中非基本建设类项目支出为363.37万元，主要包括：办公费、电费、劳务费、租赁费、专用材料费、委托业务费、差旅费、其他交通费等。</w:t>
      </w:r>
    </w:p>
    <w:p>
      <w:pPr>
        <w:pStyle w:val="15"/>
      </w:pPr>
    </w:p>
    <w:p>
      <w:pPr>
        <w:spacing w:line="600" w:lineRule="exact"/>
        <w:ind w:firstLine="640"/>
        <w:outlineLvl w:val="1"/>
        <w:rPr>
          <w:rStyle w:val="2Char"/>
          <w:rFonts w:ascii="Times New Roman" w:eastAsia="黑体" w:hAnsi="Times New Roman"/>
          <w:b w:val="0"/>
          <w:color w:val="auto"/>
          <w:highlight w:val="auto"/>
        </w:rPr>
      </w:pPr>
      <w:bookmarkStart w:id="39" w:name="_Toc15396609"/>
      <w:bookmarkStart w:id="40" w:name="_Toc15377215"/>
      <w:r>
        <w:rPr>
          <w:rFonts w:eastAsia="黑体"/>
          <w:color w:val="auto"/>
          <w:sz w:val="32"/>
          <w:szCs w:val="32"/>
          <w:highlight w:val="auto"/>
        </w:rPr>
        <w:t>七、</w:t>
      </w:r>
      <w:r>
        <w:rPr>
          <w:rStyle w:val="2Char"/>
          <w:rFonts w:ascii="Times New Roman" w:eastAsia="黑体" w:hAnsi="Times New Roman"/>
          <w:b w:val="0"/>
          <w:color w:val="auto"/>
          <w:highlight w:val="auto"/>
        </w:rPr>
        <w:t>财政拨款</w:t>
      </w:r>
      <w:r>
        <w:rPr>
          <w:rStyle w:val="2Char"/>
          <w:rFonts w:ascii="Times New Roman" w:eastAsia="黑体" w:hAnsi="Times New Roman"/>
          <w:color w:val="auto"/>
          <w:highlight w:val="auto"/>
        </w:rPr>
        <w:t>“</w:t>
      </w:r>
      <w:r>
        <w:rPr>
          <w:rStyle w:val="2Char"/>
          <w:rFonts w:ascii="Times New Roman" w:eastAsia="黑体" w:hAnsi="Times New Roman"/>
          <w:b w:val="0"/>
          <w:color w:val="auto"/>
          <w:highlight w:val="auto"/>
        </w:rPr>
        <w:t>三公”经费支出决算情况说明</w:t>
      </w:r>
      <w:bookmarkEnd w:id="39"/>
      <w:bookmarkEnd w:id="40"/>
    </w:p>
    <w:p>
      <w:pPr>
        <w:spacing w:line="600" w:lineRule="exact"/>
        <w:ind w:firstLineChars="200" w:firstLine="640"/>
        <w:outlineLvl w:val="2"/>
        <w:rPr>
          <w:rFonts w:eastAsia="楷体_GB2312"/>
          <w:b/>
          <w:color w:val="auto"/>
          <w:sz w:val="32"/>
          <w:szCs w:val="32"/>
          <w:highlight w:val="auto"/>
        </w:rPr>
      </w:pPr>
      <w:bookmarkStart w:id="41" w:name="_Toc15377216"/>
      <w:r>
        <w:rPr>
          <w:rFonts w:eastAsia="楷体_GB2312"/>
          <w:b/>
          <w:color w:val="auto"/>
          <w:sz w:val="32"/>
          <w:szCs w:val="32"/>
          <w:highlight w:val="auto"/>
        </w:rPr>
        <w:t>（一）财政拨款“三公”经费支出决算总体情况说明</w:t>
      </w:r>
      <w:bookmarkEnd w:id="41"/>
    </w:p>
    <w:p>
      <w:pPr>
        <w:spacing w:line="600" w:lineRule="exact"/>
        <w:ind w:firstLine="640"/>
        <w:rPr>
          <w:rFonts w:eastAsia="仿宋_GB2312"/>
          <w:b/>
          <w:bCs/>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2025年度财政拨款“三公”经费支出决算为10.59万元，</w:t>
      </w:r>
      <w:r>
        <w:rPr>
          <w:rFonts w:eastAsia="仿宋_GB2312"/>
          <w:kern w:val="2"/>
          <w:sz w:val="32"/>
          <w:szCs w:val="32"/>
          <w:lang w:val="en-US" w:eastAsia="zh-CN" w:bidi="ar-SA"/>
        </w:rPr>
        <w:t>结余13.82万元，完成预算43.38%，</w:t>
      </w:r>
      <w:r>
        <w:rPr>
          <w:rFonts w:eastAsia="仿宋_GB2312"/>
          <w:color w:val="auto"/>
          <w:kern w:val="2"/>
          <w:sz w:val="32"/>
          <w:szCs w:val="32"/>
          <w:lang w:val="en-US" w:eastAsia="zh-CN" w:bidi="ar-SA"/>
          <w:highlight w:val="auto"/>
        </w:rPr>
        <w:t>较上年度减少6.81万元，下降39.14%。</w:t>
      </w:r>
      <w:r>
        <w:rPr>
          <w:rFonts w:eastAsia="仿宋_GB2312"/>
          <w:kern w:val="2"/>
          <w:sz w:val="32"/>
          <w:szCs w:val="32"/>
          <w:lang w:val="en-US" w:eastAsia="zh-CN" w:bidi="ar-SA"/>
        </w:rPr>
        <w:t>决算数小于预算数原因为人员减少。</w:t>
      </w:r>
    </w:p>
    <w:p>
      <w:pPr>
        <w:spacing w:line="600" w:lineRule="exact"/>
        <w:ind w:firstLineChars="200" w:firstLine="640"/>
        <w:outlineLvl w:val="2"/>
        <w:rPr>
          <w:rFonts w:eastAsia="楷体_GB2312"/>
          <w:b/>
          <w:color w:val="auto"/>
          <w:sz w:val="32"/>
          <w:szCs w:val="32"/>
          <w:highlight w:val="auto"/>
        </w:rPr>
      </w:pPr>
      <w:bookmarkStart w:id="42" w:name="_Toc15377217"/>
      <w:r>
        <w:rPr>
          <w:rFonts w:eastAsia="楷体_GB2312"/>
          <w:b/>
          <w:color w:val="auto"/>
          <w:sz w:val="32"/>
          <w:szCs w:val="32"/>
          <w:highlight w:val="auto"/>
        </w:rPr>
        <w:t>（二）财政拨款“三公”经费支出决算具体情况说明</w:t>
      </w:r>
      <w:bookmarkEnd w:id="42"/>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2025年度财政拨款“三公”经费支出决算中，因公出国（境）费支出决算0万元，占0%；公务用车购置及运行维护费支出决算10.59万元，占100%；公务接待费支出决算0万元，占0%。具体情况如下：</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（图7：财政拨款“三公”经费支出结构）（饼状图）</w:t>
      </w:r>
    </w:p>
    <w:p>
      <w:pPr>
        <w:pStyle w:val="15"/>
      </w:pPr>
    </w:p>
    <w:p>
      <w:pPr>
        <w:pStyle w:val="17"/>
        <w:rPr>
          <w:rFonts w:ascii="Times New Roman" w:hAnsi="Times New Roman"/>
        </w:rPr>
      </w:pPr>
    </w:p>
    <w:p>
      <w:pPr>
        <w:pStyle w:val="17"/>
        <w:ind w:leftChars="0" w:left="0" w:firstLineChars="0" w:firstLine="0"/>
        <w:rPr>
          <w:rFonts w:ascii="Times New Roman" w:hAnsi="Times New Roman"/>
        </w:rPr>
      </w:pPr>
    </w:p>
    <w:p>
      <w:r>
        <w:drawing>
          <wp:anchor distT="0" distB="0" distL="68578" distR="68578" simplePos="0" relativeHeight="33" behindDoc="0" locked="0" layoutInCell="1" hidden="0" allowOverlap="1">
            <wp:simplePos x="0" y="0"/>
            <wp:positionH relativeFrom="column">
              <wp:posOffset>-15239</wp:posOffset>
            </wp:positionH>
            <wp:positionV relativeFrom="paragraph">
              <wp:posOffset>33223</wp:posOffset>
            </wp:positionV>
            <wp:extent cx="5196743" cy="2493800"/>
            <wp:effectExtent l="0" t="0" r="0" b="0"/>
            <wp:wrapTight wrapText="bothSides">
              <wp:wrapPolygon>
                <wp:start x="0" y="-59"/>
                <wp:lineTo x="0" y="21587"/>
                <wp:lineTo x="21599" y="21587"/>
                <wp:lineTo x="21599" y="-59"/>
                <wp:lineTo x="0" y="-59"/>
              </wp:wrapPolygon>
            </wp:wrapTight>
            <wp:docPr id="22" name="图片"/>
            <wp:cNvGraphicFramePr>
              <a:graphicFrameLocks noChangeAspect="1"/>
            </wp:cNvGraphicFramePr>
            <a:graphic>
              <a:graphicData uri="http://schemas.openxmlformats.org/drawingml/2006/picture">
                <pic:pic>
                  <pic:nvPicPr>
                    <pic:cNvPr id="24" name="图片 24"/>
                    <pic:cNvPicPr/>
                  </pic:nvPicPr>
                  <pic:blipFill>
                    <a:blip r:embed="rId12"/>
                    <a:stretch>
                      <a:fillRect/>
                    </a:stretch>
                  </pic:blipFill>
                  <pic:spPr>
                    <a:xfrm rot="0">
                      <a:off x="0" y="0"/>
                      <a:ext cx="5196743" cy="2493800"/>
                    </a:xfrm>
                    <a:prstGeom prst="rect"/>
                    <a:noFill/>
                    <a:ln w="9525" cmpd="sng" cap="flat">
                      <a:noFill/>
                      <a:prstDash val="solid"/>
                      <a:miter/>
                    </a:ln>
                  </pic:spPr>
                </pic:pic>
              </a:graphicData>
            </a:graphic>
          </wp:anchor>
        </w:drawing>
      </w:r>
    </w:p>
    <w:p>
      <w:pPr>
        <w:pStyle w:val="15"/>
      </w:pPr>
    </w:p>
    <w:p>
      <w:pPr>
        <w:spacing w:line="600" w:lineRule="exact"/>
        <w:ind w:firstLine="640"/>
        <w:rPr>
          <w:rFonts w:eastAsia="仿宋_GB2312"/>
          <w:color w:val="auto"/>
          <w:kern w:val="2"/>
          <w:sz w:val="32"/>
          <w:szCs w:val="32"/>
          <w:lang w:val="en-US" w:eastAsia="zh-CN" w:bidi="ar-SA"/>
          <w:highlight w:val="auto"/>
        </w:rPr>
      </w:pPr>
      <w:r>
        <w:rPr>
          <w:rFonts w:eastAsia="仿宋_GB2312"/>
          <w:b/>
          <w:bCs/>
          <w:color w:val="auto"/>
          <w:kern w:val="2"/>
          <w:sz w:val="32"/>
          <w:szCs w:val="32"/>
          <w:lang w:val="en-US" w:eastAsia="zh-CN" w:bidi="ar-SA"/>
          <w:highlight w:val="auto"/>
        </w:rPr>
        <w:t>1.因公出国（境）经费支出0万元，完成预算0%。</w:t>
      </w:r>
      <w:r>
        <w:rPr>
          <w:rFonts w:eastAsia="仿宋_GB2312"/>
          <w:color w:val="auto"/>
          <w:kern w:val="2"/>
          <w:sz w:val="32"/>
          <w:szCs w:val="32"/>
          <w:lang w:val="en-US" w:eastAsia="zh-CN" w:bidi="ar-SA"/>
          <w:highlight w:val="auto"/>
        </w:rPr>
        <w:t>全年安排因公出国（境）团组0次，出国（境）0人。因公出国（境）无支出决算比上年度增加/减少0万元，增长/下降0%。主要原因是……</w:t>
      </w:r>
    </w:p>
    <w:p>
      <w:pPr>
        <w:spacing w:line="600" w:lineRule="exact"/>
        <w:ind w:firstLine="640"/>
        <w:rPr>
          <w:rStyle w:val="0"/>
          <w:rFonts w:eastAsia="仿宋_GB2312"/>
          <w:sz w:val="32"/>
          <w:szCs w:val="32"/>
        </w:rPr>
      </w:pPr>
      <w:r>
        <w:rPr>
          <w:rFonts w:eastAsia="仿宋_GB2312"/>
          <w:b/>
          <w:bCs/>
          <w:color w:val="auto"/>
          <w:kern w:val="2"/>
          <w:sz w:val="32"/>
          <w:szCs w:val="32"/>
          <w:lang w:val="en-US" w:eastAsia="zh-CN" w:bidi="ar-SA"/>
          <w:highlight w:val="auto"/>
        </w:rPr>
        <w:t>2.公务用车购置及运行维护费支出10.59万元，完成预算43.38%。</w:t>
      </w:r>
      <w:r>
        <w:rPr>
          <w:rFonts w:eastAsia="仿宋_GB2312"/>
          <w:color w:val="auto"/>
          <w:kern w:val="2"/>
          <w:sz w:val="32"/>
          <w:szCs w:val="32"/>
          <w:lang w:val="en-US" w:eastAsia="zh-CN" w:bidi="ar-SA"/>
          <w:highlight w:val="auto"/>
        </w:rPr>
        <w:t>公务用车购置及运行维护费支出决算比上年度减少6.81万元，下降39.14%。主要原因</w:t>
      </w:r>
      <w:r>
        <w:rPr>
          <w:rFonts w:eastAsia="仿宋_GB2312"/>
          <w:sz w:val="32"/>
          <w:szCs w:val="32"/>
          <w:highlight w:val="auto"/>
        </w:rPr>
        <w:t>是</w:t>
      </w:r>
      <w:r>
        <w:rPr>
          <w:rStyle w:val="0"/>
          <w:rFonts w:eastAsia="仿宋_GB2312"/>
          <w:sz w:val="32"/>
          <w:szCs w:val="32"/>
        </w:rPr>
        <w:t>单位机构改革期公务外出减少。</w:t>
      </w:r>
    </w:p>
    <w:p>
      <w:pPr>
        <w:spacing w:line="600" w:lineRule="exact"/>
        <w:ind w:firstLine="640"/>
        <w:rPr>
          <w:rFonts w:eastAsia="仿宋_GB2312"/>
          <w:sz w:val="32"/>
          <w:szCs w:val="32"/>
        </w:rPr>
      </w:pPr>
      <w:r>
        <w:rPr>
          <w:rFonts w:eastAsia="仿宋_GB2312"/>
          <w:color w:val="auto"/>
          <w:kern w:val="2"/>
          <w:sz w:val="32"/>
          <w:szCs w:val="32"/>
          <w:lang w:val="en-US" w:eastAsia="zh-CN" w:bidi="ar-SA"/>
          <w:highlight w:val="auto"/>
        </w:rPr>
        <w:t>其中：公务用车购置支出0万元。全年按规定更新购置公务用车0辆，其中：轿车0辆、金额0万元，越野车0辆、金额0万元，载客汽车0辆、金额0万元，主要用于……。截至2025年12月31日，单位共有公务用车2辆，其中：轿车0辆、越野车2辆、载客汽车0辆。</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公务用车运行维护费支出10.59万元。主要用于所需的公务用车燃料费、维修费、过路过桥费、保险费等支出。</w:t>
      </w:r>
    </w:p>
    <w:p>
      <w:pPr>
        <w:spacing w:line="600" w:lineRule="exact"/>
        <w:ind w:firstLine="640"/>
        <w:rPr>
          <w:rFonts w:eastAsia="仿宋_GB2312"/>
          <w:color w:val="auto"/>
          <w:kern w:val="2"/>
          <w:sz w:val="32"/>
          <w:szCs w:val="32"/>
          <w:lang w:val="en-US" w:eastAsia="zh-CN" w:bidi="ar-SA"/>
          <w:highlight w:val="auto"/>
        </w:rPr>
      </w:pPr>
      <w:r>
        <w:rPr>
          <w:rFonts w:eastAsia="仿宋_GB2312"/>
          <w:b/>
          <w:bCs/>
          <w:color w:val="auto"/>
          <w:kern w:val="2"/>
          <w:sz w:val="32"/>
          <w:szCs w:val="32"/>
          <w:lang w:val="en-US" w:eastAsia="zh-CN" w:bidi="ar-SA"/>
          <w:highlight w:val="auto"/>
        </w:rPr>
        <w:t>3.公务接待费支出0万元，完成预算0%。</w:t>
      </w:r>
      <w:r>
        <w:rPr>
          <w:rFonts w:eastAsia="仿宋_GB2312"/>
          <w:color w:val="auto"/>
          <w:kern w:val="2"/>
          <w:sz w:val="32"/>
          <w:szCs w:val="32"/>
          <w:lang w:val="en-US" w:eastAsia="zh-CN" w:bidi="ar-SA"/>
          <w:highlight w:val="auto"/>
        </w:rPr>
        <w:t>公务接待费支出决算比上年度增加/减少0万元，增长/下降0%。主要原因是……。其中：</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国内公务接待支出0万元，主要用于……（执行公务、开展业务活动开支的交通费、住宿费、用餐费等）。国内公务接待0批次，0人次（不包括陪同人员），共计支出0万元，具体内容包括：……（接待具体项目、金额）。</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外事接待支出0万元，主要用于……（具体项目）。外事接待0批次，0人次（不包括陪同人员），共计支出0万元。</w:t>
      </w:r>
    </w:p>
    <w:p>
      <w:pPr>
        <w:spacing w:line="600" w:lineRule="exact"/>
        <w:ind w:firstLine="640"/>
        <w:outlineLvl w:val="1"/>
        <w:rPr>
          <w:rStyle w:val="2Char"/>
          <w:rFonts w:ascii="Times New Roman" w:eastAsia="黑体" w:hAnsi="Times New Roman"/>
          <w:color w:val="auto"/>
          <w:highlight w:val="auto"/>
        </w:rPr>
      </w:pPr>
      <w:bookmarkStart w:id="43" w:name="_Toc15396610"/>
      <w:bookmarkStart w:id="44" w:name="_Toc15377218"/>
      <w:r>
        <w:rPr>
          <w:rFonts w:eastAsia="黑体"/>
          <w:color w:val="auto"/>
          <w:sz w:val="32"/>
          <w:szCs w:val="32"/>
          <w:highlight w:val="auto"/>
        </w:rPr>
        <w:t>八、</w:t>
      </w:r>
      <w:r>
        <w:rPr>
          <w:rStyle w:val="2Char"/>
          <w:rFonts w:ascii="Times New Roman" w:eastAsia="黑体" w:hAnsi="Times New Roman"/>
          <w:b w:val="0"/>
          <w:color w:val="auto"/>
          <w:highlight w:val="auto"/>
        </w:rPr>
        <w:t>政府性基金预算支出决算情况说明</w:t>
      </w:r>
      <w:bookmarkEnd w:id="43"/>
      <w:bookmarkEnd w:id="44"/>
    </w:p>
    <w:p>
      <w:pPr>
        <w:spacing w:line="600" w:lineRule="exact"/>
        <w:ind w:firstLine="640"/>
        <w:rPr>
          <w:rFonts w:eastAsia="仿宋_GB2312"/>
          <w:b/>
          <w:bCs/>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2025年度政府性基金预算财政拨款支出0万元，占本年支出合计的0%。与上年度相比，政府性基金预算财政拨款支出增加/减少0万元，增长/下降0%。主要变动原因是……</w:t>
      </w:r>
      <w:r>
        <w:rPr>
          <w:rFonts w:eastAsia="仿宋_GB2312"/>
          <w:b/>
          <w:bCs/>
          <w:color w:val="auto"/>
          <w:kern w:val="2"/>
          <w:sz w:val="32"/>
          <w:szCs w:val="32"/>
          <w:lang w:val="en-US" w:eastAsia="zh-CN" w:bidi="ar-SA"/>
          <w:highlight w:val="auto"/>
        </w:rPr>
        <w:t>（注：支出数与上年持平可以不写原因）</w:t>
      </w:r>
    </w:p>
    <w:p>
      <w:pPr>
        <w:spacing w:line="600" w:lineRule="exact"/>
        <w:ind w:firstLine="640"/>
        <w:rPr>
          <w:rFonts w:eastAsia="仿宋_GB2312"/>
          <w:color w:val="auto"/>
          <w:kern w:val="2"/>
          <w:sz w:val="32"/>
          <w:szCs w:val="32"/>
          <w:lang w:val="en-US" w:eastAsia="zh-CN" w:bidi="ar-SA"/>
          <w:highlight w:val="auto"/>
        </w:rPr>
      </w:pPr>
    </w:p>
    <w:p>
      <w:pPr>
        <w:spacing w:line="600" w:lineRule="exact"/>
        <w:ind w:left="630"/>
        <w:outlineLvl w:val="1"/>
        <w:rPr>
          <w:rStyle w:val="2Char"/>
          <w:rFonts w:ascii="Times New Roman" w:eastAsia="黑体" w:hAnsi="Times New Roman"/>
          <w:b w:val="0"/>
          <w:color w:val="auto"/>
          <w:highlight w:val="auto"/>
        </w:rPr>
      </w:pPr>
      <w:bookmarkStart w:id="45" w:name="_Toc15396611"/>
      <w:bookmarkStart w:id="46" w:name="_Toc15377219"/>
      <w:r>
        <w:rPr>
          <w:rStyle w:val="2Char"/>
          <w:rFonts w:ascii="Times New Roman" w:eastAsia="黑体" w:hAnsi="Times New Roman"/>
          <w:b w:val="0"/>
          <w:color w:val="auto"/>
          <w:lang w:eastAsia="zh-CN"/>
          <w:highlight w:val="auto"/>
        </w:rPr>
        <w:t>九、</w:t>
      </w:r>
      <w:r>
        <w:rPr>
          <w:rStyle w:val="2Char"/>
          <w:rFonts w:ascii="Times New Roman" w:eastAsia="黑体" w:hAnsi="Times New Roman"/>
          <w:b w:val="0"/>
          <w:color w:val="auto"/>
          <w:highlight w:val="auto"/>
        </w:rPr>
        <w:t>国有资本经营预算支出决算情况说明</w:t>
      </w:r>
      <w:bookmarkEnd w:id="45"/>
      <w:bookmarkEnd w:id="46"/>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2025年度国有资本经营预算财政拨款支出0万元，占本年支出合计的0%。与上年度相比，国有资本经营预算财政拨款支出增加/减少0万元，增长/下降0%。主要变动原因是……</w:t>
      </w:r>
      <w:r>
        <w:rPr>
          <w:rFonts w:eastAsia="仿宋_GB2312"/>
          <w:b/>
          <w:bCs/>
          <w:color w:val="auto"/>
          <w:kern w:val="2"/>
          <w:sz w:val="32"/>
          <w:szCs w:val="32"/>
          <w:lang w:val="en-US" w:eastAsia="zh-CN" w:bidi="ar-SA"/>
          <w:highlight w:val="auto"/>
        </w:rPr>
        <w:t>（注：支出数与上年持平可以不写原因）</w:t>
      </w:r>
    </w:p>
    <w:p>
      <w:pPr>
        <w:spacing w:line="600" w:lineRule="exact"/>
        <w:ind w:left="630"/>
        <w:outlineLvl w:val="1"/>
        <w:rPr>
          <w:rStyle w:val="2Char"/>
          <w:rFonts w:ascii="Times New Roman" w:eastAsia="黑体" w:hAnsi="Times New Roman"/>
          <w:b w:val="0"/>
          <w:color w:val="auto"/>
          <w:highlight w:val="auto"/>
        </w:rPr>
      </w:pPr>
      <w:bookmarkStart w:id="47" w:name="_Toc15396612"/>
      <w:bookmarkStart w:id="48" w:name="_Toc15377221"/>
      <w:r>
        <w:rPr>
          <w:rStyle w:val="2Char"/>
          <w:rFonts w:ascii="Times New Roman" w:eastAsia="黑体" w:hAnsi="Times New Roman"/>
          <w:b w:val="0"/>
          <w:color w:val="auto"/>
          <w:lang w:eastAsia="zh-CN"/>
          <w:highlight w:val="auto"/>
        </w:rPr>
        <w:t>十、</w:t>
      </w:r>
      <w:r>
        <w:rPr>
          <w:rStyle w:val="2Char"/>
          <w:rFonts w:ascii="Times New Roman" w:eastAsia="黑体" w:hAnsi="Times New Roman"/>
          <w:b w:val="0"/>
          <w:color w:val="auto"/>
          <w:highlight w:val="auto"/>
        </w:rPr>
        <w:t>其他重要事项的情况说明</w:t>
      </w:r>
      <w:bookmarkEnd w:id="47"/>
      <w:bookmarkEnd w:id="48"/>
    </w:p>
    <w:p>
      <w:pPr>
        <w:spacing w:line="600" w:lineRule="exact"/>
        <w:ind w:firstLineChars="200" w:firstLine="640"/>
        <w:outlineLvl w:val="2"/>
        <w:rPr>
          <w:rFonts w:eastAsia="楷体_GB2312"/>
          <w:b/>
          <w:color w:val="auto"/>
          <w:sz w:val="32"/>
          <w:szCs w:val="32"/>
          <w:highlight w:val="auto"/>
        </w:rPr>
      </w:pPr>
      <w:bookmarkStart w:id="49" w:name="_Toc15377222"/>
      <w:r>
        <w:rPr>
          <w:rFonts w:eastAsia="楷体_GB2312"/>
          <w:b/>
          <w:color w:val="auto"/>
          <w:sz w:val="32"/>
          <w:szCs w:val="32"/>
          <w:highlight w:val="auto"/>
        </w:rPr>
        <w:t>（一）机关运行经费支出情况</w:t>
      </w:r>
      <w:bookmarkEnd w:id="49"/>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2025年度，大熊猫国家公园阿坝管理分局机关运行经费支出0万元，比上年度增加/减少0万元，增长/下降0%（或与上年度决算数持平）。主要原因是……</w:t>
      </w:r>
      <w:r>
        <w:rPr>
          <w:rFonts w:eastAsia="仿宋_GB2312"/>
          <w:b/>
          <w:bCs/>
          <w:color w:val="auto"/>
          <w:kern w:val="2"/>
          <w:sz w:val="32"/>
          <w:szCs w:val="32"/>
          <w:lang w:val="en-US" w:eastAsia="zh-CN" w:bidi="ar-SA"/>
          <w:highlight w:val="auto"/>
        </w:rPr>
        <w:t>（注：支出数与上年持平可以不写原因）</w:t>
      </w:r>
    </w:p>
    <w:p>
      <w:pPr>
        <w:spacing w:line="600" w:lineRule="exact"/>
        <w:ind w:firstLineChars="200" w:firstLine="640"/>
        <w:outlineLvl w:val="2"/>
        <w:rPr>
          <w:rFonts w:eastAsia="楷体_GB2312"/>
          <w:b/>
          <w:color w:val="auto"/>
          <w:sz w:val="32"/>
          <w:szCs w:val="32"/>
          <w:highlight w:val="auto"/>
        </w:rPr>
      </w:pPr>
      <w:bookmarkStart w:id="50" w:name="_Toc15377223"/>
      <w:r>
        <w:rPr>
          <w:rFonts w:eastAsia="楷体_GB2312"/>
          <w:b/>
          <w:color w:val="auto"/>
          <w:sz w:val="32"/>
          <w:szCs w:val="32"/>
          <w:highlight w:val="auto"/>
        </w:rPr>
        <w:t>（二）政府采购支出情况</w:t>
      </w:r>
      <w:bookmarkEnd w:id="50"/>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2025年度，大熊猫国家公园阿坝管理分局无政府采购支出总额316.39万元，其中：政府采购货物支出313.5万元、政府采购工程支出0万元、政府采购服务支出76.25万元。主要用于</w:t>
      </w:r>
      <w:r>
        <w:rPr>
          <w:rFonts w:ascii="Times New Roman" w:eastAsia="仿宋_GB2312" w:cs="Times New Roman" w:hAnsi="Times New Roman"/>
          <w:sz w:val="32"/>
          <w:szCs w:val="32"/>
          <w:lang w:val="en-US" w:eastAsia="zh-CN"/>
        </w:rPr>
        <w:t>公务车辆保险费及项目调查费</w:t>
      </w:r>
      <w:r>
        <w:rPr>
          <w:rFonts w:eastAsia="仿宋_GB2312"/>
          <w:color w:val="auto"/>
          <w:kern w:val="2"/>
          <w:sz w:val="32"/>
          <w:szCs w:val="32"/>
          <w:lang w:val="en-US" w:eastAsia="zh-CN" w:bidi="ar-SA"/>
          <w:highlight w:val="auto"/>
        </w:rPr>
        <w:t>。授予中小企业合同金额34.49万元，占政府采购支出总额的10.9%，其中：授予小微企业合同金额32.64万元，占政府采购支出总额的10.31%。</w:t>
      </w:r>
    </w:p>
    <w:p>
      <w:pPr>
        <w:spacing w:line="600" w:lineRule="exact"/>
        <w:ind w:firstLineChars="200" w:firstLine="640"/>
        <w:outlineLvl w:val="2"/>
        <w:rPr>
          <w:rFonts w:eastAsia="楷体_GB2312"/>
          <w:b/>
          <w:color w:val="auto"/>
          <w:sz w:val="32"/>
          <w:szCs w:val="32"/>
          <w:highlight w:val="auto"/>
        </w:rPr>
      </w:pPr>
      <w:bookmarkStart w:id="51" w:name="_Toc15377224"/>
      <w:r>
        <w:rPr>
          <w:rFonts w:eastAsia="楷体_GB2312"/>
          <w:b/>
          <w:color w:val="auto"/>
          <w:sz w:val="32"/>
          <w:szCs w:val="32"/>
          <w:highlight w:val="auto"/>
        </w:rPr>
        <w:t>（三）国有资产占有使用情况</w:t>
      </w:r>
      <w:bookmarkEnd w:id="51"/>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截至2025年12月31日，大熊猫国家公园阿坝管理分局共有车辆2辆，其中：副部（省）级及以上领导用车0辆、主要负责人用车0辆、机要通信用车0辆、应急保障用车0辆、执法执勤用车0辆、特种专业技术用车0辆、离退休干部服务用车0辆、其他用车2辆，其他用车主要是用于阿坝片区</w:t>
      </w:r>
      <w:r>
        <w:rPr>
          <w:rFonts w:eastAsia="仿宋_GB2312"/>
          <w:sz w:val="32"/>
          <w:szCs w:val="32"/>
          <w:lang w:val="en-US" w:eastAsia="zh-CN"/>
        </w:rPr>
        <w:t>内护林防火及</w:t>
      </w:r>
      <w:r>
        <w:rPr>
          <w:rFonts w:eastAsia="仿宋_GB2312"/>
          <w:color w:val="000000"/>
          <w:sz w:val="32"/>
          <w:szCs w:val="32"/>
        </w:rPr>
        <w:t>项目检查督导</w:t>
      </w:r>
      <w:r>
        <w:rPr>
          <w:rFonts w:eastAsia="仿宋_GB2312"/>
          <w:sz w:val="32"/>
          <w:szCs w:val="32"/>
          <w:lang w:val="en-US" w:eastAsia="zh-CN"/>
        </w:rPr>
        <w:t>等</w:t>
      </w:r>
      <w:r>
        <w:rPr>
          <w:rFonts w:eastAsia="仿宋_GB2312"/>
          <w:color w:val="auto"/>
          <w:kern w:val="2"/>
          <w:sz w:val="32"/>
          <w:szCs w:val="32"/>
          <w:lang w:val="en-US" w:eastAsia="zh-CN" w:bidi="ar-SA"/>
          <w:highlight w:val="auto"/>
        </w:rPr>
        <w:t>。单价100万元（含）以上设备（不含车辆）0台（套）。</w:t>
      </w:r>
    </w:p>
    <w:p>
      <w:pPr>
        <w:spacing w:line="600" w:lineRule="exact"/>
        <w:ind w:firstLineChars="200" w:firstLine="640"/>
        <w:outlineLvl w:val="2"/>
        <w:rPr>
          <w:rFonts w:eastAsia="楷体_GB2312"/>
          <w:b/>
          <w:color w:val="auto"/>
          <w:sz w:val="32"/>
          <w:szCs w:val="32"/>
          <w:highlight w:val="auto"/>
        </w:rPr>
      </w:pPr>
      <w:r>
        <w:rPr>
          <w:rFonts w:eastAsia="楷体_GB2312"/>
          <w:b/>
          <w:color w:val="auto"/>
          <w:sz w:val="32"/>
          <w:szCs w:val="32"/>
          <w:highlight w:val="auto"/>
        </w:rPr>
        <w:t>（四）预算绩效管理情况</w:t>
      </w:r>
    </w:p>
    <w:p>
      <w:pPr>
        <w:spacing w:line="600"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根据预算绩效管理要求，大熊猫国家公园阿坝管理分局在2025年度，组织对</w:t>
      </w:r>
      <w:r>
        <w:rPr>
          <w:rFonts w:eastAsia="仿宋_GB2312"/>
          <w:bCs/>
          <w:kern w:val="2"/>
          <w:sz w:val="32"/>
          <w:szCs w:val="32"/>
          <w:lang w:bidi="ar-SA"/>
        </w:rPr>
        <w:t>卧龙体制改革工作经费</w:t>
      </w:r>
      <w:r>
        <w:rPr>
          <w:rFonts w:eastAsia="仿宋_GB2312"/>
          <w:color w:val="auto"/>
          <w:kern w:val="2"/>
          <w:sz w:val="32"/>
          <w:szCs w:val="32"/>
          <w:lang w:val="en-US" w:eastAsia="zh-CN" w:bidi="ar-SA"/>
          <w:highlight w:val="auto"/>
        </w:rPr>
        <w:t>等18个项目涉及金额862.5万元开展了事前绩效评估，对18个项目编制了绩效目标，预算执行过程中，选取8个项目开展绩效监控。</w:t>
      </w:r>
    </w:p>
    <w:p>
      <w:pPr>
        <w:spacing w:line="600" w:lineRule="exact"/>
        <w:ind w:firstLine="640"/>
        <w:rPr>
          <w:rFonts w:eastAsia="仿宋_GB2312"/>
          <w:sz w:val="32"/>
          <w:szCs w:val="32"/>
        </w:rPr>
      </w:pPr>
      <w:r>
        <w:rPr>
          <w:rFonts w:eastAsia="仿宋_GB2312"/>
          <w:color w:val="auto"/>
          <w:kern w:val="2"/>
          <w:sz w:val="32"/>
          <w:szCs w:val="32"/>
          <w:lang w:val="en-US" w:eastAsia="zh-CN" w:bidi="ar-SA"/>
          <w:highlight w:val="auto"/>
        </w:rPr>
        <w:t>组织对2025年度一般公共预算、政府性基金预算、国有资本经营预算、社会保险基金预算以及资本资产、债券资金等全面开展绩效自评，形成大熊猫国家公园阿坝管理分局部门预算（含部门预算项目）绩效自评报告、</w:t>
      </w:r>
      <w:r>
        <w:rPr>
          <w:rFonts w:eastAsia="仿宋_GB2312"/>
          <w:color w:val="auto"/>
          <w:kern w:val="2"/>
          <w:sz w:val="32"/>
          <w:szCs w:val="32"/>
          <w:lang w:val="en-US" w:eastAsia="zh-CN" w:bidi="ar-SA"/>
        </w:rPr>
        <w:t>大熊猫国家公园阿坝片区2025年疫源疫病普查项目</w:t>
      </w:r>
      <w:r>
        <w:rPr>
          <w:rFonts w:eastAsia="仿宋_GB2312"/>
          <w:color w:val="auto"/>
          <w:kern w:val="2"/>
          <w:sz w:val="32"/>
          <w:szCs w:val="32"/>
          <w:lang w:val="en-US" w:eastAsia="zh-CN" w:bidi="ar-SA"/>
          <w:highlight w:val="auto"/>
        </w:rPr>
        <w:t>等专项预算项目绩效自评报告，其中，</w:t>
      </w:r>
      <w:r>
        <w:rPr>
          <w:rFonts w:eastAsia="仿宋_GB2312"/>
          <w:color w:val="auto"/>
          <w:kern w:val="2"/>
          <w:sz w:val="32"/>
          <w:szCs w:val="32"/>
          <w:lang w:val="en-US" w:eastAsia="zh-CN" w:bidi="ar-SA"/>
        </w:rPr>
        <w:t>大熊猫国家公园阿坝管理分局</w:t>
      </w:r>
      <w:r>
        <w:rPr>
          <w:rFonts w:eastAsia="仿宋_GB2312"/>
          <w:color w:val="auto"/>
          <w:kern w:val="2"/>
          <w:sz w:val="32"/>
          <w:szCs w:val="32"/>
          <w:lang w:val="en-US" w:eastAsia="zh-CN" w:bidi="ar-SA"/>
          <w:highlight w:val="auto"/>
        </w:rPr>
        <w:t>部门预算（含部门预算项目）绩效自评得分为99分，绩效自评综述</w:t>
      </w:r>
      <w:r>
        <w:rPr>
          <w:rFonts w:eastAsia="仿宋_GB2312"/>
          <w:color w:val="auto"/>
          <w:kern w:val="2"/>
          <w:sz w:val="32"/>
          <w:szCs w:val="32"/>
          <w:lang w:bidi="ar-SA"/>
        </w:rPr>
        <w:t>2025年度年初工作计划及重点工作目标管理符合州委、州政府总体经济和社会发展规划及职责，体现当年重点工作，资金投入相匹配。建立完善了内部控制制度和内部管理制度，并得到有效执行。预算执行情况良好，预算支出和决算支出情况相符。圆满完成州委州政府下达的2025年各项目标任务</w:t>
      </w:r>
      <w:r>
        <w:rPr>
          <w:rFonts w:eastAsia="仿宋_GB2312"/>
          <w:sz w:val="32"/>
          <w:szCs w:val="32"/>
        </w:rPr>
        <w:t>；</w:t>
      </w:r>
      <w:r>
        <w:rPr>
          <w:rFonts w:eastAsia="仿宋_GB2312"/>
          <w:color w:val="auto"/>
          <w:kern w:val="2"/>
          <w:sz w:val="32"/>
          <w:szCs w:val="32"/>
          <w:lang w:val="en-US" w:eastAsia="zh-CN" w:bidi="ar-SA"/>
          <w:highlight w:val="auto"/>
        </w:rPr>
        <w:t>大熊猫国家公园阿坝管理分局专项预算项目绩效自评得分为91分，绩效自评综述</w:t>
      </w:r>
      <w:r>
        <w:rPr>
          <w:rFonts w:eastAsia="仿宋_GB2312"/>
          <w:sz w:val="32"/>
          <w:szCs w:val="32"/>
          <w:lang w:val="en-US" w:eastAsia="zh-CN"/>
        </w:rPr>
        <w:t>综合评价来看，项目立项依据充分，均设定了项目绩效目 标，资金配置科学合理，严格项目管理，按规定履行报批手续，制定了实施方案，细化任务并明确绩效目标，经局党组会议研究 同意后实施。涉及采购的严格按照政府采购相关程序执行，建设、验收等严格执行相关制度规定。整体情况良好</w:t>
      </w:r>
      <w:r>
        <w:rPr>
          <w:rFonts w:eastAsia="仿宋_GB2312"/>
          <w:sz w:val="32"/>
          <w:szCs w:val="32"/>
        </w:rPr>
        <w:t>。绩效自评报告详见附件。</w:t>
      </w:r>
    </w:p>
    <w:p>
      <w:pPr>
        <w:spacing w:line="600" w:lineRule="exact"/>
        <w:jc w:val="center"/>
        <w:outlineLvl w:val="0"/>
        <w:rPr>
          <w:rFonts w:eastAsia="黑体"/>
          <w:color w:val="auto"/>
          <w:sz w:val="44"/>
          <w:szCs w:val="44"/>
          <w:highlight w:val="auto"/>
        </w:rPr>
      </w:pPr>
      <w:bookmarkStart w:id="52" w:name="_Toc15377225"/>
      <w:bookmarkStart w:id="53" w:name="_Toc15396613"/>
    </w:p>
    <w:p>
      <w:pPr>
        <w:spacing w:line="600" w:lineRule="exact"/>
        <w:jc w:val="center"/>
        <w:outlineLvl w:val="0"/>
        <w:rPr>
          <w:rFonts w:eastAsia="黑体"/>
          <w:color w:val="auto"/>
          <w:sz w:val="44"/>
          <w:szCs w:val="44"/>
          <w:highlight w:val="auto"/>
        </w:rPr>
      </w:pPr>
    </w:p>
    <w:p>
      <w:pPr>
        <w:spacing w:line="600" w:lineRule="exact"/>
        <w:jc w:val="center"/>
        <w:outlineLvl w:val="0"/>
        <w:rPr>
          <w:rFonts w:eastAsia="黑体"/>
          <w:color w:val="auto"/>
          <w:sz w:val="44"/>
          <w:szCs w:val="44"/>
          <w:highlight w:val="auto"/>
        </w:rPr>
      </w:pPr>
    </w:p>
    <w:p>
      <w:pPr>
        <w:spacing w:line="600" w:lineRule="exact"/>
        <w:jc w:val="center"/>
        <w:outlineLvl w:val="0"/>
        <w:rPr>
          <w:rFonts w:eastAsia="黑体"/>
          <w:color w:val="auto"/>
          <w:sz w:val="44"/>
          <w:szCs w:val="44"/>
          <w:highlight w:val="auto"/>
        </w:rPr>
      </w:pPr>
    </w:p>
    <w:p>
      <w:pPr>
        <w:spacing w:line="600" w:lineRule="exact"/>
        <w:jc w:val="center"/>
        <w:outlineLvl w:val="0"/>
        <w:rPr>
          <w:rFonts w:eastAsia="黑体"/>
          <w:color w:val="auto"/>
          <w:sz w:val="44"/>
          <w:szCs w:val="44"/>
          <w:highlight w:val="auto"/>
        </w:rPr>
      </w:pPr>
    </w:p>
    <w:p>
      <w:pPr>
        <w:spacing w:line="600" w:lineRule="exact"/>
        <w:jc w:val="center"/>
        <w:outlineLvl w:val="0"/>
        <w:rPr>
          <w:rFonts w:eastAsia="黑体"/>
          <w:color w:val="auto"/>
          <w:sz w:val="44"/>
          <w:szCs w:val="44"/>
          <w:highlight w:val="auto"/>
        </w:rPr>
      </w:pPr>
    </w:p>
    <w:p>
      <w:pPr>
        <w:spacing w:line="600" w:lineRule="exact"/>
        <w:jc w:val="center"/>
        <w:outlineLvl w:val="0"/>
        <w:rPr>
          <w:rFonts w:eastAsia="黑体"/>
          <w:color w:val="auto"/>
          <w:sz w:val="44"/>
          <w:szCs w:val="44"/>
          <w:highlight w:val="auto"/>
        </w:rPr>
      </w:pPr>
    </w:p>
    <w:p>
      <w:pPr>
        <w:pStyle w:val="15"/>
        <w:jc w:val="left"/>
      </w:pPr>
    </w:p>
    <w:p>
      <w:pPr>
        <w:pStyle w:val="17"/>
        <w:jc w:val="both"/>
        <w:rPr>
          <w:rFonts w:ascii="Times New Roman" w:hAnsi="Times New Roman"/>
        </w:rPr>
      </w:pPr>
    </w:p>
    <w:p/>
    <w:p>
      <w:pPr>
        <w:pStyle w:val="15"/>
      </w:pPr>
    </w:p>
    <w:p>
      <w:pPr>
        <w:pStyle w:val="17"/>
        <w:rPr>
          <w:rFonts w:ascii="Times New Roman" w:hAnsi="Times New Roman"/>
        </w:rPr>
      </w:pPr>
    </w:p>
    <w:p>
      <w:pPr>
        <w:spacing w:line="600" w:lineRule="exact"/>
        <w:jc w:val="center"/>
        <w:outlineLvl w:val="0"/>
        <w:rPr>
          <w:rFonts w:eastAsia="黑体"/>
          <w:color w:val="auto"/>
          <w:sz w:val="44"/>
          <w:szCs w:val="44"/>
          <w:highlight w:val="auto"/>
        </w:rPr>
      </w:pPr>
    </w:p>
    <w:p>
      <w:pPr>
        <w:spacing w:line="600" w:lineRule="exact"/>
        <w:jc w:val="center"/>
        <w:outlineLvl w:val="0"/>
        <w:rPr>
          <w:rFonts w:eastAsia="黑体"/>
          <w:color w:val="auto"/>
          <w:sz w:val="44"/>
          <w:szCs w:val="44"/>
          <w:highlight w:val="auto"/>
        </w:rPr>
      </w:pPr>
      <w:r>
        <w:rPr>
          <w:rFonts w:eastAsia="黑体"/>
          <w:color w:val="auto"/>
          <w:sz w:val="44"/>
          <w:szCs w:val="44"/>
          <w:highlight w:val="auto"/>
        </w:rPr>
        <w:t>第</w:t>
      </w:r>
      <w:r>
        <w:rPr>
          <w:rFonts w:eastAsia="黑体"/>
          <w:color w:val="auto"/>
          <w:sz w:val="44"/>
          <w:szCs w:val="44"/>
          <w:lang w:eastAsia="zh-CN"/>
          <w:highlight w:val="auto"/>
        </w:rPr>
        <w:t>三</w:t>
      </w:r>
      <w:r>
        <w:rPr>
          <w:rFonts w:eastAsia="黑体"/>
          <w:color w:val="auto"/>
          <w:sz w:val="44"/>
          <w:szCs w:val="44"/>
          <w:highlight w:val="auto"/>
        </w:rPr>
        <w:t>部分</w:t>
      </w:r>
      <w:r>
        <w:rPr>
          <w:rFonts w:eastAsia="黑体"/>
          <w:color w:val="auto"/>
          <w:sz w:val="44"/>
          <w:szCs w:val="44"/>
          <w:lang w:val="en-US" w:eastAsia="zh-CN"/>
          <w:highlight w:val="auto"/>
        </w:rPr>
        <w:t xml:space="preserve">  </w:t>
      </w:r>
      <w:r>
        <w:rPr>
          <w:rFonts w:eastAsia="黑体"/>
          <w:color w:val="auto"/>
          <w:sz w:val="44"/>
          <w:szCs w:val="44"/>
          <w:highlight w:val="auto"/>
        </w:rPr>
        <w:t>名词解释</w:t>
      </w:r>
      <w:bookmarkEnd w:id="52"/>
      <w:bookmarkEnd w:id="53"/>
    </w:p>
    <w:p>
      <w:pPr>
        <w:spacing w:line="600" w:lineRule="exact"/>
        <w:jc w:val="left"/>
        <w:rPr>
          <w:b/>
          <w:color w:val="auto"/>
          <w:sz w:val="44"/>
          <w:szCs w:val="44"/>
          <w:highlight w:val="auto"/>
        </w:rPr>
      </w:pPr>
    </w:p>
    <w:p>
      <w:pPr>
        <w:spacing w:line="600" w:lineRule="exact"/>
        <w:ind w:firstLine="640"/>
        <w:rPr>
          <w:rFonts w:eastAsia="仿宋_GB2312"/>
          <w:sz w:val="32"/>
          <w:szCs w:val="32"/>
        </w:rPr>
      </w:pPr>
      <w:bookmarkStart w:id="54" w:name="_Toc15377226"/>
      <w:r>
        <w:rPr>
          <w:rFonts w:eastAsia="仿宋_GB2312"/>
          <w:sz w:val="32"/>
          <w:szCs w:val="32"/>
        </w:rPr>
        <w:t>1.财政拨款收入：指单位从同级财政部门取得的财政预算资金。</w:t>
      </w:r>
    </w:p>
    <w:p>
      <w:pPr>
        <w:spacing w:line="600" w:lineRule="exact"/>
        <w:ind w:firstLine="640"/>
        <w:rPr>
          <w:rFonts w:eastAsia="仿宋_GB2312"/>
          <w:sz w:val="32"/>
          <w:szCs w:val="32"/>
        </w:rPr>
      </w:pPr>
      <w:r>
        <w:rPr>
          <w:rFonts w:eastAsia="仿宋_GB2312"/>
          <w:sz w:val="32"/>
          <w:szCs w:val="32"/>
        </w:rPr>
        <w:t xml:space="preserve">2.年初结转和结余：指以前年度尚未完成、结转到本年按有关规定继续使用的资金。 </w:t>
      </w:r>
    </w:p>
    <w:p>
      <w:pPr>
        <w:spacing w:line="600" w:lineRule="exact"/>
        <w:ind w:firstLine="640"/>
        <w:rPr>
          <w:rFonts w:eastAsia="仿宋_GB2312"/>
          <w:sz w:val="32"/>
          <w:szCs w:val="32"/>
        </w:rPr>
      </w:pPr>
      <w:r>
        <w:rPr>
          <w:rFonts w:eastAsia="仿宋_GB2312"/>
          <w:sz w:val="32"/>
          <w:szCs w:val="32"/>
        </w:rPr>
        <w:t>3.结余分配：指事业单位按照会计制度规定缴纳的所得税、提取的专用结余以及转入非财政拨款结余的金额等。</w:t>
      </w:r>
    </w:p>
    <w:p>
      <w:pPr>
        <w:spacing w:line="600" w:lineRule="exact"/>
        <w:ind w:firstLine="640"/>
        <w:rPr>
          <w:rFonts w:eastAsia="仿宋_GB2312"/>
          <w:sz w:val="32"/>
          <w:szCs w:val="32"/>
        </w:rPr>
      </w:pPr>
      <w:r>
        <w:rPr>
          <w:rFonts w:eastAsia="仿宋_GB2312"/>
          <w:sz w:val="32"/>
          <w:szCs w:val="32"/>
        </w:rPr>
        <w:t>4.年末结转和结余：指单位按有关规定结转到下年或以后年度继续使用的资金。</w:t>
      </w:r>
    </w:p>
    <w:p>
      <w:pPr>
        <w:spacing w:line="600" w:lineRule="exact"/>
        <w:ind w:firstLineChars="200" w:firstLine="640"/>
        <w:rPr>
          <w:rStyle w:val="25"/>
          <w:rFonts w:eastAsia="仿宋_GB2312"/>
          <w:b w:val="0"/>
          <w:sz w:val="32"/>
          <w:szCs w:val="32"/>
        </w:rPr>
      </w:pPr>
      <w:r>
        <w:rPr>
          <w:rFonts w:eastAsia="仿宋_GB2312"/>
          <w:sz w:val="32"/>
          <w:szCs w:val="32"/>
        </w:rPr>
        <w:t>5.</w:t>
      </w:r>
      <w:r>
        <w:rPr>
          <w:rStyle w:val="25"/>
          <w:rFonts w:eastAsia="仿宋_GB2312"/>
          <w:b w:val="0"/>
          <w:kern w:val="2"/>
          <w:sz w:val="32"/>
          <w:szCs w:val="32"/>
        </w:rPr>
        <w:t>社会保障和就业支出</w:t>
      </w:r>
      <w:r>
        <w:rPr>
          <w:rStyle w:val="25"/>
          <w:rFonts w:eastAsia="仿宋_GB2312"/>
          <w:b w:val="0"/>
          <w:sz w:val="32"/>
          <w:szCs w:val="32"/>
        </w:rPr>
        <w:t>（208类）行政事业单位养老支出（05款）机关事业单位基本养老保险缴费支出（05项）: 指反映机关事业单位实施养老保险制度有单位缴纳的基本养老保险费支出。</w:t>
      </w:r>
    </w:p>
    <w:p>
      <w:pPr>
        <w:spacing w:line="600" w:lineRule="exact"/>
        <w:ind w:firstLineChars="200" w:firstLine="640"/>
        <w:rPr>
          <w:rFonts w:eastAsia="仿宋_GB2312"/>
          <w:sz w:val="32"/>
          <w:szCs w:val="32"/>
        </w:rPr>
      </w:pPr>
      <w:r>
        <w:rPr>
          <w:rFonts w:eastAsia="仿宋_GB2312"/>
          <w:sz w:val="32"/>
          <w:szCs w:val="32"/>
        </w:rPr>
        <w:t>6.</w:t>
      </w:r>
      <w:r>
        <w:rPr>
          <w:rStyle w:val="25"/>
          <w:rFonts w:eastAsia="仿宋_GB2312"/>
          <w:b w:val="0"/>
          <w:sz w:val="32"/>
          <w:szCs w:val="32"/>
        </w:rPr>
        <w:t>社会保障和就业支出（208类）行政事业单位养老支出（05款）机关事业单位职业年金缴费支出（06项）: 指反映机关事业单位实施养老保险制度由单位实际缴纳的职业年金支出。</w:t>
      </w:r>
    </w:p>
    <w:p>
      <w:pPr>
        <w:spacing w:line="600" w:lineRule="exact"/>
        <w:ind w:firstLineChars="200" w:firstLine="640"/>
        <w:rPr>
          <w:rFonts w:eastAsia="仿宋_GB2312"/>
          <w:sz w:val="32"/>
          <w:szCs w:val="32"/>
          <w:lang w:val="en-US"/>
        </w:rPr>
      </w:pPr>
      <w:r>
        <w:rPr>
          <w:rFonts w:eastAsia="仿宋_GB2312"/>
          <w:sz w:val="32"/>
          <w:szCs w:val="32"/>
        </w:rPr>
        <w:t>7.</w:t>
      </w:r>
      <w:r>
        <w:rPr>
          <w:rFonts w:eastAsia="仿宋_GB2312"/>
          <w:kern w:val="2"/>
          <w:sz w:val="32"/>
          <w:szCs w:val="32"/>
          <w:lang w:val="en-US" w:eastAsia="zh-CN" w:bidi="ar-SA"/>
        </w:rPr>
        <w:t>社会保障和就业支出（208类）行政事业单位养老支出（05款）事业单位离退休（02项）：指反映事业单位开支的离退休经费。</w:t>
      </w:r>
    </w:p>
    <w:p>
      <w:pPr>
        <w:spacing w:line="600" w:lineRule="exact"/>
        <w:ind w:firstLineChars="200" w:firstLine="640"/>
        <w:rPr>
          <w:rStyle w:val="25"/>
          <w:rFonts w:eastAsia="仿宋_GB2312"/>
          <w:b w:val="0"/>
          <w:sz w:val="32"/>
          <w:szCs w:val="32"/>
          <w:lang w:val="en-US" w:eastAsia="zh-CN"/>
        </w:rPr>
      </w:pPr>
      <w:r>
        <w:rPr>
          <w:rStyle w:val="25"/>
          <w:rFonts w:eastAsia="仿宋_GB2312"/>
          <w:b w:val="0"/>
          <w:sz w:val="32"/>
          <w:szCs w:val="32"/>
          <w:lang w:val="en-US" w:eastAsia="zh-CN"/>
        </w:rPr>
        <w:t>8.</w:t>
      </w:r>
      <w:r>
        <w:rPr>
          <w:rStyle w:val="25"/>
          <w:rFonts w:eastAsia="仿宋_GB2312"/>
          <w:b w:val="0"/>
          <w:sz w:val="32"/>
          <w:szCs w:val="32"/>
        </w:rPr>
        <w:t>卫生健康支出（210类）行政事业单位医疗（11款）</w:t>
      </w:r>
      <w:r>
        <w:rPr>
          <w:rStyle w:val="25"/>
          <w:rFonts w:eastAsia="仿宋_GB2312"/>
          <w:b w:val="0"/>
          <w:sz w:val="32"/>
          <w:szCs w:val="32"/>
          <w:lang w:val="en-US" w:eastAsia="zh-CN"/>
        </w:rPr>
        <w:t>事业</w:t>
      </w:r>
      <w:r>
        <w:rPr>
          <w:rStyle w:val="25"/>
          <w:rFonts w:eastAsia="仿宋_GB2312"/>
          <w:b w:val="0"/>
          <w:sz w:val="32"/>
          <w:szCs w:val="32"/>
        </w:rPr>
        <w:t>单位医疗（0</w:t>
      </w:r>
      <w:r>
        <w:rPr>
          <w:rStyle w:val="25"/>
          <w:rFonts w:eastAsia="仿宋_GB2312"/>
          <w:b w:val="0"/>
          <w:sz w:val="32"/>
          <w:szCs w:val="32"/>
          <w:lang w:val="en-US" w:eastAsia="zh-CN"/>
        </w:rPr>
        <w:t>2</w:t>
      </w:r>
      <w:r>
        <w:rPr>
          <w:rStyle w:val="25"/>
          <w:rFonts w:eastAsia="仿宋_GB2312"/>
          <w:b w:val="0"/>
          <w:sz w:val="32"/>
          <w:szCs w:val="32"/>
        </w:rPr>
        <w:t>项）:指反映财政部门安排的</w:t>
      </w:r>
      <w:r>
        <w:rPr>
          <w:rStyle w:val="25"/>
          <w:rFonts w:eastAsia="仿宋_GB2312"/>
          <w:b w:val="0"/>
          <w:sz w:val="32"/>
          <w:szCs w:val="32"/>
          <w:lang w:val="en-US" w:eastAsia="zh-CN"/>
        </w:rPr>
        <w:t>事业</w:t>
      </w:r>
      <w:r>
        <w:rPr>
          <w:rStyle w:val="25"/>
          <w:rFonts w:eastAsia="仿宋_GB2312"/>
          <w:b w:val="0"/>
          <w:sz w:val="32"/>
          <w:szCs w:val="32"/>
        </w:rPr>
        <w:t>单位基本医疗</w:t>
      </w:r>
      <w:r>
        <w:rPr>
          <w:rStyle w:val="25"/>
          <w:rFonts w:eastAsia="仿宋_GB2312"/>
          <w:b w:val="0"/>
          <w:sz w:val="32"/>
          <w:szCs w:val="32"/>
          <w:lang w:val="en-US" w:eastAsia="zh-CN"/>
        </w:rPr>
        <w:t>保险缴费经费，</w:t>
      </w:r>
      <w:r>
        <w:rPr>
          <w:rStyle w:val="25"/>
          <w:rFonts w:eastAsia="仿宋_GB2312"/>
          <w:b w:val="0"/>
          <w:sz w:val="32"/>
          <w:szCs w:val="32"/>
        </w:rPr>
        <w:t>未参加医疗保险的</w:t>
      </w:r>
      <w:r>
        <w:rPr>
          <w:rStyle w:val="25"/>
          <w:rFonts w:eastAsia="仿宋_GB2312"/>
          <w:b w:val="0"/>
          <w:sz w:val="32"/>
          <w:szCs w:val="32"/>
          <w:lang w:val="en-US" w:eastAsia="zh-CN"/>
        </w:rPr>
        <w:t>事业</w:t>
      </w:r>
      <w:r>
        <w:rPr>
          <w:rStyle w:val="25"/>
          <w:rFonts w:eastAsia="仿宋_GB2312"/>
          <w:b w:val="0"/>
          <w:sz w:val="32"/>
          <w:szCs w:val="32"/>
        </w:rPr>
        <w:t>单位的公费医疗经费，按国家规定享受离休人员待遇的医疗经费。</w:t>
      </w:r>
    </w:p>
    <w:p>
      <w:pPr>
        <w:spacing w:line="600" w:lineRule="exact"/>
        <w:ind w:firstLineChars="200" w:firstLine="640"/>
        <w:rPr>
          <w:rFonts w:eastAsia="仿宋_GB2312"/>
          <w:sz w:val="32"/>
          <w:szCs w:val="32"/>
        </w:rPr>
      </w:pPr>
      <w:r>
        <w:rPr>
          <w:rFonts w:eastAsia="仿宋_GB2312"/>
          <w:sz w:val="32"/>
          <w:szCs w:val="32"/>
          <w:lang w:val="en-US" w:eastAsia="zh-CN"/>
        </w:rPr>
        <w:t>9.</w:t>
      </w:r>
      <w:r>
        <w:rPr>
          <w:rStyle w:val="25"/>
          <w:rFonts w:eastAsia="仿宋_GB2312"/>
          <w:b w:val="0"/>
          <w:sz w:val="32"/>
          <w:szCs w:val="32"/>
        </w:rPr>
        <w:t>卫生健康支出（210类）行政事业单位医疗（11款）</w:t>
      </w:r>
      <w:r>
        <w:rPr>
          <w:rFonts w:eastAsia="仿宋_GB2312"/>
          <w:kern w:val="2"/>
          <w:sz w:val="32"/>
          <w:szCs w:val="32"/>
          <w:lang w:val="en-US" w:eastAsia="zh-CN" w:bidi="ar-SA"/>
        </w:rPr>
        <w:t>其他行政事业单位医疗</w:t>
      </w:r>
      <w:r>
        <w:rPr>
          <w:rStyle w:val="25"/>
          <w:rFonts w:eastAsia="仿宋_GB2312"/>
          <w:b w:val="0"/>
          <w:sz w:val="32"/>
          <w:szCs w:val="32"/>
        </w:rPr>
        <w:t>（</w:t>
      </w:r>
      <w:r>
        <w:rPr>
          <w:rStyle w:val="25"/>
          <w:rFonts w:eastAsia="仿宋_GB2312"/>
          <w:b w:val="0"/>
          <w:sz w:val="32"/>
          <w:szCs w:val="32"/>
          <w:lang w:val="en-US" w:eastAsia="zh-CN"/>
        </w:rPr>
        <w:t>99</w:t>
      </w:r>
      <w:r>
        <w:rPr>
          <w:rStyle w:val="25"/>
          <w:rFonts w:eastAsia="仿宋_GB2312"/>
          <w:b w:val="0"/>
          <w:sz w:val="32"/>
          <w:szCs w:val="32"/>
        </w:rPr>
        <w:t>项）:指反映财政</w:t>
      </w:r>
      <w:r>
        <w:rPr>
          <w:rStyle w:val="25"/>
          <w:rFonts w:eastAsia="仿宋_GB2312"/>
          <w:b w:val="0"/>
          <w:sz w:val="32"/>
          <w:szCs w:val="32"/>
          <w:lang w:val="en-US" w:eastAsia="zh-CN"/>
        </w:rPr>
        <w:t>对其他基本医疗保险基金的补助支出。</w:t>
      </w:r>
    </w:p>
    <w:p>
      <w:pPr>
        <w:spacing w:line="600" w:lineRule="exact"/>
        <w:ind w:firstLineChars="200" w:firstLine="640"/>
        <w:rPr>
          <w:rFonts w:eastAsia="仿宋_GB2312"/>
          <w:kern w:val="2"/>
          <w:sz w:val="32"/>
          <w:szCs w:val="32"/>
          <w:lang w:val="en-US" w:eastAsia="zh-CN" w:bidi="ar-SA"/>
        </w:rPr>
      </w:pPr>
      <w:r>
        <w:rPr>
          <w:rFonts w:eastAsia="仿宋_GB2312"/>
          <w:sz w:val="32"/>
          <w:szCs w:val="32"/>
          <w:lang w:val="en-US" w:eastAsia="zh-CN"/>
        </w:rPr>
        <w:t>10</w:t>
      </w:r>
      <w:r>
        <w:rPr>
          <w:rFonts w:eastAsia="仿宋_GB2312"/>
          <w:sz w:val="32"/>
          <w:szCs w:val="32"/>
        </w:rPr>
        <w:t>.</w:t>
      </w:r>
      <w:r>
        <w:rPr>
          <w:rFonts w:eastAsia="仿宋_GB2312"/>
          <w:kern w:val="2"/>
          <w:sz w:val="32"/>
          <w:szCs w:val="32"/>
          <w:lang w:val="en-US" w:eastAsia="zh-CN" w:bidi="ar-SA"/>
        </w:rPr>
        <w:t>农林水支出（213类）林业和草原（02款）事业机构（04项）：指反映事业单位的基本支出，不包括行政单位（含实行公务员管理的事业单位）后勤服务中心等附属事业单位的支出。</w:t>
      </w:r>
    </w:p>
    <w:p>
      <w:pPr>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lang w:val="en-US" w:eastAsia="zh-CN"/>
        </w:rPr>
        <w:t>1</w:t>
      </w:r>
      <w:r>
        <w:rPr>
          <w:rFonts w:eastAsia="仿宋_GB2312"/>
          <w:sz w:val="32"/>
          <w:szCs w:val="32"/>
        </w:rPr>
        <w:t>.</w:t>
      </w:r>
      <w:r>
        <w:rPr>
          <w:rStyle w:val="25"/>
          <w:rFonts w:eastAsia="仿宋_GB2312"/>
          <w:b w:val="0"/>
          <w:sz w:val="32"/>
          <w:szCs w:val="32"/>
        </w:rPr>
        <w:t>住房保障支出（221类）住房改革支出（02款）住房公积金（01项）:指反映行政事业单位按人力资源和社会保障部、财政部规定的基本工资和津贴补贴以及规定比例为职工缴纳的住房公积金。</w:t>
      </w:r>
    </w:p>
    <w:p>
      <w:pPr>
        <w:spacing w:line="600" w:lineRule="exact"/>
        <w:ind w:firstLine="640"/>
        <w:rPr>
          <w:rFonts w:eastAsia="仿宋_GB2312"/>
          <w:sz w:val="32"/>
          <w:szCs w:val="32"/>
          <w:lang w:val="en-US"/>
        </w:rPr>
      </w:pPr>
      <w:r>
        <w:rPr>
          <w:rFonts w:eastAsia="仿宋_GB2312"/>
          <w:kern w:val="2"/>
          <w:sz w:val="32"/>
          <w:szCs w:val="32"/>
          <w:lang w:val="en-US" w:eastAsia="zh-CN" w:bidi="ar-SA"/>
        </w:rPr>
        <w:t>12.节能环保支出（211类）自然生态保护（04款）自然保护地（06项）：指反映用于国家公园、自然保护区、自然公园勘界、建设、调查、规划、监测、管护、生态保护补偿与修复、野生动植物保护、科研、保护设施设备运行维护、宣传及管理等方面支出。</w:t>
      </w:r>
    </w:p>
    <w:p>
      <w:pPr>
        <w:ind w:left="0" w:firstLineChars="200" w:firstLine="640"/>
        <w:rPr>
          <w:rFonts w:eastAsia="仿宋_GB2312"/>
          <w:sz w:val="32"/>
          <w:szCs w:val="32"/>
        </w:rPr>
      </w:pPr>
      <w:r>
        <w:rPr>
          <w:rFonts w:eastAsia="仿宋_GB2312"/>
          <w:sz w:val="32"/>
          <w:szCs w:val="32"/>
          <w:lang w:val="en-US" w:eastAsia="zh-CN"/>
        </w:rPr>
        <w:t>13.</w:t>
      </w:r>
      <w:r>
        <w:rPr>
          <w:rFonts w:eastAsia="仿宋_GB2312"/>
          <w:sz w:val="32"/>
          <w:szCs w:val="32"/>
        </w:rPr>
        <w:t>基本支出：指为保障机构正常运转、完成日常工作任务而发生的人员支出和公用支出。</w:t>
      </w:r>
    </w:p>
    <w:p>
      <w:pPr>
        <w:ind w:firstLineChars="200" w:firstLine="640"/>
        <w:rPr>
          <w:rFonts w:eastAsia="仿宋_GB2312"/>
          <w:sz w:val="32"/>
          <w:szCs w:val="32"/>
        </w:rPr>
      </w:pPr>
      <w:r>
        <w:rPr>
          <w:rFonts w:eastAsia="仿宋_GB2312"/>
          <w:sz w:val="32"/>
          <w:szCs w:val="32"/>
          <w:lang w:val="en-US" w:eastAsia="zh-CN"/>
        </w:rPr>
        <w:t>14.</w:t>
      </w:r>
      <w:r>
        <w:rPr>
          <w:rFonts w:eastAsia="仿宋_GB2312"/>
          <w:sz w:val="32"/>
          <w:szCs w:val="32"/>
        </w:rPr>
        <w:t xml:space="preserve">项目支出：指在基本支出之外为完成特定行政任务和事业发展目标所发生的支出。 </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lang w:val="en-US" w:eastAsia="zh-CN"/>
        </w:rPr>
        <w:t>15.</w:t>
      </w:r>
      <w:r>
        <w:rPr>
          <w:rFonts w:ascii="Times New Roman" w:eastAsia="仿宋_GB2312" w:cs="Times New Roman" w:hAnsi="Times New Roman"/>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rPr>
          <w:rStyle w:val="1Char"/>
          <w:rFonts w:eastAsia="黑体"/>
          <w:b w:val="0"/>
          <w:color w:val="auto"/>
          <w:lang w:eastAsia="zh-CN"/>
          <w:highlight w:val="auto"/>
        </w:rPr>
      </w:pPr>
      <w:r>
        <w:rPr>
          <w:rFonts w:eastAsia="仿宋_GB2312"/>
          <w:color w:val="auto"/>
          <w:kern w:val="2"/>
          <w:sz w:val="32"/>
          <w:szCs w:val="32"/>
          <w:lang w:val="en-US" w:eastAsia="zh-CN" w:bidi="ar-SA"/>
          <w:highlight w:val="auto"/>
        </w:rPr>
        <w:br w:type="page"/>
      </w:r>
      <w:bookmarkStart w:id="55" w:name="_Toc15396614"/>
      <w:r>
        <w:rPr>
          <w:rFonts w:eastAsia="黑体"/>
          <w:color w:val="auto"/>
          <w:sz w:val="44"/>
          <w:szCs w:val="44"/>
          <w:highlight w:val="auto"/>
        </w:rPr>
        <w:t>第四部分</w:t>
      </w:r>
      <w:r>
        <w:rPr>
          <w:rFonts w:eastAsia="黑体"/>
          <w:color w:val="auto"/>
          <w:sz w:val="44"/>
          <w:szCs w:val="44"/>
          <w:lang w:val="en-US" w:eastAsia="zh-CN"/>
          <w:highlight w:val="auto"/>
        </w:rPr>
        <w:t xml:space="preserve"> </w:t>
      </w:r>
      <w:r>
        <w:rPr>
          <w:rFonts w:eastAsia="黑体"/>
          <w:color w:val="auto"/>
          <w:sz w:val="44"/>
          <w:szCs w:val="44"/>
          <w:highlight w:val="auto"/>
        </w:rPr>
        <w:t xml:space="preserve"> 附件</w:t>
      </w:r>
      <w:bookmarkEnd w:id="55"/>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eastAsia="黑体"/>
          <w:color w:val="FF0000"/>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eastAsia="黑体"/>
          <w:color w:val="auto"/>
          <w:sz w:val="44"/>
          <w:szCs w:val="44"/>
          <w:lang w:val="en-US" w:eastAsia="zh-CN"/>
          <w:highlight w:val="auto"/>
        </w:rPr>
      </w:pPr>
      <w:r>
        <w:rPr>
          <w:rFonts w:eastAsia="黑体"/>
          <w:color w:val="auto"/>
          <w:sz w:val="32"/>
          <w:szCs w:val="32"/>
          <w:highlight w:val="auto"/>
        </w:rPr>
        <w:t>附件</w:t>
      </w:r>
      <w:r>
        <w:rPr>
          <w:rFonts w:eastAsia="黑体"/>
          <w:color w:val="auto"/>
          <w:sz w:val="32"/>
          <w:szCs w:val="32"/>
          <w:lang w:val="en-US" w:eastAsia="zh-CN"/>
          <w:highlight w:val="auto"/>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方正小标宋简体"/>
          <w:b w:val="0"/>
          <w:bCs/>
          <w:sz w:val="44"/>
          <w:szCs w:val="44"/>
          <w:shd w:val="clear" w:color="auto" w:fill="FFFFFF"/>
          <w:highlight w:val="auto"/>
        </w:rPr>
      </w:pPr>
      <w:r>
        <w:rPr>
          <w:rFonts w:eastAsia="方正小标宋简体"/>
          <w:b w:val="0"/>
          <w:bCs w:val="0"/>
          <w:kern w:val="44"/>
          <w:sz w:val="44"/>
          <w:szCs w:val="44"/>
          <w:lang w:val="en-US" w:eastAsia="zh-CN" w:bidi="ar-SA"/>
        </w:rPr>
        <w:t>大熊猫国家公园阿坝管理分局</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方正小标宋简体"/>
          <w:b w:val="0"/>
          <w:bCs/>
          <w:sz w:val="44"/>
          <w:szCs w:val="44"/>
          <w:shd w:val="clear" w:color="auto" w:fill="FFFFFF"/>
          <w:highlight w:val="auto"/>
        </w:rPr>
      </w:pPr>
      <w:r>
        <w:rPr>
          <w:rFonts w:eastAsia="方正小标宋简体"/>
          <w:b w:val="0"/>
          <w:bCs/>
          <w:sz w:val="44"/>
          <w:szCs w:val="44"/>
          <w:shd w:val="clear" w:color="auto" w:fill="FFFFFF"/>
          <w:highlight w:val="auto"/>
        </w:rPr>
        <w:t>部门</w:t>
      </w:r>
      <w:r>
        <w:rPr>
          <w:rFonts w:eastAsia="方正小标宋简体"/>
          <w:b w:val="0"/>
          <w:bCs/>
          <w:sz w:val="44"/>
          <w:szCs w:val="44"/>
          <w:shd w:val="clear" w:color="auto" w:fill="FFFFFF"/>
          <w:lang w:eastAsia="zh-CN"/>
          <w:highlight w:val="auto"/>
        </w:rPr>
        <w:t>预算</w:t>
      </w:r>
      <w:r>
        <w:rPr>
          <w:rFonts w:eastAsia="方正小标宋简体"/>
          <w:b w:val="0"/>
          <w:bCs/>
          <w:sz w:val="44"/>
          <w:szCs w:val="44"/>
          <w:shd w:val="clear" w:color="auto" w:fill="FFFFFF"/>
          <w:highlight w:val="auto"/>
        </w:rPr>
        <w:t>绩效</w:t>
      </w:r>
      <w:r>
        <w:rPr>
          <w:rFonts w:eastAsia="方正小标宋简体"/>
          <w:b w:val="0"/>
          <w:bCs/>
          <w:sz w:val="44"/>
          <w:szCs w:val="44"/>
          <w:shd w:val="clear" w:color="auto" w:fill="FFFFFF"/>
          <w:lang w:eastAsia="zh-CN"/>
          <w:highlight w:val="auto"/>
        </w:rPr>
        <w:t>评价</w:t>
      </w:r>
      <w:r>
        <w:rPr>
          <w:rFonts w:eastAsia="方正小标宋简体"/>
          <w:b w:val="0"/>
          <w:bCs/>
          <w:sz w:val="44"/>
          <w:szCs w:val="44"/>
          <w:shd w:val="clear" w:color="auto" w:fill="FFFFFF"/>
          <w:highlight w:val="auto"/>
        </w:rPr>
        <w:t>报告范本</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仿宋_GB2312"/>
          <w:sz w:val="32"/>
          <w:szCs w:val="32"/>
          <w:shd w:val="clear" w:color="auto" w:fill="FFFFFF"/>
          <w:highlight w:val="auto"/>
        </w:rPr>
      </w:pPr>
      <w:r>
        <w:rPr>
          <w:rFonts w:eastAsia="仿宋_GB2312"/>
          <w:sz w:val="32"/>
          <w:szCs w:val="32"/>
          <w:shd w:val="clear" w:color="auto" w:fill="FFFFFF"/>
          <w:highlight w:val="auto"/>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80"/>
        <w:contextualSpacing/>
        <w:jc w:val="left"/>
        <w:textAlignment w:val="auto"/>
        <w:outlineLvl w:val="9"/>
        <w:rPr>
          <w:rFonts w:eastAsia="黑体"/>
          <w:color w:val="000000"/>
          <w:kern w:val="0"/>
          <w:sz w:val="24"/>
          <w:szCs w:val="32"/>
          <w:shd w:val="clear" w:color="auto" w:fill="FFFFFF"/>
          <w:highlight w:val="auto"/>
        </w:rPr>
      </w:pP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eastAsia="黑体"/>
          <w:color w:val="000000"/>
          <w:kern w:val="0"/>
          <w:sz w:val="32"/>
          <w:szCs w:val="32"/>
          <w:shd w:val="clear" w:color="auto" w:fill="FFFFFF"/>
          <w:lang w:val="zh-CN"/>
          <w:highlight w:val="auto"/>
        </w:rPr>
      </w:pPr>
      <w:r>
        <w:rPr>
          <w:rFonts w:eastAsia="黑体"/>
          <w:color w:val="000000"/>
          <w:kern w:val="0"/>
          <w:sz w:val="32"/>
          <w:szCs w:val="32"/>
          <w:shd w:val="clear" w:color="auto" w:fill="FFFFFF"/>
          <w:lang w:val="zh-CN"/>
          <w:highlight w:val="auto"/>
        </w:rPr>
        <w:t>一、部门（单位）基本情况</w:t>
      </w:r>
    </w:p>
    <w:p>
      <w:pPr>
        <w:keepNext w:val="0"/>
        <w:keepLines w:val="0"/>
        <w:pageBreakBefore w:val="0"/>
        <w:widowControl w:val="0"/>
        <w:kinsoku/>
        <w:wordWrap/>
        <w:overflowPunct/>
        <w:topLinePunct w:val="0"/>
        <w:autoSpaceDE/>
        <w:autoSpaceDN/>
        <w:adjustRightInd/>
        <w:snapToGrid w:val="0"/>
        <w:spacing w:line="560" w:lineRule="exact"/>
        <w:ind w:firstLineChars="200" w:firstLine="640"/>
        <w:rPr>
          <w:rFonts w:eastAsia="仿宋_GB2312"/>
          <w:sz w:val="32"/>
          <w:szCs w:val="32"/>
        </w:rPr>
      </w:pPr>
      <w:r>
        <w:rPr>
          <w:rFonts w:eastAsia="楷体_GB2312"/>
          <w:b/>
          <w:color w:val="auto"/>
          <w:sz w:val="32"/>
          <w:szCs w:val="32"/>
          <w:lang w:val="zh-CN"/>
          <w:highlight w:val="auto"/>
        </w:rPr>
        <w:t>（一）机构组成。</w:t>
      </w:r>
      <w:r>
        <w:rPr>
          <w:rFonts w:eastAsia="仿宋_GB2312"/>
          <w:kern w:val="2"/>
          <w:sz w:val="32"/>
          <w:szCs w:val="32"/>
          <w:lang w:val="en-US" w:eastAsia="zh-CN" w:bidi="ar-SA"/>
        </w:rPr>
        <w:t>根据《四川省大熊猫国家公园管理机构设置实施方案》（省委厅〔2019〕2号）、《四川省大熊猫国家公园各管理分局运行机制意见》（川林发〔2019〕20号）、《中共四川省委机构编制委员会办公室关于大熊猫公家公园管理分局有关机构编制事项的批复》（川编办发〔2019〕161号）、《中共阿坝州委机构编制委员会关于大熊猫国家公园阿坝管理分局有关机构编制事项的批复》（阿编发〔2020〕12号）和《中共阿坝州委机构编制委员会关于调整大熊猫国家公园阿坝管理分局有关机构编制事项的通知》（阿编发〔2020〕36号），设立大熊猫国家公园阿坝管理分局。大熊猫国家公园阿坝管理分局为大熊猫国家公园四川省管理局的派出机构，实行四川省林业和草原局（大熊猫国家公园四川省管理局）与州人民政府双重领导，以州人民政府管理为主的管理体制。大熊猫国家公园阿坝管理分局按行政单位管理，人员按进入该单位前的身份进行管理，待中央和省明确政策后逐步规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kern w:val="2"/>
          <w:sz w:val="32"/>
          <w:szCs w:val="32"/>
          <w:lang w:val="en-US" w:eastAsia="zh-CN" w:bidi="ar-SA"/>
        </w:rPr>
      </w:pPr>
      <w:r>
        <w:rPr>
          <w:rFonts w:eastAsia="楷体_GB2312"/>
          <w:b/>
          <w:color w:val="auto"/>
          <w:sz w:val="32"/>
          <w:szCs w:val="32"/>
          <w:lang w:val="zh-CN"/>
          <w:highlight w:val="auto"/>
        </w:rPr>
        <w:t>（二）机构职能。</w:t>
      </w:r>
      <w:r>
        <w:rPr>
          <w:rFonts w:eastAsia="仿宋_GB2312"/>
          <w:kern w:val="2"/>
          <w:sz w:val="32"/>
          <w:szCs w:val="32"/>
          <w:lang w:val="en-US" w:eastAsia="zh-CN" w:bidi="ar-SA"/>
        </w:rPr>
        <w:t>根据阿委办发〔2020〕12号文件规定，我局主要职责是：具体承担辖区内大熊猫国家公园体制试点工作。负责以大熊猫为核心的生物多样性保护和资源环境综合执法；负责项目审查；组织实施特许经营和社会参与，建立社区可持续发展机制；配合地方政府落实国家公园内生产经营设施退出和生态移民搬迁工作；开展巡护监测、科学研究、生态体验和科普教育；组织实施生态工程、保护设施建设。完成省局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kern w:val="2"/>
          <w:sz w:val="32"/>
          <w:szCs w:val="32"/>
          <w:lang w:val="en-US" w:eastAsia="zh-CN" w:bidi="ar-SA"/>
        </w:rPr>
      </w:pPr>
      <w:r>
        <w:rPr>
          <w:rFonts w:eastAsia="仿宋_GB2312"/>
          <w:kern w:val="2"/>
          <w:sz w:val="32"/>
          <w:szCs w:val="32"/>
          <w:lang w:val="en-US" w:eastAsia="zh-CN" w:bidi="ar-SA"/>
        </w:rPr>
        <w:t>负责监督管理大熊猫国家公园阿坝园区野生动植物保护工作。开展阿坝园区野生动植物资源调查和资源状况评估，制定和落实野生动植物资源保护发展方案；监督管理阿坝园区陆生野生植物的采集、培植、经营利用；组织开展大熊猫保护、繁育、科研工作以及对外合作研究展示管理工作；开展陆生野生植物救护工作，开展野生动植物资源的保护与开发利用工作；开展陆生野生动物疫源疫病监测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kern w:val="2"/>
          <w:sz w:val="32"/>
          <w:szCs w:val="32"/>
          <w:lang w:val="en-US" w:eastAsia="zh-CN" w:bidi="ar-SA"/>
        </w:rPr>
      </w:pPr>
      <w:r>
        <w:rPr>
          <w:rFonts w:eastAsia="仿宋_GB2312"/>
          <w:kern w:val="2"/>
          <w:sz w:val="32"/>
          <w:szCs w:val="32"/>
          <w:lang w:val="en-US" w:eastAsia="zh-CN" w:bidi="ar-SA"/>
        </w:rPr>
        <w:t>负责栖息地保护管理和相关规划。组织编制并组织实施大熊猫国家公园有关规划；负责大熊猫国家公园区划调整和保护地整合相关工作；组织开展大熊猫国家公园自然资源资产调查统计、监测评价；制定实施大熊猫国家公园自然生态保护计划和措施；组织实施大熊猫国家公园生态修复；负责规定权限内的项目审查。</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kern w:val="2"/>
          <w:sz w:val="32"/>
          <w:szCs w:val="32"/>
          <w:lang w:val="en-US" w:eastAsia="zh-CN" w:bidi="ar-SA"/>
        </w:rPr>
      </w:pPr>
      <w:r>
        <w:rPr>
          <w:rFonts w:eastAsia="仿宋_GB2312"/>
          <w:kern w:val="2"/>
          <w:sz w:val="32"/>
          <w:szCs w:val="32"/>
          <w:lang w:val="en-US" w:eastAsia="zh-CN" w:bidi="ar-SA"/>
        </w:rPr>
        <w:t>负责大熊猫研究和科普宣教。组织开展国家公园大熊猫保护科学研究；组织开展大熊猫国家公园生物多样性和其他重要物种保护科学研究；承担大熊猫国家公园对外交流合作；组织开展大熊猫国家公园科学普及和自然教育活动；指导开展大熊猫国家公园游憩展示、生态体验和文化品牌建设。</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kern w:val="2"/>
          <w:sz w:val="32"/>
          <w:szCs w:val="32"/>
          <w:lang w:val="en-US" w:eastAsia="zh-CN" w:bidi="ar-SA"/>
        </w:rPr>
      </w:pPr>
      <w:r>
        <w:rPr>
          <w:rFonts w:eastAsia="仿宋_GB2312"/>
          <w:kern w:val="2"/>
          <w:sz w:val="32"/>
          <w:szCs w:val="32"/>
          <w:lang w:val="en-US" w:eastAsia="zh-CN" w:bidi="ar-SA"/>
        </w:rPr>
        <w:t>负责建立社区生态保护共建共管运行机制。监督管理大熊猫国家公园特许经营活动；组织实施大熊猫国家公园生态移民搬迁工作；开展大熊猫国家公园社会参与、生态公益岗位管理；开展大熊猫国家公园社区共建共管；加强大熊猫国家公园生态产业发展；开展大熊猫国家公园集体土地流转和生态效益补偿。</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kern w:val="2"/>
          <w:sz w:val="32"/>
          <w:szCs w:val="32"/>
          <w:lang w:val="en-US" w:eastAsia="zh-CN" w:bidi="ar-SA"/>
        </w:rPr>
      </w:pPr>
      <w:r>
        <w:rPr>
          <w:rFonts w:eastAsia="仿宋_GB2312"/>
          <w:kern w:val="2"/>
          <w:sz w:val="32"/>
          <w:szCs w:val="32"/>
          <w:lang w:val="en-US" w:eastAsia="zh-CN" w:bidi="ar-SA"/>
        </w:rPr>
        <w:t>负责政策法规研究和执法监督。组织开展大熊猫国家公园重大问题调查研究；执行大熊猫国家公园栖息地保护管理重要政策和标准；执行大熊猫国家公园相关法规和规章；开展大熊猫国家公园资源环境综合执法；配合大熊猫国家公园生态环境保护督察检查；负责大熊猫国家公园资源环境综合执法队伍建设。</w:t>
      </w:r>
    </w:p>
    <w:p>
      <w:pPr>
        <w:keepNext w:val="0"/>
        <w:keepLines w:val="0"/>
        <w:pageBreakBefore w:val="0"/>
        <w:widowControl w:val="0"/>
        <w:kinsoku/>
        <w:wordWrap/>
        <w:overflowPunct/>
        <w:topLinePunct w:val="0"/>
        <w:autoSpaceDE/>
        <w:autoSpaceDN/>
        <w:adjustRightInd/>
        <w:snapToGrid w:val="0"/>
        <w:spacing w:line="560" w:lineRule="exact"/>
        <w:ind w:firstLineChars="200" w:firstLine="640"/>
        <w:rPr>
          <w:rFonts w:eastAsia="仿宋_GB2312"/>
          <w:sz w:val="32"/>
          <w:szCs w:val="32"/>
        </w:rPr>
      </w:pPr>
      <w:r>
        <w:rPr>
          <w:rFonts w:eastAsia="仿宋_GB2312"/>
          <w:kern w:val="2"/>
          <w:sz w:val="32"/>
          <w:szCs w:val="32"/>
          <w:lang w:val="en-US" w:eastAsia="zh-CN" w:bidi="ar-SA"/>
        </w:rPr>
        <w:t>负责各项建设和运行管理。组织编制并实施大熊猫国家公园基础设施建设规划；配合地方政府落实退出大熊猫国家公园生产经营设施；承担大熊猫国家公园管理、运营、公共服务等基础设施建设；承担大熊猫国家公园标识标志设置管理；负责大熊猫国家公园相关资产和设备管理；承担大熊猫国家公园数字化建设工作。</w:t>
      </w:r>
    </w:p>
    <w:p>
      <w:pPr>
        <w:keepNext w:val="0"/>
        <w:keepLines w:val="0"/>
        <w:pageBreakBefore w:val="0"/>
        <w:widowControl w:val="0"/>
        <w:kinsoku/>
        <w:wordWrap/>
        <w:overflowPunct/>
        <w:autoSpaceDE/>
        <w:autoSpaceDN/>
        <w:spacing w:line="500" w:lineRule="exact"/>
        <w:ind w:firstLineChars="150" w:firstLine="480"/>
        <w:rPr>
          <w:rFonts w:eastAsia="仿宋_GB2312"/>
          <w:sz w:val="32"/>
          <w:szCs w:val="32"/>
        </w:rPr>
      </w:pPr>
      <w:r>
        <w:rPr>
          <w:rFonts w:eastAsia="楷体_GB2312"/>
          <w:b/>
          <w:bCs/>
          <w:color w:val="000000"/>
          <w:kern w:val="0"/>
          <w:sz w:val="32"/>
          <w:szCs w:val="32"/>
          <w:shd w:val="clear" w:color="auto" w:fill="FFFFFF"/>
          <w:lang w:val="zh-CN"/>
          <w:highlight w:val="auto"/>
        </w:rPr>
        <w:t>（三）人员概况。</w:t>
      </w:r>
      <w:r>
        <w:rPr>
          <w:rFonts w:eastAsia="仿宋_GB2312"/>
          <w:sz w:val="32"/>
          <w:szCs w:val="32"/>
        </w:rPr>
        <w:t>截至2025年末，大熊猫国家公园阿坝管理分局，事业编制24名。核定管理岗位11人、专业技术岗位11人、工勤岗位2人，2025年末在编在岗人数17人，退休3人。</w:t>
      </w:r>
    </w:p>
    <w:p>
      <w:pPr>
        <w:pStyle w:val="15"/>
        <w:keepNext w:val="0"/>
        <w:keepLines w:val="0"/>
        <w:pageBreakBefore w:val="0"/>
        <w:widowControl w:val="0"/>
        <w:bidi w:val="0"/>
        <w:adjustRightInd/>
        <w:snapToGrid w:val="0"/>
        <w:contextualSpacing w:val="0"/>
      </w:pP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eastAsia="黑体"/>
          <w:color w:val="000000"/>
          <w:kern w:val="0"/>
          <w:sz w:val="32"/>
          <w:szCs w:val="32"/>
          <w:shd w:val="clear" w:color="auto" w:fill="FFFFFF"/>
          <w:lang w:val="zh-CN" w:eastAsia="zh-CN"/>
          <w:highlight w:val="auto"/>
        </w:rPr>
      </w:pPr>
      <w:r>
        <w:rPr>
          <w:rFonts w:eastAsia="黑体"/>
          <w:color w:val="000000"/>
          <w:kern w:val="0"/>
          <w:sz w:val="32"/>
          <w:szCs w:val="32"/>
          <w:shd w:val="clear" w:color="auto" w:fill="FFFFFF"/>
          <w:lang w:val="zh-CN" w:eastAsia="zh-CN"/>
          <w:highlight w:val="auto"/>
        </w:rPr>
        <w:t>二、部门资金收支情况</w:t>
      </w:r>
    </w:p>
    <w:p>
      <w:pPr>
        <w:keepNext w:val="0"/>
        <w:keepLines w:val="0"/>
        <w:pageBreakBefore w:val="0"/>
        <w:widowControl w:val="0"/>
        <w:kinsoku/>
        <w:wordWrap/>
        <w:overflowPunct/>
        <w:autoSpaceDE/>
        <w:autoSpaceDN/>
        <w:bidi w:val="0"/>
        <w:spacing w:line="500" w:lineRule="exact"/>
        <w:ind w:firstLineChars="100" w:firstLine="320"/>
        <w:textAlignment w:val="auto"/>
        <w:rPr>
          <w:rFonts w:eastAsia="仿宋_GB2312"/>
          <w:sz w:val="32"/>
          <w:szCs w:val="32"/>
        </w:rPr>
      </w:pPr>
      <w:r>
        <w:rPr>
          <w:rFonts w:eastAsia="楷体_GB2312"/>
          <w:b/>
          <w:bCs/>
          <w:color w:val="000000"/>
          <w:kern w:val="0"/>
          <w:sz w:val="32"/>
          <w:szCs w:val="32"/>
          <w:shd w:val="clear" w:color="auto" w:fill="FFFFFF"/>
          <w:lang w:val="zh-CN"/>
          <w:highlight w:val="auto"/>
        </w:rPr>
        <w:t>（一）收入情况。</w:t>
      </w:r>
      <w:r>
        <w:rPr>
          <w:rFonts w:eastAsia="仿宋_GB2312"/>
          <w:sz w:val="32"/>
          <w:szCs w:val="32"/>
        </w:rPr>
        <w:t>2025年年初预算收入总额668.49万元，较2024年增加33.14万元，主要原因为项目经费的增加，2025年调出2人，退休1人。2025年决算报表收入为862.5万元，较2024年决算报表收入增加110.42万元，主要原因为项目经费的增加。</w:t>
      </w:r>
    </w:p>
    <w:p>
      <w:pPr>
        <w:keepNext w:val="0"/>
        <w:keepLines w:val="0"/>
        <w:pageBreakBefore w:val="0"/>
        <w:widowControl w:val="0"/>
        <w:kinsoku/>
        <w:wordWrap/>
        <w:overflowPunct/>
        <w:autoSpaceDE/>
        <w:autoSpaceDN/>
        <w:bidi w:val="0"/>
        <w:spacing w:line="500" w:lineRule="exact"/>
        <w:ind w:firstLineChars="100" w:firstLine="320"/>
        <w:textAlignment w:val="auto"/>
        <w:rPr>
          <w:rFonts w:eastAsia="仿宋_GB2312"/>
          <w:sz w:val="32"/>
          <w:szCs w:val="32"/>
        </w:rPr>
      </w:pPr>
      <w:r>
        <w:rPr>
          <w:rFonts w:eastAsia="楷体_GB2312"/>
          <w:b/>
          <w:bCs/>
          <w:color w:val="000000"/>
          <w:kern w:val="0"/>
          <w:sz w:val="32"/>
          <w:szCs w:val="32"/>
          <w:shd w:val="clear" w:color="auto" w:fill="FFFFFF"/>
          <w:lang w:val="zh-CN"/>
          <w:highlight w:val="auto"/>
        </w:rPr>
        <w:t>（二）支出情况。</w:t>
      </w:r>
      <w:r>
        <w:rPr>
          <w:rFonts w:eastAsia="仿宋_GB2312"/>
          <w:sz w:val="32"/>
          <w:szCs w:val="32"/>
        </w:rPr>
        <w:t>202</w:t>
      </w:r>
      <w:r>
        <w:rPr>
          <w:rFonts w:eastAsia="仿宋_GB2312"/>
          <w:sz w:val="32"/>
          <w:szCs w:val="32"/>
          <w:lang w:val="en-US" w:eastAsia="zh-CN"/>
        </w:rPr>
        <w:t>5</w:t>
      </w:r>
      <w:r>
        <w:rPr>
          <w:rFonts w:eastAsia="仿宋_GB2312"/>
          <w:sz w:val="32"/>
          <w:szCs w:val="32"/>
        </w:rPr>
        <w:t>年全年支出</w:t>
      </w:r>
      <w:r>
        <w:rPr>
          <w:rFonts w:eastAsia="仿宋_GB2312"/>
          <w:sz w:val="32"/>
          <w:szCs w:val="32"/>
          <w:lang w:val="en-US" w:eastAsia="zh-CN"/>
        </w:rPr>
        <w:t>862.5</w:t>
      </w:r>
      <w:r>
        <w:rPr>
          <w:rFonts w:eastAsia="仿宋_GB2312"/>
          <w:sz w:val="32"/>
          <w:szCs w:val="32"/>
        </w:rPr>
        <w:t>万元，较202</w:t>
      </w:r>
      <w:r>
        <w:rPr>
          <w:rFonts w:eastAsia="仿宋_GB2312"/>
          <w:sz w:val="32"/>
          <w:szCs w:val="32"/>
          <w:lang w:val="en-US" w:eastAsia="zh-CN"/>
        </w:rPr>
        <w:t>4</w:t>
      </w:r>
      <w:r>
        <w:rPr>
          <w:rFonts w:eastAsia="仿宋_GB2312"/>
          <w:sz w:val="32"/>
          <w:szCs w:val="32"/>
        </w:rPr>
        <w:t>年</w:t>
      </w:r>
      <w:r>
        <w:rPr>
          <w:rFonts w:eastAsia="仿宋_GB2312"/>
          <w:sz w:val="32"/>
          <w:szCs w:val="32"/>
          <w:lang w:val="en-US" w:eastAsia="zh-CN"/>
        </w:rPr>
        <w:t>增加110.42</w:t>
      </w:r>
      <w:r>
        <w:rPr>
          <w:rFonts w:eastAsia="仿宋_GB2312"/>
          <w:sz w:val="32"/>
          <w:szCs w:val="32"/>
        </w:rPr>
        <w:t>万元，主要原因为202</w:t>
      </w:r>
      <w:r>
        <w:rPr>
          <w:rFonts w:eastAsia="仿宋_GB2312"/>
          <w:sz w:val="32"/>
          <w:szCs w:val="32"/>
          <w:lang w:val="en-US" w:eastAsia="zh-CN"/>
        </w:rPr>
        <w:t>5</w:t>
      </w:r>
      <w:r>
        <w:rPr>
          <w:rFonts w:eastAsia="仿宋_GB2312"/>
          <w:sz w:val="32"/>
          <w:szCs w:val="32"/>
        </w:rPr>
        <w:t>年调出2人，</w:t>
      </w:r>
      <w:r>
        <w:rPr>
          <w:rFonts w:eastAsia="仿宋_GB2312"/>
          <w:sz w:val="32"/>
          <w:szCs w:val="32"/>
          <w:lang w:val="en-US" w:eastAsia="zh-CN"/>
        </w:rPr>
        <w:t>退休1人，</w:t>
      </w:r>
      <w:r>
        <w:rPr>
          <w:rFonts w:eastAsia="仿宋_GB2312"/>
          <w:sz w:val="32"/>
          <w:szCs w:val="32"/>
        </w:rPr>
        <w:t>人员经费和公用经费支出</w:t>
      </w:r>
      <w:r>
        <w:rPr>
          <w:rFonts w:eastAsia="仿宋_GB2312"/>
          <w:sz w:val="32"/>
          <w:szCs w:val="32"/>
          <w:lang w:val="en-US" w:eastAsia="zh-CN"/>
        </w:rPr>
        <w:t>下降，2025</w:t>
      </w:r>
      <w:r>
        <w:rPr>
          <w:rFonts w:eastAsia="仿宋_GB2312"/>
          <w:sz w:val="32"/>
          <w:szCs w:val="32"/>
        </w:rPr>
        <w:t>年项目的</w:t>
      </w:r>
      <w:r>
        <w:rPr>
          <w:rFonts w:eastAsia="仿宋_GB2312"/>
          <w:sz w:val="32"/>
          <w:szCs w:val="32"/>
          <w:lang w:val="en-US" w:eastAsia="zh-CN"/>
        </w:rPr>
        <w:t>增加</w:t>
      </w:r>
      <w:r>
        <w:rPr>
          <w:rFonts w:eastAsia="仿宋_GB2312"/>
          <w:sz w:val="32"/>
          <w:szCs w:val="32"/>
        </w:rPr>
        <w:t>。</w:t>
      </w:r>
    </w:p>
    <w:p>
      <w:pPr>
        <w:keepNext w:val="0"/>
        <w:keepLines w:val="0"/>
        <w:pageBreakBefore w:val="0"/>
        <w:widowControl w:val="0"/>
        <w:kinsoku/>
        <w:wordWrap/>
        <w:overflowPunct/>
        <w:autoSpaceDE/>
        <w:autoSpaceDN/>
        <w:bidi w:val="0"/>
        <w:spacing w:line="500" w:lineRule="exact"/>
        <w:ind w:firstLineChars="200" w:firstLine="640"/>
        <w:textAlignment w:val="auto"/>
        <w:rPr>
          <w:rFonts w:eastAsia="仿宋_GB2312"/>
          <w:sz w:val="32"/>
          <w:szCs w:val="32"/>
        </w:rPr>
      </w:pPr>
      <w:r>
        <w:rPr>
          <w:rFonts w:eastAsia="仿宋_GB2312"/>
          <w:sz w:val="32"/>
          <w:szCs w:val="32"/>
        </w:rPr>
        <w:t>202</w:t>
      </w:r>
      <w:r>
        <w:rPr>
          <w:rFonts w:eastAsia="仿宋_GB2312"/>
          <w:sz w:val="32"/>
          <w:szCs w:val="32"/>
          <w:lang w:val="en-US" w:eastAsia="zh-CN"/>
        </w:rPr>
        <w:t>5</w:t>
      </w:r>
      <w:r>
        <w:rPr>
          <w:rFonts w:eastAsia="仿宋_GB2312"/>
          <w:sz w:val="32"/>
          <w:szCs w:val="32"/>
        </w:rPr>
        <w:t>年基本支出年初预算数</w:t>
      </w:r>
      <w:r>
        <w:rPr>
          <w:rFonts w:eastAsia="仿宋_GB2312"/>
          <w:sz w:val="32"/>
          <w:szCs w:val="32"/>
          <w:lang w:val="en-US" w:eastAsia="zh-CN"/>
        </w:rPr>
        <w:t>568.49</w:t>
      </w:r>
      <w:r>
        <w:rPr>
          <w:rFonts w:eastAsia="仿宋_GB2312"/>
          <w:sz w:val="32"/>
          <w:szCs w:val="32"/>
        </w:rPr>
        <w:t>万元，其中：人员经费</w:t>
      </w:r>
      <w:r>
        <w:rPr>
          <w:rFonts w:eastAsia="仿宋_GB2312"/>
          <w:sz w:val="32"/>
          <w:szCs w:val="32"/>
          <w:lang w:val="en-US" w:eastAsia="zh-CN"/>
        </w:rPr>
        <w:t>497.27</w:t>
      </w:r>
      <w:r>
        <w:rPr>
          <w:rFonts w:eastAsia="仿宋_GB2312"/>
          <w:sz w:val="32"/>
          <w:szCs w:val="32"/>
        </w:rPr>
        <w:t>万元，公用经费</w:t>
      </w:r>
      <w:r>
        <w:rPr>
          <w:rFonts w:eastAsia="仿宋_GB2312"/>
          <w:sz w:val="32"/>
          <w:szCs w:val="32"/>
          <w:lang w:val="en-US" w:eastAsia="zh-CN"/>
        </w:rPr>
        <w:t>71.22</w:t>
      </w:r>
      <w:r>
        <w:rPr>
          <w:rFonts w:eastAsia="仿宋_GB2312"/>
          <w:sz w:val="32"/>
          <w:szCs w:val="32"/>
        </w:rPr>
        <w:t>万元；项目支出年初预算数</w:t>
      </w:r>
      <w:r>
        <w:rPr>
          <w:rFonts w:eastAsia="仿宋_GB2312"/>
          <w:sz w:val="32"/>
          <w:szCs w:val="32"/>
          <w:lang w:val="en-US" w:eastAsia="zh-CN"/>
        </w:rPr>
        <w:t>100</w:t>
      </w:r>
      <w:r>
        <w:rPr>
          <w:rFonts w:eastAsia="仿宋_GB2312"/>
          <w:sz w:val="32"/>
          <w:szCs w:val="32"/>
        </w:rPr>
        <w:t>万元。</w:t>
      </w:r>
    </w:p>
    <w:p>
      <w:pPr>
        <w:keepNext w:val="0"/>
        <w:keepLines w:val="0"/>
        <w:pageBreakBefore w:val="0"/>
        <w:widowControl w:val="0"/>
        <w:kinsoku/>
        <w:wordWrap/>
        <w:overflowPunct/>
        <w:autoSpaceDE/>
        <w:autoSpaceDN/>
        <w:bidi w:val="0"/>
        <w:spacing w:line="500" w:lineRule="exact"/>
        <w:ind w:firstLineChars="200" w:firstLine="640"/>
        <w:textAlignment w:val="auto"/>
        <w:rPr>
          <w:rFonts w:eastAsia="仿宋_GB2312"/>
          <w:sz w:val="32"/>
          <w:szCs w:val="32"/>
          <w:lang w:val="en-US" w:eastAsia="zh-CN" w:bidi="ar-SA"/>
        </w:rPr>
      </w:pPr>
      <w:r>
        <w:rPr>
          <w:rFonts w:eastAsia="仿宋_GB2312"/>
          <w:sz w:val="32"/>
          <w:szCs w:val="32"/>
          <w:lang w:val="en-US" w:eastAsia="zh-CN" w:bidi="ar-SA"/>
        </w:rPr>
        <w:t>2025年基本支出全年预算数及决算数862.5万元，其中：人员经费473.49万元，公用经费25.64万元。项目支出中基本建设类项目支出为0万元，项目支出中非基本建设类项目支出为363.37万元，主要包括：办公费、电费、劳务费、专用材料费、委托业务费、差旅费、其他交通费等。</w:t>
      </w:r>
    </w:p>
    <w:p>
      <w:pPr>
        <w:keepNext w:val="0"/>
        <w:keepLines w:val="0"/>
        <w:pageBreakBefore w:val="0"/>
        <w:widowControl w:val="0"/>
        <w:kinsoku/>
        <w:wordWrap/>
        <w:overflowPunct/>
        <w:autoSpaceDE/>
        <w:autoSpaceDN/>
        <w:spacing w:line="500" w:lineRule="exact"/>
        <w:ind w:firstLineChars="200" w:firstLine="640"/>
      </w:pPr>
      <w:r>
        <w:rPr>
          <w:rFonts w:eastAsia="仿宋_GB2312"/>
          <w:sz w:val="32"/>
          <w:szCs w:val="32"/>
        </w:rPr>
        <w:t>“三公经费”情况：本单位本年度“三公”经费支出决算数为10.59万元。其中:因公出国（境）费支出决算数为0.00万元，相比上年度增加0.00万元，</w:t>
      </w:r>
      <w:r>
        <w:rPr>
          <w:rStyle w:val="25"/>
          <w:rFonts w:eastAsia="仿宋_GB2312"/>
          <w:sz w:val="32"/>
          <w:szCs w:val="32"/>
        </w:rPr>
        <w:t>主要原因为无公务出国（境）支出</w:t>
      </w:r>
      <w:r>
        <w:rPr>
          <w:rFonts w:eastAsia="仿宋_GB2312"/>
          <w:sz w:val="32"/>
          <w:szCs w:val="32"/>
        </w:rPr>
        <w:t>；公务用车购置及运行维护费支出决算数为</w:t>
      </w:r>
      <w:r>
        <w:rPr>
          <w:rFonts w:eastAsia="仿宋_GB2312"/>
          <w:sz w:val="32"/>
          <w:szCs w:val="32"/>
          <w:lang w:val="en-US" w:eastAsia="zh-CN"/>
        </w:rPr>
        <w:t>10.59</w:t>
      </w:r>
      <w:r>
        <w:rPr>
          <w:rFonts w:eastAsia="仿宋_GB2312"/>
          <w:sz w:val="32"/>
          <w:szCs w:val="32"/>
        </w:rPr>
        <w:t>万元，相比上年度</w:t>
      </w:r>
      <w:r>
        <w:rPr>
          <w:rFonts w:eastAsia="仿宋_GB2312"/>
          <w:sz w:val="32"/>
          <w:szCs w:val="32"/>
          <w:lang w:val="en-US" w:eastAsia="zh-CN"/>
        </w:rPr>
        <w:t>减少6.7</w:t>
      </w:r>
      <w:r>
        <w:rPr>
          <w:rFonts w:eastAsia="仿宋_GB2312"/>
          <w:sz w:val="32"/>
          <w:szCs w:val="32"/>
        </w:rPr>
        <w:t>万元，</w:t>
      </w:r>
      <w:r>
        <w:rPr>
          <w:rStyle w:val="25"/>
          <w:rFonts w:eastAsia="仿宋_GB2312"/>
          <w:sz w:val="32"/>
          <w:szCs w:val="32"/>
        </w:rPr>
        <w:t>主要原因为</w:t>
      </w:r>
      <w:r>
        <w:rPr>
          <w:rStyle w:val="25"/>
          <w:rFonts w:eastAsia="仿宋_GB2312"/>
          <w:sz w:val="32"/>
          <w:szCs w:val="32"/>
          <w:lang w:val="en-US" w:eastAsia="zh-CN"/>
        </w:rPr>
        <w:t>单位机构改革期</w:t>
      </w:r>
      <w:r>
        <w:rPr>
          <w:rStyle w:val="25"/>
          <w:rFonts w:eastAsia="仿宋_GB2312"/>
          <w:sz w:val="32"/>
          <w:szCs w:val="32"/>
        </w:rPr>
        <w:t>公务外出</w:t>
      </w:r>
      <w:r>
        <w:rPr>
          <w:rStyle w:val="25"/>
          <w:rFonts w:eastAsia="仿宋_GB2312"/>
          <w:sz w:val="32"/>
          <w:szCs w:val="32"/>
          <w:lang w:val="en-US" w:eastAsia="zh-CN"/>
        </w:rPr>
        <w:t>减少</w:t>
      </w:r>
      <w:r>
        <w:rPr>
          <w:rFonts w:eastAsia="仿宋_GB2312"/>
          <w:sz w:val="32"/>
          <w:szCs w:val="32"/>
        </w:rPr>
        <w:t>；公务接待费支出决算数为</w:t>
      </w:r>
      <w:r>
        <w:rPr>
          <w:rFonts w:eastAsia="仿宋_GB2312"/>
          <w:sz w:val="32"/>
          <w:szCs w:val="32"/>
          <w:lang w:val="en-US" w:eastAsia="zh-CN"/>
        </w:rPr>
        <w:t>0</w:t>
      </w:r>
      <w:r>
        <w:rPr>
          <w:rFonts w:eastAsia="仿宋_GB2312"/>
          <w:sz w:val="32"/>
          <w:szCs w:val="32"/>
        </w:rPr>
        <w:t>万元，相比上年度增加</w:t>
      </w:r>
      <w:r>
        <w:rPr>
          <w:rFonts w:eastAsia="仿宋_GB2312"/>
          <w:sz w:val="32"/>
          <w:szCs w:val="32"/>
          <w:lang w:val="en-US" w:eastAsia="zh-CN"/>
        </w:rPr>
        <w:t>0</w:t>
      </w:r>
      <w:r>
        <w:rPr>
          <w:rFonts w:eastAsia="仿宋_GB2312"/>
          <w:sz w:val="32"/>
          <w:szCs w:val="32"/>
        </w:rPr>
        <w:t>万元，</w:t>
      </w:r>
      <w:r>
        <w:rPr>
          <w:rStyle w:val="25"/>
          <w:rFonts w:eastAsia="仿宋_GB2312"/>
          <w:sz w:val="32"/>
          <w:szCs w:val="32"/>
        </w:rPr>
        <w:t>主要原因为本年</w:t>
      </w:r>
      <w:r>
        <w:rPr>
          <w:rStyle w:val="25"/>
          <w:rFonts w:eastAsia="仿宋_GB2312"/>
          <w:sz w:val="32"/>
          <w:szCs w:val="32"/>
          <w:lang w:val="en-US" w:eastAsia="zh-CN"/>
        </w:rPr>
        <w:t>无</w:t>
      </w:r>
      <w:r>
        <w:rPr>
          <w:rStyle w:val="25"/>
          <w:rFonts w:eastAsia="仿宋_GB2312"/>
          <w:sz w:val="32"/>
          <w:szCs w:val="32"/>
        </w:rPr>
        <w:t>公务接待</w:t>
      </w:r>
      <w:r>
        <w:rPr>
          <w:rFonts w:eastAsia="仿宋_GB2312"/>
          <w:sz w:val="32"/>
          <w:szCs w:val="32"/>
        </w:rPr>
        <w:t>。本年度“三公”经费支出预算数为</w:t>
      </w:r>
      <w:r>
        <w:rPr>
          <w:rFonts w:eastAsia="仿宋_GB2312"/>
          <w:sz w:val="32"/>
          <w:szCs w:val="32"/>
          <w:lang w:val="en-US" w:eastAsia="zh-CN"/>
        </w:rPr>
        <w:t>10.59</w:t>
      </w:r>
      <w:r>
        <w:rPr>
          <w:rFonts w:eastAsia="仿宋_GB2312"/>
          <w:sz w:val="32"/>
          <w:szCs w:val="32"/>
        </w:rPr>
        <w:t>万元，决算数为</w:t>
      </w:r>
      <w:r>
        <w:rPr>
          <w:rFonts w:eastAsia="仿宋_GB2312"/>
          <w:sz w:val="32"/>
          <w:szCs w:val="32"/>
          <w:lang w:val="en-US" w:eastAsia="zh-CN"/>
        </w:rPr>
        <w:t>10.59</w:t>
      </w:r>
      <w:r>
        <w:rPr>
          <w:rFonts w:eastAsia="仿宋_GB2312"/>
          <w:sz w:val="32"/>
          <w:szCs w:val="32"/>
        </w:rPr>
        <w:t>万元，预算完成度为</w:t>
      </w:r>
      <w:r>
        <w:rPr>
          <w:rFonts w:eastAsia="仿宋_GB2312"/>
          <w:sz w:val="32"/>
          <w:szCs w:val="32"/>
          <w:lang w:val="en-US" w:eastAsia="zh-CN"/>
        </w:rPr>
        <w:t>100</w:t>
      </w:r>
      <w:r>
        <w:rPr>
          <w:rFonts w:eastAsia="仿宋_GB2312"/>
          <w:sz w:val="32"/>
          <w:szCs w:val="32"/>
        </w:rPr>
        <w:t>%，</w:t>
      </w:r>
      <w:r>
        <w:rPr>
          <w:rStyle w:val="25"/>
          <w:rFonts w:eastAsia="仿宋_GB2312"/>
          <w:sz w:val="32"/>
          <w:szCs w:val="32"/>
        </w:rPr>
        <w:t>主要原因为按相关规定按时合规完成了资金支付进度</w:t>
      </w:r>
      <w:r>
        <w:rPr>
          <w:rFonts w:eastAsia="仿宋_GB2312"/>
          <w:sz w:val="32"/>
          <w:szCs w:val="32"/>
        </w:rPr>
        <w:t>。本年度因公出国（境）费人均支出为0.00万元，公务用车购置及运行维护费人均支出为</w:t>
      </w:r>
      <w:r>
        <w:rPr>
          <w:rFonts w:eastAsia="仿宋_GB2312"/>
          <w:sz w:val="32"/>
          <w:szCs w:val="32"/>
          <w:lang w:val="en-US" w:eastAsia="zh-CN"/>
        </w:rPr>
        <w:t>0.62</w:t>
      </w:r>
      <w:r>
        <w:rPr>
          <w:rFonts w:eastAsia="仿宋_GB2312"/>
          <w:sz w:val="32"/>
          <w:szCs w:val="32"/>
        </w:rPr>
        <w:t>万元。</w:t>
      </w:r>
    </w:p>
    <w:p>
      <w:pPr>
        <w:widowControl/>
        <w:adjustRightInd w:val="0"/>
        <w:snapToGrid w:val="0"/>
        <w:spacing w:line="578" w:lineRule="exact"/>
        <w:ind w:firstLineChars="200" w:firstLine="640"/>
        <w:contextualSpacing/>
        <w:jc w:val="left"/>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highlight w:val="auto"/>
        </w:rPr>
        <w:t>（三）结余分配和结转结余情况</w:t>
      </w:r>
      <w:r>
        <w:rPr>
          <w:rFonts w:eastAsia="楷体_GB2312"/>
          <w:b/>
          <w:bCs/>
          <w:color w:val="000000"/>
          <w:kern w:val="0"/>
          <w:sz w:val="32"/>
          <w:szCs w:val="32"/>
          <w:shd w:val="clear" w:color="auto" w:fill="FFFFFF"/>
          <w:lang w:val="zh-CN" w:eastAsia="zh-CN"/>
          <w:highlight w:val="auto"/>
        </w:rPr>
        <w:t>。</w:t>
      </w:r>
      <w:r>
        <w:rPr>
          <w:rFonts w:eastAsia="仿宋_GB2312"/>
          <w:sz w:val="32"/>
          <w:szCs w:val="32"/>
          <w:lang w:val="en-US" w:eastAsia="zh-CN"/>
        </w:rPr>
        <w:t>大熊猫国家公园阿坝管理分局无</w:t>
      </w:r>
      <w:r>
        <w:rPr>
          <w:rFonts w:eastAsia="仿宋_GB2312"/>
          <w:sz w:val="32"/>
          <w:szCs w:val="32"/>
        </w:rPr>
        <w:t>2025年决算报表结转结余情况。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eastAsia="黑体"/>
          <w:color w:val="000000"/>
          <w:kern w:val="0"/>
          <w:sz w:val="32"/>
          <w:szCs w:val="32"/>
          <w:shd w:val="clear" w:color="auto" w:fill="FFFFFF"/>
          <w:lang w:val="zh-CN" w:eastAsia="zh-CN"/>
          <w:highlight w:val="auto"/>
        </w:rPr>
      </w:pPr>
      <w:r>
        <w:rPr>
          <w:rFonts w:eastAsia="黑体"/>
          <w:color w:val="000000"/>
          <w:kern w:val="0"/>
          <w:sz w:val="32"/>
          <w:szCs w:val="32"/>
          <w:shd w:val="clear" w:color="auto" w:fill="FFFFFF"/>
          <w:lang w:val="zh-CN" w:eastAsia="zh-CN"/>
          <w:highlight w:val="auto"/>
        </w:rPr>
        <w:t>三、部门预算绩效分析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eastAsia="仿宋_GB2312"/>
          <w:color w:val="auto"/>
          <w:kern w:val="2"/>
          <w:sz w:val="32"/>
          <w:szCs w:val="32"/>
          <w:lang w:val="zh-CN" w:eastAsia="zh-CN" w:bidi="ar-SA"/>
          <w:highlight w:val="auto"/>
        </w:rPr>
      </w:pPr>
      <w:r>
        <w:rPr>
          <w:rFonts w:eastAsia="楷体_GB2312"/>
          <w:b/>
          <w:bCs/>
          <w:color w:val="000000"/>
          <w:kern w:val="0"/>
          <w:sz w:val="32"/>
          <w:szCs w:val="32"/>
          <w:shd w:val="clear" w:color="auto" w:fill="FFFFFF"/>
          <w:lang w:val="zh-CN"/>
          <w:highlight w:val="auto"/>
        </w:rPr>
        <w:t>（一）部门预算总体绩效分析。</w:t>
      </w:r>
      <w:r>
        <w:rPr>
          <w:rFonts w:eastAsia="仿宋_GB2312"/>
          <w:color w:val="auto"/>
          <w:kern w:val="2"/>
          <w:sz w:val="32"/>
          <w:szCs w:val="32"/>
          <w:lang w:val="zh-CN" w:eastAsia="zh-CN" w:bidi="ar-SA"/>
          <w:highlight w:val="auto"/>
        </w:rPr>
        <w:t>根据部门预算绩效评价指标体系“总体绩效”涉及二、三级指标进行逐项绩效分析并评分，依次包括履职效能、预算管理、财务管理、资产管理、采购管理等情况。</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640"/>
        <w:textAlignment w:val="auto"/>
        <w:rPr>
          <w:rFonts w:eastAsia="仿宋_GB2312"/>
          <w:kern w:val="2"/>
          <w:sz w:val="32"/>
          <w:szCs w:val="32"/>
          <w:lang w:val="en-US" w:eastAsia="zh-CN"/>
        </w:rPr>
      </w:pPr>
      <w:r>
        <w:rPr>
          <w:rFonts w:eastAsia="仿宋_GB2312"/>
          <w:b/>
          <w:bCs/>
          <w:color w:val="auto"/>
          <w:kern w:val="2"/>
          <w:sz w:val="32"/>
          <w:szCs w:val="32"/>
          <w:lang w:bidi="ar-SA"/>
        </w:rPr>
        <w:t>履职效能。</w:t>
      </w:r>
      <w:r>
        <w:rPr>
          <w:rFonts w:eastAsia="仿宋_GB2312"/>
          <w:color w:val="auto"/>
          <w:kern w:val="2"/>
          <w:sz w:val="32"/>
          <w:szCs w:val="32"/>
          <w:lang w:bidi="ar-SA"/>
        </w:rPr>
        <w:t>采取多种形式，多渠道，大力宣传生态文明建设理念，普及大熊猫以及园区野生动植物和栖息地保护相关知识，相关保护法律法规等宣传。</w:t>
      </w:r>
      <w:r>
        <w:rPr>
          <w:rFonts w:eastAsia="仿宋_GB2312"/>
          <w:kern w:val="2"/>
          <w:sz w:val="32"/>
          <w:szCs w:val="32"/>
        </w:rPr>
        <w:t>常态化开展管护、巡护监测工作，适时开展防火、反盗猎、违规采集、跨区巡护等专项行动，打击违法违规行为。</w:t>
      </w:r>
      <w:r>
        <w:rPr>
          <w:rFonts w:eastAsia="仿宋_GB2312"/>
          <w:color w:val="auto"/>
          <w:kern w:val="2"/>
          <w:sz w:val="32"/>
          <w:szCs w:val="32"/>
          <w:lang w:bidi="ar-SA"/>
        </w:rPr>
        <w:t>项目绩效目标三级指标年初设定指标值为7条，</w:t>
      </w:r>
      <w:r>
        <w:rPr>
          <w:rFonts w:eastAsia="仿宋_GB2312"/>
          <w:kern w:val="2"/>
          <w:sz w:val="32"/>
          <w:szCs w:val="32"/>
        </w:rPr>
        <w:t>社会效益指标公众对大熊猫国家公园政策法规知晓率提升</w:t>
      </w:r>
      <w:r>
        <w:rPr>
          <w:rFonts w:eastAsia="仿宋_GB2312"/>
          <w:kern w:val="2"/>
          <w:sz w:val="32"/>
          <w:szCs w:val="32"/>
          <w:lang w:eastAsia="zh-CN"/>
        </w:rPr>
        <w:t>，</w:t>
      </w:r>
      <w:r>
        <w:rPr>
          <w:rFonts w:eastAsia="仿宋_GB2312"/>
          <w:color w:val="auto"/>
          <w:sz w:val="32"/>
          <w:szCs w:val="32"/>
          <w:lang w:val="en-US" w:eastAsia="zh-CN" w:bidi="ar-SA"/>
        </w:rPr>
        <w:t>全力配合推进《四川省大熊猫国家公园管理条例》立法，3次提出修改建议。配合完善《四川省大熊猫国家公园管理办法》，提出修改意见6条。配合全国人大完成《中华人民共和国国家公园法》立法调研工作，提出修改意见8条。目前，四川省大熊猫国家公园管理条例》《四川省大熊猫国家公园管理办法》《中华人民共和国国家公园法》均已正式出台</w:t>
      </w:r>
      <w:r>
        <w:rPr>
          <w:color w:val="auto"/>
          <w:sz w:val="32"/>
          <w:szCs w:val="32"/>
          <w:lang w:val="en-US" w:eastAsia="zh-CN" w:bidi="ar-SA"/>
        </w:rPr>
        <w:t>，</w:t>
      </w:r>
      <w:r>
        <w:rPr>
          <w:rFonts w:eastAsia="仿宋_GB2312"/>
          <w:kern w:val="2"/>
          <w:sz w:val="32"/>
          <w:szCs w:val="32"/>
          <w:lang w:val="en-US" w:eastAsia="zh-CN"/>
        </w:rPr>
        <w:t>累计</w:t>
      </w:r>
      <w:r>
        <w:rPr>
          <w:kern w:val="2"/>
          <w:sz w:val="32"/>
          <w:szCs w:val="32"/>
          <w:lang w:val="en-US" w:eastAsia="zh-CN"/>
        </w:rPr>
        <w:t>发布</w:t>
      </w:r>
      <w:r>
        <w:rPr>
          <w:rFonts w:eastAsia="仿宋_GB2312"/>
          <w:kern w:val="2"/>
          <w:sz w:val="32"/>
          <w:szCs w:val="32"/>
          <w:lang w:val="en-US" w:eastAsia="zh-CN"/>
        </w:rPr>
        <w:t>动态信息632条，在主流媒体报道亮点和经验做法240篇（次），制作宣传小视频64条，发放保护宣传品10万余份，开展自然</w:t>
      </w:r>
      <w:r>
        <w:rPr>
          <w:kern w:val="2"/>
          <w:sz w:val="32"/>
          <w:szCs w:val="32"/>
          <w:lang w:val="en-US" w:eastAsia="zh-CN"/>
        </w:rPr>
        <w:t>教育</w:t>
      </w:r>
      <w:r>
        <w:rPr>
          <w:rFonts w:eastAsia="仿宋_GB2312"/>
          <w:kern w:val="2"/>
          <w:sz w:val="32"/>
          <w:szCs w:val="32"/>
          <w:lang w:val="en-US" w:eastAsia="zh-CN"/>
        </w:rPr>
        <w:t>活动94期，累计受教育人次达1.5万余人次，为共抓大熊猫等珍稀野生动物及其栖息地保护营造良好氛围，进一步擦亮“天下九寨沟·大美阿坝州”品牌。</w:t>
      </w:r>
    </w:p>
    <w:p>
      <w:pPr>
        <w:pStyle w:val="18"/>
        <w:keepNext w:val="0"/>
        <w:keepLines w:val="0"/>
        <w:pageBreakBefore w:val="0"/>
        <w:widowControl w:val="0"/>
        <w:suppressAutoHyphens/>
        <w:kinsoku/>
        <w:wordWrap/>
        <w:overflowPunct/>
        <w:topLinePunct/>
        <w:autoSpaceDE/>
        <w:autoSpaceDN/>
        <w:bidi w:val="0"/>
        <w:adjustRightInd/>
        <w:snapToGrid/>
        <w:spacing w:after="0" w:line="500" w:lineRule="exact"/>
        <w:ind w:left="0" w:firstLineChars="200" w:firstLine="640"/>
        <w:jc w:val="both"/>
        <w:textAlignment w:val="auto"/>
        <w:rPr>
          <w:rFonts w:ascii="Times New Roman" w:hAnsi="Times New Roman"/>
          <w:szCs w:val="32"/>
        </w:rPr>
      </w:pPr>
      <w:r>
        <w:rPr>
          <w:rFonts w:ascii="Times New Roman" w:eastAsia="仿宋_GB2312" w:hAnsi="Times New Roman"/>
          <w:kern w:val="2"/>
          <w:sz w:val="32"/>
          <w:szCs w:val="32"/>
        </w:rPr>
        <w:t>生态效益指标提升野生动植物保护成效</w:t>
      </w:r>
      <w:r>
        <w:rPr>
          <w:rFonts w:ascii="Times New Roman" w:hAnsi="Times New Roman"/>
          <w:kern w:val="2"/>
          <w:sz w:val="32"/>
          <w:szCs w:val="32"/>
          <w:lang w:eastAsia="zh-CN"/>
        </w:rPr>
        <w:t>，</w:t>
      </w:r>
      <w:r>
        <w:rPr>
          <w:rFonts w:ascii="Times New Roman" w:eastAsia="仿宋_GB2312" w:hAnsi="Times New Roman"/>
          <w:spacing w:val="8"/>
          <w:sz w:val="32"/>
          <w:szCs w:val="32"/>
          <w:lang w:bidi="ar-SA"/>
        </w:rPr>
        <w:t>在高速</w:t>
      </w:r>
      <w:r>
        <w:rPr>
          <w:rFonts w:ascii="Times New Roman" w:eastAsia="仿宋_GB2312" w:hAnsi="Times New Roman"/>
          <w:spacing w:val="7"/>
          <w:sz w:val="32"/>
          <w:szCs w:val="32"/>
          <w:lang w:bidi="ar-SA"/>
        </w:rPr>
        <w:t>公路、国省</w:t>
      </w:r>
      <w:r>
        <w:rPr>
          <w:rFonts w:ascii="Times New Roman" w:eastAsia="仿宋_GB2312" w:hAnsi="Times New Roman"/>
          <w:spacing w:val="13"/>
          <w:sz w:val="32"/>
          <w:szCs w:val="32"/>
          <w:lang w:bidi="ar-SA"/>
        </w:rPr>
        <w:t>干道及国家公园重要位置设置指引、提示、警</w:t>
      </w:r>
      <w:r>
        <w:rPr>
          <w:rFonts w:ascii="Times New Roman" w:eastAsia="仿宋_GB2312" w:hAnsi="Times New Roman"/>
          <w:spacing w:val="12"/>
          <w:sz w:val="32"/>
          <w:szCs w:val="32"/>
          <w:lang w:bidi="ar-SA"/>
        </w:rPr>
        <w:t>示、禁止等类</w:t>
      </w:r>
      <w:r>
        <w:rPr>
          <w:rFonts w:ascii="Times New Roman" w:eastAsia="仿宋_GB2312" w:hAnsi="Times New Roman"/>
          <w:spacing w:val="9"/>
          <w:sz w:val="32"/>
          <w:szCs w:val="32"/>
          <w:lang w:bidi="ar-SA"/>
        </w:rPr>
        <w:t>型标</w:t>
      </w:r>
      <w:r>
        <w:rPr>
          <w:rFonts w:ascii="Times New Roman" w:eastAsia="仿宋_GB2312" w:hAnsi="Times New Roman"/>
          <w:spacing w:val="8"/>
          <w:sz w:val="32"/>
          <w:szCs w:val="32"/>
          <w:lang w:bidi="ar-SA"/>
        </w:rPr>
        <w:t>识标牌2044</w:t>
      </w:r>
      <w:r>
        <w:rPr>
          <w:rFonts w:ascii="Times New Roman" w:eastAsia="仿宋_GB2312" w:hAnsi="Times New Roman"/>
          <w:spacing w:val="9"/>
          <w:sz w:val="32"/>
          <w:szCs w:val="32"/>
          <w:lang w:bidi="ar-SA"/>
        </w:rPr>
        <w:t>个。实施保护管理及科普宣教设施建设，新建访客中心1000平方米、科普馆950平方米、科普宣教长廊300米、生态体验步道5公里以及室外科普展示、标识系统等</w:t>
      </w:r>
      <w:r>
        <w:rPr>
          <w:rFonts w:ascii="Times New Roman" w:eastAsia="仿宋_GB2312" w:hAnsi="Times New Roman"/>
          <w:spacing w:val="13"/>
          <w:sz w:val="32"/>
          <w:szCs w:val="32"/>
          <w:lang w:bidi="ar-SA"/>
        </w:rPr>
        <w:t>。合理布设保护站点，新建保护站4个、面积3200平方米，维修维护及功能完善保护站点17个、面积12937平方米。建立自</w:t>
      </w:r>
      <w:r>
        <w:rPr>
          <w:rFonts w:ascii="Times New Roman" w:eastAsia="仿宋_GB2312" w:hAnsi="Times New Roman"/>
          <w:spacing w:val="6"/>
          <w:sz w:val="32"/>
          <w:szCs w:val="32"/>
          <w:lang w:bidi="ar-SA"/>
        </w:rPr>
        <w:t>然教</w:t>
      </w:r>
      <w:r>
        <w:rPr>
          <w:rFonts w:ascii="Times New Roman" w:eastAsia="仿宋_GB2312" w:hAnsi="Times New Roman"/>
          <w:spacing w:val="7"/>
          <w:sz w:val="32"/>
          <w:szCs w:val="32"/>
          <w:lang w:bidi="ar-SA"/>
        </w:rPr>
        <w:t>育科普宣教基地2处，设立自然教育学校4处</w:t>
      </w:r>
      <w:r>
        <w:rPr>
          <w:rFonts w:ascii="Times New Roman" w:eastAsia="仿宋_GB2312" w:hAnsi="Times New Roman"/>
          <w:spacing w:val="6"/>
          <w:sz w:val="32"/>
          <w:szCs w:val="32"/>
          <w:lang w:bidi="ar-SA"/>
        </w:rPr>
        <w:t>。维修巡护道</w:t>
      </w:r>
      <w:r>
        <w:rPr>
          <w:rFonts w:ascii="Times New Roman" w:eastAsia="仿宋_GB2312" w:hAnsi="Times New Roman"/>
          <w:sz w:val="32"/>
          <w:szCs w:val="32"/>
          <w:lang w:bidi="ar-SA"/>
        </w:rPr>
        <w:t>路272.8</w:t>
      </w:r>
      <w:r>
        <w:rPr>
          <w:rFonts w:ascii="Times New Roman" w:eastAsia="仿宋_GB2312" w:hAnsi="Times New Roman"/>
          <w:spacing w:val="-59"/>
          <w:sz w:val="32"/>
          <w:szCs w:val="32"/>
          <w:lang w:bidi="ar-SA"/>
        </w:rPr>
        <w:t xml:space="preserve"> </w:t>
      </w:r>
      <w:r>
        <w:rPr>
          <w:rFonts w:ascii="Times New Roman" w:eastAsia="仿宋_GB2312" w:hAnsi="Times New Roman"/>
          <w:sz w:val="32"/>
          <w:szCs w:val="32"/>
          <w:lang w:bidi="ar-SA"/>
        </w:rPr>
        <w:t>公里。</w:t>
      </w:r>
      <w:r>
        <w:rPr>
          <w:rFonts w:ascii="Times New Roman" w:eastAsia="仿宋_GB2312" w:hAnsi="Times New Roman"/>
          <w:spacing w:val="10"/>
          <w:sz w:val="32"/>
          <w:szCs w:val="32"/>
          <w:lang w:bidi="ar-SA"/>
        </w:rPr>
        <w:t>强化科技装备，实施数字化野外</w:t>
      </w:r>
      <w:r>
        <w:rPr>
          <w:rFonts w:ascii="Times New Roman" w:eastAsia="仿宋_GB2312" w:hAnsi="Times New Roman"/>
          <w:spacing w:val="8"/>
          <w:sz w:val="32"/>
          <w:szCs w:val="32"/>
          <w:lang w:bidi="ar-SA"/>
        </w:rPr>
        <w:t>监测体系项目建设</w:t>
      </w:r>
      <w:r>
        <w:rPr>
          <w:rFonts w:ascii="Times New Roman" w:eastAsia="仿宋_GB2312" w:hAnsi="Times New Roman"/>
          <w:spacing w:val="13"/>
          <w:sz w:val="32"/>
          <w:szCs w:val="32"/>
          <w:lang w:bidi="ar-SA"/>
        </w:rPr>
        <w:t>，新增建设倾斜摄影无人机机巢系统1套、超短波通信系统4套、微波中继站24套、</w:t>
      </w:r>
      <w:r>
        <w:rPr>
          <w:rFonts w:ascii="Times New Roman" w:eastAsia="仿宋_GB2312" w:hAnsi="Times New Roman"/>
          <w:bCs/>
          <w:spacing w:val="13"/>
          <w:sz w:val="32"/>
          <w:szCs w:val="32"/>
          <w:lang w:bidi="ar-SA"/>
        </w:rPr>
        <w:t>林火视频监测系统2套、道路卡口监测系统26套、</w:t>
      </w:r>
      <w:r>
        <w:rPr>
          <w:rFonts w:ascii="Times New Roman" w:eastAsia="仿宋_GB2312" w:hAnsi="Times New Roman"/>
          <w:spacing w:val="13"/>
          <w:sz w:val="32"/>
          <w:szCs w:val="32"/>
          <w:lang w:bidi="ar-SA"/>
        </w:rPr>
        <w:t>野生动物实时红外监测系统43套、生态监测观测系统7套，</w:t>
      </w:r>
      <w:r>
        <w:rPr>
          <w:rFonts w:ascii="Times New Roman" w:eastAsia="仿宋_GB2312" w:hAnsi="Times New Roman"/>
          <w:bCs/>
          <w:spacing w:val="13"/>
          <w:sz w:val="32"/>
          <w:szCs w:val="32"/>
          <w:lang w:bidi="ar-SA"/>
        </w:rPr>
        <w:t>布设红外相机</w:t>
      </w:r>
      <w:r>
        <w:rPr>
          <w:rFonts w:ascii="Times New Roman" w:eastAsia="仿宋_GB2312" w:hAnsi="Times New Roman"/>
          <w:bCs/>
          <w:spacing w:val="13"/>
          <w:sz w:val="32"/>
          <w:szCs w:val="32"/>
          <w:lang w:val="en-US" w:eastAsia="zh-CN" w:bidi="ar-SA"/>
        </w:rPr>
        <w:t>664</w:t>
      </w:r>
      <w:r>
        <w:rPr>
          <w:rFonts w:ascii="Times New Roman" w:eastAsia="仿宋_GB2312" w:hAnsi="Times New Roman"/>
          <w:bCs/>
          <w:spacing w:val="13"/>
          <w:sz w:val="32"/>
          <w:szCs w:val="32"/>
          <w:lang w:bidi="ar-SA"/>
        </w:rPr>
        <w:t>台，购置无人机6台、移动图形工作站18台、</w:t>
      </w:r>
      <w:r>
        <w:rPr>
          <w:rFonts w:ascii="Times New Roman" w:eastAsia="仿宋_GB2312" w:hAnsi="Times New Roman"/>
          <w:bCs/>
          <w:spacing w:val="13"/>
          <w:sz w:val="32"/>
          <w:szCs w:val="32"/>
          <w:lang w:val="en-US" w:eastAsia="zh-CN" w:bidi="ar-SA"/>
        </w:rPr>
        <w:t>野外移动巡护终端82部、</w:t>
      </w:r>
      <w:r>
        <w:rPr>
          <w:rFonts w:ascii="Times New Roman" w:eastAsia="仿宋_GB2312" w:hAnsi="Times New Roman"/>
          <w:spacing w:val="13"/>
          <w:sz w:val="32"/>
          <w:szCs w:val="32"/>
          <w:lang w:bidi="ar-SA"/>
        </w:rPr>
        <w:t>单反数码相机11台、云台手持相机22台、双筒望远镜75台、野外巡护装备267套。</w:t>
      </w:r>
      <w:r>
        <w:rPr>
          <w:rFonts w:ascii="Times New Roman" w:eastAsia="仿宋_GB2312" w:hAnsi="Times New Roman"/>
          <w:color w:val="auto"/>
          <w:kern w:val="2"/>
          <w:sz w:val="32"/>
          <w:szCs w:val="32"/>
          <w:lang w:bidi="ar-SA"/>
        </w:rPr>
        <w:t>通过以上工作的开展，提高了大熊猫国家公园阿坝管理分局的知名度和公众的知晓度。</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b/>
          <w:bCs/>
          <w:color w:val="auto"/>
          <w:kern w:val="2"/>
          <w:sz w:val="32"/>
          <w:szCs w:val="32"/>
          <w:lang w:bidi="ar-SA"/>
        </w:rPr>
        <w:t>预算管理。</w:t>
      </w:r>
      <w:r>
        <w:rPr>
          <w:rFonts w:eastAsia="仿宋_GB2312"/>
          <w:color w:val="auto"/>
          <w:kern w:val="2"/>
          <w:sz w:val="32"/>
          <w:szCs w:val="32"/>
          <w:lang w:bidi="ar-SA"/>
        </w:rPr>
        <w:t>根据</w:t>
      </w:r>
      <w:r>
        <w:rPr>
          <w:color w:val="auto"/>
          <w:kern w:val="2"/>
          <w:sz w:val="32"/>
          <w:szCs w:val="32"/>
          <w:lang w:eastAsia="zh-CN" w:bidi="ar-SA"/>
        </w:rPr>
        <w:t>《</w:t>
      </w:r>
      <w:r>
        <w:rPr>
          <w:rFonts w:eastAsia="仿宋_GB2312"/>
          <w:color w:val="auto"/>
          <w:kern w:val="2"/>
          <w:sz w:val="32"/>
          <w:szCs w:val="32"/>
          <w:lang w:bidi="ar-SA"/>
        </w:rPr>
        <w:t>预算法及实施条例</w:t>
      </w:r>
      <w:r>
        <w:rPr>
          <w:color w:val="auto"/>
          <w:kern w:val="2"/>
          <w:sz w:val="32"/>
          <w:szCs w:val="32"/>
          <w:lang w:eastAsia="zh-CN" w:bidi="ar-SA"/>
        </w:rPr>
        <w:t>》</w:t>
      </w:r>
      <w:r>
        <w:rPr>
          <w:rFonts w:eastAsia="仿宋_GB2312"/>
          <w:spacing w:val="13"/>
          <w:kern w:val="2"/>
          <w:sz w:val="32"/>
          <w:szCs w:val="32"/>
          <w:lang w:val="en-US" w:eastAsia="zh-CN" w:bidi="ar-SA"/>
        </w:rPr>
        <w:t>《阿坝州财政局关于编制州级部门2025-2027年支出规划和2025年部门预算的通知》（阿州财预〔2024〕24号）</w:t>
      </w:r>
      <w:r>
        <w:rPr>
          <w:rFonts w:eastAsia="仿宋_GB2312"/>
          <w:color w:val="auto"/>
          <w:kern w:val="2"/>
          <w:sz w:val="32"/>
          <w:szCs w:val="32"/>
          <w:lang w:bidi="ar-SA"/>
        </w:rPr>
        <w:t>要求，大熊猫国家公园阿坝管理分局编制了202</w:t>
      </w:r>
      <w:r>
        <w:rPr>
          <w:color w:val="auto"/>
          <w:kern w:val="2"/>
          <w:sz w:val="32"/>
          <w:szCs w:val="32"/>
          <w:lang w:val="en-US" w:eastAsia="zh-CN" w:bidi="ar-SA"/>
        </w:rPr>
        <w:t>5</w:t>
      </w:r>
      <w:r>
        <w:rPr>
          <w:rFonts w:eastAsia="仿宋_GB2312"/>
          <w:color w:val="auto"/>
          <w:kern w:val="2"/>
          <w:sz w:val="32"/>
          <w:szCs w:val="32"/>
          <w:lang w:bidi="ar-SA"/>
        </w:rPr>
        <w:t>年部门预算，并设立部门绩效总体目标：以保护大熊猫为主要目的，实现自然资源科学保护和合理利用。我局严格按照财政部门预算编制通知明确的范围、标准等编制部门预算，不存在无预算、超预算、超标准、超范围列支人员经费、公用经费和项目经费等问题。并对整体目标进行了细化，且全部达标。实际部门整体绩效目标能够合理反映部门年度职责履行情况。</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color w:val="auto"/>
          <w:kern w:val="2"/>
          <w:sz w:val="32"/>
          <w:szCs w:val="32"/>
          <w:lang w:bidi="ar-SA"/>
        </w:rPr>
        <w:t>202</w:t>
      </w:r>
      <w:r>
        <w:rPr>
          <w:color w:val="auto"/>
          <w:kern w:val="2"/>
          <w:sz w:val="32"/>
          <w:szCs w:val="32"/>
          <w:lang w:val="en-US" w:eastAsia="zh-CN" w:bidi="ar-SA"/>
        </w:rPr>
        <w:t>5</w:t>
      </w:r>
      <w:r>
        <w:rPr>
          <w:rFonts w:eastAsia="仿宋_GB2312"/>
          <w:color w:val="auto"/>
          <w:kern w:val="2"/>
          <w:sz w:val="32"/>
          <w:szCs w:val="32"/>
          <w:lang w:bidi="ar-SA"/>
        </w:rPr>
        <w:t>年，全年预算数</w:t>
      </w:r>
      <w:r>
        <w:rPr>
          <w:color w:val="auto"/>
          <w:kern w:val="2"/>
          <w:sz w:val="32"/>
          <w:szCs w:val="32"/>
          <w:lang w:val="en-US" w:eastAsia="zh-CN" w:bidi="ar-SA"/>
        </w:rPr>
        <w:t>668.49</w:t>
      </w:r>
      <w:r>
        <w:rPr>
          <w:rFonts w:eastAsia="仿宋_GB2312"/>
          <w:color w:val="auto"/>
          <w:kern w:val="2"/>
          <w:sz w:val="32"/>
          <w:szCs w:val="32"/>
          <w:lang w:bidi="ar-SA"/>
        </w:rPr>
        <w:t>万元，预算编制准确率为100%。</w:t>
      </w:r>
    </w:p>
    <w:p>
      <w:pPr>
        <w:pStyle w:val="40"/>
        <w:keepNext w:val="0"/>
        <w:keepLines w:val="0"/>
        <w:pageBreakBefore w:val="0"/>
        <w:widowControl w:val="0"/>
        <w:suppressLineNumbers w:val="0"/>
        <w:suppressAutoHyphens w:val="0"/>
        <w:kinsoku/>
        <w:wordWrap/>
        <w:overflowPunct/>
        <w:topLinePunct w:val="0"/>
        <w:autoSpaceDE/>
        <w:autoSpaceDN/>
        <w:bidi w:val="0"/>
        <w:adjustRightInd w:val="0"/>
        <w:snapToGrid w:val="0"/>
        <w:spacing w:line="500" w:lineRule="exact"/>
        <w:ind w:firstLineChars="196" w:firstLine="627"/>
        <w:textAlignment w:val="auto"/>
        <w:rPr>
          <w:rFonts w:ascii="Times New Roman" w:eastAsia="仿宋_GB2312" w:cs="Times New Roman" w:hAnsi="Times New Roman"/>
          <w:color w:val="auto"/>
          <w:kern w:val="0"/>
          <w:sz w:val="32"/>
          <w:szCs w:val="32"/>
          <w:lang w:bidi="ar-SA"/>
        </w:rPr>
      </w:pPr>
      <w:r>
        <w:rPr>
          <w:rFonts w:ascii="Times New Roman" w:eastAsia="仿宋_GB2312" w:cs="Times New Roman" w:hAnsi="Times New Roman"/>
          <w:color w:val="auto"/>
          <w:kern w:val="0"/>
          <w:sz w:val="32"/>
          <w:szCs w:val="32"/>
          <w:lang w:bidi="ar-SA"/>
        </w:rPr>
        <w:t>支出执行进度，202</w:t>
      </w:r>
      <w:r>
        <w:rPr>
          <w:rFonts w:ascii="Times New Roman" w:eastAsia="仿宋_GB2312" w:cs="Times New Roman" w:hAnsi="Times New Roman"/>
          <w:color w:val="auto"/>
          <w:kern w:val="0"/>
          <w:sz w:val="32"/>
          <w:szCs w:val="32"/>
          <w:lang w:val="en-US" w:eastAsia="zh-CN" w:bidi="ar-SA"/>
        </w:rPr>
        <w:t>5</w:t>
      </w:r>
      <w:r>
        <w:rPr>
          <w:rFonts w:ascii="Times New Roman" w:eastAsia="仿宋_GB2312" w:cs="Times New Roman" w:hAnsi="Times New Roman"/>
          <w:color w:val="auto"/>
          <w:kern w:val="0"/>
          <w:sz w:val="32"/>
          <w:szCs w:val="32"/>
          <w:lang w:bidi="ar-SA"/>
        </w:rPr>
        <w:t>年下达分局预算指标金额为</w:t>
      </w:r>
      <w:r>
        <w:rPr>
          <w:rFonts w:ascii="Times New Roman" w:eastAsia="仿宋_GB2312" w:cs="Times New Roman" w:hAnsi="Times New Roman"/>
          <w:color w:val="auto"/>
          <w:kern w:val="0"/>
          <w:sz w:val="32"/>
          <w:szCs w:val="32"/>
          <w:lang w:val="en-US" w:eastAsia="zh-CN" w:bidi="ar-SA"/>
        </w:rPr>
        <w:t>862.5</w:t>
      </w:r>
      <w:r>
        <w:rPr>
          <w:rFonts w:ascii="Times New Roman" w:eastAsia="仿宋_GB2312" w:cs="Times New Roman" w:hAnsi="Times New Roman"/>
          <w:color w:val="auto"/>
          <w:kern w:val="0"/>
          <w:sz w:val="32"/>
          <w:szCs w:val="32"/>
          <w:lang w:bidi="ar-SA"/>
        </w:rPr>
        <w:t>万元（年中追加了绩效工资指标和中央、省级项目资金）。其中：人员经费</w:t>
      </w:r>
      <w:r>
        <w:rPr>
          <w:rFonts w:ascii="Times New Roman" w:eastAsia="仿宋_GB2312" w:cs="Times New Roman" w:hAnsi="Times New Roman"/>
          <w:color w:val="auto"/>
          <w:kern w:val="0"/>
          <w:sz w:val="32"/>
          <w:szCs w:val="32"/>
          <w:lang w:val="en-US" w:eastAsia="zh-CN" w:bidi="ar-SA"/>
        </w:rPr>
        <w:t>473.49</w:t>
      </w:r>
      <w:r>
        <w:rPr>
          <w:rFonts w:ascii="Times New Roman" w:eastAsia="仿宋_GB2312" w:cs="Times New Roman" w:hAnsi="Times New Roman"/>
          <w:color w:val="auto"/>
          <w:kern w:val="0"/>
          <w:sz w:val="32"/>
          <w:szCs w:val="32"/>
          <w:lang w:bidi="ar-SA"/>
        </w:rPr>
        <w:t>万元，公用经费</w:t>
      </w:r>
      <w:r>
        <w:rPr>
          <w:rFonts w:ascii="Times New Roman" w:eastAsia="仿宋_GB2312" w:cs="Times New Roman" w:hAnsi="Times New Roman"/>
          <w:color w:val="auto"/>
          <w:kern w:val="0"/>
          <w:sz w:val="32"/>
          <w:szCs w:val="32"/>
          <w:lang w:val="en-US" w:eastAsia="zh-CN" w:bidi="ar-SA"/>
        </w:rPr>
        <w:t>25.64</w:t>
      </w:r>
      <w:r>
        <w:rPr>
          <w:rFonts w:ascii="Times New Roman" w:eastAsia="仿宋_GB2312" w:cs="Times New Roman" w:hAnsi="Times New Roman"/>
          <w:color w:val="auto"/>
          <w:kern w:val="0"/>
          <w:sz w:val="32"/>
          <w:szCs w:val="32"/>
          <w:lang w:bidi="ar-SA"/>
        </w:rPr>
        <w:t>万元，项目类经费</w:t>
      </w:r>
      <w:r>
        <w:rPr>
          <w:rFonts w:ascii="Times New Roman" w:eastAsia="仿宋_GB2312" w:cs="Times New Roman" w:hAnsi="Times New Roman"/>
          <w:color w:val="auto"/>
          <w:kern w:val="0"/>
          <w:sz w:val="32"/>
          <w:szCs w:val="32"/>
          <w:lang w:val="en-US" w:eastAsia="zh-CN" w:bidi="ar-SA"/>
        </w:rPr>
        <w:t>363.37</w:t>
      </w:r>
      <w:r>
        <w:rPr>
          <w:rFonts w:ascii="Times New Roman" w:eastAsia="仿宋_GB2312" w:cs="Times New Roman" w:hAnsi="Times New Roman"/>
          <w:color w:val="auto"/>
          <w:kern w:val="0"/>
          <w:sz w:val="32"/>
          <w:szCs w:val="32"/>
          <w:lang w:bidi="ar-SA"/>
        </w:rPr>
        <w:t>万元， 2024年1-12月预算执行情况如下：</w:t>
      </w:r>
    </w:p>
    <w:p>
      <w:pPr>
        <w:pStyle w:val="40"/>
        <w:keepNext w:val="0"/>
        <w:keepLines w:val="0"/>
        <w:pageBreakBefore w:val="0"/>
        <w:widowControl w:val="0"/>
        <w:suppressLineNumbers w:val="0"/>
        <w:suppressAutoHyphens w:val="0"/>
        <w:kinsoku/>
        <w:wordWrap/>
        <w:overflowPunct/>
        <w:topLinePunct w:val="0"/>
        <w:autoSpaceDE/>
        <w:autoSpaceDN/>
        <w:bidi w:val="0"/>
        <w:adjustRightInd w:val="0"/>
        <w:snapToGrid w:val="0"/>
        <w:spacing w:line="500" w:lineRule="exact"/>
        <w:ind w:firstLineChars="196" w:firstLine="627"/>
        <w:textAlignment w:val="auto"/>
        <w:rPr>
          <w:rFonts w:ascii="Times New Roman" w:eastAsia="仿宋_GB2312" w:cs="Times New Roman" w:hAnsi="Times New Roman"/>
          <w:color w:val="auto"/>
          <w:kern w:val="2"/>
          <w:sz w:val="32"/>
          <w:szCs w:val="32"/>
          <w:lang w:bidi="ar-SA"/>
        </w:rPr>
      </w:pPr>
      <w:r>
        <w:rPr>
          <w:rFonts w:ascii="Times New Roman" w:eastAsia="楷体_GB2312" w:cs="Times New Roman" w:hAnsi="Times New Roman"/>
          <w:b/>
          <w:color w:val="auto"/>
          <w:kern w:val="2"/>
          <w:sz w:val="32"/>
          <w:szCs w:val="32"/>
          <w:lang w:bidi="ar-SA"/>
        </w:rPr>
        <w:t>（一）</w:t>
      </w:r>
      <w:r>
        <w:rPr>
          <w:rFonts w:ascii="Times New Roman" w:eastAsia="楷体" w:cs="Times New Roman" w:hAnsi="Times New Roman"/>
          <w:b/>
          <w:color w:val="auto"/>
          <w:kern w:val="2"/>
          <w:sz w:val="32"/>
          <w:szCs w:val="32"/>
          <w:lang w:bidi="ar-SA"/>
        </w:rPr>
        <w:t>人员经费。</w:t>
      </w:r>
      <w:r>
        <w:rPr>
          <w:rFonts w:ascii="Times New Roman" w:eastAsia="仿宋_GB2312" w:cs="Times New Roman" w:hAnsi="Times New Roman"/>
          <w:color w:val="auto"/>
          <w:kern w:val="2"/>
          <w:sz w:val="32"/>
          <w:szCs w:val="32"/>
          <w:lang w:bidi="ar-SA"/>
        </w:rPr>
        <w:t>202</w:t>
      </w:r>
      <w:r>
        <w:rPr>
          <w:rFonts w:ascii="Times New Roman" w:eastAsia="仿宋_GB2312" w:cs="Times New Roman" w:hAnsi="Times New Roman"/>
          <w:color w:val="auto"/>
          <w:kern w:val="2"/>
          <w:sz w:val="32"/>
          <w:szCs w:val="32"/>
          <w:lang w:val="en-US" w:eastAsia="zh-CN" w:bidi="ar-SA"/>
        </w:rPr>
        <w:t>5</w:t>
      </w:r>
      <w:r>
        <w:rPr>
          <w:rFonts w:ascii="Times New Roman" w:eastAsia="仿宋_GB2312" w:cs="Times New Roman" w:hAnsi="Times New Roman"/>
          <w:color w:val="auto"/>
          <w:kern w:val="2"/>
          <w:sz w:val="32"/>
          <w:szCs w:val="32"/>
          <w:lang w:bidi="ar-SA"/>
        </w:rPr>
        <w:t>年，财政局下达分局人员经费调整预算数为</w:t>
      </w:r>
      <w:r>
        <w:rPr>
          <w:rFonts w:ascii="Times New Roman" w:eastAsia="仿宋_GB2312" w:cs="Times New Roman" w:hAnsi="Times New Roman"/>
          <w:color w:val="auto"/>
          <w:kern w:val="2"/>
          <w:sz w:val="32"/>
          <w:szCs w:val="32"/>
          <w:lang w:val="en-US" w:eastAsia="zh-CN" w:bidi="ar-SA"/>
        </w:rPr>
        <w:t>497.27</w:t>
      </w:r>
      <w:r>
        <w:rPr>
          <w:rFonts w:ascii="Times New Roman" w:eastAsia="仿宋_GB2312" w:cs="Times New Roman" w:hAnsi="Times New Roman"/>
          <w:color w:val="auto"/>
          <w:kern w:val="2"/>
          <w:sz w:val="32"/>
          <w:szCs w:val="32"/>
          <w:lang w:bidi="ar-SA"/>
        </w:rPr>
        <w:t>万元，含工资性支出、单位缴费、聘用人员经费等，其中：</w:t>
      </w:r>
    </w:p>
    <w:p>
      <w:pPr>
        <w:keepNext w:val="0"/>
        <w:keepLines w:val="0"/>
        <w:pageBreakBefore w:val="0"/>
        <w:widowControl w:val="0"/>
        <w:kinsoku/>
        <w:wordWrap/>
        <w:overflowPunct/>
        <w:autoSpaceDE/>
        <w:autoSpaceDN/>
        <w:bidi w:val="0"/>
        <w:adjustRightInd w:val="0"/>
        <w:snapToGrid w:val="0"/>
        <w:spacing w:line="500" w:lineRule="exact"/>
        <w:ind w:firstLineChars="200" w:firstLine="640"/>
        <w:textAlignment w:val="auto"/>
        <w:rPr>
          <w:rFonts w:eastAsia="仿宋_GB2312"/>
          <w:snapToGrid/>
          <w:color w:val="auto"/>
          <w:spacing w:val="0"/>
          <w:w w:val="100"/>
          <w:kern w:val="2"/>
          <w:position w:val="0"/>
          <w:sz w:val="32"/>
          <w:szCs w:val="32"/>
          <w:u w:val="none" w:color="auto"/>
          <w:vertAlign w:val="baseline"/>
          <w:em w:val="none"/>
          <w:lang w:val="en-US" w:eastAsia="zh-CN" w:bidi="ar-SA"/>
        </w:rPr>
      </w:pPr>
      <w:r>
        <w:rPr>
          <w:rFonts w:eastAsia="仿宋_GB2312"/>
          <w:snapToGrid/>
          <w:color w:val="auto"/>
          <w:spacing w:val="0"/>
          <w:w w:val="100"/>
          <w:kern w:val="2"/>
          <w:position w:val="0"/>
          <w:sz w:val="32"/>
          <w:szCs w:val="32"/>
          <w:u w:val="none" w:color="auto"/>
          <w:vertAlign w:val="baseline"/>
          <w:em w:val="none"/>
          <w:lang w:val="en-US" w:eastAsia="zh-CN" w:bidi="ar-SA"/>
        </w:rPr>
        <w:t>1.工资性支出。预算数</w:t>
      </w:r>
      <w:r>
        <w:rPr>
          <w:snapToGrid/>
          <w:color w:val="auto"/>
          <w:spacing w:val="0"/>
          <w:w w:val="100"/>
          <w:kern w:val="2"/>
          <w:position w:val="0"/>
          <w:sz w:val="32"/>
          <w:szCs w:val="32"/>
          <w:u w:val="none" w:color="auto"/>
          <w:vertAlign w:val="baseline"/>
          <w:em w:val="none"/>
          <w:lang w:val="en-US" w:eastAsia="zh-CN" w:bidi="ar-SA"/>
        </w:rPr>
        <w:t>227.68</w:t>
      </w:r>
      <w:r>
        <w:rPr>
          <w:rFonts w:eastAsia="仿宋_GB2312"/>
          <w:snapToGrid/>
          <w:color w:val="auto"/>
          <w:spacing w:val="0"/>
          <w:w w:val="100"/>
          <w:kern w:val="2"/>
          <w:position w:val="0"/>
          <w:sz w:val="32"/>
          <w:szCs w:val="32"/>
          <w:u w:val="none" w:color="auto"/>
          <w:vertAlign w:val="baseline"/>
          <w:em w:val="none"/>
          <w:lang w:val="en-US" w:eastAsia="zh-CN" w:bidi="ar-SA"/>
        </w:rPr>
        <w:t>万元，已支付</w:t>
      </w:r>
      <w:r>
        <w:rPr>
          <w:snapToGrid/>
          <w:color w:val="auto"/>
          <w:spacing w:val="0"/>
          <w:w w:val="100"/>
          <w:kern w:val="2"/>
          <w:position w:val="0"/>
          <w:sz w:val="32"/>
          <w:szCs w:val="32"/>
          <w:u w:val="none" w:color="auto"/>
          <w:vertAlign w:val="baseline"/>
          <w:em w:val="none"/>
          <w:lang w:val="en-US" w:eastAsia="zh-CN" w:bidi="ar-SA"/>
        </w:rPr>
        <w:t>246.61</w:t>
      </w:r>
      <w:r>
        <w:rPr>
          <w:rFonts w:eastAsia="仿宋_GB2312"/>
          <w:snapToGrid/>
          <w:color w:val="auto"/>
          <w:spacing w:val="0"/>
          <w:w w:val="100"/>
          <w:kern w:val="2"/>
          <w:position w:val="0"/>
          <w:sz w:val="32"/>
          <w:szCs w:val="32"/>
          <w:u w:val="none" w:color="auto"/>
          <w:vertAlign w:val="baseline"/>
          <w:em w:val="none"/>
          <w:lang w:val="en-US" w:eastAsia="zh-CN" w:bidi="ar-SA"/>
        </w:rPr>
        <w:t>万元，支付进度为100%。</w:t>
      </w:r>
    </w:p>
    <w:p>
      <w:pPr>
        <w:pStyle w:val="41"/>
        <w:keepNext w:val="0"/>
        <w:keepLines w:val="0"/>
        <w:pageBreakBefore w:val="0"/>
        <w:widowControl w:val="0"/>
        <w:kinsoku/>
        <w:wordWrap/>
        <w:overflowPunct/>
        <w:autoSpaceDE/>
        <w:autoSpaceDN/>
        <w:bidi w:val="0"/>
        <w:spacing w:line="500" w:lineRule="exact"/>
        <w:textAlignment w:val="auto"/>
        <w:rPr>
          <w:rFonts w:eastAsia="仿宋_GB2312"/>
          <w:snapToGrid/>
          <w:color w:val="auto"/>
          <w:spacing w:val="0"/>
          <w:w w:val="100"/>
          <w:kern w:val="2"/>
          <w:position w:val="0"/>
          <w:sz w:val="32"/>
          <w:szCs w:val="32"/>
          <w:u w:val="none" w:color="auto"/>
          <w:vertAlign w:val="baseline"/>
          <w:lang w:val="en-US" w:eastAsia="zh-CN" w:bidi="ar-SA"/>
        </w:rPr>
      </w:pPr>
      <w:r>
        <w:rPr>
          <w:rFonts w:eastAsia="仿宋_GB2312"/>
          <w:snapToGrid/>
          <w:color w:val="auto"/>
          <w:spacing w:val="0"/>
          <w:w w:val="100"/>
          <w:kern w:val="2"/>
          <w:position w:val="0"/>
          <w:sz w:val="32"/>
          <w:szCs w:val="32"/>
          <w:u w:val="none" w:color="auto"/>
          <w:vertAlign w:val="baseline"/>
          <w:lang w:val="en-US" w:eastAsia="zh-CN" w:bidi="ar-SA"/>
        </w:rPr>
        <w:t>2.目标绩效奖（按月随工资发放70%部分）支出。预算数92.34万元，已支付86.34万元，支付进度为100%。</w:t>
      </w:r>
    </w:p>
    <w:p>
      <w:pPr>
        <w:pStyle w:val="41"/>
        <w:keepNext w:val="0"/>
        <w:keepLines w:val="0"/>
        <w:pageBreakBefore w:val="0"/>
        <w:widowControl w:val="0"/>
        <w:kinsoku/>
        <w:wordWrap/>
        <w:overflowPunct/>
        <w:autoSpaceDE/>
        <w:autoSpaceDN/>
        <w:bidi w:val="0"/>
        <w:spacing w:line="500" w:lineRule="exact"/>
        <w:textAlignment w:val="auto"/>
        <w:rPr>
          <w:rFonts w:eastAsia="仿宋_GB2312"/>
          <w:snapToGrid/>
          <w:color w:val="auto"/>
          <w:spacing w:val="0"/>
          <w:w w:val="100"/>
          <w:kern w:val="2"/>
          <w:position w:val="0"/>
          <w:sz w:val="32"/>
          <w:szCs w:val="32"/>
          <w:u w:val="none" w:color="auto"/>
          <w:vertAlign w:val="baseline"/>
          <w:lang w:val="en-US" w:eastAsia="zh-CN" w:bidi="ar-SA"/>
        </w:rPr>
      </w:pPr>
      <w:r>
        <w:rPr>
          <w:rFonts w:eastAsia="仿宋_GB2312"/>
          <w:snapToGrid/>
          <w:color w:val="auto"/>
          <w:spacing w:val="0"/>
          <w:w w:val="100"/>
          <w:kern w:val="2"/>
          <w:position w:val="0"/>
          <w:sz w:val="32"/>
          <w:szCs w:val="32"/>
          <w:u w:val="none" w:color="auto"/>
          <w:vertAlign w:val="baseline"/>
          <w:lang w:val="en-US" w:eastAsia="zh-CN" w:bidi="ar-SA"/>
        </w:rPr>
        <w:t>3.退休人员经费支出。预算数6.1万元，已支付5.3万元，支付进度为100%。</w:t>
      </w:r>
    </w:p>
    <w:p>
      <w:pPr>
        <w:pStyle w:val="41"/>
        <w:keepNext w:val="0"/>
        <w:keepLines w:val="0"/>
        <w:pageBreakBefore w:val="0"/>
        <w:widowControl w:val="0"/>
        <w:kinsoku/>
        <w:wordWrap/>
        <w:overflowPunct/>
        <w:autoSpaceDE/>
        <w:autoSpaceDN/>
        <w:bidi w:val="0"/>
        <w:spacing w:line="500" w:lineRule="exact"/>
        <w:textAlignment w:val="auto"/>
        <w:rPr>
          <w:rFonts w:eastAsia="仿宋_GB2312"/>
          <w:snapToGrid/>
          <w:color w:val="auto"/>
          <w:spacing w:val="0"/>
          <w:w w:val="100"/>
          <w:kern w:val="2"/>
          <w:position w:val="0"/>
          <w:sz w:val="32"/>
          <w:szCs w:val="32"/>
          <w:u w:val="none" w:color="auto"/>
          <w:vertAlign w:val="baseline"/>
          <w:lang w:val="en-US" w:eastAsia="zh-CN" w:bidi="ar-SA"/>
        </w:rPr>
      </w:pPr>
      <w:r>
        <w:rPr>
          <w:rFonts w:eastAsia="仿宋_GB2312"/>
          <w:snapToGrid/>
          <w:color w:val="auto"/>
          <w:spacing w:val="0"/>
          <w:w w:val="100"/>
          <w:kern w:val="2"/>
          <w:position w:val="0"/>
          <w:sz w:val="32"/>
          <w:szCs w:val="32"/>
          <w:u w:val="none" w:color="auto"/>
          <w:vertAlign w:val="baseline"/>
          <w:lang w:val="en-US" w:eastAsia="zh-CN" w:bidi="ar-SA"/>
        </w:rPr>
        <w:t>4.单位缴费支出。预算数159.15万元，已支付127.49万元，支付进度为100%。</w:t>
      </w:r>
    </w:p>
    <w:p>
      <w:pPr>
        <w:keepNext w:val="0"/>
        <w:keepLines w:val="0"/>
        <w:pageBreakBefore w:val="0"/>
        <w:widowControl w:val="0"/>
        <w:kinsoku/>
        <w:wordWrap/>
        <w:overflowPunct/>
        <w:autoSpaceDE/>
        <w:autoSpaceDN/>
        <w:bidi w:val="0"/>
        <w:adjustRightInd w:val="0"/>
        <w:snapToGrid w:val="0"/>
        <w:spacing w:line="500" w:lineRule="exact"/>
        <w:ind w:firstLineChars="200" w:firstLine="640"/>
        <w:textAlignment w:val="auto"/>
        <w:rPr>
          <w:rFonts w:eastAsia="仿宋_GB2312"/>
          <w:snapToGrid/>
          <w:color w:val="auto"/>
          <w:spacing w:val="0"/>
          <w:w w:val="100"/>
          <w:kern w:val="2"/>
          <w:position w:val="0"/>
          <w:sz w:val="32"/>
          <w:szCs w:val="32"/>
          <w:u w:val="none" w:color="auto"/>
          <w:vertAlign w:val="baseline"/>
          <w:em w:val="none"/>
          <w:lang w:val="en-US" w:eastAsia="zh-CN" w:bidi="ar-SA"/>
        </w:rPr>
      </w:pPr>
      <w:r>
        <w:rPr>
          <w:rFonts w:eastAsia="仿宋_GB2312"/>
          <w:snapToGrid/>
          <w:color w:val="auto"/>
          <w:spacing w:val="0"/>
          <w:w w:val="100"/>
          <w:kern w:val="2"/>
          <w:position w:val="0"/>
          <w:sz w:val="32"/>
          <w:szCs w:val="32"/>
          <w:u w:val="none" w:color="auto"/>
          <w:vertAlign w:val="baseline"/>
          <w:lang w:val="en-US" w:eastAsia="zh-CN" w:bidi="ar-SA"/>
        </w:rPr>
        <w:t>5.聘用人员经费。预算数12万元，已支付7.75万元，支付</w:t>
      </w:r>
      <w:r>
        <w:rPr>
          <w:rFonts w:eastAsia="仿宋_GB2312"/>
          <w:snapToGrid/>
          <w:color w:val="auto"/>
          <w:spacing w:val="0"/>
          <w:w w:val="100"/>
          <w:kern w:val="2"/>
          <w:position w:val="0"/>
          <w:sz w:val="32"/>
          <w:szCs w:val="32"/>
          <w:u w:val="none" w:color="auto"/>
          <w:vertAlign w:val="baseline"/>
          <w:em w:val="none"/>
          <w:lang w:val="en-US" w:eastAsia="zh-CN" w:bidi="ar-SA"/>
        </w:rPr>
        <w:t>进度为100%。</w:t>
      </w:r>
    </w:p>
    <w:p>
      <w:pPr>
        <w:keepNext w:val="0"/>
        <w:keepLines w:val="0"/>
        <w:pageBreakBefore w:val="0"/>
        <w:widowControl w:val="0"/>
        <w:kinsoku/>
        <w:wordWrap/>
        <w:overflowPunct/>
        <w:autoSpaceDE/>
        <w:autoSpaceDN/>
        <w:bidi w:val="0"/>
        <w:adjustRightInd w:val="0"/>
        <w:snapToGrid w:val="0"/>
        <w:spacing w:line="500" w:lineRule="exact"/>
        <w:ind w:firstLineChars="200" w:firstLine="640"/>
        <w:textAlignment w:val="auto"/>
        <w:rPr>
          <w:rFonts w:eastAsia="仿宋_GB2312"/>
          <w:kern w:val="2"/>
          <w:sz w:val="32"/>
          <w:szCs w:val="32"/>
          <w:lang w:bidi="ar-SA"/>
        </w:rPr>
      </w:pPr>
      <w:r>
        <w:rPr>
          <w:rFonts w:eastAsia="楷体_GB2312"/>
          <w:b/>
          <w:kern w:val="2"/>
          <w:sz w:val="32"/>
          <w:szCs w:val="32"/>
        </w:rPr>
        <w:t>（二）公用经费。</w:t>
      </w:r>
      <w:r>
        <w:rPr>
          <w:rFonts w:eastAsia="仿宋_GB2312"/>
          <w:kern w:val="2"/>
          <w:sz w:val="32"/>
          <w:szCs w:val="32"/>
          <w:lang w:bidi="ar-SA"/>
        </w:rPr>
        <w:t>202</w:t>
      </w:r>
      <w:r>
        <w:rPr>
          <w:kern w:val="2"/>
          <w:sz w:val="32"/>
          <w:szCs w:val="32"/>
          <w:lang w:val="en-US" w:eastAsia="zh-CN" w:bidi="ar-SA"/>
        </w:rPr>
        <w:t>5</w:t>
      </w:r>
      <w:r>
        <w:rPr>
          <w:rFonts w:eastAsia="仿宋_GB2312"/>
          <w:kern w:val="2"/>
          <w:sz w:val="32"/>
          <w:szCs w:val="32"/>
          <w:lang w:bidi="ar-SA"/>
        </w:rPr>
        <w:t>年州财政局下达分局公用经费预算数为</w:t>
      </w:r>
      <w:r>
        <w:rPr>
          <w:kern w:val="2"/>
          <w:sz w:val="32"/>
          <w:szCs w:val="32"/>
          <w:lang w:val="en-US" w:eastAsia="zh-CN" w:bidi="ar-SA"/>
        </w:rPr>
        <w:t>71.22</w:t>
      </w:r>
      <w:r>
        <w:rPr>
          <w:rFonts w:eastAsia="仿宋_GB2312"/>
          <w:kern w:val="2"/>
          <w:sz w:val="32"/>
          <w:szCs w:val="32"/>
          <w:lang w:bidi="ar-SA"/>
        </w:rPr>
        <w:t>万元，已支付</w:t>
      </w:r>
      <w:r>
        <w:rPr>
          <w:kern w:val="2"/>
          <w:sz w:val="32"/>
          <w:szCs w:val="32"/>
          <w:lang w:val="en-US" w:eastAsia="zh-CN" w:bidi="ar-SA"/>
        </w:rPr>
        <w:t>25.64</w:t>
      </w:r>
      <w:r>
        <w:rPr>
          <w:rFonts w:eastAsia="仿宋_GB2312"/>
          <w:kern w:val="2"/>
          <w:sz w:val="32"/>
          <w:szCs w:val="32"/>
          <w:lang w:bidi="ar-SA"/>
        </w:rPr>
        <w:t>万元，支付进度为</w:t>
      </w:r>
      <w:r>
        <w:rPr>
          <w:kern w:val="2"/>
          <w:sz w:val="32"/>
          <w:szCs w:val="32"/>
          <w:lang w:val="en-US" w:eastAsia="zh-CN" w:bidi="ar-SA"/>
        </w:rPr>
        <w:t>36</w:t>
      </w:r>
      <w:r>
        <w:rPr>
          <w:rFonts w:eastAsia="仿宋_GB2312"/>
          <w:kern w:val="2"/>
          <w:sz w:val="32"/>
          <w:szCs w:val="32"/>
          <w:lang w:bidi="ar-SA"/>
        </w:rPr>
        <w:t>%。</w:t>
      </w:r>
    </w:p>
    <w:p>
      <w:pPr>
        <w:keepNext w:val="0"/>
        <w:keepLines w:val="0"/>
        <w:pageBreakBefore w:val="0"/>
        <w:widowControl w:val="0"/>
        <w:kinsoku/>
        <w:wordWrap/>
        <w:overflowPunct/>
        <w:autoSpaceDE/>
        <w:autoSpaceDN/>
        <w:bidi w:val="0"/>
        <w:adjustRightInd w:val="0"/>
        <w:snapToGrid w:val="0"/>
        <w:spacing w:line="500" w:lineRule="exact"/>
        <w:ind w:firstLineChars="196" w:firstLine="627"/>
        <w:textAlignment w:val="auto"/>
        <w:rPr>
          <w:rFonts w:eastAsia="仿宋_GB2312"/>
          <w:kern w:val="2"/>
          <w:sz w:val="32"/>
          <w:szCs w:val="32"/>
          <w:lang w:bidi="ar-SA"/>
        </w:rPr>
      </w:pPr>
      <w:r>
        <w:rPr>
          <w:rFonts w:eastAsia="楷体_GB2312"/>
          <w:b/>
          <w:kern w:val="2"/>
          <w:sz w:val="32"/>
          <w:szCs w:val="32"/>
        </w:rPr>
        <w:t>（三）项目类经费</w:t>
      </w:r>
      <w:r>
        <w:rPr>
          <w:rFonts w:eastAsia="仿宋_GB2312"/>
          <w:b/>
          <w:kern w:val="2"/>
          <w:sz w:val="32"/>
          <w:szCs w:val="32"/>
          <w:lang w:bidi="ar-SA"/>
        </w:rPr>
        <w:t>。</w:t>
      </w:r>
      <w:r>
        <w:rPr>
          <w:rFonts w:eastAsia="仿宋_GB2312"/>
          <w:kern w:val="2"/>
          <w:sz w:val="32"/>
          <w:szCs w:val="32"/>
          <w:lang w:bidi="ar-SA"/>
        </w:rPr>
        <w:t>202</w:t>
      </w:r>
      <w:r>
        <w:rPr>
          <w:kern w:val="2"/>
          <w:sz w:val="32"/>
          <w:szCs w:val="32"/>
          <w:lang w:val="en-US" w:eastAsia="zh-CN" w:bidi="ar-SA"/>
        </w:rPr>
        <w:t>5</w:t>
      </w:r>
      <w:r>
        <w:rPr>
          <w:rFonts w:eastAsia="仿宋_GB2312"/>
          <w:kern w:val="2"/>
          <w:sz w:val="32"/>
          <w:szCs w:val="32"/>
          <w:lang w:bidi="ar-SA"/>
        </w:rPr>
        <w:t>年，年初财政局下达我局的项目经费为</w:t>
      </w:r>
      <w:r>
        <w:rPr>
          <w:kern w:val="2"/>
          <w:sz w:val="32"/>
          <w:szCs w:val="32"/>
          <w:lang w:val="en-US" w:eastAsia="zh-CN" w:bidi="ar-SA"/>
        </w:rPr>
        <w:t>100</w:t>
      </w:r>
      <w:r>
        <w:rPr>
          <w:rFonts w:eastAsia="仿宋_GB2312"/>
          <w:kern w:val="2"/>
          <w:sz w:val="32"/>
          <w:szCs w:val="32"/>
          <w:lang w:bidi="ar-SA"/>
        </w:rPr>
        <w:t>万元。</w:t>
      </w:r>
    </w:p>
    <w:p>
      <w:pPr>
        <w:keepNext w:val="0"/>
        <w:keepLines w:val="0"/>
        <w:pageBreakBefore w:val="0"/>
        <w:widowControl w:val="0"/>
        <w:kinsoku/>
        <w:wordWrap/>
        <w:overflowPunct/>
        <w:autoSpaceDE/>
        <w:autoSpaceDN/>
        <w:bidi w:val="0"/>
        <w:spacing w:line="500" w:lineRule="exact"/>
        <w:ind w:firstLineChars="200" w:firstLine="640"/>
        <w:textAlignment w:val="auto"/>
        <w:rPr>
          <w:rFonts w:eastAsia="仿宋_GB2312"/>
          <w:kern w:val="2"/>
          <w:sz w:val="32"/>
          <w:szCs w:val="32"/>
        </w:rPr>
      </w:pPr>
      <w:r>
        <w:rPr>
          <w:rFonts w:eastAsia="仿宋_GB2312"/>
          <w:kern w:val="2"/>
          <w:sz w:val="32"/>
          <w:szCs w:val="32"/>
        </w:rPr>
        <w:t>项目支出中基本建设类项目支出为0.00万元，支出要按照基本支出和项目支出分析具体构成及特点：</w:t>
      </w:r>
      <w:r>
        <w:rPr>
          <w:rStyle w:val="42"/>
          <w:rFonts w:eastAsia="仿宋_GB2312"/>
          <w:sz w:val="32"/>
          <w:szCs w:val="32"/>
        </w:rPr>
        <w:t>本单位无建设类项目支出。</w:t>
      </w:r>
      <w:r>
        <w:rPr>
          <w:rFonts w:eastAsia="仿宋_GB2312"/>
          <w:kern w:val="2"/>
          <w:sz w:val="32"/>
          <w:szCs w:val="32"/>
        </w:rPr>
        <w:t>项目支出中非基本建设类项目支出为</w:t>
      </w:r>
      <w:r>
        <w:rPr>
          <w:kern w:val="2"/>
          <w:sz w:val="32"/>
          <w:szCs w:val="32"/>
          <w:lang w:val="en-US" w:eastAsia="zh-CN"/>
        </w:rPr>
        <w:t>363.37</w:t>
      </w:r>
      <w:r>
        <w:rPr>
          <w:rFonts w:eastAsia="仿宋_GB2312"/>
          <w:kern w:val="2"/>
          <w:sz w:val="32"/>
          <w:szCs w:val="32"/>
        </w:rPr>
        <w:t>万元，主要包括：</w:t>
      </w:r>
      <w:r>
        <w:rPr>
          <w:rFonts w:eastAsia="仿宋_GB2312"/>
          <w:snapToGrid/>
          <w:color w:val="auto"/>
          <w:spacing w:val="0"/>
          <w:w w:val="100"/>
          <w:kern w:val="2"/>
          <w:position w:val="0"/>
          <w:sz w:val="32"/>
          <w:szCs w:val="24"/>
          <w:u w:val="none"/>
          <w:vertAlign w:val="baseline"/>
          <w:lang w:val="en-US" w:eastAsia="zh-CN" w:bidi="ar-SA"/>
        </w:rPr>
        <w:t>办公费、电费、劳务费、专用材料费、委托业务费、差旅费、其他交通费</w:t>
      </w:r>
      <w:r>
        <w:rPr>
          <w:rFonts w:eastAsia="仿宋_GB2312"/>
          <w:kern w:val="2"/>
          <w:sz w:val="32"/>
          <w:szCs w:val="32"/>
        </w:rPr>
        <w:t>等。</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b/>
          <w:bCs/>
          <w:color w:val="auto"/>
          <w:kern w:val="2"/>
          <w:sz w:val="32"/>
          <w:szCs w:val="32"/>
          <w:lang w:bidi="ar-SA"/>
        </w:rPr>
        <w:t>财务管理。</w:t>
      </w:r>
      <w:r>
        <w:rPr>
          <w:rFonts w:eastAsia="仿宋_GB2312"/>
          <w:color w:val="auto"/>
          <w:kern w:val="2"/>
          <w:sz w:val="32"/>
          <w:szCs w:val="32"/>
          <w:lang w:bidi="ar-SA"/>
        </w:rPr>
        <w:t>我单位严格执行《政府会计制度》和相关的法律法规，制定了单位各项支出项目的内控制度、岗位职责；财务岗位设置为会计1名、兼职出纳1名、财务机构负责人由办公室主任兼任，严格执行不相容岗位相分离制度。资金使用方面不存在超预算或无预算安排、虚列支出、超范围超标准使用经费、违规使用“三公”经费、滥发津补贴、报销不合规等情况，资金支付严格审批流程。</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b/>
          <w:bCs/>
          <w:color w:val="auto"/>
          <w:kern w:val="2"/>
          <w:sz w:val="32"/>
          <w:szCs w:val="32"/>
          <w:lang w:bidi="ar-SA"/>
        </w:rPr>
        <w:t>资产管理。</w:t>
      </w:r>
      <w:r>
        <w:rPr>
          <w:rFonts w:eastAsia="仿宋_GB2312"/>
          <w:kern w:val="2"/>
          <w:sz w:val="32"/>
          <w:szCs w:val="32"/>
        </w:rPr>
        <w:t>根据《行政单位国有资产管理暂行办法》（财政部令第35号）、《事业单位国有资产管理暂行办法》（财政部令第36号）和《行政事业单位国有资产报告制度》等有关规定对单位资产进行配置、使用等管理。</w:t>
      </w:r>
      <w:r>
        <w:rPr>
          <w:rFonts w:eastAsia="仿宋_GB2312"/>
          <w:color w:val="auto"/>
          <w:kern w:val="2"/>
          <w:sz w:val="32"/>
          <w:szCs w:val="32"/>
          <w:lang w:bidi="ar-SA"/>
        </w:rPr>
        <w:t>我单位于2020年9月新成立，无办公用房，办公用房为租用马林局招待所，无经营性收入，目前我局主要的固定资产为2辆公务用车和必需的办公设备，无形资产为财务软件和办公软件。固定资产、无形资产都按规定入了资产系统，固定资产计提了折旧费用，无形资产进行了费用摊销。资产系统和核算系统做到了账账相符、账表相符、账实相符。</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val="en-US" w:eastAsia="zh-CN" w:bidi="ar-SA"/>
        </w:rPr>
      </w:pPr>
      <w:r>
        <w:rPr>
          <w:rFonts w:eastAsia="仿宋_GB2312"/>
          <w:color w:val="auto"/>
          <w:kern w:val="2"/>
          <w:sz w:val="32"/>
          <w:szCs w:val="32"/>
          <w:lang w:bidi="ar-SA"/>
        </w:rPr>
        <w:t>人均资产变化率：</w:t>
      </w:r>
      <w:r>
        <w:rPr>
          <w:color w:val="auto"/>
          <w:kern w:val="2"/>
          <w:sz w:val="32"/>
          <w:szCs w:val="32"/>
          <w:lang w:val="en-US" w:eastAsia="zh-CN" w:bidi="ar-SA"/>
        </w:rPr>
        <w:t>62.94</w:t>
      </w:r>
      <w:r>
        <w:rPr>
          <w:rFonts w:eastAsia="仿宋_GB2312"/>
          <w:color w:val="auto"/>
          <w:kern w:val="2"/>
          <w:sz w:val="32"/>
          <w:szCs w:val="32"/>
          <w:lang w:bidi="ar-SA"/>
        </w:rPr>
        <w:t>%、资产利用率：100%</w:t>
      </w:r>
      <w:r>
        <w:rPr>
          <w:color w:val="auto"/>
          <w:kern w:val="2"/>
          <w:sz w:val="32"/>
          <w:szCs w:val="32"/>
          <w:lang w:val="en-US" w:eastAsia="zh-CN" w:bidi="ar-SA"/>
        </w:rPr>
        <w:t>.</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color w:val="auto"/>
          <w:kern w:val="2"/>
          <w:sz w:val="32"/>
          <w:szCs w:val="32"/>
          <w:lang w:bidi="ar-SA"/>
        </w:rPr>
        <w:t>资产盘活率：单位无闲置资产，故不存在资产盘活率。</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kern w:val="2"/>
          <w:sz w:val="32"/>
          <w:szCs w:val="32"/>
          <w:lang w:bidi="ar-SA"/>
        </w:rPr>
      </w:pPr>
      <w:r>
        <w:rPr>
          <w:rFonts w:eastAsia="仿宋_GB2312"/>
          <w:b/>
          <w:bCs/>
          <w:color w:val="auto"/>
          <w:kern w:val="2"/>
          <w:sz w:val="32"/>
          <w:szCs w:val="32"/>
          <w:lang w:bidi="ar-SA"/>
        </w:rPr>
        <w:t>采购管理</w:t>
      </w:r>
      <w:r>
        <w:rPr>
          <w:rFonts w:eastAsia="仿宋_GB2312"/>
          <w:color w:val="auto"/>
          <w:kern w:val="2"/>
          <w:sz w:val="32"/>
          <w:szCs w:val="32"/>
          <w:lang w:bidi="ar-SA"/>
        </w:rPr>
        <w:t>。</w:t>
      </w:r>
      <w:r>
        <w:rPr>
          <w:rFonts w:eastAsia="仿宋_GB2312"/>
          <w:kern w:val="2"/>
          <w:sz w:val="32"/>
          <w:szCs w:val="32"/>
          <w:lang w:bidi="ar-SA"/>
        </w:rPr>
        <w:t>我单位严格按照法定采购方式和流程实施政府采购，保证了政府采购信息的真实性和合法性，不存在无预算采购和超预算采购的情况。</w:t>
      </w:r>
    </w:p>
    <w:p>
      <w:pPr>
        <w:keepNext w:val="0"/>
        <w:keepLines w:val="0"/>
        <w:pageBreakBefore w:val="0"/>
        <w:widowControl w:val="0"/>
        <w:suppressLineNumbers w:val="0"/>
        <w:suppressAutoHyphens w:val="0"/>
        <w:kinsoku/>
        <w:wordWrap/>
        <w:overflowPunct/>
        <w:topLinePunct w:val="0"/>
        <w:autoSpaceDE/>
        <w:autoSpaceDN/>
        <w:bidi w:val="0"/>
        <w:spacing w:line="500" w:lineRule="exact"/>
        <w:ind w:left="0" w:firstLineChars="200" w:firstLine="640"/>
        <w:textAlignment w:val="auto"/>
        <w:rPr>
          <w:rFonts w:eastAsia="仿宋_GB2312"/>
          <w:color w:val="auto"/>
          <w:kern w:val="2"/>
          <w:sz w:val="32"/>
          <w:szCs w:val="32"/>
          <w:lang w:bidi="ar-SA"/>
        </w:rPr>
      </w:pPr>
      <w:r>
        <w:rPr>
          <w:rFonts w:eastAsia="楷体_GB2312"/>
          <w:b/>
          <w:bCs/>
          <w:color w:val="000000"/>
          <w:kern w:val="0"/>
          <w:sz w:val="32"/>
          <w:szCs w:val="32"/>
          <w:shd w:val="clear" w:color="auto" w:fill="FFFFFF"/>
          <w:lang w:val="zh-CN"/>
          <w:highlight w:val="auto"/>
        </w:rPr>
        <w:t>（二）部门预算项目绩效分析。</w:t>
      </w:r>
      <w:r>
        <w:rPr>
          <w:rFonts w:eastAsia="仿宋_GB2312"/>
          <w:color w:val="auto"/>
          <w:kern w:val="2"/>
          <w:sz w:val="32"/>
          <w:szCs w:val="32"/>
          <w:lang w:bidi="ar-SA"/>
        </w:rPr>
        <w:t>常年项目绩效分析。该类项目总数</w:t>
      </w:r>
      <w:r>
        <w:rPr>
          <w:color w:val="auto"/>
          <w:kern w:val="2"/>
          <w:sz w:val="32"/>
          <w:szCs w:val="32"/>
          <w:lang w:val="en-US" w:eastAsia="zh-CN" w:bidi="ar-SA"/>
        </w:rPr>
        <w:t>4</w:t>
      </w:r>
      <w:r>
        <w:rPr>
          <w:rFonts w:eastAsia="仿宋_GB2312"/>
          <w:color w:val="auto"/>
          <w:kern w:val="2"/>
          <w:sz w:val="32"/>
          <w:szCs w:val="32"/>
          <w:lang w:bidi="ar-SA"/>
        </w:rPr>
        <w:t>个，分别为：</w:t>
      </w:r>
      <w:r>
        <w:rPr>
          <w:rFonts w:eastAsia="仿宋_GB2312"/>
          <w:bCs/>
          <w:kern w:val="2"/>
          <w:sz w:val="32"/>
          <w:szCs w:val="32"/>
          <w:lang w:bidi="ar-SA"/>
        </w:rPr>
        <w:t>大熊猫国家公园体制改革工作经费</w:t>
      </w:r>
      <w:r>
        <w:rPr>
          <w:rFonts w:eastAsia="仿宋_GB2312"/>
          <w:bCs/>
          <w:color w:val="auto"/>
          <w:kern w:val="2"/>
          <w:sz w:val="32"/>
          <w:szCs w:val="32"/>
          <w:lang w:bidi="ar-SA"/>
        </w:rPr>
        <w:t>、</w:t>
      </w:r>
      <w:r>
        <w:rPr>
          <w:rFonts w:eastAsia="仿宋_GB2312"/>
          <w:bCs/>
          <w:kern w:val="2"/>
          <w:sz w:val="32"/>
          <w:szCs w:val="32"/>
          <w:lang w:bidi="ar-SA"/>
        </w:rPr>
        <w:t>宣传教育、大</w:t>
      </w:r>
      <w:r>
        <w:rPr>
          <w:rFonts w:eastAsia="仿宋_GB2312"/>
          <w:color w:val="auto"/>
          <w:kern w:val="2"/>
          <w:sz w:val="32"/>
          <w:szCs w:val="32"/>
          <w:lang w:bidi="ar-SA"/>
        </w:rPr>
        <w:t>熊猫国家公园保护保障工作经费、办公用房租赁费涉及预算总金额</w:t>
      </w:r>
      <w:r>
        <w:rPr>
          <w:color w:val="auto"/>
          <w:kern w:val="2"/>
          <w:sz w:val="32"/>
          <w:szCs w:val="32"/>
          <w:lang w:val="en-US" w:eastAsia="zh-CN" w:bidi="ar-SA"/>
        </w:rPr>
        <w:t>100</w:t>
      </w:r>
      <w:r>
        <w:rPr>
          <w:rFonts w:eastAsia="仿宋_GB2312"/>
          <w:color w:val="auto"/>
          <w:kern w:val="2"/>
          <w:sz w:val="32"/>
          <w:szCs w:val="32"/>
          <w:lang w:bidi="ar-SA"/>
        </w:rPr>
        <w:t>万元，实际预算资金为</w:t>
      </w:r>
      <w:r>
        <w:rPr>
          <w:color w:val="auto"/>
          <w:kern w:val="2"/>
          <w:sz w:val="32"/>
          <w:szCs w:val="32"/>
          <w:lang w:val="en-US" w:eastAsia="zh-CN" w:bidi="ar-SA"/>
        </w:rPr>
        <w:t>50.01</w:t>
      </w:r>
      <w:r>
        <w:rPr>
          <w:rFonts w:eastAsia="仿宋_GB2312"/>
          <w:color w:val="auto"/>
          <w:kern w:val="2"/>
          <w:sz w:val="32"/>
          <w:szCs w:val="32"/>
          <w:lang w:bidi="ar-SA"/>
        </w:rPr>
        <w:t>万元，</w:t>
      </w:r>
      <w:r>
        <w:rPr>
          <w:rFonts w:eastAsia="仿宋_GB2312"/>
          <w:kern w:val="2"/>
          <w:sz w:val="32"/>
          <w:szCs w:val="32"/>
        </w:rPr>
        <w:t>主要用于办公费、电费、劳务费、租赁费、专用材料费、委托业务费、差旅费、其他交通费等，</w:t>
      </w:r>
      <w:r>
        <w:rPr>
          <w:rFonts w:eastAsia="仿宋_GB2312"/>
          <w:color w:val="auto"/>
          <w:kern w:val="2"/>
          <w:sz w:val="32"/>
          <w:szCs w:val="32"/>
          <w:lang w:bidi="ar-SA"/>
        </w:rPr>
        <w:t>其中：预算结余率大于10%的项目共计1个。因体制改革原因部分项目经费未列支完，但各项目都达到年初设定的绩效目标。</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color w:val="auto"/>
          <w:kern w:val="2"/>
          <w:sz w:val="32"/>
          <w:szCs w:val="32"/>
          <w:lang w:bidi="ar-SA"/>
        </w:rPr>
        <w:t>阶段（一次性）项目绩效分析。该类项目总数</w:t>
      </w:r>
      <w:r>
        <w:rPr>
          <w:color w:val="auto"/>
          <w:kern w:val="2"/>
          <w:sz w:val="32"/>
          <w:szCs w:val="32"/>
          <w:lang w:val="en-US" w:eastAsia="zh-CN" w:bidi="ar-SA"/>
        </w:rPr>
        <w:t>3</w:t>
      </w:r>
      <w:r>
        <w:rPr>
          <w:rFonts w:eastAsia="仿宋_GB2312"/>
          <w:color w:val="auto"/>
          <w:kern w:val="2"/>
          <w:sz w:val="32"/>
          <w:szCs w:val="32"/>
          <w:lang w:bidi="ar-SA"/>
        </w:rPr>
        <w:t>个，</w:t>
      </w:r>
      <w:r>
        <w:rPr>
          <w:rFonts w:eastAsia="仿宋_GB2312"/>
          <w:color w:val="auto"/>
          <w:kern w:val="2"/>
          <w:sz w:val="32"/>
          <w:szCs w:val="32"/>
          <w:lang w:eastAsia="zh-CN" w:bidi="ar-SA"/>
        </w:rPr>
        <w:t>大熊猫国家公园阿坝管理分局能力提升项目、大熊猫国家</w:t>
      </w:r>
      <w:r>
        <w:rPr>
          <w:bCs/>
          <w:kern w:val="2"/>
          <w:sz w:val="32"/>
          <w:szCs w:val="32"/>
          <w:lang w:eastAsia="zh-CN" w:bidi="ar-SA"/>
        </w:rPr>
        <w:t>公园阿坝片区野生动物专项调查（一期）项目、大熊猫国家公园阿坝片区2025年疫源疫病普查</w:t>
      </w:r>
      <w:r>
        <w:rPr>
          <w:rFonts w:eastAsia="仿宋_GB2312"/>
          <w:color w:val="auto"/>
          <w:kern w:val="2"/>
          <w:sz w:val="32"/>
          <w:szCs w:val="32"/>
          <w:lang w:bidi="ar-SA"/>
        </w:rPr>
        <w:t>项目，涉及预算总金额</w:t>
      </w:r>
      <w:r>
        <w:rPr>
          <w:color w:val="auto"/>
          <w:kern w:val="2"/>
          <w:sz w:val="32"/>
          <w:szCs w:val="32"/>
          <w:lang w:val="en-US" w:eastAsia="zh-CN" w:bidi="ar-SA"/>
        </w:rPr>
        <w:t>809.43</w:t>
      </w:r>
      <w:r>
        <w:rPr>
          <w:rFonts w:eastAsia="仿宋_GB2312"/>
          <w:color w:val="auto"/>
          <w:kern w:val="2"/>
          <w:sz w:val="32"/>
          <w:szCs w:val="32"/>
          <w:lang w:bidi="ar-SA"/>
        </w:rPr>
        <w:t>万元，</w:t>
      </w:r>
      <w:r>
        <w:rPr>
          <w:color w:val="auto"/>
          <w:kern w:val="2"/>
          <w:sz w:val="32"/>
          <w:szCs w:val="32"/>
          <w:lang w:val="en-US" w:eastAsia="zh-CN" w:bidi="ar-SA"/>
        </w:rPr>
        <w:t>2025年度实际支付313.37万元</w:t>
      </w:r>
      <w:r>
        <w:rPr>
          <w:color w:val="auto"/>
          <w:kern w:val="2"/>
          <w:sz w:val="32"/>
          <w:szCs w:val="32"/>
          <w:lang w:eastAsia="zh-CN" w:bidi="ar-SA"/>
        </w:rPr>
        <w:t>，</w:t>
      </w:r>
      <w:r>
        <w:rPr>
          <w:rFonts w:eastAsia="仿宋_GB2312"/>
          <w:color w:val="auto"/>
          <w:kern w:val="2"/>
          <w:sz w:val="32"/>
          <w:szCs w:val="32"/>
          <w:lang w:bidi="ar-SA"/>
        </w:rPr>
        <w:t>1—12月预算执行总体进度为</w:t>
      </w:r>
      <w:r>
        <w:rPr>
          <w:color w:val="auto"/>
          <w:kern w:val="2"/>
          <w:sz w:val="32"/>
          <w:szCs w:val="32"/>
          <w:lang w:val="en-US" w:eastAsia="zh-CN" w:bidi="ar-SA"/>
        </w:rPr>
        <w:t>38.71</w:t>
      </w:r>
      <w:r>
        <w:rPr>
          <w:rFonts w:eastAsia="仿宋_GB2312"/>
          <w:color w:val="auto"/>
          <w:kern w:val="2"/>
          <w:sz w:val="32"/>
          <w:szCs w:val="32"/>
          <w:lang w:bidi="ar-SA"/>
        </w:rPr>
        <w:t>%，其中：预算结余率大于10%的项目共计1个。</w:t>
      </w:r>
    </w:p>
    <w:p>
      <w:pPr>
        <w:keepNext w:val="0"/>
        <w:keepLines w:val="0"/>
        <w:pageBreakBefore w:val="0"/>
        <w:widowControl w:val="0"/>
        <w:tabs>
          <w:tab w:val="left" w:pos="700"/>
        </w:tabs>
        <w:kinsoku/>
        <w:wordWrap/>
        <w:overflowPunct/>
        <w:autoSpaceDE/>
        <w:autoSpaceDN/>
        <w:bidi w:val="0"/>
        <w:adjustRightInd w:val="0"/>
        <w:snapToGrid w:val="0"/>
        <w:spacing w:line="500" w:lineRule="exact"/>
        <w:ind w:firstLineChars="200" w:firstLine="640"/>
        <w:textAlignment w:val="auto"/>
        <w:rPr>
          <w:rFonts w:eastAsia="仿宋_GB2312"/>
          <w:bCs/>
          <w:sz w:val="32"/>
          <w:szCs w:val="32"/>
          <w:lang w:val="en-US" w:eastAsia="zh-CN"/>
        </w:rPr>
      </w:pPr>
      <w:r>
        <w:rPr>
          <w:rFonts w:eastAsia="仿宋_GB2312"/>
          <w:b/>
          <w:kern w:val="2"/>
          <w:sz w:val="32"/>
          <w:szCs w:val="32"/>
          <w:lang w:eastAsia="zh-CN" w:bidi="ar-SA"/>
        </w:rPr>
        <w:t>大熊猫国家公园阿坝管理分局能力提升项目</w:t>
      </w:r>
      <w:r>
        <w:rPr>
          <w:b/>
          <w:kern w:val="2"/>
          <w:sz w:val="32"/>
          <w:szCs w:val="32"/>
          <w:lang w:eastAsia="zh-CN" w:bidi="ar-SA"/>
        </w:rPr>
        <w:t>。</w:t>
      </w:r>
      <w:r>
        <w:rPr>
          <w:rFonts w:eastAsia="仿宋_GB2312"/>
          <w:bCs/>
          <w:sz w:val="32"/>
          <w:szCs w:val="32"/>
          <w:lang w:val="en-US" w:eastAsia="zh-CN"/>
        </w:rPr>
        <w:t>调整后预算数为59.88万元，2025年12月已支付完成。</w:t>
      </w:r>
    </w:p>
    <w:p>
      <w:pPr>
        <w:pStyle w:val="38"/>
        <w:topLinePunct/>
        <w:spacing w:line="560" w:lineRule="exact"/>
        <w:ind w:firstLineChars="200" w:firstLine="640"/>
        <w:rPr>
          <w:rFonts w:ascii="Times New Roman" w:eastAsia="仿宋_GB2312" w:cs="Times New Roman" w:hAnsi="Times New Roman"/>
          <w:kern w:val="2"/>
          <w:sz w:val="32"/>
          <w:szCs w:val="32"/>
          <w:lang w:val="en-US" w:eastAsia="zh-CN" w:bidi="ar-SA"/>
        </w:rPr>
      </w:pPr>
      <w:r>
        <w:rPr>
          <w:rFonts w:ascii="Times New Roman" w:eastAsia="仿宋_GB2312" w:cs="Times New Roman" w:hAnsi="Times New Roman"/>
          <w:b/>
          <w:bCs/>
          <w:color w:val="auto"/>
          <w:kern w:val="2"/>
          <w:sz w:val="32"/>
          <w:szCs w:val="32"/>
          <w:lang w:bidi="ar-SA"/>
        </w:rPr>
        <w:t>1.项目决策。</w:t>
      </w:r>
      <w:r>
        <w:rPr>
          <w:rFonts w:ascii="Times New Roman" w:eastAsia="仿宋_GB2312" w:cs="Times New Roman" w:hAnsi="Times New Roman"/>
          <w:kern w:val="2"/>
          <w:sz w:val="32"/>
          <w:szCs w:val="32"/>
          <w:lang w:val="en-US" w:eastAsia="zh-CN" w:bidi="ar-SA"/>
        </w:rPr>
        <w:t>根据四川省《大熊猫国家公园保护管理能力建设专项规划》要求，管理机构应加强基础设施及人才队伍建设，切实提高大熊猫国家公园监管巡护能力、执法能力、应急救援能力以及防灾减灾能力，促进园区保护管理有序高效运行。大熊猫国家公园阿坝管理分局能力提升项目资金来源于四川省2025年林业草原专项国家公园补助资金。</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00" w:lineRule="exact"/>
        <w:ind w:firstLineChars="200" w:firstLine="640"/>
        <w:contextualSpacing/>
        <w:jc w:val="left"/>
        <w:textAlignment w:val="auto"/>
        <w:rPr>
          <w:rFonts w:eastAsia="仿宋_GB2312"/>
          <w:kern w:val="0"/>
          <w:sz w:val="32"/>
          <w:szCs w:val="32"/>
          <w:shd w:val="clear" w:color="auto" w:fill="FFFFFF"/>
        </w:rPr>
      </w:pPr>
      <w:r>
        <w:rPr>
          <w:rFonts w:eastAsia="仿宋_GB2312"/>
          <w:b/>
          <w:bCs/>
          <w:color w:val="auto"/>
          <w:kern w:val="2"/>
          <w:sz w:val="32"/>
          <w:szCs w:val="32"/>
          <w:lang w:bidi="ar-SA"/>
        </w:rPr>
        <w:t>2.项目执行。</w:t>
      </w:r>
      <w:r>
        <w:rPr>
          <w:rFonts w:eastAsia="仿宋_GB2312"/>
          <w:sz w:val="32"/>
          <w:szCs w:val="32"/>
        </w:rPr>
        <w:t>根据项目建设内容，在四川省林草局（大熊猫国家公园四川省管理局）指导下，严格按照《阿坝州林业和草原建设项目管理办法》《大熊猫国家公园阿坝片区项目申报立项流程图》《大熊猫国家公园阿坝片区项目管理流程图》做好项目申报及管理工作。</w:t>
      </w:r>
      <w:r>
        <w:rPr>
          <w:rFonts w:eastAsia="仿宋_GB2312"/>
          <w:bCs/>
          <w:sz w:val="32"/>
          <w:szCs w:val="32"/>
        </w:rPr>
        <w:t>分局</w:t>
      </w:r>
      <w:r>
        <w:rPr>
          <w:rFonts w:eastAsia="仿宋_GB2312"/>
          <w:sz w:val="32"/>
          <w:szCs w:val="32"/>
        </w:rPr>
        <w:t>栖息地保护部根据年度工作安排编制《大熊猫国家公园阿坝管理分局能力提升》，经</w:t>
      </w:r>
      <w:r>
        <w:rPr>
          <w:rFonts w:eastAsia="仿宋_GB2312"/>
          <w:bCs/>
          <w:sz w:val="32"/>
          <w:szCs w:val="32"/>
        </w:rPr>
        <w:t>局党组研究审议通过，对项目安全、保密、质量、管理、工期等方面特别做了强调及要求</w:t>
      </w:r>
      <w:r>
        <w:rPr>
          <w:rFonts w:eastAsia="仿宋_GB2312"/>
          <w:sz w:val="32"/>
          <w:szCs w:val="32"/>
        </w:rPr>
        <w:t>。采购已完成支付，完成了年初设定</w:t>
      </w:r>
      <w:r>
        <w:rPr>
          <w:rFonts w:eastAsia="仿宋_GB2312"/>
          <w:kern w:val="2"/>
          <w:sz w:val="32"/>
          <w:szCs w:val="32"/>
          <w:lang w:bidi="ar-SA"/>
        </w:rPr>
        <w:t>的数量指标。</w:t>
      </w:r>
    </w:p>
    <w:p>
      <w:pPr>
        <w:pStyle w:val="41"/>
        <w:rPr>
          <w:rFonts w:eastAsia="仿宋_GB2312"/>
          <w:bCs/>
          <w:kern w:val="2"/>
          <w:sz w:val="32"/>
          <w:szCs w:val="32"/>
          <w:lang w:val="en-US" w:eastAsia="zh-CN" w:bidi="ar-SA"/>
        </w:rPr>
      </w:pPr>
      <w:r>
        <w:rPr>
          <w:rFonts w:eastAsia="仿宋_GB2312"/>
          <w:b/>
          <w:bCs/>
          <w:color w:val="auto"/>
          <w:kern w:val="2"/>
          <w:sz w:val="32"/>
          <w:szCs w:val="32"/>
          <w:lang w:bidi="ar-SA"/>
        </w:rPr>
        <w:t>3.目标实现。</w:t>
      </w:r>
      <w:r>
        <w:rPr>
          <w:rFonts w:eastAsia="仿宋_GB2312"/>
          <w:bCs/>
          <w:kern w:val="2"/>
          <w:sz w:val="32"/>
          <w:szCs w:val="32"/>
          <w:lang w:val="en-US" w:eastAsia="zh-CN" w:bidi="ar-SA"/>
        </w:rPr>
        <w:t>通过项目建设，提升野外巡护能力，完善国家公园内必要的保护管理设施设备，逐步增强数字科技支撑，有力提升保护管理质效，高质量、高标准、高效率推进大熊猫国家公园阿坝片区保护管理能力科学化、标准化、规范化建设。</w:t>
      </w:r>
    </w:p>
    <w:p>
      <w:pPr>
        <w:keepNext w:val="0"/>
        <w:keepLines w:val="0"/>
        <w:pageBreakBefore w:val="0"/>
        <w:widowControl w:val="0"/>
        <w:tabs>
          <w:tab w:val="left" w:pos="700"/>
        </w:tabs>
        <w:kinsoku/>
        <w:wordWrap/>
        <w:overflowPunct/>
        <w:autoSpaceDE/>
        <w:autoSpaceDN/>
        <w:bidi w:val="0"/>
        <w:adjustRightInd w:val="0"/>
        <w:snapToGrid w:val="0"/>
        <w:spacing w:line="500" w:lineRule="exact"/>
        <w:ind w:firstLineChars="200" w:firstLine="640"/>
        <w:textAlignment w:val="auto"/>
        <w:rPr>
          <w:rFonts w:eastAsia="仿宋_GB2312"/>
          <w:bCs/>
          <w:sz w:val="32"/>
          <w:szCs w:val="32"/>
        </w:rPr>
      </w:pPr>
      <w:r>
        <w:rPr>
          <w:rFonts w:eastAsia="仿宋_GB2312"/>
          <w:b/>
          <w:kern w:val="2"/>
          <w:sz w:val="32"/>
          <w:szCs w:val="32"/>
          <w:lang w:val="en-US" w:eastAsia="zh-CN" w:bidi="ar-SA"/>
        </w:rPr>
        <w:t>大熊猫国家公园阿坝片区野生动物专项调查（一期）项目。</w:t>
      </w:r>
      <w:r>
        <w:rPr>
          <w:rFonts w:eastAsia="仿宋_GB2312"/>
          <w:bCs/>
          <w:sz w:val="32"/>
          <w:szCs w:val="32"/>
        </w:rPr>
        <w:t>预算数为599.55万元，2025年12月已支付253.49万元，支付进度为42.28%，此项目一期已完成支付。</w:t>
      </w:r>
    </w:p>
    <w:p>
      <w:pPr>
        <w:adjustRightInd w:val="0"/>
        <w:snapToGrid w:val="0"/>
        <w:spacing w:line="520" w:lineRule="exact"/>
        <w:ind w:firstLineChars="200" w:firstLine="640"/>
        <w:rPr>
          <w:rFonts w:eastAsia="仿宋_GB2312"/>
          <w:sz w:val="32"/>
          <w:szCs w:val="32"/>
        </w:rPr>
      </w:pPr>
      <w:r>
        <w:rPr>
          <w:rFonts w:eastAsia="仿宋_GB2312"/>
          <w:b/>
          <w:bCs/>
          <w:color w:val="auto"/>
          <w:kern w:val="2"/>
          <w:sz w:val="32"/>
          <w:szCs w:val="32"/>
          <w:lang w:bidi="ar-SA"/>
        </w:rPr>
        <w:t>1.项目决策。</w:t>
      </w:r>
      <w:r>
        <w:rPr>
          <w:rFonts w:eastAsia="仿宋_GB2312"/>
          <w:sz w:val="32"/>
          <w:szCs w:val="32"/>
        </w:rPr>
        <w:t>根据上级业务主管工作安排及相关要求，</w:t>
      </w:r>
      <w:r>
        <w:rPr>
          <w:sz w:val="32"/>
          <w:szCs w:val="32"/>
          <w:lang w:val="en-US" w:eastAsia="zh-CN"/>
        </w:rPr>
        <w:t>摸清</w:t>
      </w:r>
      <w:r>
        <w:rPr>
          <w:rFonts w:eastAsia="仿宋_GB2312"/>
          <w:sz w:val="32"/>
          <w:szCs w:val="32"/>
        </w:rPr>
        <w:t>大熊猫国家公园阿坝片区金丝猴和豹种群数量、分布及栖息地状况，为大熊猫国家公园保护决策提供支撑</w:t>
      </w:r>
      <w:r>
        <w:rPr>
          <w:sz w:val="32"/>
          <w:szCs w:val="32"/>
          <w:lang w:eastAsia="zh-CN"/>
        </w:rPr>
        <w:t>。</w:t>
      </w:r>
      <w:r>
        <w:rPr>
          <w:rFonts w:eastAsia="仿宋_GB2312"/>
          <w:sz w:val="32"/>
          <w:szCs w:val="32"/>
          <w:lang w:val="en-US" w:eastAsia="zh-CN"/>
        </w:rPr>
        <w:t>大熊猫国家公园阿坝片区野生动物专项调查（一期）项目</w:t>
      </w:r>
      <w:r>
        <w:rPr>
          <w:rFonts w:eastAsia="仿宋_GB2312"/>
          <w:sz w:val="32"/>
          <w:szCs w:val="32"/>
        </w:rPr>
        <w:t>资金来源于中央财政国家公园补助资金</w:t>
      </w:r>
      <w:r>
        <w:rPr>
          <w:rFonts w:eastAsia="仿宋_GB2312"/>
          <w:sz w:val="32"/>
          <w:szCs w:val="32"/>
          <w:lang w:val="en-US" w:eastAsia="zh-CN"/>
        </w:rPr>
        <w:t>。</w:t>
      </w:r>
    </w:p>
    <w:p>
      <w:pPr>
        <w:adjustRightInd w:val="0"/>
        <w:snapToGrid w:val="0"/>
        <w:spacing w:line="520" w:lineRule="exact"/>
        <w:ind w:firstLineChars="200" w:firstLine="640"/>
        <w:rPr>
          <w:rFonts w:eastAsia="仿宋_GB2312"/>
          <w:sz w:val="32"/>
          <w:szCs w:val="32"/>
          <w:lang w:val="en-US" w:eastAsia="zh-CN"/>
        </w:rPr>
      </w:pPr>
      <w:r>
        <w:rPr>
          <w:rFonts w:eastAsia="仿宋_GB2312"/>
          <w:b/>
          <w:bCs/>
          <w:color w:val="auto"/>
          <w:kern w:val="2"/>
          <w:sz w:val="32"/>
          <w:szCs w:val="32"/>
          <w:lang w:bidi="ar-SA"/>
        </w:rPr>
        <w:t>2.项目执行。</w:t>
      </w:r>
      <w:r>
        <w:rPr>
          <w:rFonts w:eastAsia="仿宋_GB2312"/>
          <w:sz w:val="32"/>
          <w:szCs w:val="32"/>
        </w:rPr>
        <w:t>根据项目建设内容，在四川省林草局（大熊猫国家公园四川省管理局）指导下，严格按照《阿坝州林业和草原建设项目管理办法》《大熊猫国家公园阿坝片区项目申报立项流</w:t>
      </w:r>
      <w:r>
        <w:rPr>
          <w:rFonts w:eastAsia="仿宋_GB2312"/>
          <w:sz w:val="32"/>
          <w:szCs w:val="32"/>
          <w:lang w:bidi="ar-SA"/>
        </w:rPr>
        <w:t>程图》《大熊猫国家公园阿坝片区项目管</w:t>
      </w:r>
      <w:r>
        <w:rPr>
          <w:rFonts w:eastAsia="仿宋_GB2312"/>
          <w:kern w:val="2"/>
          <w:sz w:val="32"/>
          <w:szCs w:val="32"/>
          <w:lang w:val="en-US" w:eastAsia="zh-CN" w:bidi="ar-SA"/>
        </w:rPr>
        <w:t>理流程图》做好项目申报及管理工作。分局栖息地保护部根据工作安排编制《大熊猫国家公园阿坝片区野生动物专项调查（一期）项目》方案，经局党组研究审议通过，对项目安全、保密、质量、管理、工期等方面特别作了强调及要求。项目已完成设备采购，外业调查及内业处理将于2026年6月底前完成，故结转到</w:t>
      </w:r>
      <w:r>
        <w:rPr>
          <w:rFonts w:eastAsia="仿宋_GB2312"/>
          <w:bCs/>
          <w:kern w:val="2"/>
          <w:sz w:val="32"/>
          <w:szCs w:val="32"/>
          <w:lang w:val="en-US" w:eastAsia="zh-CN" w:bidi="ar-SA"/>
        </w:rPr>
        <w:t>2026</w:t>
      </w:r>
      <w:r>
        <w:rPr>
          <w:rFonts w:eastAsia="仿宋_GB2312"/>
          <w:kern w:val="2"/>
          <w:sz w:val="32"/>
          <w:szCs w:val="32"/>
          <w:lang w:val="en-US" w:eastAsia="zh-CN" w:bidi="ar-SA"/>
        </w:rPr>
        <w:t>年支付完成。</w:t>
      </w:r>
    </w:p>
    <w:p>
      <w:pPr>
        <w:pStyle w:val="41"/>
        <w:rPr>
          <w:rFonts w:eastAsia="仿宋_GB2312"/>
          <w:bCs/>
          <w:kern w:val="2"/>
          <w:sz w:val="32"/>
          <w:szCs w:val="32"/>
          <w:lang w:val="en-US" w:eastAsia="zh-CN" w:bidi="ar-SA"/>
        </w:rPr>
      </w:pPr>
      <w:r>
        <w:rPr>
          <w:rFonts w:eastAsia="仿宋_GB2312"/>
          <w:b/>
          <w:bCs/>
          <w:color w:val="auto"/>
          <w:kern w:val="2"/>
          <w:sz w:val="32"/>
          <w:szCs w:val="32"/>
          <w:lang w:bidi="ar-SA"/>
        </w:rPr>
        <w:t>3.目标实现。</w:t>
      </w:r>
      <w:r>
        <w:rPr>
          <w:rFonts w:eastAsia="仿宋_GB2312"/>
          <w:sz w:val="32"/>
          <w:szCs w:val="32"/>
        </w:rPr>
        <w:t>按照大熊猫国家公园四川管理局安排的任务，完成大熊猫国家公园阿</w:t>
      </w:r>
      <w:r>
        <w:rPr>
          <w:rFonts w:eastAsia="仿宋_GB2312"/>
          <w:bCs/>
          <w:kern w:val="2"/>
          <w:sz w:val="32"/>
          <w:szCs w:val="32"/>
          <w:lang w:val="en-US" w:eastAsia="zh-CN" w:bidi="ar-SA"/>
        </w:rPr>
        <w:t>坝片区约585个调查网格的金丝猴和豹调查任务，完成数据分析并形成调查报告。</w:t>
      </w:r>
    </w:p>
    <w:p>
      <w:pPr>
        <w:pStyle w:val="41"/>
        <w:rPr>
          <w:lang w:val="en-US" w:eastAsia="zh-CN"/>
        </w:rPr>
      </w:pPr>
      <w:r>
        <w:rPr>
          <w:rFonts w:eastAsia="仿宋_GB2312"/>
          <w:kern w:val="2"/>
          <w:sz w:val="32"/>
          <w:szCs w:val="32"/>
        </w:rPr>
        <w:t>从综合评价来看，项目立项依据充分，均设定了项目绩效目标，资金配置科学合理，严格项目管理，按规定履行报批手续，制定了实施方案，细化任务并明确绩效目标，整体情况良好。</w:t>
      </w:r>
    </w:p>
    <w:p>
      <w:pPr>
        <w:keepNext w:val="0"/>
        <w:keepLines w:val="0"/>
        <w:pageBreakBefore w:val="0"/>
        <w:widowControl w:val="0"/>
        <w:tabs>
          <w:tab w:val="left" w:pos="700"/>
        </w:tabs>
        <w:kinsoku/>
        <w:wordWrap/>
        <w:overflowPunct/>
        <w:autoSpaceDE/>
        <w:autoSpaceDN/>
        <w:bidi w:val="0"/>
        <w:adjustRightInd w:val="0"/>
        <w:snapToGrid w:val="0"/>
        <w:spacing w:line="500" w:lineRule="exact"/>
        <w:ind w:firstLineChars="200" w:firstLine="640"/>
        <w:textAlignment w:val="auto"/>
        <w:rPr>
          <w:rFonts w:eastAsia="仿宋_GB2312"/>
          <w:sz w:val="32"/>
          <w:szCs w:val="32"/>
          <w:lang w:bidi="ar-SA"/>
        </w:rPr>
      </w:pPr>
      <w:r>
        <w:rPr>
          <w:rFonts w:eastAsia="仿宋_GB2312"/>
          <w:b/>
          <w:kern w:val="2"/>
          <w:sz w:val="32"/>
          <w:szCs w:val="32"/>
          <w:lang w:eastAsia="zh-CN" w:bidi="ar-SA"/>
        </w:rPr>
        <w:t>大熊猫国家公园阿坝片区2025年疫源疫病普查</w:t>
      </w:r>
      <w:r>
        <w:rPr>
          <w:rFonts w:eastAsia="仿宋_GB2312"/>
          <w:b/>
          <w:kern w:val="2"/>
          <w:sz w:val="32"/>
          <w:szCs w:val="32"/>
          <w:lang w:bidi="ar-SA"/>
        </w:rPr>
        <w:t>项目。预算数</w:t>
      </w:r>
      <w:r>
        <w:rPr>
          <w:b/>
          <w:kern w:val="2"/>
          <w:sz w:val="32"/>
          <w:szCs w:val="32"/>
          <w:lang w:val="en-US" w:eastAsia="zh-CN" w:bidi="ar-SA"/>
        </w:rPr>
        <w:t>1</w:t>
      </w:r>
      <w:r>
        <w:rPr>
          <w:rFonts w:eastAsia="仿宋_GB2312"/>
          <w:b/>
          <w:kern w:val="2"/>
          <w:sz w:val="32"/>
          <w:szCs w:val="32"/>
          <w:lang w:bidi="ar-SA"/>
        </w:rPr>
        <w:t>50万元。</w:t>
      </w:r>
      <w:r>
        <w:rPr>
          <w:rFonts w:eastAsia="仿宋_GB2312"/>
          <w:sz w:val="32"/>
          <w:szCs w:val="32"/>
          <w:lang w:val="en-US" w:eastAsia="zh-CN"/>
        </w:rPr>
        <w:t>此项目</w:t>
      </w:r>
      <w:r>
        <w:rPr>
          <w:rFonts w:eastAsia="仿宋_GB2312"/>
          <w:bCs/>
          <w:sz w:val="32"/>
          <w:szCs w:val="32"/>
          <w:lang w:bidi="ar-SA"/>
        </w:rPr>
        <w:t>结转到202</w:t>
      </w:r>
      <w:r>
        <w:rPr>
          <w:rFonts w:eastAsia="仿宋_GB2312"/>
          <w:bCs/>
          <w:sz w:val="32"/>
          <w:szCs w:val="32"/>
          <w:lang w:val="en-US" w:eastAsia="zh-CN" w:bidi="ar-SA"/>
        </w:rPr>
        <w:t>6</w:t>
      </w:r>
      <w:r>
        <w:rPr>
          <w:rFonts w:eastAsia="仿宋_GB2312"/>
          <w:bCs/>
          <w:sz w:val="32"/>
          <w:szCs w:val="32"/>
          <w:lang w:bidi="ar-SA"/>
        </w:rPr>
        <w:t>年执行</w:t>
      </w:r>
      <w:r>
        <w:rPr>
          <w:rFonts w:eastAsia="仿宋_GB2312"/>
          <w:bCs/>
          <w:sz w:val="32"/>
          <w:szCs w:val="32"/>
          <w:lang w:eastAsia="zh-CN" w:bidi="ar-SA"/>
        </w:rPr>
        <w:t>，</w:t>
      </w:r>
      <w:r>
        <w:rPr>
          <w:rFonts w:eastAsia="仿宋_GB2312"/>
          <w:sz w:val="32"/>
          <w:szCs w:val="32"/>
          <w:lang w:val="en-US" w:eastAsia="zh-CN"/>
        </w:rPr>
        <w:t>已于2026年2月完成招标工作。</w:t>
      </w:r>
    </w:p>
    <w:p>
      <w:pPr>
        <w:keepNext w:val="0"/>
        <w:keepLines w:val="0"/>
        <w:pageBreakBefore w:val="0"/>
        <w:widowControl w:val="0"/>
        <w:kinsoku/>
        <w:wordWrap/>
        <w:overflowPunct/>
        <w:autoSpaceDE/>
        <w:autoSpaceDN/>
        <w:bidi w:val="0"/>
        <w:adjustRightInd w:val="0"/>
        <w:snapToGrid w:val="0"/>
        <w:spacing w:line="500" w:lineRule="exact"/>
        <w:ind w:firstLineChars="200" w:firstLine="640"/>
        <w:textAlignment w:val="auto"/>
        <w:rPr>
          <w:rFonts w:eastAsia="仿宋_GB2312"/>
          <w:bCs/>
          <w:sz w:val="32"/>
          <w:szCs w:val="32"/>
        </w:rPr>
      </w:pPr>
      <w:r>
        <w:rPr>
          <w:rFonts w:eastAsia="仿宋_GB2312"/>
          <w:b/>
          <w:bCs/>
          <w:color w:val="auto"/>
          <w:kern w:val="2"/>
          <w:sz w:val="32"/>
          <w:szCs w:val="32"/>
          <w:lang w:bidi="ar-SA"/>
        </w:rPr>
        <w:t>1.项目决策。</w:t>
      </w:r>
      <w:r>
        <w:rPr>
          <w:rFonts w:eastAsia="仿宋_GB2312"/>
          <w:bCs/>
          <w:sz w:val="32"/>
          <w:szCs w:val="32"/>
        </w:rPr>
        <w:t>大熊猫国家公园坝片区有野生大熊猫三百三十余只，占全国野生大熊猫总数的17%，对整个岷山、邛崃山区域野生种群有重要影响，但多年来未开展过影响野生大熊猫的疫源疫病专门调查。于2025</w:t>
      </w:r>
      <w:r>
        <w:rPr>
          <w:rFonts w:eastAsia="仿宋_GB2312"/>
          <w:bCs/>
          <w:sz w:val="32"/>
          <w:szCs w:val="32"/>
          <w:lang w:val="en-US" w:eastAsia="zh-CN"/>
        </w:rPr>
        <w:t>-</w:t>
      </w:r>
      <w:r>
        <w:rPr>
          <w:rFonts w:eastAsia="仿宋_GB2312"/>
          <w:bCs/>
          <w:sz w:val="32"/>
          <w:szCs w:val="32"/>
        </w:rPr>
        <w:t>2026年在阿坝片区开展以犬瘟热、细小病毒病等病种为重点，以大熊猫国家公园周边社区等野生动物活动密切的相关区域为主要范围的疫源疫病调查</w:t>
      </w:r>
      <w:r>
        <w:rPr>
          <w:rFonts w:eastAsia="仿宋_GB2312"/>
          <w:bCs/>
          <w:sz w:val="32"/>
          <w:szCs w:val="32"/>
          <w:lang w:eastAsia="zh-CN"/>
        </w:rPr>
        <w:t>。大熊猫国家公园阿坝片区2025年疫源疫病普查</w:t>
      </w:r>
      <w:r>
        <w:rPr>
          <w:rFonts w:eastAsia="仿宋_GB2312"/>
          <w:bCs/>
          <w:sz w:val="32"/>
          <w:szCs w:val="32"/>
        </w:rPr>
        <w:t>项目资金来源为中央财政林业草原专项资金。</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bCs/>
          <w:sz w:val="32"/>
          <w:szCs w:val="32"/>
        </w:rPr>
      </w:pPr>
      <w:r>
        <w:rPr>
          <w:rFonts w:eastAsia="仿宋_GB2312"/>
          <w:b/>
          <w:bCs/>
          <w:color w:val="auto"/>
          <w:kern w:val="2"/>
          <w:sz w:val="32"/>
          <w:szCs w:val="32"/>
          <w:lang w:bidi="ar-SA"/>
        </w:rPr>
        <w:t>2.项目执行。</w:t>
      </w:r>
      <w:r>
        <w:rPr>
          <w:rFonts w:eastAsia="仿宋_GB2312"/>
          <w:bCs/>
          <w:sz w:val="32"/>
          <w:szCs w:val="32"/>
        </w:rPr>
        <w:t>根据项目建设内容，在四川省林草局（大熊猫国家公园四川省管理局）指导下，严格按照《阿坝州林业和草原建设项目管理办法》《大熊猫国家公园阿坝片区项目申报立项流程图》《大熊猫国家公园阿坝片区项目管理流程图》做好项目申报及管理工作。分局栖息地保护部根据年度工作安排编制《</w:t>
      </w:r>
      <w:r>
        <w:rPr>
          <w:rFonts w:eastAsia="仿宋_GB2312"/>
          <w:bCs/>
          <w:sz w:val="32"/>
          <w:szCs w:val="32"/>
          <w:lang w:eastAsia="zh-CN"/>
        </w:rPr>
        <w:t>大熊猫国家公园阿坝片区2025年疫源疫病普查</w:t>
      </w:r>
      <w:r>
        <w:rPr>
          <w:rFonts w:eastAsia="仿宋_GB2312"/>
          <w:bCs/>
          <w:sz w:val="32"/>
          <w:szCs w:val="32"/>
        </w:rPr>
        <w:t>项目方案》，经局党组研究审议通过，对项目安全、保密、质量、管理、工期等方面特别做了</w:t>
      </w:r>
      <w:r>
        <w:rPr>
          <w:rFonts w:eastAsia="仿宋_GB2312"/>
          <w:bCs/>
          <w:sz w:val="32"/>
          <w:szCs w:val="32"/>
          <w:lang w:bidi="ar-SA"/>
        </w:rPr>
        <w:t>强调及</w:t>
      </w:r>
      <w:r>
        <w:rPr>
          <w:rFonts w:eastAsia="仿宋_GB2312"/>
          <w:bCs/>
          <w:sz w:val="32"/>
          <w:szCs w:val="32"/>
        </w:rPr>
        <w:t>要求。</w:t>
      </w:r>
      <w:r>
        <w:rPr>
          <w:rFonts w:eastAsia="仿宋_GB2312"/>
          <w:bCs/>
          <w:sz w:val="32"/>
          <w:szCs w:val="32"/>
          <w:lang w:bidi="ar-SA"/>
        </w:rPr>
        <w:t>采购已完成支付，完成了年初设定的数量指标。</w:t>
      </w:r>
    </w:p>
    <w:p>
      <w:pPr>
        <w:keepNext w:val="0"/>
        <w:keepLines w:val="0"/>
        <w:pageBreakBefore w:val="0"/>
        <w:widowControl w:val="0"/>
        <w:kinsoku/>
        <w:wordWrap/>
        <w:overflowPunct/>
        <w:autoSpaceDE/>
        <w:autoSpaceDN/>
        <w:bidi w:val="0"/>
        <w:adjustRightInd w:val="0"/>
        <w:snapToGrid w:val="0"/>
        <w:spacing w:line="500" w:lineRule="exact"/>
        <w:ind w:firstLineChars="200" w:firstLine="640"/>
        <w:textAlignment w:val="auto"/>
        <w:rPr>
          <w:rFonts w:eastAsia="仿宋_GB2312"/>
          <w:bCs/>
          <w:sz w:val="32"/>
          <w:szCs w:val="32"/>
        </w:rPr>
      </w:pPr>
      <w:r>
        <w:rPr>
          <w:rFonts w:eastAsia="仿宋_GB2312"/>
          <w:b/>
          <w:bCs/>
          <w:color w:val="auto"/>
          <w:kern w:val="2"/>
          <w:sz w:val="32"/>
          <w:szCs w:val="32"/>
          <w:lang w:bidi="ar-SA"/>
        </w:rPr>
        <w:t>3.目标实现。</w:t>
      </w:r>
      <w:r>
        <w:rPr>
          <w:rFonts w:eastAsia="仿宋_GB2312"/>
          <w:bCs/>
          <w:sz w:val="32"/>
          <w:szCs w:val="32"/>
        </w:rPr>
        <w:t>本项目的主要任务是</w:t>
      </w:r>
      <w:r>
        <w:rPr>
          <w:rFonts w:eastAsia="仿宋_GB2312"/>
          <w:bCs/>
          <w:sz w:val="32"/>
          <w:szCs w:val="32"/>
          <w:lang w:val="en-US" w:eastAsia="zh-CN"/>
        </w:rPr>
        <w:t>在</w:t>
      </w:r>
      <w:r>
        <w:rPr>
          <w:rFonts w:eastAsia="仿宋_GB2312"/>
          <w:bCs/>
          <w:sz w:val="32"/>
          <w:szCs w:val="32"/>
        </w:rPr>
        <w:t>大熊猫国家公园阿坝片区（除卧龙）开展大熊猫主要病毒性、细菌性病害和主要寄生虫病害调查，初步了解区域内威胁大熊猫的主要疫源疫病情况，提出建立阿坝片区疫源疫病防控体系的方案并对基层巡护人员开展疫源疫病防控基本技能的培训。</w:t>
      </w:r>
    </w:p>
    <w:p>
      <w:pPr>
        <w:keepNext w:val="0"/>
        <w:keepLines w:val="0"/>
        <w:pageBreakBefore w:val="0"/>
        <w:widowControl w:val="0"/>
        <w:kinsoku/>
        <w:wordWrap/>
        <w:overflowPunct/>
        <w:autoSpaceDE/>
        <w:autoSpaceDN/>
        <w:bidi w:val="0"/>
        <w:spacing w:line="500" w:lineRule="exact"/>
        <w:ind w:firstLineChars="200" w:firstLine="640"/>
        <w:textAlignment w:val="auto"/>
        <w:rPr>
          <w:rFonts w:eastAsia="仿宋_GB2312"/>
          <w:kern w:val="2"/>
          <w:sz w:val="32"/>
          <w:szCs w:val="32"/>
          <w:lang w:bidi="ar-SA"/>
        </w:rPr>
      </w:pPr>
      <w:r>
        <w:rPr>
          <w:rFonts w:eastAsia="仿宋_GB2312"/>
          <w:kern w:val="2"/>
          <w:sz w:val="32"/>
          <w:szCs w:val="32"/>
        </w:rPr>
        <w:t>从综合评价来看，项目立项依据充分，均设定了项目绩效目标，资金配置科学合理，严格项目管理，按规定履行报批手续，制定了实施方案，细化任务并明确绩效目标，整体情况良好。</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color w:val="auto"/>
          <w:kern w:val="2"/>
          <w:sz w:val="32"/>
          <w:szCs w:val="32"/>
          <w:lang w:bidi="ar-SA"/>
        </w:rPr>
        <w:t>州级部门202</w:t>
      </w:r>
      <w:r>
        <w:rPr>
          <w:color w:val="auto"/>
          <w:kern w:val="2"/>
          <w:sz w:val="32"/>
          <w:szCs w:val="32"/>
          <w:lang w:val="en-US" w:eastAsia="zh-CN" w:bidi="ar-SA"/>
        </w:rPr>
        <w:t>5</w:t>
      </w:r>
      <w:r>
        <w:rPr>
          <w:rFonts w:eastAsia="仿宋_GB2312"/>
          <w:color w:val="auto"/>
          <w:kern w:val="2"/>
          <w:sz w:val="32"/>
          <w:szCs w:val="32"/>
          <w:lang w:bidi="ar-SA"/>
        </w:rPr>
        <w:t>年度若涉及国有资本经营预算、社会保险基金预算的，应在部门预算绩效自评报告中对完成情况进行梳理阐述。国有资本经营预算绩效自评重点关注企业的运营质量、行业水平等情况；社会保险基金预算绩效自评重点关注基金可持续性、区域安全性等情况。</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color w:val="auto"/>
          <w:kern w:val="2"/>
          <w:sz w:val="32"/>
          <w:szCs w:val="32"/>
          <w:lang w:bidi="ar-SA"/>
        </w:rPr>
        <w:t>重点领域绩效分析。州级部门202</w:t>
      </w:r>
      <w:r>
        <w:rPr>
          <w:color w:val="auto"/>
          <w:kern w:val="2"/>
          <w:sz w:val="32"/>
          <w:szCs w:val="32"/>
          <w:lang w:val="en-US" w:eastAsia="zh-CN" w:bidi="ar-SA"/>
        </w:rPr>
        <w:t>5</w:t>
      </w:r>
      <w:r>
        <w:rPr>
          <w:rFonts w:eastAsia="仿宋_GB2312"/>
          <w:color w:val="auto"/>
          <w:kern w:val="2"/>
          <w:sz w:val="32"/>
          <w:szCs w:val="32"/>
          <w:lang w:bidi="ar-SA"/>
        </w:rPr>
        <w:t>年度若涉及国有资本、行政事业性国有资产、债券资金、政府采购和政府购买服务等重点领域的，应在部门预算绩效自评报告中对完成情况进行梳理阐述。</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color w:val="auto"/>
          <w:kern w:val="2"/>
          <w:sz w:val="32"/>
          <w:szCs w:val="32"/>
          <w:lang w:bidi="ar-SA"/>
        </w:rPr>
        <w:t>我单位不涉及以上资金。</w:t>
      </w:r>
    </w:p>
    <w:p>
      <w:pPr>
        <w:keepNext w:val="0"/>
        <w:keepLines w:val="0"/>
        <w:pageBreakBefore w:val="0"/>
        <w:widowControl w:val="0"/>
        <w:suppressLineNumbers w:val="0"/>
        <w:suppressAutoHyphens w:val="0"/>
        <w:kinsoku/>
        <w:wordWrap/>
        <w:overflowPunct/>
        <w:topLinePunct w:val="0"/>
        <w:autoSpaceDE/>
        <w:autoSpaceDN/>
        <w:spacing w:line="500" w:lineRule="exact"/>
        <w:ind w:firstLineChars="200" w:firstLine="640"/>
        <w:rPr>
          <w:rFonts w:eastAsia="仿宋_GB2312"/>
          <w:sz w:val="32"/>
          <w:szCs w:val="32"/>
        </w:rPr>
      </w:pPr>
      <w:r>
        <w:rPr>
          <w:rFonts w:eastAsia="楷体_GB2312"/>
          <w:b/>
          <w:bCs/>
          <w:color w:val="000000"/>
          <w:kern w:val="0"/>
          <w:sz w:val="32"/>
          <w:szCs w:val="32"/>
          <w:shd w:val="clear" w:color="auto" w:fill="FFFFFF"/>
          <w:lang w:val="zh-CN" w:eastAsia="zh-CN"/>
          <w:highlight w:val="auto"/>
        </w:rPr>
        <w:t>（</w:t>
      </w:r>
      <w:r>
        <w:rPr>
          <w:rFonts w:eastAsia="楷体_GB2312"/>
          <w:b/>
          <w:bCs/>
          <w:color w:val="000000"/>
          <w:kern w:val="0"/>
          <w:sz w:val="32"/>
          <w:szCs w:val="32"/>
          <w:shd w:val="clear" w:color="auto" w:fill="FFFFFF"/>
          <w:lang w:val="en-US" w:eastAsia="zh-CN"/>
          <w:highlight w:val="auto"/>
        </w:rPr>
        <w:t>三</w:t>
      </w:r>
      <w:r>
        <w:rPr>
          <w:rFonts w:eastAsia="楷体_GB2312"/>
          <w:b/>
          <w:bCs/>
          <w:color w:val="000000"/>
          <w:kern w:val="0"/>
          <w:sz w:val="32"/>
          <w:szCs w:val="32"/>
          <w:shd w:val="clear" w:color="auto" w:fill="FFFFFF"/>
          <w:lang w:val="zh-CN" w:eastAsia="zh-CN"/>
          <w:highlight w:val="auto"/>
        </w:rPr>
        <w:t>）绩效结果应用情况。</w:t>
      </w:r>
      <w:r>
        <w:rPr>
          <w:rFonts w:eastAsia="仿宋_GB2312"/>
          <w:color w:val="auto"/>
          <w:kern w:val="2"/>
          <w:sz w:val="32"/>
          <w:szCs w:val="32"/>
          <w:lang w:bidi="ar-SA"/>
        </w:rPr>
        <w:t>202</w:t>
      </w:r>
      <w:r>
        <w:rPr>
          <w:color w:val="auto"/>
          <w:kern w:val="2"/>
          <w:sz w:val="32"/>
          <w:szCs w:val="32"/>
          <w:lang w:val="en-US" w:eastAsia="zh-CN" w:bidi="ar-SA"/>
        </w:rPr>
        <w:t>6</w:t>
      </w:r>
      <w:r>
        <w:rPr>
          <w:rFonts w:eastAsia="仿宋_GB2312"/>
          <w:color w:val="auto"/>
          <w:kern w:val="2"/>
          <w:sz w:val="32"/>
          <w:szCs w:val="32"/>
          <w:lang w:bidi="ar-SA"/>
        </w:rPr>
        <w:t>年，州财政局对我局202</w:t>
      </w:r>
      <w:r>
        <w:rPr>
          <w:color w:val="auto"/>
          <w:kern w:val="2"/>
          <w:sz w:val="32"/>
          <w:szCs w:val="32"/>
          <w:lang w:val="en-US" w:eastAsia="zh-CN" w:bidi="ar-SA"/>
        </w:rPr>
        <w:t>5</w:t>
      </w:r>
      <w:r>
        <w:rPr>
          <w:rFonts w:eastAsia="仿宋_GB2312"/>
          <w:color w:val="auto"/>
          <w:kern w:val="2"/>
          <w:sz w:val="32"/>
          <w:szCs w:val="32"/>
          <w:lang w:bidi="ar-SA"/>
        </w:rPr>
        <w:t>年整体支出进行了绩效评价，大熊猫国家公园阿坝管理分局202</w:t>
      </w:r>
      <w:r>
        <w:rPr>
          <w:color w:val="auto"/>
          <w:kern w:val="2"/>
          <w:sz w:val="32"/>
          <w:szCs w:val="32"/>
          <w:lang w:val="en-US" w:eastAsia="zh-CN" w:bidi="ar-SA"/>
        </w:rPr>
        <w:t>5</w:t>
      </w:r>
      <w:r>
        <w:rPr>
          <w:rFonts w:eastAsia="仿宋_GB2312"/>
          <w:color w:val="auto"/>
          <w:kern w:val="2"/>
          <w:sz w:val="32"/>
          <w:szCs w:val="32"/>
          <w:lang w:bidi="ar-SA"/>
        </w:rPr>
        <w:t>部门整体支出绩效评价等级为“良”，以前年度绩效评价报告和自评表都在州政府网站进行了对外公开。</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黑体"/>
          <w:color w:val="auto"/>
          <w:kern w:val="2"/>
          <w:sz w:val="32"/>
          <w:szCs w:val="32"/>
        </w:rPr>
      </w:pPr>
      <w:r>
        <w:rPr>
          <w:rFonts w:eastAsia="黑体"/>
          <w:color w:val="auto"/>
          <w:kern w:val="2"/>
          <w:sz w:val="32"/>
          <w:szCs w:val="32"/>
        </w:rPr>
        <w:t>四、评价结论及建议</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楷体_GB2312"/>
          <w:b/>
          <w:bCs/>
          <w:color w:val="auto"/>
          <w:kern w:val="2"/>
          <w:sz w:val="32"/>
          <w:szCs w:val="32"/>
        </w:rPr>
      </w:pPr>
      <w:r>
        <w:rPr>
          <w:rFonts w:eastAsia="楷体_GB2312"/>
          <w:b/>
          <w:bCs/>
          <w:color w:val="auto"/>
          <w:kern w:val="2"/>
          <w:sz w:val="32"/>
          <w:szCs w:val="32"/>
        </w:rPr>
        <w:t>（一）评价结论</w:t>
      </w:r>
    </w:p>
    <w:p>
      <w:pPr>
        <w:keepNext w:val="0"/>
        <w:keepLines w:val="0"/>
        <w:pageBreakBefore w:val="0"/>
        <w:widowControl w:val="0"/>
        <w:suppressLineNumbers w:val="0"/>
        <w:suppressAutoHyphens w:val="0"/>
        <w:kinsoku/>
        <w:wordWrap/>
        <w:overflowPunct/>
        <w:topLinePunct w:val="0"/>
        <w:autoSpaceDE/>
        <w:autoSpaceDN/>
        <w:bidi w:val="0"/>
        <w:spacing w:line="500" w:lineRule="exact"/>
        <w:ind w:firstLineChars="200" w:firstLine="640"/>
        <w:textAlignment w:val="auto"/>
        <w:rPr>
          <w:rFonts w:eastAsia="仿宋_GB2312"/>
          <w:color w:val="auto"/>
          <w:kern w:val="2"/>
          <w:sz w:val="32"/>
          <w:szCs w:val="32"/>
          <w:lang w:bidi="ar-SA"/>
        </w:rPr>
      </w:pPr>
      <w:r>
        <w:rPr>
          <w:rFonts w:eastAsia="仿宋_GB2312"/>
          <w:color w:val="auto"/>
          <w:kern w:val="2"/>
          <w:sz w:val="32"/>
          <w:szCs w:val="32"/>
          <w:lang w:bidi="ar-SA"/>
        </w:rPr>
        <w:t>202</w:t>
      </w:r>
      <w:r>
        <w:rPr>
          <w:color w:val="auto"/>
          <w:kern w:val="2"/>
          <w:sz w:val="32"/>
          <w:szCs w:val="32"/>
          <w:lang w:val="en-US" w:eastAsia="zh-CN" w:bidi="ar-SA"/>
        </w:rPr>
        <w:t>5</w:t>
      </w:r>
      <w:r>
        <w:rPr>
          <w:rFonts w:eastAsia="仿宋_GB2312"/>
          <w:color w:val="auto"/>
          <w:kern w:val="2"/>
          <w:sz w:val="32"/>
          <w:szCs w:val="32"/>
          <w:lang w:bidi="ar-SA"/>
        </w:rPr>
        <w:t>年度年初工作计划及重点工作目标管理符合州委、州政府总体经济和社会发展规划及职责，体现当年重点工作，资金投入相匹配。建立完善了内部控制制度和内部管理制度，并得到有效执行。预算执行情况良好，预算支出和决算支出情况相符。圆满完成州委州政府下达的202</w:t>
      </w:r>
      <w:r>
        <w:rPr>
          <w:color w:val="auto"/>
          <w:kern w:val="2"/>
          <w:sz w:val="32"/>
          <w:szCs w:val="32"/>
          <w:lang w:val="en-US" w:eastAsia="zh-CN" w:bidi="ar-SA"/>
        </w:rPr>
        <w:t>5</w:t>
      </w:r>
      <w:r>
        <w:rPr>
          <w:rFonts w:eastAsia="仿宋_GB2312"/>
          <w:color w:val="auto"/>
          <w:kern w:val="2"/>
          <w:sz w:val="32"/>
          <w:szCs w:val="32"/>
          <w:lang w:bidi="ar-SA"/>
        </w:rPr>
        <w:t>年各项目标任务。绩效自评得分</w:t>
      </w:r>
      <w:r>
        <w:rPr>
          <w:color w:val="auto"/>
          <w:kern w:val="2"/>
          <w:sz w:val="32"/>
          <w:szCs w:val="32"/>
          <w:lang w:val="en-US" w:eastAsia="zh-CN" w:bidi="ar-SA"/>
        </w:rPr>
        <w:t>99</w:t>
      </w:r>
      <w:r>
        <w:rPr>
          <w:rFonts w:eastAsia="仿宋_GB2312"/>
          <w:color w:val="auto"/>
          <w:kern w:val="2"/>
          <w:sz w:val="32"/>
          <w:szCs w:val="32"/>
          <w:lang w:bidi="ar-SA"/>
        </w:rPr>
        <w:t>分。</w:t>
      </w:r>
    </w:p>
    <w:p>
      <w:pPr>
        <w:keepNext w:val="0"/>
        <w:keepLines w:val="0"/>
        <w:pageBreakBefore w:val="0"/>
        <w:widowControl w:val="0"/>
        <w:suppressLineNumbers w:val="0"/>
        <w:tabs>
          <w:tab w:val="left" w:pos="0"/>
        </w:tabs>
        <w:suppressAutoHyphens w:val="0"/>
        <w:kinsoku/>
        <w:wordWrap/>
        <w:overflowPunct/>
        <w:topLinePunct w:val="0"/>
        <w:autoSpaceDE/>
        <w:autoSpaceDN/>
        <w:bidi w:val="0"/>
        <w:spacing w:line="500" w:lineRule="exact"/>
        <w:ind w:left="0" w:firstLineChars="200" w:firstLine="640"/>
        <w:textAlignment w:val="auto"/>
        <w:rPr>
          <w:rFonts w:eastAsia="仿宋_GB2312"/>
          <w:color w:val="auto"/>
          <w:kern w:val="2"/>
          <w:sz w:val="32"/>
          <w:szCs w:val="32"/>
          <w:lang w:bidi="ar-SA"/>
        </w:rPr>
      </w:pPr>
      <w:r>
        <w:rPr>
          <w:rFonts w:eastAsia="楷体_GB2312"/>
          <w:b/>
          <w:bCs/>
          <w:color w:val="auto"/>
          <w:kern w:val="2"/>
          <w:sz w:val="32"/>
          <w:szCs w:val="32"/>
          <w:lang w:val="en-US" w:eastAsia="zh-CN"/>
        </w:rPr>
        <w:t>（二）</w:t>
      </w:r>
      <w:r>
        <w:rPr>
          <w:rFonts w:eastAsia="楷体_GB2312"/>
          <w:b/>
          <w:bCs/>
          <w:color w:val="auto"/>
          <w:kern w:val="2"/>
          <w:sz w:val="32"/>
          <w:szCs w:val="32"/>
        </w:rPr>
        <w:t>存在问题</w:t>
      </w:r>
    </w:p>
    <w:p>
      <w:pPr>
        <w:pStyle w:val="39"/>
        <w:keepNext w:val="0"/>
        <w:keepLines w:val="0"/>
        <w:pageBreakBefore w:val="0"/>
        <w:widowControl/>
        <w:suppressLineNumbers w:val="0"/>
        <w:shd w:val="clear" w:color="auto" w:fill="FFFFFF"/>
        <w:suppressAutoHyphens w:val="0"/>
        <w:kinsoku/>
        <w:wordWrap/>
        <w:overflowPunct/>
        <w:topLinePunct w:val="0"/>
        <w:autoSpaceDE/>
        <w:autoSpaceDN/>
        <w:bidi w:val="0"/>
        <w:spacing w:before="0" w:beforeAutospacing="0" w:after="0" w:afterAutospacing="0" w:line="500" w:lineRule="exact"/>
        <w:ind w:firstLineChars="200" w:firstLine="640"/>
        <w:textAlignment w:val="auto"/>
        <w:rPr>
          <w:rFonts w:eastAsia="仿宋_GB2312"/>
          <w:color w:val="auto"/>
          <w:kern w:val="0"/>
          <w:sz w:val="32"/>
          <w:szCs w:val="32"/>
          <w:lang w:bidi="ar-SA"/>
        </w:rPr>
      </w:pPr>
      <w:r>
        <w:rPr>
          <w:rFonts w:eastAsia="仿宋_GB2312"/>
          <w:color w:val="auto"/>
          <w:kern w:val="0"/>
          <w:sz w:val="32"/>
          <w:szCs w:val="32"/>
          <w:lang w:bidi="ar-SA"/>
        </w:rPr>
        <w:t>因单位目前还处在机构改革阶段，在整体支出的资金安排和使用上仍有不可预见性，在编制预算时还需进一步统筹考虑。上半年部分项目预算执行进度过缓。</w:t>
      </w:r>
    </w:p>
    <w:p>
      <w:pPr>
        <w:keepNext w:val="0"/>
        <w:keepLines w:val="0"/>
        <w:pageBreakBefore w:val="0"/>
        <w:widowControl w:val="0"/>
        <w:suppressLineNumbers w:val="0"/>
        <w:tabs>
          <w:tab w:val="left" w:pos="0"/>
        </w:tabs>
        <w:suppressAutoHyphens w:val="0"/>
        <w:kinsoku/>
        <w:wordWrap/>
        <w:overflowPunct/>
        <w:topLinePunct w:val="0"/>
        <w:autoSpaceDE/>
        <w:autoSpaceDN/>
        <w:bidi w:val="0"/>
        <w:spacing w:line="500" w:lineRule="exact"/>
        <w:ind w:left="0" w:firstLineChars="200" w:firstLine="640"/>
        <w:textAlignment w:val="auto"/>
        <w:rPr>
          <w:rFonts w:eastAsia="楷体_GB2312"/>
          <w:b/>
          <w:bCs/>
          <w:color w:val="auto"/>
          <w:kern w:val="2"/>
          <w:sz w:val="32"/>
          <w:szCs w:val="32"/>
          <w:lang w:val="en-US" w:eastAsia="zh-CN"/>
        </w:rPr>
      </w:pPr>
      <w:r>
        <w:rPr>
          <w:rFonts w:eastAsia="楷体_GB2312"/>
          <w:b/>
          <w:bCs/>
          <w:color w:val="auto"/>
          <w:kern w:val="2"/>
          <w:sz w:val="32"/>
          <w:szCs w:val="32"/>
          <w:lang w:val="en-US" w:eastAsia="zh-CN"/>
        </w:rPr>
        <w:t>（三）</w:t>
      </w:r>
      <w:r>
        <w:rPr>
          <w:rFonts w:eastAsia="楷体_GB2312"/>
          <w:b/>
          <w:bCs/>
          <w:color w:val="auto"/>
          <w:kern w:val="2"/>
          <w:sz w:val="32"/>
          <w:szCs w:val="32"/>
        </w:rPr>
        <w:t>改进建议</w:t>
      </w:r>
    </w:p>
    <w:p>
      <w:pPr>
        <w:keepNext w:val="0"/>
        <w:keepLines w:val="0"/>
        <w:pageBreakBefore w:val="0"/>
        <w:widowControl w:val="0"/>
        <w:suppressLineNumbers w:val="0"/>
        <w:tabs>
          <w:tab w:val="left" w:pos="0"/>
        </w:tabs>
        <w:suppressAutoHyphens w:val="0"/>
        <w:kinsoku/>
        <w:wordWrap/>
        <w:overflowPunct/>
        <w:topLinePunct w:val="0"/>
        <w:autoSpaceDE/>
        <w:autoSpaceDN/>
        <w:bidi w:val="0"/>
        <w:spacing w:line="500" w:lineRule="exact"/>
        <w:ind w:left="0" w:firstLineChars="300" w:firstLine="960"/>
        <w:textAlignment w:val="auto"/>
        <w:rPr>
          <w:rFonts w:eastAsia="仿宋_GB2312"/>
          <w:snapToGrid/>
          <w:color w:val="auto"/>
          <w:spacing w:val="0"/>
          <w:w w:val="100"/>
          <w:kern w:val="2"/>
          <w:position w:val="0"/>
          <w:sz w:val="32"/>
          <w:szCs w:val="32"/>
          <w:u w:val="none"/>
          <w:vertAlign w:val="baseline"/>
          <w:em w:val="none"/>
          <w:lang w:val="en-US" w:eastAsia="zh-CN" w:bidi="ar-SA"/>
        </w:rPr>
      </w:pPr>
      <w:r>
        <w:rPr>
          <w:snapToGrid/>
          <w:color w:val="auto"/>
          <w:spacing w:val="0"/>
          <w:w w:val="100"/>
          <w:kern w:val="2"/>
          <w:position w:val="0"/>
          <w:sz w:val="32"/>
          <w:szCs w:val="32"/>
          <w:u w:val="none"/>
          <w:vertAlign w:val="baseline"/>
          <w:em w:val="none"/>
          <w:lang w:val="en-US" w:eastAsia="zh-CN" w:bidi="ar-SA"/>
        </w:rPr>
        <w:t>1.</w:t>
      </w:r>
      <w:r>
        <w:rPr>
          <w:rFonts w:eastAsia="仿宋_GB2312"/>
          <w:snapToGrid/>
          <w:color w:val="auto"/>
          <w:spacing w:val="0"/>
          <w:w w:val="100"/>
          <w:kern w:val="2"/>
          <w:position w:val="0"/>
          <w:sz w:val="32"/>
          <w:szCs w:val="32"/>
          <w:u w:val="none"/>
          <w:vertAlign w:val="baseline"/>
          <w:em w:val="none"/>
          <w:lang w:val="en-US" w:eastAsia="zh-CN" w:bidi="ar-SA"/>
        </w:rPr>
        <w:t>进一步细化预算编制工作，认真做好预算的编制。进一步加强单位内部机构的预算管理意识，严格按照预算编制的相关制度和要求进行预算编制。预算编制前根据年度内单位可预见的工作任务，确定单位年度预算目标，细化预算指标，科学合理编制部门预算</w:t>
      </w:r>
      <w:r>
        <w:rPr>
          <w:snapToGrid/>
          <w:color w:val="auto"/>
          <w:spacing w:val="0"/>
          <w:w w:val="100"/>
          <w:kern w:val="2"/>
          <w:position w:val="0"/>
          <w:sz w:val="32"/>
          <w:szCs w:val="32"/>
          <w:u w:val="none"/>
          <w:vertAlign w:val="baseline"/>
          <w:em w:val="none"/>
          <w:lang w:val="en-US" w:eastAsia="zh-CN" w:bidi="ar-SA"/>
        </w:rPr>
        <w:t>。</w:t>
      </w:r>
    </w:p>
    <w:p>
      <w:pPr>
        <w:keepNext w:val="0"/>
        <w:keepLines w:val="0"/>
        <w:pageBreakBefore w:val="0"/>
        <w:widowControl w:val="0"/>
        <w:suppressLineNumbers w:val="0"/>
        <w:tabs>
          <w:tab w:val="left" w:pos="0"/>
        </w:tabs>
        <w:suppressAutoHyphens w:val="0"/>
        <w:kinsoku/>
        <w:wordWrap/>
        <w:overflowPunct/>
        <w:topLinePunct w:val="0"/>
        <w:autoSpaceDE/>
        <w:autoSpaceDN/>
        <w:bidi w:val="0"/>
        <w:spacing w:line="500" w:lineRule="exact"/>
        <w:ind w:left="0" w:firstLineChars="200" w:firstLine="640"/>
        <w:textAlignment w:val="auto"/>
        <w:rPr>
          <w:snapToGrid/>
          <w:color w:val="auto"/>
          <w:spacing w:val="0"/>
          <w:w w:val="100"/>
          <w:kern w:val="2"/>
          <w:position w:val="0"/>
          <w:sz w:val="32"/>
          <w:szCs w:val="32"/>
          <w:u w:val="none"/>
          <w:vertAlign w:val="baseline"/>
          <w:em w:val="none"/>
          <w:lang w:val="en-US" w:eastAsia="zh-CN" w:bidi="ar-SA"/>
        </w:rPr>
      </w:pPr>
      <w:r>
        <w:rPr>
          <w:snapToGrid/>
          <w:color w:val="auto"/>
          <w:spacing w:val="0"/>
          <w:w w:val="100"/>
          <w:kern w:val="2"/>
          <w:position w:val="0"/>
          <w:sz w:val="32"/>
          <w:szCs w:val="32"/>
          <w:u w:val="none"/>
          <w:vertAlign w:val="baseline"/>
          <w:em w:val="none"/>
          <w:lang w:val="en-US" w:eastAsia="zh-CN" w:bidi="ar-SA"/>
        </w:rPr>
        <w:t>2.</w:t>
      </w:r>
      <w:r>
        <w:rPr>
          <w:rFonts w:eastAsia="仿宋_GB2312"/>
          <w:snapToGrid/>
          <w:color w:val="auto"/>
          <w:spacing w:val="0"/>
          <w:w w:val="100"/>
          <w:kern w:val="2"/>
          <w:position w:val="0"/>
          <w:sz w:val="32"/>
          <w:szCs w:val="32"/>
          <w:u w:val="none"/>
          <w:vertAlign w:val="baseline"/>
          <w:em w:val="none"/>
          <w:lang w:val="en-US" w:eastAsia="zh-CN" w:bidi="ar-SA"/>
        </w:rPr>
        <w:t>进一步加强经费审核，规范会计核算。严格按照《会计法》、《行政单位会计制度》、《行政单位财务规则》等规定执行财务核算，并结合实际情况，完整、准确地披露相关信息，做到决算与预算相衔接</w:t>
      </w:r>
      <w:r>
        <w:rPr>
          <w:snapToGrid/>
          <w:color w:val="auto"/>
          <w:spacing w:val="0"/>
          <w:w w:val="100"/>
          <w:kern w:val="2"/>
          <w:position w:val="0"/>
          <w:sz w:val="32"/>
          <w:szCs w:val="32"/>
          <w:u w:val="none"/>
          <w:vertAlign w:val="baseline"/>
          <w:em w:val="none"/>
          <w:lang w:val="en-US" w:eastAsia="zh-CN" w:bidi="ar-SA"/>
        </w:rPr>
        <w:t>。</w:t>
      </w:r>
    </w:p>
    <w:p>
      <w:pPr>
        <w:keepNext w:val="0"/>
        <w:keepLines w:val="0"/>
        <w:pageBreakBefore w:val="0"/>
        <w:widowControl w:val="0"/>
        <w:suppressLineNumbers w:val="0"/>
        <w:tabs>
          <w:tab w:val="left" w:pos="0"/>
        </w:tabs>
        <w:suppressAutoHyphens w:val="0"/>
        <w:kinsoku/>
        <w:wordWrap/>
        <w:overflowPunct/>
        <w:topLinePunct w:val="0"/>
        <w:autoSpaceDE/>
        <w:autoSpaceDN/>
        <w:bidi w:val="0"/>
        <w:spacing w:line="500" w:lineRule="exact"/>
        <w:ind w:left="0" w:firstLineChars="200" w:firstLine="640"/>
        <w:textAlignment w:val="auto"/>
        <w:rPr>
          <w:rFonts w:eastAsia="仿宋_GB2312"/>
          <w:snapToGrid/>
          <w:color w:val="auto"/>
          <w:spacing w:val="0"/>
          <w:w w:val="100"/>
          <w:kern w:val="2"/>
          <w:position w:val="0"/>
          <w:sz w:val="32"/>
          <w:szCs w:val="32"/>
          <w:u w:val="none"/>
          <w:vertAlign w:val="baseline"/>
          <w:em w:val="none"/>
          <w:lang w:val="en-US" w:eastAsia="zh-CN" w:bidi="ar-SA"/>
        </w:rPr>
      </w:pPr>
      <w:r>
        <w:rPr>
          <w:snapToGrid/>
          <w:color w:val="auto"/>
          <w:spacing w:val="0"/>
          <w:w w:val="100"/>
          <w:kern w:val="2"/>
          <w:position w:val="0"/>
          <w:sz w:val="32"/>
          <w:szCs w:val="32"/>
          <w:u w:val="none"/>
          <w:vertAlign w:val="baseline"/>
          <w:em w:val="none"/>
          <w:lang w:val="en-US" w:eastAsia="zh-CN" w:bidi="ar-SA"/>
        </w:rPr>
        <w:t>3.</w:t>
      </w:r>
      <w:r>
        <w:rPr>
          <w:rFonts w:eastAsia="仿宋_GB2312"/>
          <w:snapToGrid/>
          <w:color w:val="auto"/>
          <w:spacing w:val="0"/>
          <w:w w:val="100"/>
          <w:kern w:val="2"/>
          <w:position w:val="0"/>
          <w:sz w:val="32"/>
          <w:szCs w:val="32"/>
          <w:u w:val="none"/>
          <w:vertAlign w:val="baseline"/>
          <w:em w:val="none"/>
          <w:lang w:val="en-US" w:eastAsia="zh-CN" w:bidi="ar-SA"/>
        </w:rPr>
        <w:t>进一步加强学习，提高绩效管理意识。组织相关人员认真学习《预算法》及全面预算绩效管理等相关法律、法规、制度，进一步加强财务管理，规范会计核算，提高绩效管理意识，开展项目事前绩效评估、过程绩效监控及事后绩效评价，重视项目实施效果统计分析，使绩效管理理念贯穿于预算管理全过程。</w:t>
      </w:r>
    </w:p>
    <w:p>
      <w:pPr>
        <w:pStyle w:val="37"/>
        <w:keepNext w:val="0"/>
        <w:keepLines w:val="0"/>
        <w:pageBreakBefore w:val="0"/>
        <w:widowControl w:val="0"/>
        <w:kinsoku/>
        <w:wordWrap/>
        <w:overflowPunct/>
        <w:autoSpaceDE/>
        <w:autoSpaceDN/>
        <w:spacing w:line="500" w:lineRule="exact"/>
        <w:ind w:left="0" w:firstLine="631"/>
        <w:rPr>
          <w:kern w:val="0"/>
          <w:szCs w:val="32"/>
        </w:rPr>
      </w:pPr>
      <w:r>
        <w:rPr>
          <w:color w:val="auto"/>
          <w:kern w:val="0"/>
          <w:sz w:val="32"/>
          <w:szCs w:val="32"/>
          <w:lang w:val="en-US" w:eastAsia="zh-CN" w:bidi="ar-SA"/>
        </w:rPr>
        <w:t>特此报告。</w:t>
      </w:r>
    </w:p>
    <w:p>
      <w:pPr>
        <w:pStyle w:val="17"/>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Times New Roman" w:eastAsia="仿宋_GB2312" w:hAnsi="Times New Roman"/>
          <w:kern w:val="2"/>
          <w:sz w:val="32"/>
          <w:szCs w:val="32"/>
          <w:u w:val="none"/>
          <w:lang w:val="zh-CN" w:eastAsia="zh-CN"/>
        </w:rPr>
      </w:pPr>
      <w:r>
        <w:rPr>
          <w:rFonts w:ascii="Times New Roman" w:eastAsia="仿宋_GB2312" w:hAnsi="Times New Roman"/>
          <w:kern w:val="2"/>
          <w:sz w:val="32"/>
          <w:szCs w:val="32"/>
          <w:u w:val="none"/>
          <w:lang w:val="zh-CN" w:eastAsia="zh-CN"/>
        </w:rPr>
        <w:t>附表：</w:t>
      </w:r>
      <w:r>
        <w:rPr>
          <w:rFonts w:ascii="Times New Roman" w:eastAsia="仿宋_GB2312" w:hAnsi="Times New Roman"/>
          <w:kern w:val="2"/>
          <w:sz w:val="32"/>
          <w:szCs w:val="32"/>
          <w:u w:val="none"/>
          <w:lang w:val="en-US" w:eastAsia="zh-CN"/>
        </w:rPr>
        <w:t>部门预算项目支出绩效自评表（2025年度）</w:t>
      </w:r>
    </w:p>
    <w:p>
      <w:pPr>
        <w:pStyle w:val="17"/>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Times New Roman" w:eastAsia="仿宋_GB2312" w:hAnsi="Times New Roman"/>
          <w:b w:val="0"/>
          <w:bCs w:val="0"/>
          <w:kern w:val="0"/>
          <w:position w:val="0"/>
          <w:sz w:val="32"/>
          <w:szCs w:val="32"/>
          <w:lang w:val="en-US" w:eastAsia="zh-CN" w:bidi="ar-SA"/>
          <w:highlight w:val="auto"/>
        </w:rPr>
      </w:pPr>
      <w:r>
        <w:rPr>
          <w:rFonts w:ascii="Times New Roman" w:eastAsia="仿宋_GB2312" w:hAnsi="Times New Roman"/>
          <w:b w:val="0"/>
          <w:bCs w:val="0"/>
          <w:kern w:val="0"/>
          <w:position w:val="0"/>
          <w:sz w:val="32"/>
          <w:szCs w:val="32"/>
          <w:lang w:val="en-US" w:eastAsia="zh-CN" w:bidi="ar-SA"/>
          <w:highlight w:val="auto"/>
        </w:rPr>
        <w:t>（注：部门需公开部门预算绩效自评报告和部门预算项目支出绩效自评表（2025年度），</w:t>
      </w:r>
      <w:r>
        <w:rPr>
          <w:rFonts w:ascii="Times New Roman" w:eastAsia="仿宋_GB2312" w:hAnsi="Times New Roman"/>
          <w:b w:val="0"/>
          <w:sz w:val="32"/>
          <w:szCs w:val="32"/>
          <w:u w:val="none"/>
          <w:lang w:eastAsia="zh-CN"/>
          <w:highlight w:val="auto"/>
        </w:rPr>
        <w:t>部门评价项目数量</w:t>
      </w:r>
      <w:r>
        <w:rPr>
          <w:rFonts w:ascii="Times New Roman" w:hAnsi="Times New Roman"/>
          <w:b w:val="0"/>
          <w:sz w:val="32"/>
          <w:szCs w:val="32"/>
          <w:u w:val="none"/>
          <w:lang w:eastAsia="zh-CN"/>
          <w:highlight w:val="auto"/>
        </w:rPr>
        <w:t>在</w:t>
      </w:r>
      <w:r>
        <w:rPr>
          <w:rFonts w:ascii="Times New Roman" w:eastAsia="仿宋_GB2312" w:hAnsi="Times New Roman"/>
          <w:b w:val="0"/>
          <w:sz w:val="32"/>
          <w:szCs w:val="32"/>
          <w:u w:val="none"/>
          <w:lang w:val="en-US" w:eastAsia="zh-CN"/>
          <w:highlight w:val="auto"/>
        </w:rPr>
        <w:t>3个以内的，</w:t>
      </w:r>
      <w:r>
        <w:rPr>
          <w:rFonts w:ascii="Times New Roman" w:eastAsia="仿宋_GB2312" w:hAnsi="Times New Roman"/>
          <w:sz w:val="32"/>
          <w:szCs w:val="32"/>
          <w:u w:val="none"/>
          <w:highlight w:val="auto"/>
        </w:rPr>
        <w:t>至少将1个部门评价报告向社会公开</w:t>
      </w:r>
      <w:r>
        <w:rPr>
          <w:rFonts w:ascii="Times New Roman" w:eastAsia="仿宋_GB2312" w:hAnsi="Times New Roman"/>
          <w:sz w:val="32"/>
          <w:szCs w:val="32"/>
          <w:u w:val="none"/>
          <w:lang w:eastAsia="zh-CN"/>
          <w:highlight w:val="auto"/>
        </w:rPr>
        <w:t>；</w:t>
      </w:r>
      <w:r>
        <w:rPr>
          <w:rFonts w:ascii="Times New Roman" w:eastAsia="仿宋_GB2312" w:hAnsi="Times New Roman"/>
          <w:b w:val="0"/>
          <w:sz w:val="32"/>
          <w:szCs w:val="32"/>
          <w:u w:val="none"/>
          <w:lang w:eastAsia="zh-CN"/>
          <w:highlight w:val="auto"/>
        </w:rPr>
        <w:t>部门评价项目数量大于</w:t>
      </w:r>
      <w:r>
        <w:rPr>
          <w:rFonts w:ascii="Times New Roman" w:eastAsia="仿宋_GB2312" w:hAnsi="Times New Roman"/>
          <w:b w:val="0"/>
          <w:sz w:val="32"/>
          <w:szCs w:val="32"/>
          <w:u w:val="none"/>
          <w:lang w:val="en-US" w:eastAsia="zh-CN"/>
          <w:highlight w:val="auto"/>
        </w:rPr>
        <w:t>3个的，</w:t>
      </w:r>
      <w:r>
        <w:rPr>
          <w:rFonts w:ascii="Times New Roman" w:eastAsia="仿宋_GB2312" w:hAnsi="Times New Roman"/>
          <w:sz w:val="32"/>
          <w:szCs w:val="32"/>
          <w:u w:val="none"/>
          <w:highlight w:val="auto"/>
        </w:rPr>
        <w:t>至少将</w:t>
      </w:r>
      <w:r>
        <w:rPr>
          <w:rFonts w:ascii="Times New Roman" w:eastAsia="仿宋_GB2312" w:hAnsi="Times New Roman"/>
          <w:sz w:val="32"/>
          <w:szCs w:val="32"/>
          <w:u w:val="none"/>
          <w:lang w:val="en-US" w:eastAsia="zh-CN"/>
          <w:highlight w:val="auto"/>
        </w:rPr>
        <w:t>2</w:t>
      </w:r>
      <w:r>
        <w:rPr>
          <w:rFonts w:ascii="Times New Roman" w:eastAsia="仿宋_GB2312" w:hAnsi="Times New Roman"/>
          <w:sz w:val="32"/>
          <w:szCs w:val="32"/>
          <w:u w:val="none"/>
          <w:highlight w:val="auto"/>
        </w:rPr>
        <w:t>个部门评价报告向社会公开</w:t>
      </w:r>
      <w:r>
        <w:rPr>
          <w:rFonts w:ascii="Times New Roman" w:eastAsia="仿宋_GB2312" w:hAnsi="Times New Roman"/>
          <w:sz w:val="32"/>
          <w:szCs w:val="32"/>
          <w:u w:val="none"/>
          <w:lang w:eastAsia="zh-CN"/>
          <w:highlight w:val="auto"/>
        </w:rPr>
        <w:t>。</w:t>
      </w:r>
      <w:r>
        <w:rPr>
          <w:rFonts w:ascii="Times New Roman" w:eastAsia="仿宋_GB2312" w:hAnsi="Times New Roman"/>
          <w:b w:val="0"/>
          <w:bCs w:val="0"/>
          <w:kern w:val="0"/>
          <w:position w:val="0"/>
          <w:sz w:val="32"/>
          <w:szCs w:val="32"/>
          <w:lang w:val="en-US" w:eastAsia="zh-CN" w:bidi="ar-SA"/>
          <w:highlight w:val="auto"/>
        </w:rPr>
        <w:t>各下属单位需公开部门预算项目支出绩效自评表（2025年度）。</w:t>
      </w:r>
    </w:p>
    <w:p>
      <w:pPr>
        <w:pStyle w:val="17"/>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Times New Roman" w:eastAsia="仿宋_GB2312" w:hAnsi="Times New Roman"/>
          <w:b w:val="0"/>
          <w:bCs w:val="0"/>
          <w:kern w:val="0"/>
          <w:position w:val="0"/>
          <w:sz w:val="32"/>
          <w:szCs w:val="32"/>
          <w:lang w:val="zh-CN" w:eastAsia="zh-CN" w:bidi="ar-SA"/>
          <w:highlight w:val="auto"/>
        </w:rPr>
      </w:pPr>
      <w:r>
        <w:rPr>
          <w:rFonts w:ascii="Times New Roman" w:eastAsia="仿宋_GB2312" w:hAnsi="Times New Roman"/>
          <w:b w:val="0"/>
          <w:bCs w:val="0"/>
          <w:kern w:val="0"/>
          <w:position w:val="0"/>
          <w:sz w:val="32"/>
          <w:szCs w:val="32"/>
          <w:lang w:val="en-US" w:eastAsia="zh-CN" w:bidi="ar-SA"/>
          <w:highlight w:val="auto"/>
        </w:rPr>
        <w:t>部门预算项目支出绩效自评表（2025年度）为各部门在预算管理一体化系统绩效自评模块上传的表格，该表格应作为附表予以公开）</w:t>
      </w:r>
    </w:p>
    <w:p>
      <w:pPr>
        <w:pStyle w:val="17"/>
        <w:keepNext w:val="0"/>
        <w:keepLines w:val="0"/>
        <w:pageBreakBefore w:val="0"/>
        <w:widowControl w:val="0"/>
        <w:kinsoku/>
        <w:wordWrap/>
        <w:overflowPunct/>
        <w:topLinePunct w:val="0"/>
        <w:autoSpaceDE/>
        <w:autoSpaceDN/>
        <w:bidi w:val="0"/>
        <w:spacing w:line="560" w:lineRule="exact"/>
        <w:textAlignment w:val="auto"/>
        <w:rPr>
          <w:rFonts w:ascii="Times New Roman" w:hAnsi="Times New Roman"/>
          <w:sz w:val="32"/>
          <w:szCs w:val="32"/>
          <w:lang w:val="zh-CN" w:eastAsia="zh-CN"/>
          <w:highlight w:val="yellow"/>
        </w:rPr>
      </w:pPr>
    </w:p>
    <w:p>
      <w:pPr>
        <w:pStyle w:val="18"/>
        <w:rPr>
          <w:rFonts w:ascii="Times New Roman" w:hAnsi="Times New Roman"/>
          <w:color w:val="FF0000"/>
          <w:kern w:val="0"/>
          <w:sz w:val="32"/>
          <w:szCs w:val="32"/>
          <w:shd w:val="clear" w:color="auto" w:fill="FFFFFF"/>
          <w:lang w:val="zh-CN"/>
          <w:highlight w:val="yellow"/>
        </w:rPr>
      </w:pPr>
    </w:p>
    <w:p>
      <w:pPr>
        <w:rPr>
          <w:rFonts w:eastAsia="黑体"/>
          <w:color w:val="auto"/>
          <w:kern w:val="0"/>
          <w:sz w:val="32"/>
          <w:szCs w:val="32"/>
          <w:shd w:val="clear" w:color="auto" w:fill="FFFFFF"/>
          <w:lang w:val="zh-CN"/>
          <w:highlight w:val="auto"/>
        </w:rPr>
      </w:pPr>
      <w:r>
        <w:rPr>
          <w:rFonts w:eastAsia="黑体"/>
          <w:color w:val="auto"/>
          <w:kern w:val="0"/>
          <w:sz w:val="32"/>
          <w:szCs w:val="32"/>
          <w:shd w:val="clear" w:color="auto" w:fill="FFFFFF"/>
          <w:lang w:val="zh-CN"/>
          <w:highlight w:val="auto"/>
        </w:rPr>
        <w:br w:type="page"/>
      </w:r>
    </w:p>
    <w:p>
      <w:pPr>
        <w:pStyle w:val="35"/>
        <w:keepNext w:val="0"/>
        <w:keepLines w:val="0"/>
        <w:pageBreakBefore w:val="0"/>
        <w:widowControl w:val="0"/>
        <w:kinsoku/>
        <w:wordWrap/>
        <w:overflowPunct/>
        <w:topLinePunct w:val="0"/>
        <w:autoSpaceDE/>
        <w:autoSpaceDN/>
        <w:bidi w:val="0"/>
        <w:spacing w:line="578" w:lineRule="exact"/>
        <w:ind w:left="0"/>
        <w:textAlignment w:val="auto"/>
        <w:rPr>
          <w:rFonts w:ascii="Times New Roman" w:eastAsia="黑体" w:hAnsi="Times New Roman"/>
          <w:color w:val="auto"/>
          <w:kern w:val="0"/>
          <w:sz w:val="32"/>
          <w:szCs w:val="32"/>
          <w:shd w:val="clear" w:color="auto" w:fill="FFFFFF"/>
          <w:lang w:val="en-US" w:eastAsia="zh-CN"/>
          <w:highlight w:val="auto"/>
        </w:rPr>
      </w:pPr>
      <w:r>
        <w:rPr>
          <w:rFonts w:ascii="Times New Roman" w:eastAsia="黑体" w:hAnsi="Times New Roman"/>
          <w:color w:val="auto"/>
          <w:kern w:val="0"/>
          <w:sz w:val="32"/>
          <w:szCs w:val="32"/>
          <w:shd w:val="clear" w:color="auto" w:fill="FFFFFF"/>
          <w:lang w:val="zh-CN"/>
          <w:highlight w:val="auto"/>
        </w:rPr>
        <w:t>附件</w:t>
      </w:r>
      <w:r>
        <w:rPr>
          <w:rFonts w:ascii="Times New Roman" w:eastAsia="黑体" w:hAnsi="Times New Roman"/>
          <w:color w:val="auto"/>
          <w:kern w:val="0"/>
          <w:sz w:val="32"/>
          <w:szCs w:val="32"/>
          <w:shd w:val="clear" w:color="auto" w:fill="FFFFFF"/>
          <w:lang w:val="en-US" w:eastAsia="zh-CN"/>
          <w:highlight w:val="auto"/>
        </w:rPr>
        <w:t>2</w:t>
      </w:r>
    </w:p>
    <w:p>
      <w:pPr>
        <w:pStyle w:val="35"/>
        <w:keepNext w:val="0"/>
        <w:keepLines w:val="0"/>
        <w:pageBreakBefore w:val="0"/>
        <w:widowControl w:val="0"/>
        <w:kinsoku/>
        <w:wordWrap/>
        <w:overflowPunct/>
        <w:topLinePunct w:val="0"/>
        <w:autoSpaceDE/>
        <w:autoSpaceDN/>
        <w:bidi w:val="0"/>
        <w:spacing w:line="578" w:lineRule="exact"/>
        <w:ind w:left="0"/>
        <w:jc w:val="center"/>
        <w:textAlignment w:val="auto"/>
        <w:rPr>
          <w:rFonts w:ascii="Times New Roman" w:eastAsia="方正小标宋简体" w:hAnsi="Times New Roman"/>
          <w:color w:val="auto"/>
          <w:kern w:val="2"/>
          <w:sz w:val="44"/>
          <w:szCs w:val="44"/>
          <w:lang w:val="en-US" w:eastAsia="zh-CN"/>
          <w:highlight w:val="auto"/>
        </w:rPr>
      </w:pPr>
      <w:r>
        <w:rPr>
          <w:rFonts w:ascii="Times New Roman" w:eastAsia="方正小标宋简体" w:hAnsi="Times New Roman"/>
          <w:color w:val="auto"/>
          <w:kern w:val="2"/>
          <w:sz w:val="44"/>
          <w:szCs w:val="44"/>
          <w:lang w:val="en-US" w:eastAsia="zh-CN"/>
          <w:highlight w:val="auto"/>
        </w:rPr>
        <w:t>大熊猫国家公园阿坝管理分局</w:t>
      </w:r>
    </w:p>
    <w:p>
      <w:pPr>
        <w:pStyle w:val="35"/>
        <w:keepNext w:val="0"/>
        <w:keepLines w:val="0"/>
        <w:pageBreakBefore w:val="0"/>
        <w:widowControl w:val="0"/>
        <w:kinsoku/>
        <w:wordWrap/>
        <w:overflowPunct/>
        <w:topLinePunct w:val="0"/>
        <w:autoSpaceDE/>
        <w:autoSpaceDN/>
        <w:bidi w:val="0"/>
        <w:spacing w:line="578" w:lineRule="exact"/>
        <w:ind w:left="0"/>
        <w:jc w:val="center"/>
        <w:textAlignment w:val="auto"/>
        <w:rPr>
          <w:rFonts w:ascii="Times New Roman" w:eastAsia="方正小标宋简体" w:hAnsi="Times New Roman"/>
          <w:color w:val="auto"/>
          <w:kern w:val="2"/>
          <w:sz w:val="44"/>
          <w:szCs w:val="44"/>
          <w:lang w:val="en-US" w:eastAsia="zh-CN"/>
          <w:highlight w:val="auto"/>
        </w:rPr>
      </w:pPr>
      <w:r>
        <w:rPr>
          <w:rFonts w:ascii="Times New Roman" w:eastAsia="方正小标宋简体" w:hAnsi="Times New Roman"/>
          <w:color w:val="auto"/>
          <w:kern w:val="2"/>
          <w:sz w:val="44"/>
          <w:szCs w:val="44"/>
          <w:lang w:val="en-US" w:eastAsia="zh-CN"/>
          <w:highlight w:val="auto"/>
        </w:rPr>
        <w:t>专项预算绩效自评报告</w:t>
      </w:r>
    </w:p>
    <w:p>
      <w:pPr>
        <w:pStyle w:val="35"/>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Times New Roman" w:hAnsi="Times New Roman"/>
          <w:color w:val="auto"/>
          <w:kern w:val="2"/>
          <w:sz w:val="32"/>
          <w:szCs w:val="32"/>
          <w:highlight w:val="auto"/>
        </w:rPr>
      </w:pP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eastAsia="黑体"/>
          <w:sz w:val="32"/>
          <w:szCs w:val="32"/>
          <w:shd w:val="clear" w:color="auto" w:fill="auto"/>
          <w:lang w:val="zh-CN"/>
          <w:highlight w:val="auto"/>
        </w:rPr>
      </w:pPr>
      <w:r>
        <w:rPr>
          <w:rFonts w:eastAsia="黑体"/>
          <w:sz w:val="32"/>
          <w:szCs w:val="32"/>
          <w:shd w:val="clear" w:color="auto" w:fill="auto"/>
          <w:lang w:val="zh-CN"/>
          <w:highlight w:val="auto"/>
        </w:rPr>
        <w:t>一、项目概况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rPr>
          <w:rFonts w:eastAsia="楷体_GB2312"/>
          <w:b/>
          <w:color w:val="auto"/>
          <w:sz w:val="32"/>
          <w:szCs w:val="32"/>
          <w:u w:val="none"/>
          <w:lang w:val="zh-CN"/>
          <w:highlight w:val="auto"/>
        </w:rPr>
      </w:pPr>
      <w:r>
        <w:rPr>
          <w:rFonts w:eastAsia="楷体_GB2312"/>
          <w:b/>
          <w:color w:val="auto"/>
          <w:sz w:val="32"/>
          <w:szCs w:val="32"/>
          <w:u w:val="none"/>
          <w:lang w:val="zh-CN"/>
          <w:highlight w:val="auto"/>
        </w:rPr>
        <w:t>（一）设立背景及基本情况。</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rPr>
          <w:rFonts w:eastAsia="仿宋_GB2312"/>
          <w:sz w:val="32"/>
          <w:szCs w:val="32"/>
          <w:lang w:val="en-US" w:eastAsia="zh-CN"/>
        </w:rPr>
      </w:pPr>
      <w:r>
        <w:rPr>
          <w:rFonts w:eastAsia="仿宋_GB2312"/>
          <w:sz w:val="32"/>
          <w:szCs w:val="32"/>
        </w:rPr>
        <w:t>疫病是影响大熊猫及其他野生动物健康的重要因素之一。了解掌握大熊猫疫源疫病的基本情况是保护大熊猫等野生动物及大熊猫国家公园周边社区人畜安全的重要前提。通过近几十年的保护努力，我国大熊猫野外种群数量稳步增加。与此同时大熊猫与其他野生动物相互</w:t>
      </w:r>
      <w:r>
        <w:rPr>
          <w:rFonts w:eastAsia="仿宋_GB2312"/>
          <w:sz w:val="32"/>
          <w:szCs w:val="32"/>
          <w:lang w:val="en-US" w:eastAsia="zh-CN"/>
        </w:rPr>
        <w:t>接触机会增多，大规模疫源疫病传播和流行疾病发生风险增加，其中细小病毒（CPV）、犬瘟病毒（CDV）、轮状病毒（NOV）、冠状病毒（RV）及西氏贝蛔虫等对大熊猫种群安全产生了严重威胁。因此，开展流行病学调查，掌握重要疫</w:t>
      </w:r>
      <w:r>
        <w:rPr>
          <w:sz w:val="32"/>
          <w:szCs w:val="32"/>
          <w:lang w:val="en-US" w:eastAsia="zh-CN"/>
        </w:rPr>
        <w:t>源</w:t>
      </w:r>
      <w:r>
        <w:rPr>
          <w:rFonts w:eastAsia="仿宋_GB2312"/>
          <w:sz w:val="32"/>
          <w:szCs w:val="32"/>
          <w:lang w:val="en-US" w:eastAsia="zh-CN"/>
        </w:rPr>
        <w:t>流行及分布情况，构建片区疫</w:t>
      </w:r>
      <w:r>
        <w:rPr>
          <w:sz w:val="32"/>
          <w:szCs w:val="32"/>
          <w:lang w:val="en-US" w:eastAsia="zh-CN"/>
        </w:rPr>
        <w:t>源</w:t>
      </w:r>
      <w:r>
        <w:rPr>
          <w:rFonts w:eastAsia="仿宋_GB2312"/>
          <w:sz w:val="32"/>
          <w:szCs w:val="32"/>
          <w:lang w:val="en-US" w:eastAsia="zh-CN"/>
        </w:rPr>
        <w:t>数据库，建立有效的疫源疫病防控体系对于片区大熊猫的保护具有重要意义。</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eastAsia="楷体_GB2312"/>
          <w:b/>
          <w:color w:val="auto"/>
          <w:sz w:val="32"/>
          <w:szCs w:val="32"/>
          <w:u w:val="none"/>
          <w:lang w:val="en-US" w:eastAsia="zh-CN"/>
          <w:highlight w:val="auto"/>
        </w:rPr>
      </w:pPr>
      <w:r>
        <w:rPr>
          <w:rFonts w:eastAsia="楷体_GB2312"/>
          <w:b/>
          <w:color w:val="auto"/>
          <w:sz w:val="32"/>
          <w:szCs w:val="32"/>
          <w:u w:val="none"/>
          <w:lang w:val="zh-CN"/>
          <w:highlight w:val="auto"/>
        </w:rPr>
        <w:t>（二）</w:t>
      </w:r>
      <w:r>
        <w:rPr>
          <w:rFonts w:eastAsia="楷体_GB2312"/>
          <w:b/>
          <w:color w:val="auto"/>
          <w:sz w:val="32"/>
          <w:szCs w:val="32"/>
          <w:u w:val="none"/>
          <w:lang w:val="en-US" w:eastAsia="zh-CN"/>
          <w:highlight w:val="auto"/>
        </w:rPr>
        <w:t>实施目的及支持方向。</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rPr>
          <w:rFonts w:eastAsia="仿宋_GB2312"/>
          <w:sz w:val="32"/>
          <w:szCs w:val="32"/>
          <w:lang w:val="en-US" w:eastAsia="zh-CN"/>
        </w:rPr>
      </w:pPr>
      <w:r>
        <w:rPr>
          <w:rFonts w:eastAsia="仿宋_GB2312"/>
          <w:sz w:val="32"/>
          <w:szCs w:val="32"/>
          <w:lang w:val="en-US" w:eastAsia="zh-CN"/>
        </w:rPr>
        <w:t>大熊猫国家公园阿坝片区范围内大熊猫等野生动物及</w:t>
      </w:r>
      <w:r>
        <w:rPr>
          <w:sz w:val="32"/>
          <w:szCs w:val="32"/>
          <w:lang w:val="en-US" w:eastAsia="zh-CN"/>
        </w:rPr>
        <w:t>邻近</w:t>
      </w:r>
      <w:r>
        <w:rPr>
          <w:rFonts w:eastAsia="仿宋_GB2312"/>
          <w:sz w:val="32"/>
          <w:szCs w:val="32"/>
          <w:lang w:val="en-US" w:eastAsia="zh-CN"/>
        </w:rPr>
        <w:t>区家养动物开展主要疾病的流行病学调查，掌握片区内大熊猫主要</w:t>
      </w:r>
      <w:r>
        <w:rPr>
          <w:rFonts w:eastAsia="仿宋_GB2312"/>
          <w:sz w:val="32"/>
          <w:szCs w:val="32"/>
        </w:rPr>
        <w:t>疫源</w:t>
      </w:r>
      <w:r>
        <w:rPr>
          <w:rFonts w:eastAsia="仿宋_GB2312"/>
          <w:sz w:val="32"/>
          <w:szCs w:val="32"/>
          <w:lang w:val="en-US" w:eastAsia="zh-CN"/>
        </w:rPr>
        <w:t>及疫病流行情况，形成疫病疫源本底数据库；根据区域内疫源疫病的流行情况，有针对性地提出大熊猫国家公园阿坝片区大熊猫疫源疫病防控体系建设方案；同时对区域内基层巡护人员开展技能培训，逐步构建一支具备</w:t>
      </w:r>
      <w:r>
        <w:rPr>
          <w:rFonts w:eastAsia="仿宋_GB2312"/>
          <w:sz w:val="32"/>
          <w:szCs w:val="32"/>
        </w:rPr>
        <w:t>疫源</w:t>
      </w:r>
      <w:r>
        <w:rPr>
          <w:rFonts w:eastAsia="仿宋_GB2312"/>
          <w:sz w:val="32"/>
          <w:szCs w:val="32"/>
          <w:lang w:val="en-US" w:eastAsia="zh-CN"/>
        </w:rPr>
        <w:t>疫病防控基本技能的保护队伍。</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rPr>
          <w:rFonts w:eastAsia="楷体_GB2312"/>
          <w:b/>
          <w:color w:val="auto"/>
          <w:sz w:val="32"/>
          <w:szCs w:val="32"/>
          <w:u w:val="none"/>
          <w:lang w:val="zh-CN" w:eastAsia="zh-CN"/>
          <w:highlight w:val="auto"/>
        </w:rPr>
      </w:pPr>
      <w:r>
        <w:rPr>
          <w:rFonts w:eastAsia="楷体_GB2312"/>
          <w:b/>
          <w:color w:val="auto"/>
          <w:sz w:val="32"/>
          <w:szCs w:val="32"/>
          <w:u w:val="none"/>
          <w:lang w:val="zh-CN" w:eastAsia="zh-CN"/>
          <w:highlight w:val="auto"/>
        </w:rPr>
        <w:t>（三）</w:t>
      </w:r>
      <w:r>
        <w:rPr>
          <w:rFonts w:eastAsia="楷体_GB2312"/>
          <w:b/>
          <w:color w:val="auto"/>
          <w:sz w:val="32"/>
          <w:szCs w:val="32"/>
          <w:u w:val="none"/>
          <w:lang w:val="en-US" w:eastAsia="zh-CN"/>
          <w:highlight w:val="auto"/>
        </w:rPr>
        <w:t>预算安排及分配管理</w:t>
      </w:r>
      <w:r>
        <w:rPr>
          <w:rFonts w:eastAsia="楷体_GB2312"/>
          <w:b/>
          <w:color w:val="auto"/>
          <w:sz w:val="32"/>
          <w:szCs w:val="32"/>
          <w:u w:val="none"/>
          <w:lang w:val="zh-CN" w:eastAsia="zh-CN"/>
          <w:highlight w:val="auto"/>
        </w:rPr>
        <w:t>。</w:t>
      </w:r>
    </w:p>
    <w:p>
      <w:pPr>
        <w:spacing w:line="560" w:lineRule="exact"/>
        <w:ind w:firstLineChars="200" w:firstLine="640"/>
        <w:rPr>
          <w:rFonts w:eastAsia="仿宋_GB2312"/>
          <w:sz w:val="32"/>
          <w:szCs w:val="32"/>
          <w:highlight w:val="auto"/>
        </w:rPr>
      </w:pPr>
      <w:r>
        <w:rPr>
          <w:rFonts w:eastAsia="仿宋_GB2312"/>
          <w:b w:val="0"/>
          <w:bCs w:val="0"/>
          <w:sz w:val="32"/>
          <w:szCs w:val="32"/>
          <w:lang w:val="en-US" w:eastAsia="zh-CN"/>
        </w:rPr>
        <w:t>根据采购法相关规定，本项目拟采用竞争性磋商方式进</w:t>
      </w:r>
      <w:r>
        <w:rPr>
          <w:rFonts w:eastAsia="仿宋_GB2312"/>
          <w:sz w:val="32"/>
          <w:szCs w:val="32"/>
        </w:rPr>
        <w:t>行采购，最终由政府采购管理部门审定为准。资金下达后严格按照政府采购等程序要求规范项目招投标程序，依法依规开展项目建设。按要求做好设施设备出入库登记，强化资产登记管理。</w:t>
      </w:r>
    </w:p>
    <w:p>
      <w:pPr>
        <w:adjustRightInd w:val="0"/>
        <w:snapToGrid w:val="0"/>
        <w:spacing w:line="520" w:lineRule="exact"/>
        <w:ind w:firstLineChars="200" w:firstLine="640"/>
        <w:rPr>
          <w:rFonts w:eastAsia="楷体_GB2312"/>
          <w:b/>
          <w:color w:val="auto"/>
          <w:sz w:val="32"/>
          <w:szCs w:val="32"/>
          <w:u w:val="none"/>
          <w:lang w:val="zh-CN" w:eastAsia="zh-CN"/>
          <w:highlight w:val="auto"/>
        </w:rPr>
      </w:pPr>
      <w:r>
        <w:rPr>
          <w:rFonts w:eastAsia="楷体_GB2312"/>
          <w:b/>
          <w:color w:val="auto"/>
          <w:sz w:val="32"/>
          <w:szCs w:val="32"/>
          <w:u w:val="none"/>
          <w:lang w:val="zh-CN" w:eastAsia="zh-CN"/>
          <w:highlight w:val="auto"/>
        </w:rPr>
        <w:t>（四）项目绩效目标设置。</w:t>
      </w:r>
    </w:p>
    <w:p>
      <w:pPr>
        <w:adjustRightInd w:val="0"/>
        <w:snapToGrid w:val="0"/>
        <w:spacing w:line="520" w:lineRule="exact"/>
        <w:ind w:firstLineChars="200" w:firstLine="640"/>
        <w:rPr>
          <w:rFonts w:eastAsia="仿宋"/>
          <w:sz w:val="32"/>
          <w:szCs w:val="32"/>
        </w:rPr>
      </w:pPr>
      <w:r>
        <w:rPr>
          <w:rFonts w:eastAsia="仿宋_GB2312"/>
          <w:sz w:val="32"/>
          <w:szCs w:val="32"/>
        </w:rPr>
        <w:t>本项目主要设置4项一级指标，7项二级指标，评估内容包括绩效目标和绩效指标是否量化可考核，全面完整，与</w:t>
      </w:r>
      <w:r>
        <w:rPr>
          <w:rFonts w:eastAsia="仿宋"/>
          <w:sz w:val="32"/>
          <w:szCs w:val="32"/>
        </w:rPr>
        <w:t>部门</w:t>
      </w:r>
      <w:r>
        <w:rPr>
          <w:rFonts w:eastAsia="仿宋_GB2312"/>
          <w:sz w:val="32"/>
          <w:szCs w:val="32"/>
        </w:rPr>
        <w:t>长期规划目标、年度工作目标相一致</w:t>
      </w:r>
      <w:r>
        <w:rPr>
          <w:rFonts w:eastAsia="仿宋"/>
          <w:sz w:val="32"/>
          <w:szCs w:val="32"/>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outlineLvl w:val="9"/>
        <w:rPr>
          <w:rFonts w:eastAsia="黑体"/>
          <w:sz w:val="32"/>
          <w:szCs w:val="32"/>
          <w:shd w:val="clear" w:color="auto" w:fill="auto"/>
          <w:lang w:val="zh-CN" w:eastAsia="zh-CN"/>
          <w:highlight w:val="auto"/>
        </w:rPr>
      </w:pPr>
      <w:r>
        <w:rPr>
          <w:rFonts w:eastAsia="黑体"/>
          <w:sz w:val="32"/>
          <w:szCs w:val="32"/>
          <w:shd w:val="clear" w:color="auto" w:fill="auto"/>
          <w:lang w:val="zh-CN"/>
          <w:highlight w:val="auto"/>
        </w:rPr>
        <w:t>二、</w:t>
      </w:r>
      <w:r>
        <w:rPr>
          <w:rFonts w:eastAsia="黑体"/>
          <w:sz w:val="32"/>
          <w:szCs w:val="32"/>
          <w:shd w:val="clear" w:color="auto" w:fill="auto"/>
          <w:lang w:val="zh-CN" w:eastAsia="zh-CN"/>
          <w:highlight w:val="auto"/>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楷体_GB2312"/>
          <w:b/>
          <w:color w:val="auto"/>
          <w:sz w:val="32"/>
          <w:szCs w:val="32"/>
          <w:u w:val="none"/>
          <w:lang w:val="zh-CN"/>
          <w:highlight w:val="auto"/>
        </w:rPr>
      </w:pPr>
      <w:r>
        <w:rPr>
          <w:rFonts w:eastAsia="楷体_GB2312"/>
          <w:b/>
          <w:color w:val="auto"/>
          <w:sz w:val="32"/>
          <w:szCs w:val="32"/>
          <w:u w:val="none"/>
          <w:lang w:val="zh-CN"/>
          <w:highlight w:val="auto"/>
        </w:rPr>
        <w:t>（一）评价目的。</w:t>
      </w:r>
    </w:p>
    <w:p>
      <w:pPr>
        <w:spacing w:line="560" w:lineRule="exact"/>
        <w:ind w:firstLineChars="200" w:firstLine="640"/>
        <w:outlineLvl w:val="0"/>
        <w:rPr>
          <w:rFonts w:eastAsia="仿宋_GB2312"/>
          <w:szCs w:val="32"/>
          <w:lang w:val="en-US" w:eastAsia="zh-CN"/>
        </w:rPr>
      </w:pPr>
      <w:r>
        <w:rPr>
          <w:rFonts w:eastAsia="仿宋_GB2312"/>
          <w:sz w:val="32"/>
          <w:szCs w:val="32"/>
        </w:rPr>
        <w:t>通过自评，检查项目是否按照预期的目标和计划进行，资源的使用是否有效，及时发现问题和不足并调整措施，‌提高执行效率和绩效水平确保项目能够按照预期目标顺利完成，同时提高组织的整体管理效率和效果，提高资金管理水平和使用效益。</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eastAsia="楷体_GB2312"/>
          <w:b/>
          <w:color w:val="auto"/>
          <w:sz w:val="32"/>
          <w:szCs w:val="32"/>
          <w:u w:val="none"/>
          <w:lang w:val="zh-CN"/>
          <w:highlight w:val="auto"/>
        </w:rPr>
      </w:pPr>
      <w:r>
        <w:rPr>
          <w:rFonts w:eastAsia="楷体_GB2312"/>
          <w:b/>
          <w:color w:val="auto"/>
          <w:sz w:val="32"/>
          <w:szCs w:val="32"/>
          <w:u w:val="none"/>
          <w:lang w:val="zh-CN"/>
          <w:highlight w:val="auto"/>
        </w:rPr>
        <w:t>（二）预设问题及评价重点。</w:t>
      </w:r>
    </w:p>
    <w:p>
      <w:pPr>
        <w:keepNext w:val="0"/>
        <w:keepLines w:val="0"/>
        <w:pageBreakBefore w:val="0"/>
        <w:widowControl w:val="0"/>
        <w:kinsoku/>
        <w:wordWrap/>
        <w:overflowPunct/>
        <w:topLinePunct w:val="0"/>
        <w:autoSpaceDE/>
        <w:autoSpaceDN/>
        <w:adjustRightInd w:val="0"/>
        <w:snapToGrid w:val="0"/>
        <w:spacing w:line="578" w:lineRule="exact"/>
        <w:ind w:left="0" w:firstLineChars="200" w:firstLine="640"/>
        <w:rPr>
          <w:rFonts w:eastAsia="仿宋_GB2312"/>
          <w:szCs w:val="32"/>
          <w:lang w:val="en-US" w:eastAsia="zh-CN"/>
        </w:rPr>
      </w:pPr>
      <w:r>
        <w:rPr>
          <w:rFonts w:eastAsia="仿宋_GB2312"/>
          <w:sz w:val="32"/>
          <w:szCs w:val="32"/>
        </w:rPr>
        <w:t>项目资金</w:t>
      </w:r>
      <w:r>
        <w:rPr>
          <w:rFonts w:eastAsia="仿宋_GB2312"/>
          <w:b w:val="0"/>
          <w:bCs w:val="0"/>
          <w:sz w:val="32"/>
          <w:szCs w:val="32"/>
          <w:lang w:val="en-US" w:eastAsia="zh-CN"/>
        </w:rPr>
        <w:t>来源于2025年中央财政林业草原生态保护恢复（国家公园补助）资金</w:t>
      </w:r>
      <w:r>
        <w:rPr>
          <w:b w:val="0"/>
          <w:bCs w:val="0"/>
          <w:sz w:val="32"/>
          <w:szCs w:val="32"/>
          <w:lang w:val="en-US" w:eastAsia="zh-CN"/>
        </w:rPr>
        <w:t>，</w:t>
      </w:r>
      <w:r>
        <w:rPr>
          <w:rFonts w:eastAsia="仿宋_GB2312"/>
          <w:sz w:val="32"/>
          <w:szCs w:val="32"/>
        </w:rPr>
        <w:t>专款专用、单独建帐、单独核算，在资金使用中严格执行国家财务管理制度，编制专项报表，严格资金的审批和使用，</w:t>
      </w:r>
      <w:r>
        <w:rPr>
          <w:rFonts w:eastAsia="仿宋_GB2312"/>
          <w:sz w:val="32"/>
          <w:szCs w:val="32"/>
          <w:lang w:bidi="ar-SA"/>
        </w:rPr>
        <w:t>资金使用规范，会计核算结果真实、准确，自评过程中未发现有截留、挤占或挪用项目资金的情况</w:t>
      </w:r>
      <w:r>
        <w:rPr>
          <w:sz w:val="32"/>
          <w:szCs w:val="32"/>
          <w:lang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eastAsia="楷体_GB2312"/>
          <w:b/>
          <w:color w:val="auto"/>
          <w:sz w:val="32"/>
          <w:szCs w:val="32"/>
          <w:u w:val="none"/>
          <w:lang w:val="zh-CN"/>
          <w:highlight w:val="auto"/>
        </w:rPr>
      </w:pPr>
      <w:r>
        <w:rPr>
          <w:rFonts w:eastAsia="楷体_GB2312"/>
          <w:b/>
          <w:color w:val="auto"/>
          <w:sz w:val="32"/>
          <w:szCs w:val="32"/>
          <w:u w:val="none"/>
          <w:lang w:val="zh-CN"/>
          <w:highlight w:val="auto"/>
        </w:rPr>
        <w:t>（三）评价选点。</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szCs w:val="32"/>
          <w:lang w:val="zh-CN" w:eastAsia="zh-CN"/>
        </w:rPr>
      </w:pPr>
      <w:r>
        <w:rPr>
          <w:rFonts w:eastAsia="仿宋_GB2312"/>
          <w:bCs/>
          <w:color w:val="auto"/>
          <w:sz w:val="32"/>
          <w:szCs w:val="32"/>
          <w:u w:val="none"/>
          <w:lang w:val="en-US" w:eastAsia="zh-CN" w:bidi="ar-SA"/>
          <w:highlight w:val="auto"/>
        </w:rPr>
        <w:t>本</w:t>
      </w:r>
      <w:r>
        <w:rPr>
          <w:rFonts w:eastAsia="仿宋_GB2312"/>
          <w:bCs/>
          <w:color w:val="auto"/>
          <w:kern w:val="0"/>
          <w:sz w:val="32"/>
          <w:szCs w:val="32"/>
          <w:u w:val="none"/>
          <w:shd w:val="clear" w:color="auto" w:fill="FFFFFF"/>
          <w:lang w:val="zh-CN" w:eastAsia="zh-CN" w:bidi="ar-SA"/>
          <w:highlight w:val="auto"/>
        </w:rPr>
        <w:t>项</w:t>
      </w:r>
      <w:r>
        <w:rPr>
          <w:color w:val="auto"/>
          <w:kern w:val="0"/>
          <w:sz w:val="32"/>
          <w:szCs w:val="32"/>
          <w:u w:val="none"/>
          <w:shd w:val="clear" w:color="auto" w:fill="FFFFFF"/>
          <w:lang w:val="zh-CN" w:eastAsia="zh-CN" w:bidi="ar-SA"/>
          <w:highlight w:val="auto"/>
        </w:rPr>
        <w:t>目</w:t>
      </w:r>
      <w:r>
        <w:rPr>
          <w:color w:val="auto"/>
          <w:kern w:val="0"/>
          <w:sz w:val="32"/>
          <w:szCs w:val="32"/>
          <w:u w:val="none"/>
          <w:shd w:val="clear" w:color="auto" w:fill="FFFFFF"/>
          <w:lang w:val="en-US" w:eastAsia="zh-CN" w:bidi="ar-SA"/>
          <w:highlight w:val="auto"/>
        </w:rPr>
        <w:t>分局落实专人全程开展采购工作，实时跟踪汇报项目建设进度。</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楷体_GB2312"/>
          <w:b/>
          <w:color w:val="auto"/>
          <w:sz w:val="32"/>
          <w:szCs w:val="32"/>
          <w:u w:val="none"/>
          <w:lang w:val="zh-CN"/>
          <w:highlight w:val="auto"/>
        </w:rPr>
      </w:pPr>
      <w:r>
        <w:rPr>
          <w:rFonts w:eastAsia="楷体_GB2312"/>
          <w:b/>
          <w:color w:val="auto"/>
          <w:sz w:val="32"/>
          <w:szCs w:val="32"/>
          <w:u w:val="none"/>
          <w:lang w:val="zh-CN"/>
          <w:highlight w:val="auto"/>
        </w:rPr>
        <w:t>（四）评价方法。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szCs w:val="32"/>
          <w:lang w:eastAsia="zh-CN"/>
        </w:rPr>
      </w:pPr>
      <w:r>
        <w:rPr>
          <w:rFonts w:eastAsia="仿宋_GB2312"/>
          <w:sz w:val="32"/>
          <w:szCs w:val="32"/>
        </w:rPr>
        <w:t>分局组织</w:t>
      </w:r>
      <w:r>
        <w:rPr>
          <w:sz w:val="32"/>
          <w:szCs w:val="32"/>
          <w:lang w:val="en-US" w:eastAsia="zh-CN"/>
        </w:rPr>
        <w:t>采购小组及验收小组</w:t>
      </w:r>
      <w:r>
        <w:rPr>
          <w:rFonts w:eastAsia="仿宋_GB2312"/>
          <w:sz w:val="32"/>
          <w:szCs w:val="32"/>
        </w:rPr>
        <w:t>，查阅项目财务及管理等相关资料，对其审核分析。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楷体_GB2312"/>
          <w:b/>
          <w:color w:val="auto"/>
          <w:sz w:val="32"/>
          <w:szCs w:val="32"/>
          <w:u w:val="none"/>
          <w:lang w:val="zh-CN"/>
          <w:highlight w:val="auto"/>
        </w:rPr>
      </w:pPr>
      <w:r>
        <w:rPr>
          <w:rFonts w:eastAsia="楷体_GB2312"/>
          <w:b/>
          <w:color w:val="auto"/>
          <w:sz w:val="32"/>
          <w:szCs w:val="32"/>
          <w:u w:val="none"/>
          <w:lang w:val="zh-CN"/>
          <w:highlight w:val="auto"/>
        </w:rPr>
        <w:t>（五）评价组织。</w:t>
      </w:r>
    </w:p>
    <w:p>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eastAsia="仿宋_GB2312"/>
          <w:bCs/>
          <w:lang w:eastAsia="zh-CN"/>
        </w:rPr>
      </w:pPr>
      <w:r>
        <w:rPr>
          <w:rFonts w:eastAsia="仿宋_GB2312"/>
          <w:color w:val="000000"/>
          <w:sz w:val="32"/>
          <w:szCs w:val="32"/>
          <w:lang w:bidi="ar-SA"/>
        </w:rPr>
        <w:t>根据财政绩效评价要求，由局办公室牵头，相关部室参与配合，绩效评价遵循科学规范原、公正公开原则，有序推进项目绩效评价工作。办公室（财务室）负责审核项目资金及凭证，建设管理部、法规督查部、栖息地保护部现场查看项目建设进度，查阅项目建设资料。</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color w:val="auto"/>
          <w:sz w:val="32"/>
          <w:szCs w:val="32"/>
          <w:u w:val="none"/>
          <w:lang w:val="zh-CN"/>
          <w:highlight w:val="auto"/>
        </w:rPr>
      </w:pPr>
      <w:r>
        <w:rPr>
          <w:rFonts w:eastAsia="黑体"/>
          <w:color w:val="auto"/>
          <w:sz w:val="32"/>
          <w:szCs w:val="32"/>
          <w:u w:val="none"/>
          <w:highlight w:val="auto"/>
        </w:rPr>
        <w:t>三、</w:t>
      </w:r>
      <w:r>
        <w:rPr>
          <w:rFonts w:eastAsia="黑体"/>
          <w:color w:val="auto"/>
          <w:sz w:val="32"/>
          <w:szCs w:val="32"/>
          <w:u w:val="none"/>
          <w:lang w:eastAsia="zh-CN"/>
          <w:highlight w:val="auto"/>
        </w:rPr>
        <w:t>绩效分析</w:t>
      </w:r>
      <w:r>
        <w:rPr>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olor w:val="000000"/>
          <w:sz w:val="32"/>
          <w:szCs w:val="32"/>
          <w:lang w:val="en-US" w:eastAsia="zh-CN"/>
        </w:rPr>
      </w:pPr>
      <w:r>
        <w:rPr>
          <w:rFonts w:eastAsia="仿宋_GB2312"/>
          <w:color w:val="000000"/>
          <w:sz w:val="32"/>
          <w:szCs w:val="32"/>
          <w:lang w:val="zh-CN" w:eastAsia="zh-CN"/>
        </w:rPr>
        <w:t>根据项目预算绩效评价指标体系“通用指标”“专用指标”“个性指标”涉及二、三级指标进行逐项绩效分析并评分</w:t>
      </w:r>
      <w:r>
        <w:rPr>
          <w:rFonts w:eastAsia="仿宋_GB2312"/>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eastAsia="楷体_GB2312"/>
          <w:b/>
          <w:sz w:val="32"/>
          <w:szCs w:val="32"/>
          <w:lang w:val="zh-CN" w:eastAsia="zh-CN"/>
          <w:highlight w:val="auto"/>
        </w:rPr>
      </w:pPr>
      <w:r>
        <w:rPr>
          <w:rFonts w:eastAsia="楷体_GB2312"/>
          <w:b/>
          <w:sz w:val="32"/>
          <w:szCs w:val="32"/>
          <w:lang w:val="zh-CN"/>
          <w:highlight w:val="auto"/>
        </w:rPr>
        <w:t>（一）</w:t>
      </w:r>
      <w:r>
        <w:rPr>
          <w:rFonts w:eastAsia="楷体_GB2312"/>
          <w:b/>
          <w:sz w:val="32"/>
          <w:szCs w:val="32"/>
          <w:lang w:val="zh-CN" w:eastAsia="zh-CN"/>
          <w:highlight w:val="auto"/>
        </w:rPr>
        <w:t>通用指标</w:t>
      </w:r>
      <w:r>
        <w:rPr>
          <w:rFonts w:eastAsia="楷体_GB2312"/>
          <w:b/>
          <w:bCs/>
          <w:sz w:val="32"/>
          <w:szCs w:val="32"/>
          <w:lang w:val="zh-CN"/>
          <w:highlight w:val="auto"/>
        </w:rPr>
        <w:t>绩效分析。</w:t>
      </w:r>
    </w:p>
    <w:p>
      <w:pPr>
        <w:pStyle w:val="38"/>
        <w:topLinePunct/>
        <w:spacing w:line="560" w:lineRule="exact"/>
        <w:ind w:firstLineChars="200" w:firstLine="640"/>
        <w:rPr>
          <w:rFonts w:ascii="Times New Roman" w:eastAsia="仿宋" w:cs="Times New Roman" w:hAnsi="Times New Roman"/>
          <w:kern w:val="2"/>
          <w:sz w:val="32"/>
          <w:szCs w:val="32"/>
        </w:rPr>
      </w:pPr>
      <w:r>
        <w:rPr>
          <w:rFonts w:ascii="Times New Roman" w:eastAsia="楷体_GB2312" w:cs="Times New Roman" w:hAnsi="Times New Roman"/>
          <w:color w:val="auto"/>
          <w:szCs w:val="32"/>
          <w:lang w:val="en-US" w:eastAsia="zh-CN"/>
        </w:rPr>
        <w:t>1.</w:t>
      </w:r>
      <w:r>
        <w:rPr>
          <w:rFonts w:ascii="Times New Roman" w:eastAsia="楷体_GB2312" w:cs="Times New Roman" w:hAnsi="Times New Roman"/>
          <w:color w:val="auto"/>
          <w:szCs w:val="32"/>
          <w:lang w:eastAsia="zh-CN"/>
        </w:rPr>
        <w:t>项目决策。</w:t>
      </w:r>
      <w:r>
        <w:rPr>
          <w:rFonts w:ascii="Times New Roman" w:cs="Times New Roman" w:hAnsi="Times New Roman"/>
        </w:rPr>
        <w:t>大熊猫国家公园坝片区有野生大熊猫三百三十余只，占全国野生大熊猫总数的17%，对整个岷山、邛崃山区域野生种群有重要影响，但多年来未开展过影响野生大熊猫的疫源疫病专门调查。于2025</w:t>
      </w:r>
      <w:r>
        <w:rPr>
          <w:rFonts w:ascii="Times New Roman" w:cs="Times New Roman" w:hAnsi="Times New Roman"/>
          <w:lang w:val="en-US" w:eastAsia="zh-CN"/>
        </w:rPr>
        <w:t>-</w:t>
      </w:r>
      <w:r>
        <w:rPr>
          <w:rFonts w:ascii="Times New Roman" w:cs="Times New Roman" w:hAnsi="Times New Roman"/>
        </w:rPr>
        <w:t>2026年在阿坝片区开展以犬瘟热、细小病毒病等病种为重点，以大熊猫国家公园周边社区等野生动物活动密切的相关区域为主要范围的疫源疫病调查</w:t>
      </w:r>
      <w:r>
        <w:rPr>
          <w:rFonts w:ascii="Times New Roman" w:cs="Times New Roman" w:hAnsi="Times New Roman"/>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rPr>
          <w:rFonts w:eastAsia="仿宋_GB2312"/>
          <w:kern w:val="28"/>
          <w:sz w:val="32"/>
          <w:szCs w:val="21"/>
          <w:lang w:bidi="ar-SA"/>
        </w:rPr>
      </w:pPr>
      <w:r>
        <w:rPr>
          <w:rFonts w:eastAsia="楷体_GB2312"/>
          <w:kern w:val="28"/>
          <w:sz w:val="32"/>
          <w:szCs w:val="32"/>
        </w:rPr>
        <w:t>2.项目管理。</w:t>
      </w:r>
      <w:r>
        <w:rPr>
          <w:rFonts w:eastAsia="仿宋_GB2312"/>
          <w:kern w:val="28"/>
          <w:sz w:val="32"/>
          <w:szCs w:val="21"/>
        </w:rPr>
        <w:t>严格按照</w:t>
      </w:r>
      <w:r>
        <w:rPr>
          <w:rFonts w:eastAsia="仿宋_GB2312"/>
          <w:kern w:val="28"/>
          <w:sz w:val="32"/>
          <w:szCs w:val="21"/>
          <w:lang w:val="en-US" w:eastAsia="zh-CN"/>
        </w:rPr>
        <w:t>上级部门要求，</w:t>
      </w:r>
      <w:r>
        <w:rPr>
          <w:rFonts w:eastAsia="仿宋_GB2312"/>
          <w:bCs/>
          <w:kern w:val="28"/>
          <w:sz w:val="32"/>
          <w:szCs w:val="21"/>
        </w:rPr>
        <w:t>分局</w:t>
      </w:r>
      <w:r>
        <w:rPr>
          <w:rFonts w:eastAsia="仿宋_GB2312"/>
          <w:kern w:val="28"/>
          <w:sz w:val="32"/>
          <w:szCs w:val="21"/>
        </w:rPr>
        <w:t>栖息地保护部根据工作安排编制</w:t>
      </w:r>
      <w:r>
        <w:rPr>
          <w:rFonts w:eastAsia="仿宋_GB2312"/>
          <w:bCs/>
          <w:kern w:val="28"/>
          <w:sz w:val="32"/>
          <w:szCs w:val="21"/>
        </w:rPr>
        <w:t>《大熊猫国家公园阿坝片区疫源疫病</w:t>
      </w:r>
      <w:r>
        <w:rPr>
          <w:rFonts w:eastAsia="仿宋_GB2312"/>
          <w:bCs/>
          <w:kern w:val="28"/>
          <w:sz w:val="32"/>
          <w:szCs w:val="21"/>
          <w:lang w:val="en-US" w:eastAsia="zh-CN"/>
        </w:rPr>
        <w:t>普查项目实施方案</w:t>
      </w:r>
      <w:r>
        <w:rPr>
          <w:rFonts w:eastAsia="仿宋_GB2312"/>
          <w:kern w:val="28"/>
          <w:sz w:val="32"/>
          <w:szCs w:val="21"/>
        </w:rPr>
        <w:t>》，经</w:t>
      </w:r>
      <w:r>
        <w:rPr>
          <w:rFonts w:eastAsia="仿宋_GB2312"/>
          <w:bCs/>
          <w:kern w:val="28"/>
          <w:sz w:val="32"/>
          <w:szCs w:val="21"/>
        </w:rPr>
        <w:t>局党组研究审议通过</w:t>
      </w:r>
      <w:r>
        <w:rPr>
          <w:rFonts w:eastAsia="仿宋_GB2312"/>
          <w:bCs/>
          <w:kern w:val="28"/>
          <w:sz w:val="32"/>
          <w:szCs w:val="21"/>
          <w:lang w:val="en-US" w:eastAsia="zh-CN"/>
        </w:rPr>
        <w:t>后上报阿坝州人民政府</w:t>
      </w:r>
      <w:r>
        <w:rPr>
          <w:rFonts w:eastAsia="仿宋_GB2312"/>
          <w:bCs/>
          <w:kern w:val="28"/>
          <w:sz w:val="32"/>
          <w:szCs w:val="21"/>
        </w:rPr>
        <w:t>，对项目安全、保密、质量、管理、工期等方面特别做了</w:t>
      </w:r>
      <w:r>
        <w:rPr>
          <w:rFonts w:eastAsia="仿宋_GB2312"/>
          <w:bCs/>
          <w:kern w:val="28"/>
          <w:sz w:val="32"/>
          <w:szCs w:val="21"/>
          <w:lang w:bidi="ar-SA"/>
        </w:rPr>
        <w:t>强调及</w:t>
      </w:r>
      <w:r>
        <w:rPr>
          <w:rFonts w:eastAsia="仿宋_GB2312"/>
          <w:bCs/>
          <w:kern w:val="28"/>
          <w:sz w:val="32"/>
          <w:szCs w:val="21"/>
        </w:rPr>
        <w:t>要求</w:t>
      </w:r>
      <w:r>
        <w:rPr>
          <w:rFonts w:eastAsia="仿宋_GB2312"/>
          <w:kern w:val="28"/>
          <w:sz w:val="32"/>
          <w:szCs w:val="21"/>
        </w:rPr>
        <w:t>。项目总投资</w:t>
      </w:r>
      <w:r>
        <w:rPr>
          <w:rFonts w:eastAsia="仿宋_GB2312"/>
          <w:kern w:val="28"/>
          <w:sz w:val="32"/>
          <w:szCs w:val="21"/>
          <w:lang w:val="en-US" w:eastAsia="zh-CN"/>
        </w:rPr>
        <w:t>150</w:t>
      </w:r>
      <w:r>
        <w:rPr>
          <w:rFonts w:eastAsia="仿宋_GB2312"/>
          <w:kern w:val="28"/>
          <w:sz w:val="32"/>
          <w:szCs w:val="21"/>
        </w:rPr>
        <w:t>万元，</w:t>
      </w:r>
      <w:r>
        <w:rPr>
          <w:rFonts w:eastAsia="仿宋_GB2312"/>
          <w:bCs/>
          <w:kern w:val="28"/>
          <w:sz w:val="32"/>
          <w:szCs w:val="21"/>
          <w:lang w:bidi="ar-SA"/>
        </w:rPr>
        <w:t>结转到202</w:t>
      </w:r>
      <w:r>
        <w:rPr>
          <w:rFonts w:eastAsia="仿宋_GB2312"/>
          <w:bCs/>
          <w:kern w:val="28"/>
          <w:sz w:val="32"/>
          <w:szCs w:val="21"/>
          <w:lang w:val="en-US" w:eastAsia="zh-CN" w:bidi="ar-SA"/>
        </w:rPr>
        <w:t>6</w:t>
      </w:r>
      <w:r>
        <w:rPr>
          <w:rFonts w:eastAsia="仿宋_GB2312"/>
          <w:bCs/>
          <w:kern w:val="28"/>
          <w:sz w:val="32"/>
          <w:szCs w:val="21"/>
          <w:lang w:bidi="ar-SA"/>
        </w:rPr>
        <w:t>年执行</w:t>
      </w:r>
      <w:r>
        <w:rPr>
          <w:rFonts w:eastAsia="仿宋_GB2312"/>
          <w:bCs/>
          <w:kern w:val="28"/>
          <w:sz w:val="32"/>
          <w:szCs w:val="21"/>
          <w:lang w:eastAsia="zh-CN" w:bidi="ar-SA"/>
        </w:rPr>
        <w:t>，</w:t>
      </w:r>
      <w:r>
        <w:rPr>
          <w:rFonts w:eastAsia="仿宋_GB2312"/>
          <w:kern w:val="28"/>
          <w:sz w:val="32"/>
          <w:szCs w:val="21"/>
          <w:lang w:val="en-US" w:eastAsia="zh-CN"/>
        </w:rPr>
        <w:t>2026年2月完成了招标工作。</w:t>
      </w:r>
    </w:p>
    <w:p>
      <w:pPr>
        <w:pStyle w:val="23"/>
        <w:keepNext w:val="0"/>
        <w:keepLines w:val="0"/>
        <w:pageBreakBefore w:val="0"/>
        <w:widowControl w:val="0"/>
        <w:tabs>
          <w:tab w:val="right" w:leader="dot" w:pos="8296"/>
        </w:tabs>
        <w:spacing w:line="560" w:lineRule="exact"/>
        <w:ind w:firstLineChars="200" w:firstLine="640"/>
        <w:jc w:val="left"/>
        <w:rPr>
          <w:rFonts w:ascii="Times New Roman" w:eastAsia="仿宋_GB2312" w:hAnsi="Times New Roman"/>
          <w:bCs/>
          <w:kern w:val="28"/>
          <w:sz w:val="32"/>
          <w:szCs w:val="21"/>
          <w:lang w:val="en-US" w:eastAsia="zh-CN"/>
        </w:rPr>
      </w:pPr>
      <w:r>
        <w:rPr>
          <w:rFonts w:ascii="Times New Roman" w:eastAsia="楷体_GB2312" w:hAnsi="Times New Roman"/>
          <w:kern w:val="28"/>
          <w:sz w:val="32"/>
          <w:szCs w:val="32"/>
          <w:lang w:val="en-US" w:eastAsia="zh-CN"/>
        </w:rPr>
        <w:t>3.项目实施。</w:t>
      </w:r>
      <w:r>
        <w:rPr>
          <w:rFonts w:ascii="Times New Roman" w:eastAsia="仿宋_GB2312" w:hAnsi="Times New Roman"/>
          <w:bCs/>
          <w:kern w:val="28"/>
          <w:sz w:val="32"/>
          <w:szCs w:val="21"/>
          <w:lang w:val="en-US" w:eastAsia="zh-CN"/>
        </w:rPr>
        <w:t>项目总额150万元其中野外调查取样43万元，样品内业处理分析90万元，成果验收评审1.5万元，发表研究论文2万元，组织基层巡护员野生动物疫源疫病防控技能培训9万元，其他费用4.5万元。</w:t>
      </w:r>
    </w:p>
    <w:p>
      <w:pPr>
        <w:keepNext w:val="0"/>
        <w:keepLines w:val="0"/>
        <w:pageBreakBefore w:val="0"/>
        <w:widowControl w:val="0"/>
        <w:kinsoku/>
        <w:wordWrap/>
        <w:overflowPunct/>
        <w:topLinePunct w:val="0"/>
        <w:autoSpaceDE/>
        <w:autoSpaceDN/>
        <w:bidi w:val="0"/>
        <w:adjustRightInd/>
        <w:snapToGrid/>
        <w:spacing w:line="578" w:lineRule="exact"/>
        <w:ind w:leftChars="200" w:left="420" w:firstLineChars="100" w:firstLine="320"/>
        <w:jc w:val="left"/>
        <w:textAlignment w:val="auto"/>
        <w:outlineLvl w:val="9"/>
        <w:rPr>
          <w:rStyle w:val="0"/>
          <w:rFonts w:eastAsia="仿宋_GB2312"/>
          <w:bCs/>
          <w:kern w:val="28"/>
          <w:sz w:val="32"/>
          <w:szCs w:val="21"/>
          <w:lang w:eastAsia="zh-CN"/>
        </w:rPr>
      </w:pPr>
      <w:r>
        <w:rPr>
          <w:rStyle w:val="0"/>
          <w:rFonts w:eastAsia="楷体_GB2312"/>
          <w:bCs/>
          <w:kern w:val="28"/>
          <w:sz w:val="32"/>
          <w:szCs w:val="32"/>
        </w:rPr>
        <w:t>4.项目结果。</w:t>
      </w:r>
      <w:r>
        <w:rPr>
          <w:rStyle w:val="0"/>
          <w:rFonts w:eastAsia="仿宋_GB2312"/>
          <w:bCs/>
          <w:kern w:val="28"/>
          <w:sz w:val="32"/>
          <w:szCs w:val="21"/>
          <w:lang w:val="zh-CN" w:eastAsia="zh-CN" w:bidi="ar-SA"/>
        </w:rPr>
        <w:t>项目</w:t>
      </w:r>
      <w:r>
        <w:rPr>
          <w:rStyle w:val="0"/>
          <w:rFonts w:eastAsia="仿宋_GB2312"/>
          <w:bCs/>
          <w:kern w:val="28"/>
          <w:sz w:val="32"/>
          <w:szCs w:val="21"/>
          <w:lang w:val="en-US" w:eastAsia="zh-CN" w:bidi="ar-SA"/>
        </w:rPr>
        <w:t>拟按照程序实施完成。</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eastAsia="楷体_GB2312"/>
          <w:b/>
          <w:bCs/>
          <w:sz w:val="32"/>
          <w:szCs w:val="32"/>
          <w:highlight w:val="auto"/>
        </w:rPr>
      </w:pPr>
      <w:r>
        <w:rPr>
          <w:rFonts w:eastAsia="楷体_GB2312"/>
          <w:b/>
          <w:color w:val="auto"/>
          <w:sz w:val="32"/>
          <w:szCs w:val="32"/>
          <w:u w:val="none"/>
          <w:lang w:val="zh-CN"/>
          <w:highlight w:val="auto"/>
        </w:rPr>
        <w:t>（二）</w:t>
      </w:r>
      <w:r>
        <w:rPr>
          <w:rFonts w:eastAsia="楷体_GB2312"/>
          <w:b/>
          <w:color w:val="auto"/>
          <w:sz w:val="32"/>
          <w:szCs w:val="32"/>
          <w:u w:val="none"/>
          <w:lang w:val="en-US" w:eastAsia="zh-CN"/>
          <w:highlight w:val="auto"/>
        </w:rPr>
        <w:t>专用指标</w:t>
      </w:r>
      <w:r>
        <w:rPr>
          <w:rFonts w:eastAsia="楷体_GB2312"/>
          <w:b/>
          <w:bCs/>
          <w:sz w:val="32"/>
          <w:szCs w:val="32"/>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eastAsia="仿宋_GB2312"/>
          <w:bCs/>
          <w:kern w:val="28"/>
          <w:sz w:val="32"/>
          <w:szCs w:val="21"/>
        </w:rPr>
      </w:pPr>
      <w:r>
        <w:rPr>
          <w:rFonts w:eastAsia="楷体_GB2312"/>
          <w:kern w:val="28"/>
          <w:sz w:val="32"/>
          <w:szCs w:val="32"/>
        </w:rPr>
        <w:t>1.用途合规性：</w:t>
      </w:r>
      <w:r>
        <w:rPr>
          <w:rFonts w:eastAsia="仿宋_GB2312"/>
          <w:bCs/>
          <w:kern w:val="28"/>
          <w:sz w:val="32"/>
          <w:szCs w:val="21"/>
        </w:rPr>
        <w:t>根据四川省大熊猫国家公园管理条例第三十三条规定，管理机构应当组织开展野生动物救护、疫源疫病监测防控、有害生物防治、外来物种入侵防范等工作，会同有关部门和周边地区建立生物多样性保护协调机制，对大熊猫国家公园内野生动植物及其生态系统进行系统保护。本项目旨在了解掌握大熊猫疫源疫病的基本情况，是为保护大熊猫等野生动物及大熊猫国家公园周边社区人畜安全的必要工作，是大熊猫国家公园管理机构开展保护任务的必要工作，用途合规。</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eastAsia="仿宋_GB2312"/>
          <w:bCs/>
          <w:kern w:val="28"/>
          <w:sz w:val="32"/>
          <w:szCs w:val="21"/>
          <w:lang w:val="zh-CN" w:eastAsia="zh-CN"/>
        </w:rPr>
      </w:pPr>
      <w:r>
        <w:rPr>
          <w:rFonts w:eastAsia="楷体_GB2312"/>
          <w:kern w:val="28"/>
          <w:sz w:val="32"/>
          <w:szCs w:val="32"/>
          <w:lang w:val="en-US" w:eastAsia="zh-CN"/>
        </w:rPr>
        <w:t>2.</w:t>
      </w:r>
      <w:r>
        <w:rPr>
          <w:rFonts w:eastAsia="楷体_GB2312"/>
          <w:kern w:val="28"/>
          <w:sz w:val="32"/>
          <w:szCs w:val="32"/>
          <w:lang w:val="zh-CN" w:eastAsia="zh-CN"/>
        </w:rPr>
        <w:t>程序合规性：</w:t>
      </w:r>
      <w:r>
        <w:rPr>
          <w:rFonts w:eastAsia="仿宋_GB2312"/>
          <w:bCs/>
          <w:kern w:val="28"/>
          <w:sz w:val="32"/>
          <w:szCs w:val="21"/>
          <w:lang w:val="zh-CN" w:eastAsia="zh-CN"/>
        </w:rPr>
        <w:t>项目严格按照政府采购法等相关法规要求办理，采购过程公开、公平、公正，程序合规。</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eastAsia="仿宋_GB2312"/>
          <w:bCs/>
          <w:kern w:val="28"/>
          <w:sz w:val="32"/>
          <w:szCs w:val="21"/>
          <w:lang w:val="zh-CN"/>
        </w:rPr>
      </w:pPr>
      <w:r>
        <w:rPr>
          <w:rFonts w:eastAsia="楷体_GB2312"/>
          <w:kern w:val="28"/>
          <w:sz w:val="32"/>
          <w:szCs w:val="32"/>
          <w:lang w:val="zh-CN"/>
        </w:rPr>
        <w:t>3.标准合规性</w:t>
      </w:r>
      <w:r>
        <w:rPr>
          <w:color w:val="auto"/>
          <w:szCs w:val="32"/>
          <w:lang w:val="zh-CN" w:eastAsia="zh-CN"/>
        </w:rPr>
        <w:t>：</w:t>
      </w:r>
      <w:r>
        <w:rPr>
          <w:rFonts w:eastAsia="仿宋_GB2312"/>
          <w:bCs/>
          <w:kern w:val="28"/>
          <w:sz w:val="32"/>
          <w:szCs w:val="21"/>
          <w:lang w:val="zh-CN"/>
        </w:rPr>
        <w:t>本项目涉及的标准、参数、数量等指标设置全部通过行业专家论证，标准合规。</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eastAsia="楷体_GB2312"/>
          <w:b/>
          <w:bCs/>
          <w:sz w:val="32"/>
          <w:szCs w:val="32"/>
          <w:highlight w:val="auto"/>
        </w:rPr>
      </w:pPr>
      <w:r>
        <w:rPr>
          <w:rFonts w:eastAsia="楷体_GB2312"/>
          <w:b/>
          <w:color w:val="auto"/>
          <w:sz w:val="32"/>
          <w:szCs w:val="32"/>
          <w:u w:val="none"/>
          <w:lang w:val="zh-CN"/>
          <w:highlight w:val="auto"/>
        </w:rPr>
        <w:t>（三）</w:t>
      </w:r>
      <w:r>
        <w:rPr>
          <w:rFonts w:eastAsia="楷体_GB2312"/>
          <w:b/>
          <w:color w:val="auto"/>
          <w:sz w:val="32"/>
          <w:szCs w:val="32"/>
          <w:u w:val="none"/>
          <w:lang w:val="en-US" w:eastAsia="zh-CN"/>
          <w:highlight w:val="auto"/>
        </w:rPr>
        <w:t>个性指标</w:t>
      </w:r>
      <w:r>
        <w:rPr>
          <w:rFonts w:eastAsia="楷体_GB2312"/>
          <w:b/>
          <w:bCs/>
          <w:sz w:val="32"/>
          <w:szCs w:val="32"/>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eastAsia="仿宋_GB2312"/>
          <w:color w:val="auto"/>
          <w:szCs w:val="32"/>
          <w:lang w:val="en-US" w:eastAsia="zh-CN"/>
        </w:rPr>
      </w:pPr>
      <w:r>
        <w:rPr>
          <w:sz w:val="32"/>
          <w:szCs w:val="32"/>
          <w:lang w:val="en-US" w:eastAsia="zh-CN"/>
        </w:rPr>
        <w:t>2026年</w:t>
      </w:r>
      <w:r>
        <w:rPr>
          <w:rFonts w:eastAsia="仿宋_GB2312"/>
          <w:sz w:val="32"/>
          <w:szCs w:val="32"/>
        </w:rPr>
        <w:t>完成项目建设</w:t>
      </w:r>
      <w:r>
        <w:rPr>
          <w:sz w:val="32"/>
          <w:szCs w:val="32"/>
          <w:lang w:val="en-US" w:eastAsia="zh-CN"/>
        </w:rPr>
        <w:t>。</w:t>
      </w:r>
    </w:p>
    <w:p>
      <w:pPr>
        <w:pStyle w:val="18"/>
        <w:pageBreakBefore w:val="0"/>
        <w:widowControl/>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eastAsia="黑体" w:hAnsi="Times New Roman"/>
          <w:color w:val="auto"/>
          <w:sz w:val="32"/>
          <w:szCs w:val="32"/>
          <w:u w:val="none"/>
          <w:highlight w:val="auto"/>
        </w:rPr>
      </w:pPr>
      <w:r>
        <w:rPr>
          <w:rFonts w:ascii="Times New Roman" w:eastAsia="黑体" w:hAnsi="Times New Roman"/>
          <w:color w:val="auto"/>
          <w:sz w:val="32"/>
          <w:szCs w:val="32"/>
          <w:u w:val="none"/>
          <w:lang w:eastAsia="zh-CN"/>
          <w:highlight w:val="auto"/>
        </w:rPr>
        <w:t>四</w:t>
      </w:r>
      <w:r>
        <w:rPr>
          <w:rFonts w:ascii="Times New Roman" w:eastAsia="黑体" w:hAnsi="Times New Roman"/>
          <w:color w:val="auto"/>
          <w:sz w:val="32"/>
          <w:szCs w:val="32"/>
          <w:u w:val="none"/>
          <w:highlight w:val="auto"/>
        </w:rPr>
        <w:t>、评价结论</w:t>
      </w:r>
    </w:p>
    <w:p>
      <w:pPr>
        <w:pStyle w:val="18"/>
        <w:pageBreakBefore w:val="0"/>
        <w:widowControl/>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eastAsia="仿宋" w:hAnsi="Times New Roman"/>
          <w:sz w:val="32"/>
          <w:szCs w:val="32"/>
        </w:rPr>
      </w:pPr>
      <w:r>
        <w:rPr>
          <w:rFonts w:ascii="Times New Roman" w:eastAsia="仿宋" w:hAnsi="Times New Roman"/>
          <w:sz w:val="32"/>
          <w:szCs w:val="32"/>
        </w:rPr>
        <w:t>项目的实施，对不断完善保护管理设施，逐步增强数字科技支撑，提升保护管理质效有积极的促进作用，项目实施确有必要。</w:t>
      </w:r>
    </w:p>
    <w:p>
      <w:pPr>
        <w:pStyle w:val="18"/>
        <w:pageBreakBefore w:val="0"/>
        <w:widowControl/>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eastAsia="黑体" w:hAnsi="Times New Roman"/>
          <w:color w:val="auto"/>
          <w:sz w:val="32"/>
          <w:szCs w:val="32"/>
          <w:u w:val="none"/>
          <w:lang w:eastAsia="zh-CN"/>
          <w:highlight w:val="auto"/>
        </w:rPr>
      </w:pPr>
      <w:r>
        <w:rPr>
          <w:rFonts w:ascii="Times New Roman" w:hAnsi="Times New Roman"/>
          <w:color w:val="auto"/>
          <w:sz w:val="32"/>
          <w:szCs w:val="32"/>
          <w:u w:val="none"/>
          <w:lang w:eastAsia="zh-CN"/>
          <w:highlight w:val="auto"/>
        </w:rPr>
        <w:t>五、</w:t>
      </w:r>
      <w:r>
        <w:rPr>
          <w:rFonts w:ascii="Times New Roman" w:eastAsia="黑体" w:hAnsi="Times New Roman"/>
          <w:color w:val="auto"/>
          <w:sz w:val="32"/>
          <w:szCs w:val="32"/>
          <w:u w:val="none"/>
          <w:lang w:eastAsia="zh-CN"/>
          <w:highlight w:val="auto"/>
        </w:rPr>
        <w:t>存在主要问题</w:t>
      </w:r>
    </w:p>
    <w:p>
      <w:pPr>
        <w:spacing w:line="540" w:lineRule="exact"/>
        <w:ind w:firstLineChars="200" w:firstLine="640"/>
        <w:rPr>
          <w:rFonts w:eastAsia="仿宋_GB2312"/>
          <w:bCs/>
          <w:sz w:val="32"/>
          <w:szCs w:val="32"/>
          <w:lang w:val="en-US" w:eastAsia="zh-CN"/>
        </w:rPr>
      </w:pPr>
      <w:r>
        <w:rPr>
          <w:bCs/>
          <w:sz w:val="32"/>
          <w:szCs w:val="32"/>
          <w:lang w:val="en-US" w:eastAsia="zh-CN"/>
        </w:rPr>
        <w:t>该</w:t>
      </w:r>
      <w:r>
        <w:rPr>
          <w:rFonts w:eastAsia="仿宋_GB2312"/>
          <w:bCs/>
          <w:sz w:val="32"/>
          <w:szCs w:val="32"/>
          <w:lang w:val="en-US" w:eastAsia="zh-CN"/>
        </w:rPr>
        <w:t>资金</w:t>
      </w:r>
      <w:r>
        <w:rPr>
          <w:bCs/>
          <w:sz w:val="32"/>
          <w:szCs w:val="32"/>
          <w:lang w:val="en-US" w:eastAsia="zh-CN"/>
        </w:rPr>
        <w:t>于2025年12月</w:t>
      </w:r>
      <w:r>
        <w:rPr>
          <w:rFonts w:eastAsia="仿宋_GB2312"/>
          <w:bCs/>
          <w:sz w:val="32"/>
          <w:szCs w:val="32"/>
          <w:lang w:val="en-US" w:eastAsia="zh-CN"/>
        </w:rPr>
        <w:t>下达</w:t>
      </w:r>
      <w:r>
        <w:rPr>
          <w:bCs/>
          <w:sz w:val="32"/>
          <w:szCs w:val="32"/>
          <w:lang w:val="en-US" w:eastAsia="zh-CN"/>
        </w:rPr>
        <w:t>，</w:t>
      </w:r>
      <w:r>
        <w:rPr>
          <w:rFonts w:eastAsia="仿宋_GB2312"/>
          <w:sz w:val="32"/>
          <w:szCs w:val="32"/>
        </w:rPr>
        <w:t>资金到位时间有所滞后</w:t>
      </w:r>
      <w:r>
        <w:rPr>
          <w:bCs/>
          <w:sz w:val="32"/>
          <w:szCs w:val="32"/>
          <w:lang w:val="en-US" w:eastAsia="zh-CN"/>
        </w:rPr>
        <w:t>，</w:t>
      </w:r>
      <w:r>
        <w:rPr>
          <w:rFonts w:eastAsia="仿宋_GB2312"/>
          <w:sz w:val="32"/>
          <w:szCs w:val="32"/>
          <w:lang w:val="zh-CN"/>
        </w:rPr>
        <w:t>导致后续相关工作无法及时开展。</w:t>
      </w:r>
    </w:p>
    <w:p>
      <w:pPr>
        <w:pStyle w:val="18"/>
        <w:pageBreakBefore w:val="0"/>
        <w:widowControl/>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eastAsia="黑体" w:hAnsi="Times New Roman"/>
          <w:color w:val="auto"/>
          <w:kern w:val="0"/>
          <w:position w:val="3"/>
          <w:sz w:val="32"/>
          <w:szCs w:val="32"/>
          <w:u w:val="none"/>
          <w:lang w:val="zh-CN" w:eastAsia="zh-CN" w:bidi="ar-SA"/>
          <w:highlight w:val="auto"/>
        </w:rPr>
      </w:pPr>
      <w:r>
        <w:rPr>
          <w:rFonts w:ascii="Times New Roman" w:eastAsia="黑体" w:hAnsi="Times New Roman"/>
          <w:color w:val="auto"/>
          <w:kern w:val="0"/>
          <w:position w:val="3"/>
          <w:sz w:val="32"/>
          <w:szCs w:val="32"/>
          <w:u w:val="none"/>
          <w:lang w:val="zh-CN" w:eastAsia="zh-CN" w:bidi="ar-SA"/>
          <w:highlight w:val="auto"/>
        </w:rPr>
        <w:t>六、改进建议</w:t>
      </w:r>
    </w:p>
    <w:p>
      <w:pPr>
        <w:adjustRightInd w:val="0"/>
        <w:snapToGrid w:val="0"/>
        <w:spacing w:line="560" w:lineRule="exact"/>
        <w:ind w:firstLineChars="200" w:firstLine="640"/>
        <w:rPr>
          <w:bCs/>
          <w:sz w:val="32"/>
          <w:szCs w:val="32"/>
          <w:highlight w:val="auto"/>
        </w:rPr>
      </w:pPr>
      <w:r>
        <w:rPr>
          <w:bCs/>
          <w:sz w:val="32"/>
          <w:szCs w:val="32"/>
        </w:rPr>
        <w:t>严格按照文件要求，保证建设资金正常使用。</w:t>
      </w:r>
    </w:p>
    <w:p>
      <w:pPr>
        <w:keepNext w:val="0"/>
        <w:keepLines w:val="0"/>
        <w:pageBreakBefore w:val="0"/>
        <w:widowControl w:val="0"/>
        <w:kinsoku/>
        <w:wordWrap/>
        <w:overflowPunct/>
        <w:topLinePunct w:val="0"/>
        <w:autoSpaceDE/>
        <w:autoSpaceDN/>
        <w:bidi w:val="0"/>
        <w:adjustRightInd/>
        <w:snapToGrid w:val="0"/>
        <w:spacing w:line="578" w:lineRule="exact"/>
        <w:ind w:left="0" w:firstLineChars="200" w:firstLine="640"/>
        <w:textAlignment w:val="auto"/>
        <w:outlineLvl w:val="9"/>
        <w:rPr>
          <w:bCs/>
          <w:sz w:val="32"/>
          <w:szCs w:val="32"/>
          <w:lang w:val="en-US" w:eastAsia="zh-CN"/>
          <w:highlight w:val="auto"/>
        </w:rPr>
      </w:pPr>
    </w:p>
    <w:p>
      <w:pPr>
        <w:keepNext w:val="0"/>
        <w:keepLines w:val="0"/>
        <w:pageBreakBefore w:val="0"/>
        <w:widowControl w:val="0"/>
        <w:kinsoku/>
        <w:wordWrap/>
        <w:overflowPunct/>
        <w:topLinePunct w:val="0"/>
        <w:autoSpaceDE/>
        <w:autoSpaceDN/>
        <w:bidi w:val="0"/>
        <w:adjustRightInd/>
        <w:snapToGrid w:val="0"/>
        <w:spacing w:line="578" w:lineRule="exact"/>
        <w:ind w:left="0" w:firstLineChars="200" w:firstLine="640"/>
        <w:textAlignment w:val="auto"/>
        <w:outlineLvl w:val="9"/>
        <w:rPr>
          <w:bCs/>
          <w:sz w:val="32"/>
          <w:szCs w:val="32"/>
          <w:lang w:val="en-US" w:eastAsia="zh-CN"/>
          <w:highlight w:val="auto"/>
        </w:rPr>
      </w:pPr>
      <w:r>
        <w:rPr>
          <w:bCs/>
          <w:sz w:val="32"/>
          <w:szCs w:val="32"/>
          <w:lang w:val="en-US" w:eastAsia="zh-CN"/>
          <w:highlight w:val="auto"/>
        </w:rPr>
        <w:t>附表：1.专项预算绩效自评打分表</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bCs/>
          <w:sz w:val="32"/>
          <w:szCs w:val="3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b w:val="0"/>
          <w:bCs w:val="0"/>
          <w:kern w:val="0"/>
          <w:position w:val="0"/>
          <w:sz w:val="32"/>
          <w:szCs w:val="3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b w:val="0"/>
          <w:bCs w:val="0"/>
          <w:kern w:val="0"/>
          <w:position w:val="0"/>
          <w:sz w:val="32"/>
          <w:szCs w:val="32"/>
          <w:lang w:val="en-US" w:eastAsia="zh-CN" w:bidi="ar-SA"/>
          <w:highlight w:val="auto"/>
        </w:rPr>
      </w:pPr>
      <w:bookmarkStart w:id="56" w:name="_Toc15396618"/>
      <w:r>
        <w:rPr>
          <w:rFonts w:eastAsia="仿宋_GB2312"/>
          <w:b w:val="0"/>
          <w:bCs w:val="0"/>
          <w:kern w:val="0"/>
          <w:position w:val="0"/>
          <w:sz w:val="32"/>
          <w:szCs w:val="32"/>
          <w:lang w:val="en-US" w:eastAsia="zh-CN" w:bidi="ar-SA"/>
          <w:highlight w:val="auto"/>
        </w:rPr>
        <w:br w:type="page"/>
      </w:r>
    </w:p>
    <w:p>
      <w:pPr>
        <w:widowControl/>
        <w:jc w:val="center"/>
        <w:rPr>
          <w:rFonts w:eastAsia="仿宋"/>
          <w:b w:val="0"/>
          <w:color w:val="auto"/>
          <w:highlight w:val="auto"/>
        </w:rPr>
      </w:pPr>
      <w:r>
        <w:rPr>
          <w:rFonts w:eastAsia="黑体"/>
          <w:color w:val="auto"/>
          <w:sz w:val="44"/>
          <w:szCs w:val="44"/>
          <w:highlight w:val="auto"/>
        </w:rPr>
        <w:t>第</w:t>
      </w:r>
      <w:r>
        <w:rPr>
          <w:rStyle w:val="1Char"/>
          <w:rFonts w:eastAsia="黑体"/>
          <w:b w:val="0"/>
          <w:color w:val="auto"/>
          <w:highlight w:val="auto"/>
        </w:rPr>
        <w:t>五部分 附表</w:t>
      </w:r>
      <w:bookmarkStart w:id="57" w:name="_Toc15396619"/>
      <w:bookmarkEnd w:id="54"/>
      <w:bookmarkEnd w:id="56"/>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r>
        <w:rPr>
          <w:rFonts w:eastAsia="仿宋_GB2312"/>
          <w:color w:val="auto"/>
          <w:sz w:val="32"/>
          <w:szCs w:val="32"/>
          <w:highlight w:val="auto"/>
        </w:rPr>
        <w:t>一、收入支出决算总表</w:t>
      </w:r>
      <w:bookmarkEnd w:id="57"/>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58" w:name="_Toc15396620"/>
      <w:r>
        <w:rPr>
          <w:rFonts w:eastAsia="仿宋_GB2312"/>
          <w:color w:val="auto"/>
          <w:sz w:val="32"/>
          <w:szCs w:val="32"/>
          <w:highlight w:val="auto"/>
        </w:rPr>
        <w:t>二、收入决算表</w:t>
      </w:r>
      <w:bookmarkEnd w:id="58"/>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59" w:name="_Toc15396621"/>
      <w:r>
        <w:rPr>
          <w:rFonts w:eastAsia="仿宋_GB2312"/>
          <w:color w:val="auto"/>
          <w:sz w:val="32"/>
          <w:szCs w:val="32"/>
          <w:highlight w:val="auto"/>
        </w:rPr>
        <w:t>三、支出决算表</w:t>
      </w:r>
      <w:bookmarkEnd w:id="59"/>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0" w:name="_Toc15396622"/>
      <w:r>
        <w:rPr>
          <w:rFonts w:eastAsia="仿宋_GB2312"/>
          <w:color w:val="auto"/>
          <w:sz w:val="32"/>
          <w:szCs w:val="32"/>
          <w:highlight w:val="auto"/>
        </w:rPr>
        <w:t>四、财政拨款收入支出决算总表</w:t>
      </w:r>
      <w:bookmarkEnd w:id="60"/>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1" w:name="_Toc15396623"/>
      <w:r>
        <w:rPr>
          <w:rFonts w:eastAsia="仿宋_GB2312"/>
          <w:color w:val="auto"/>
          <w:sz w:val="32"/>
          <w:szCs w:val="32"/>
          <w:highlight w:val="auto"/>
        </w:rPr>
        <w:t>五、财政拨款支出决算明细表</w:t>
      </w:r>
      <w:bookmarkStart w:id="62" w:name="_Toc15396624"/>
      <w:bookmarkEnd w:id="6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r>
        <w:rPr>
          <w:rFonts w:eastAsia="仿宋_GB2312"/>
          <w:color w:val="auto"/>
          <w:sz w:val="32"/>
          <w:szCs w:val="32"/>
          <w:highlight w:val="auto"/>
        </w:rPr>
        <w:t>六、一般公共预算财政拨款支出决算表</w:t>
      </w:r>
      <w:bookmarkEnd w:id="62"/>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3" w:name="_Toc15396625"/>
      <w:r>
        <w:rPr>
          <w:rFonts w:eastAsia="仿宋_GB2312"/>
          <w:color w:val="auto"/>
          <w:sz w:val="32"/>
          <w:szCs w:val="32"/>
          <w:highlight w:val="auto"/>
        </w:rPr>
        <w:t>七、一般公共预算财政拨款支出决算明细表</w:t>
      </w:r>
      <w:bookmarkEnd w:id="63"/>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4" w:name="_Toc15396626"/>
      <w:r>
        <w:rPr>
          <w:rFonts w:eastAsia="仿宋_GB2312"/>
          <w:color w:val="auto"/>
          <w:sz w:val="32"/>
          <w:szCs w:val="32"/>
          <w:highlight w:val="auto"/>
        </w:rPr>
        <w:t>八、一般公共预算财政拨款基本支出决算表</w:t>
      </w:r>
      <w:bookmarkEnd w:id="64"/>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5" w:name="_Toc15396627"/>
      <w:r>
        <w:rPr>
          <w:rFonts w:eastAsia="仿宋_GB2312"/>
          <w:color w:val="auto"/>
          <w:sz w:val="32"/>
          <w:szCs w:val="32"/>
          <w:highlight w:val="auto"/>
        </w:rPr>
        <w:t>九、一般公共预算财政拨款项目支出决算表</w:t>
      </w:r>
      <w:bookmarkEnd w:id="65"/>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6" w:name="_Toc15396628"/>
      <w:r>
        <w:rPr>
          <w:rFonts w:eastAsia="仿宋_GB2312"/>
          <w:color w:val="auto"/>
          <w:sz w:val="32"/>
          <w:szCs w:val="32"/>
          <w:highlight w:val="auto"/>
        </w:rPr>
        <w:t>十、</w:t>
      </w:r>
      <w:bookmarkEnd w:id="66"/>
      <w:r>
        <w:rPr>
          <w:rFonts w:eastAsia="仿宋_GB2312"/>
          <w:color w:val="auto"/>
          <w:sz w:val="32"/>
          <w:szCs w:val="32"/>
          <w:highlight w:val="auto"/>
        </w:rPr>
        <w:t>政府性基金预算财政拨款收入支出决算表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7" w:name="_Toc15396629"/>
      <w:r>
        <w:rPr>
          <w:rFonts w:eastAsia="仿宋_GB2312"/>
          <w:color w:val="auto"/>
          <w:sz w:val="32"/>
          <w:szCs w:val="32"/>
          <w:highlight w:val="auto"/>
        </w:rPr>
        <w:t>十一、</w:t>
      </w:r>
      <w:bookmarkEnd w:id="67"/>
      <w:r>
        <w:rPr>
          <w:rFonts w:eastAsia="仿宋_GB2312"/>
          <w:color w:val="auto"/>
          <w:sz w:val="32"/>
          <w:szCs w:val="32"/>
          <w:highlight w:val="auto"/>
        </w:rPr>
        <w:t>国有资本经营预算</w:t>
      </w:r>
      <w:r>
        <w:rPr>
          <w:rFonts w:eastAsia="仿宋_GB2312"/>
          <w:color w:val="auto"/>
          <w:sz w:val="32"/>
          <w:szCs w:val="32"/>
          <w:lang w:eastAsia="zh-CN"/>
          <w:highlight w:val="auto"/>
        </w:rPr>
        <w:t>财政拨款收入</w:t>
      </w:r>
      <w:r>
        <w:rPr>
          <w:rFonts w:eastAsia="仿宋_GB2312"/>
          <w:color w:val="auto"/>
          <w:sz w:val="32"/>
          <w:szCs w:val="32"/>
          <w:highlight w:val="auto"/>
        </w:rPr>
        <w:t>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highlight w:val="auto"/>
        </w:rPr>
      </w:pPr>
      <w:bookmarkStart w:id="68" w:name="_Toc15396630"/>
      <w:r>
        <w:rPr>
          <w:rFonts w:eastAsia="仿宋_GB2312"/>
          <w:color w:val="auto"/>
          <w:sz w:val="32"/>
          <w:szCs w:val="32"/>
          <w:highlight w:val="auto"/>
        </w:rPr>
        <w:t>十二、</w:t>
      </w:r>
      <w:bookmarkEnd w:id="68"/>
      <w:r>
        <w:rPr>
          <w:rFonts w:eastAsia="仿宋_GB2312"/>
          <w:color w:val="auto"/>
          <w:sz w:val="32"/>
          <w:szCs w:val="32"/>
          <w:lang w:eastAsia="zh-CN"/>
          <w:highlight w:val="auto"/>
        </w:rPr>
        <w:t>国有资本经营预算财政拨款支出决算表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eastAsia="仿宋_GB2312"/>
          <w:color w:val="auto"/>
          <w:sz w:val="32"/>
          <w:szCs w:val="32"/>
          <w:lang w:eastAsia="zh-CN"/>
          <w:highlight w:val="auto"/>
        </w:rPr>
      </w:pPr>
      <w:bookmarkStart w:id="69" w:name="_Toc15396631"/>
      <w:r>
        <w:rPr>
          <w:rFonts w:eastAsia="仿宋_GB2312"/>
          <w:color w:val="auto"/>
          <w:sz w:val="32"/>
          <w:szCs w:val="32"/>
          <w:highlight w:val="auto"/>
        </w:rPr>
        <w:t>十三、</w:t>
      </w:r>
      <w:bookmarkEnd w:id="69"/>
      <w:r>
        <w:rPr>
          <w:rFonts w:eastAsia="仿宋_GB2312"/>
          <w:color w:val="auto"/>
          <w:sz w:val="32"/>
          <w:szCs w:val="32"/>
          <w:lang w:eastAsia="zh-CN"/>
          <w:highlight w:val="auto"/>
        </w:rPr>
        <w:t>财政拨款“三公”经费支出决算表</w:t>
      </w:r>
    </w:p>
    <w:p>
      <w:pPr>
        <w:rPr>
          <w:lang w:eastAsia="zh-CN"/>
        </w:rPr>
      </w:pPr>
    </w:p>
    <w:sectPr>
      <w:footerReference w:type="default" r:id="rId4"/>
      <w:footerReference w:type="first" r:id="rId5"/>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variable"/>
    <w:sig w:usb0="00000001" w:usb1="080E0000" w:usb2="00000000" w:usb3="00000000" w:csb0="00040000" w:csb1="00000000"/>
  </w:font>
  <w:font w:name="宋体">
    <w:panose1 w:val="02010600030101010101"/>
    <w:charset w:val="7A"/>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楷体">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
    <w:altName w:val="Segoe Print"/>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fldChar w:fldCharType="begin"/>
    </w:r>
    <w:r>
      <w:instrText>PAGE</w:instrText>
    </w:r>
    <w:r>
      <w:fldChar w:fldCharType="separate"/>
    </w:r>
    <w:r>
      <w:t>1</w:t>
    </w:r>
    <w:r>
      <w:fldChar w:fldCharType="end"/>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91438" distR="91438" simplePos="0" relativeHeight="25" behindDoc="0" locked="0" layoutInCell="1" hidden="0" allowOverlap="1">
              <wp:simplePos x="0" y="0"/>
              <wp:positionH relativeFrom="margin">
                <wp:align>center</wp:align>
              </wp:positionH>
              <wp:positionV relativeFrom="paragraph">
                <wp:posOffset>0</wp:posOffset>
              </wp:positionV>
              <wp:extent cx="179565" cy="139560"/>
              <wp:effectExtent l="0" t="0" r="0" b="0"/>
              <wp:wrapNone/>
              <wp:docPr id="1" name="文本框 6"/>
              <wp:cNvGraphicFramePr>
                <a:graphicFrameLocks noChangeAspect="0"/>
              </wp:cNvGraphicFramePr>
              <a:graphic>
                <a:graphicData uri="http://schemas.microsoft.com/office/word/2010/wordprocessingShape">
                  <wps:wsp>
                    <wps:cNvSpPr/>
                    <wps:spPr>
                      <a:xfrm rot="0">
                        <a:off x="0" y="0"/>
                        <a:ext cx="179565" cy="139560"/>
                      </a:xfrm>
                      <a:prstGeom prst="rect"/>
                      <a:noFill/>
                      <a:ln w="6350" cmpd="sng" cap="flat">
                        <a:noFill/>
                        <a:prstDash val="solid"/>
                        <a:round/>
                      </a:ln>
                    </wps:spPr>
                    <wps:txbx id="2">
                      <w:txbxContent>
                        <w:p>
                          <w:pPr>
                            <w:pStyle w:val="21"/>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6 3" o:spid="_x0000_s3" filled="f" stroked="f" strokeweight="0.5pt" style="position:absolute;margin-left:0.0pt;margin-top:0.0pt;width:14.138996pt;height:10.988998pt;z-index:25;mso-position-horizontal:center;mso-position-horizontal-relative:margin;mso-position-vertical:absolute;mso-wrap-distance-left:7.19989pt;mso-wrap-distance-right:7.19989pt;mso-wrap-style:none;">
              <v:stroke color="#000000"/>
              <v:textbox id="855" inset="0mm,0mm,0mm,0mm" o:insetmode="custom" style="layout-flow:horizontal;v-text-anchor:top;mso-fit-shape-to-text:t;">
                <w:txbxContent>
                  <w:p>
                    <w:pPr>
                      <w:pStyle w:val="21"/>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3BAE972"/>
    <w:multiLevelType w:val="hybridMultilevel"/>
    <w:tmpl w:val="00000000"/>
    <w:lvl w:ilvl="0">
      <w:start w:val="1"/>
      <w:numFmt w:val="chineseCountingThousand"/>
      <w:lvlRestart w:val="0"/>
      <w:lvlText w:val="%1、"/>
      <w:legacy w:legacy="1" w:legacySpace="0" w:legacyIndent="640"/>
      <w:lvlJc w:val="left"/>
      <w:pPr>
        <w:ind w:left="640" w:hanging="640"/>
      </w:pPr>
      <w:rPr>
        <w:rFonts w:eastAsia="黑体" w:hint="eastAsia"/>
      </w:r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next w:val="0"/>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next w:val="34"/>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eastAsia="宋体" w:hAnsi="??"/>
      <w:color w:val="000000"/>
      <w:kern w:val="0"/>
      <w:sz w:val="28"/>
      <w:szCs w:val="21"/>
      <w:lang w:val="zh-CN" w:eastAsia="zh-CN"/>
    </w:rPr>
  </w:style>
  <w:style w:type="paragraph" w:styleId="36">
    <w:name w:val="index 5"/>
    <w:autoRedefine/>
    <w:next w:val="0"/>
    <w:pPr>
      <w:widowControl w:val="0"/>
      <w:ind w:left="1680"/>
      <w:jc w:val="both"/>
    </w:pPr>
    <w:rPr>
      <w:rFonts w:ascii="Calibri" w:eastAsia="宋体" w:cs="Arial" w:hAnsi="Calibri"/>
      <w:kern w:val="2"/>
      <w:sz w:val="21"/>
      <w:szCs w:val="24"/>
      <w:lang w:val="en-US" w:eastAsia="zh-CN" w:bidi="ar-SA"/>
    </w:rPr>
  </w:style>
  <w:style w:type="paragraph" w:styleId="37">
    <w:name w:val="index 6"/>
    <w:autoRedefine/>
    <w:next w:val="0"/>
    <w:pPr>
      <w:widowControl w:val="0"/>
      <w:ind w:left="2100"/>
      <w:jc w:val="both"/>
    </w:pPr>
    <w:rPr>
      <w:rFonts w:ascii="Times New Roman" w:eastAsia="仿宋_GB2312" w:cs="Times New Roman" w:hAnsi="Times New Roman"/>
      <w:kern w:val="2"/>
      <w:sz w:val="32"/>
      <w:szCs w:val="24"/>
      <w:lang w:val="en-US" w:eastAsia="zh-CN" w:bidi="ar-SA"/>
    </w:rPr>
  </w:style>
  <w:style w:type="paragraph" w:styleId="38">
    <w:name w:val="Body Text Indent 2"/>
    <w:next w:val="18"/>
    <w:pPr>
      <w:widowControl w:val="0"/>
      <w:spacing w:line="317" w:lineRule="atLeast"/>
      <w:ind w:firstLine="476"/>
      <w:jc w:val="both"/>
      <w:textAlignment w:val="center"/>
    </w:pPr>
    <w:rPr>
      <w:rFonts w:ascii="Calibri" w:eastAsia="仿宋_GB2312" w:cs="Calibri" w:hAnsi="Calibri"/>
      <w:kern w:val="28"/>
      <w:sz w:val="32"/>
      <w:szCs w:val="21"/>
      <w:lang w:val="en-US" w:eastAsia="zh-CN" w:bidi="ar-SA"/>
    </w:rPr>
  </w:style>
  <w:style w:type="paragraph" w:styleId="39">
    <w:name w:val="Normal (Web)"/>
    <w:basedOn w:val="0"/>
    <w:rPr>
      <w:sz w:val="24"/>
    </w:rPr>
  </w:style>
  <w:style w:type="paragraph" w:customStyle="1" w:styleId="40">
    <w:name w:val="List Paragraph"/>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Chars="200" w:firstLine="200"/>
      <w:jc w:val="both"/>
      <w:textAlignment w:val="auto"/>
      <w:outlineLvl w:val="9"/>
    </w:pPr>
    <w:rPr>
      <w:rFonts w:ascii="Calibri" w:eastAsia="宋体" w:cs="Arial" w:hAnsi="Calibri"/>
      <w:snapToGrid/>
      <w:color w:val="auto"/>
      <w:spacing w:val="0"/>
      <w:w w:val="100"/>
      <w:kern w:val="2"/>
      <w:position w:val="0"/>
      <w:sz w:val="21"/>
      <w:szCs w:val="21"/>
      <w:u w:val="none" w:color="auto"/>
      <w:vertAlign w:val="baseline"/>
      <w:em w:val="none"/>
      <w:lang w:val="en-US" w:eastAsia="zh-CN" w:bidi="ar-SA"/>
    </w:rPr>
  </w:style>
  <w:style w:type="paragraph" w:customStyle="1" w:styleId="41">
    <w:name w:val="正文-公1"/>
    <w:next w:val="0"/>
    <w:pPr>
      <w:widowControl w:val="0"/>
      <w:ind w:firstLineChars="200" w:firstLine="200"/>
      <w:jc w:val="both"/>
    </w:pPr>
    <w:rPr>
      <w:rFonts w:ascii="Times New Roman" w:eastAsia="宋体" w:cs="Times New Roman" w:hAnsi="Times New Roman"/>
      <w:kern w:val="2"/>
      <w:sz w:val="21"/>
      <w:szCs w:val="20"/>
      <w:lang w:val="en-US" w:eastAsia="zh-CN" w:bidi="ar-SA"/>
    </w:rPr>
  </w:style>
  <w:style w:type="character" w:customStyle="1" w:styleId="42">
    <w:name w:val="15"/>
    <w:rPr>
      <w:rFonts w:ascii="Times New Roman" w:hAnsi="Times New Roman"/>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5.png"/><Relationship Id="rId7" Type="http://schemas.openxmlformats.org/officeDocument/2006/relationships/image" Target="media/8.png"/><Relationship Id="rId8" Type="http://schemas.openxmlformats.org/officeDocument/2006/relationships/image" Target="media/11.png"/><Relationship Id="rId9" Type="http://schemas.openxmlformats.org/officeDocument/2006/relationships/image" Target="media/14.png"/><Relationship Id="rId10" Type="http://schemas.openxmlformats.org/officeDocument/2006/relationships/image" Target="media/17.png"/><Relationship Id="rId11" Type="http://schemas.openxmlformats.org/officeDocument/2006/relationships/image" Target="media/20.png"/><Relationship Id="rId12" Type="http://schemas.openxmlformats.org/officeDocument/2006/relationships/image" Target="media/23.png"/><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docProps/app.xml><?xml version="1.0" encoding="utf-8"?>
<Properties xmlns="http://schemas.openxmlformats.org/officeDocument/2006/extended-properties">
  <Template>Normal.eit</Template>
  <TotalTime>376</TotalTime>
  <Application>Yozo_Office27021597764231179</Application>
  <Pages>41</Pages>
  <Words>16672</Words>
  <Characters>18890</Characters>
  <Lines>911</Lines>
  <Paragraphs>259</Paragraphs>
  <CharactersWithSpaces>18919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ab</cp:lastModifiedBy>
  <cp:revision>32</cp:revision>
  <cp:lastPrinted>2026-09-03T02:35:22Z</cp:lastPrinted>
  <dcterms:created xsi:type="dcterms:W3CDTF">2020-08-08T17:49:00Z</dcterms:created>
  <dcterms:modified xsi:type="dcterms:W3CDTF">2026-09-03T02:47:29Z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3BF536824C220DA3E40E8B68BA118B1C_42</vt:lpwstr>
  </property>
  <property fmtid="{D5CDD505-2E9C-101B-9397-08002B2CF9AE}" pid="4" name="KSOTemplateDocerSaveRecord">
    <vt:lpwstr>eyJoZGlkIjoiZjViMDk3OGYyYmM3ZWZmYmY0Yjk0YzZhMzU1Mjg3NjQifQ==</vt:lpwstr>
  </property>
</Properties>
</file>