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阿坝州法官培训中心</w:t>
      </w:r>
    </w:p>
    <w:p>
      <w:pPr>
        <w:jc w:val="center"/>
        <w:rPr>
          <w:rFonts w:hint="eastAsia" w:ascii="黑体" w:hAnsi="黑体" w:eastAsia="黑体"/>
          <w:sz w:val="44"/>
          <w:szCs w:val="44"/>
          <w:lang w:eastAsia="zh-CN"/>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r>
        <w:rPr>
          <w:rFonts w:ascii="黑体" w:hAnsi="黑体" w:eastAsia="黑体"/>
          <w:sz w:val="44"/>
          <w:szCs w:val="44"/>
        </w:rPr>
        <w:br w:type="page"/>
      </w:r>
    </w:p>
    <w:p>
      <w:pPr>
        <w:pStyle w:val="9"/>
        <w:ind w:firstLine="640"/>
        <w:rPr>
          <w:rFonts w:hint="eastAsia" w:ascii="黑体" w:hAnsi="黑体" w:eastAsia="黑体"/>
          <w:sz w:val="32"/>
          <w:szCs w:val="32"/>
        </w:rPr>
      </w:pPr>
      <w:r>
        <w:rPr>
          <w:rFonts w:hint="eastAsia" w:ascii="黑体" w:hAnsi="黑体" w:eastAsia="黑体"/>
          <w:sz w:val="32"/>
          <w:szCs w:val="32"/>
        </w:rPr>
        <w:t>一、基本职能及主要工作</w:t>
      </w:r>
    </w:p>
    <w:p>
      <w:pPr>
        <w:ind w:firstLine="640" w:firstLineChars="200"/>
        <w:rPr>
          <w:rFonts w:hint="eastAsia" w:ascii="楷体" w:hAnsi="楷体" w:eastAsia="楷体"/>
          <w:sz w:val="32"/>
          <w:szCs w:val="32"/>
        </w:rPr>
      </w:pPr>
      <w:r>
        <w:rPr>
          <w:rFonts w:hint="eastAsia" w:ascii="楷体" w:hAnsi="楷体" w:eastAsia="楷体"/>
          <w:sz w:val="32"/>
          <w:szCs w:val="32"/>
        </w:rPr>
        <w:t>（一）部门职能简介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着力提升全州两级法院干警的思想政治水平和司法业务能力。</w:t>
      </w:r>
    </w:p>
    <w:p>
      <w:pPr>
        <w:ind w:firstLine="640" w:firstLineChars="200"/>
        <w:rPr>
          <w:rFonts w:hint="eastAsia" w:ascii="楷体" w:hAnsi="楷体" w:eastAsia="楷体"/>
          <w:sz w:val="32"/>
          <w:szCs w:val="32"/>
        </w:rPr>
      </w:pPr>
      <w:r>
        <w:rPr>
          <w:rFonts w:hint="eastAsia" w:ascii="楷体" w:hAnsi="楷体" w:eastAsia="楷体"/>
          <w:sz w:val="32"/>
          <w:szCs w:val="32"/>
        </w:rPr>
        <w:t>（二）2023年重点工作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在州法院的指导下，认真组织好本年度计划的培训工作，协调好高院、人事部门组织开展的培训工作。</w:t>
      </w:r>
    </w:p>
    <w:p>
      <w:pPr>
        <w:numPr>
          <w:ilvl w:val="0"/>
          <w:numId w:val="1"/>
        </w:numPr>
        <w:rPr>
          <w:rFonts w:hint="eastAsia" w:ascii="黑体" w:hAnsi="黑体" w:eastAsia="黑体"/>
          <w:sz w:val="32"/>
          <w:szCs w:val="32"/>
        </w:rPr>
      </w:pPr>
      <w:r>
        <w:rPr>
          <w:rFonts w:hint="eastAsia" w:ascii="黑体" w:hAnsi="黑体" w:eastAsia="黑体"/>
          <w:sz w:val="32"/>
          <w:szCs w:val="32"/>
        </w:rPr>
        <w:t>部门预算单位构成</w:t>
      </w:r>
    </w:p>
    <w:p>
      <w:pPr>
        <w:pStyle w:val="10"/>
        <w:spacing w:before="0" w:line="360" w:lineRule="auto"/>
        <w:ind w:firstLine="63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阿坝州法官培训中心一级预算单位，下属二级预算单位0个。</w:t>
      </w:r>
    </w:p>
    <w:p>
      <w:pPr>
        <w:numPr>
          <w:ilvl w:val="0"/>
          <w:numId w:val="1"/>
        </w:numPr>
        <w:ind w:left="0" w:leftChars="0" w:firstLine="0" w:firstLineChars="0"/>
        <w:rPr>
          <w:rFonts w:hint="eastAsia" w:ascii="黑体" w:hAnsi="黑体" w:eastAsia="黑体"/>
          <w:sz w:val="32"/>
          <w:szCs w:val="32"/>
        </w:rPr>
      </w:pPr>
      <w:r>
        <w:rPr>
          <w:rFonts w:hint="eastAsia" w:ascii="黑体" w:hAnsi="黑体" w:eastAsia="黑体"/>
          <w:sz w:val="32"/>
          <w:szCs w:val="32"/>
        </w:rPr>
        <w:t>收支预算情况说明</w:t>
      </w:r>
    </w:p>
    <w:p>
      <w:pPr>
        <w:pStyle w:val="10"/>
        <w:spacing w:before="0" w:line="360" w:lineRule="auto"/>
        <w:ind w:firstLine="63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按照综合预算的原则，所有收入和支出均纳入部门预算管理。收入包括：一般公共预算拨款收入54.18万元；支出包括：一般公共服务支出0.00元，公共安全支出54.18万元。</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val="en-US" w:eastAsia="zh-CN"/>
        </w:rPr>
        <w:t>（一）</w:t>
      </w:r>
      <w:r>
        <w:rPr>
          <w:rFonts w:hint="eastAsia" w:ascii="楷体" w:hAnsi="楷体" w:eastAsia="楷体"/>
          <w:sz w:val="32"/>
          <w:szCs w:val="32"/>
        </w:rPr>
        <w:t>收入预算情况</w:t>
      </w:r>
    </w:p>
    <w:p>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阿坝州中级人民法院2023年收入预算54.18万元，其中：一般公共预算拨款收入54.18万元，占100%。</w:t>
      </w:r>
    </w:p>
    <w:p>
      <w:pPr>
        <w:numPr>
          <w:ilvl w:val="0"/>
          <w:numId w:val="0"/>
        </w:numPr>
        <w:ind w:leftChars="0" w:firstLine="640" w:firstLineChars="200"/>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支出预算情况</w:t>
      </w:r>
    </w:p>
    <w:p>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阿坝州中级人民法院2023年支出预算54.18万元，其中：基本支出54.18万元，占100%。</w:t>
      </w:r>
    </w:p>
    <w:p>
      <w:pPr>
        <w:numPr>
          <w:ilvl w:val="0"/>
          <w:numId w:val="1"/>
        </w:numPr>
        <w:ind w:left="0" w:leftChars="0" w:firstLine="0" w:firstLineChars="0"/>
        <w:rPr>
          <w:rFonts w:hint="eastAsia" w:ascii="黑体" w:hAnsi="黑体" w:eastAsia="黑体"/>
          <w:sz w:val="32"/>
          <w:szCs w:val="32"/>
        </w:rPr>
      </w:pPr>
      <w:r>
        <w:rPr>
          <w:rFonts w:hint="eastAsia" w:ascii="黑体" w:hAnsi="黑体" w:eastAsia="黑体"/>
          <w:sz w:val="32"/>
          <w:szCs w:val="32"/>
        </w:rPr>
        <w:t>财政拨款收支预算情况说明</w:t>
      </w:r>
    </w:p>
    <w:p>
      <w:pPr>
        <w:pStyle w:val="2"/>
        <w:numPr>
          <w:ilvl w:val="0"/>
          <w:numId w:val="0"/>
        </w:numPr>
        <w:ind w:firstLine="640" w:firstLineChars="200"/>
      </w:pPr>
      <w:r>
        <w:rPr>
          <w:rFonts w:hint="eastAsia" w:ascii="仿宋_GB2312" w:hAnsi="仿宋_GB2312" w:eastAsia="仿宋_GB2312" w:cs="仿宋_GB2312"/>
          <w:kern w:val="2"/>
          <w:sz w:val="32"/>
          <w:szCs w:val="32"/>
          <w:lang w:val="en-US" w:eastAsia="zh-CN" w:bidi="ar-SA"/>
        </w:rPr>
        <w:t>2023年财政拨款收支总预算54.18万元。收入包括：本年一般公共预算拨款收入54.18万元；支出包括：一般公共服务支出0.00元，公共安全支出54.18万元。</w:t>
      </w:r>
    </w:p>
    <w:p>
      <w:pPr>
        <w:rPr>
          <w:rFonts w:ascii="黑体" w:hAnsi="黑体" w:eastAsia="黑体"/>
          <w:sz w:val="32"/>
          <w:szCs w:val="32"/>
        </w:rPr>
      </w:pPr>
      <w:r>
        <w:rPr>
          <w:rFonts w:hint="eastAsia" w:ascii="黑体" w:hAnsi="黑体" w:eastAsia="黑体"/>
          <w:sz w:val="32"/>
          <w:szCs w:val="32"/>
        </w:rPr>
        <w:t>五、一般公共预算当年拨款情况说明</w:t>
      </w:r>
    </w:p>
    <w:p>
      <w:pPr>
        <w:ind w:firstLine="640" w:firstLineChars="200"/>
        <w:rPr>
          <w:rFonts w:hint="eastAsia"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hint="eastAsia" w:ascii="楷体" w:hAnsi="楷体" w:eastAsia="楷体"/>
          <w:sz w:val="32"/>
          <w:szCs w:val="32"/>
        </w:rPr>
      </w:pPr>
      <w:r>
        <w:rPr>
          <w:rFonts w:hint="eastAsia" w:ascii="仿宋_GB2312" w:hAnsi="仿宋_GB2312" w:eastAsia="仿宋_GB2312" w:cs="仿宋_GB2312"/>
          <w:kern w:val="2"/>
          <w:sz w:val="32"/>
          <w:szCs w:val="32"/>
          <w:lang w:val="en-US" w:eastAsia="zh-CN" w:bidi="ar-SA"/>
        </w:rPr>
        <w:t>2023年财政拨款收支总预算54.18万元,比2022年财政拨款收支总预算增加4.42万元，主要原因：人员经费支出增加。</w:t>
      </w:r>
      <w:r>
        <w:rPr>
          <w:rFonts w:ascii="楷体" w:hAnsi="楷体" w:eastAsia="楷体"/>
          <w:sz w:val="32"/>
          <w:szCs w:val="32"/>
        </w:rPr>
        <w:br w:type="textWrapping"/>
      </w:r>
      <w:r>
        <w:rPr>
          <w:rFonts w:hint="eastAsia" w:ascii="楷体" w:hAnsi="楷体" w:eastAsia="楷体"/>
          <w:sz w:val="32"/>
          <w:szCs w:val="32"/>
          <w:lang w:val="en-US" w:eastAsia="zh-CN"/>
        </w:rPr>
        <w:t xml:space="preserve">  </w:t>
      </w:r>
      <w:r>
        <w:rPr>
          <w:rFonts w:hint="eastAsia" w:ascii="楷体" w:hAnsi="楷体" w:eastAsia="楷体"/>
          <w:sz w:val="32"/>
          <w:szCs w:val="32"/>
        </w:rPr>
        <w:t>（二）一般公共预算当年拨款结构情况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楷体" w:hAnsi="楷体" w:eastAsia="楷体"/>
          <w:sz w:val="32"/>
          <w:szCs w:val="32"/>
        </w:rPr>
      </w:pPr>
      <w:r>
        <w:rPr>
          <w:rFonts w:hint="eastAsia" w:ascii="仿宋_GB2312" w:hAnsi="仿宋_GB2312" w:eastAsia="仿宋_GB2312" w:cs="仿宋_GB2312"/>
          <w:kern w:val="2"/>
          <w:sz w:val="32"/>
          <w:szCs w:val="32"/>
          <w:lang w:val="en-US" w:eastAsia="zh-CN" w:bidi="ar-SA"/>
        </w:rPr>
        <w:t>本年一般公共预算拨款收入</w:t>
      </w:r>
      <w:r>
        <w:rPr>
          <w:rFonts w:hint="eastAsia" w:cs="仿宋_GB2312"/>
          <w:kern w:val="2"/>
          <w:sz w:val="32"/>
          <w:szCs w:val="32"/>
          <w:lang w:val="en-US" w:eastAsia="zh-CN" w:bidi="ar-SA"/>
        </w:rPr>
        <w:t>54.18</w:t>
      </w:r>
      <w:r>
        <w:rPr>
          <w:rFonts w:hint="eastAsia" w:ascii="仿宋_GB2312" w:hAnsi="仿宋_GB2312" w:eastAsia="仿宋_GB2312" w:cs="仿宋_GB2312"/>
          <w:kern w:val="2"/>
          <w:sz w:val="32"/>
          <w:szCs w:val="32"/>
          <w:lang w:val="en-US" w:eastAsia="zh-CN" w:bidi="ar-SA"/>
        </w:rPr>
        <w:t>万元；支出包括：一般公共服务支出0.00元，公共安全支出</w:t>
      </w:r>
      <w:r>
        <w:rPr>
          <w:rFonts w:hint="eastAsia" w:cs="仿宋_GB2312"/>
          <w:kern w:val="2"/>
          <w:sz w:val="32"/>
          <w:szCs w:val="32"/>
          <w:lang w:val="en-US" w:eastAsia="zh-CN" w:bidi="ar-SA"/>
        </w:rPr>
        <w:t>54.18</w:t>
      </w:r>
      <w:r>
        <w:rPr>
          <w:rFonts w:hint="eastAsia" w:ascii="仿宋_GB2312" w:hAnsi="仿宋_GB2312" w:eastAsia="仿宋_GB2312" w:cs="仿宋_GB2312"/>
          <w:kern w:val="2"/>
          <w:sz w:val="32"/>
          <w:szCs w:val="32"/>
          <w:lang w:val="en-US" w:eastAsia="zh-CN" w:bidi="ar-SA"/>
        </w:rPr>
        <w:t>万元。</w:t>
      </w:r>
      <w:r>
        <w:rPr>
          <w:rFonts w:ascii="楷体" w:hAnsi="楷体" w:eastAsia="楷体"/>
          <w:sz w:val="32"/>
          <w:szCs w:val="32"/>
        </w:rPr>
        <w:br w:type="textWrapping"/>
      </w:r>
      <w:r>
        <w:rPr>
          <w:rFonts w:hint="eastAsia" w:ascii="楷体" w:hAnsi="楷体" w:eastAsia="楷体"/>
          <w:sz w:val="32"/>
          <w:szCs w:val="32"/>
          <w:lang w:val="en-US" w:eastAsia="zh-CN"/>
        </w:rPr>
        <w:t xml:space="preserve">  </w:t>
      </w:r>
      <w:r>
        <w:rPr>
          <w:rFonts w:hint="eastAsia" w:ascii="楷体" w:hAnsi="楷体" w:eastAsia="楷体"/>
          <w:sz w:val="32"/>
          <w:szCs w:val="32"/>
        </w:rPr>
        <w:t>（三）一般公共预算当年拨款具体使用情况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1．人员支出</w:t>
      </w:r>
      <w:r>
        <w:rPr>
          <w:rFonts w:hint="eastAsia" w:cs="仿宋_GB2312"/>
          <w:kern w:val="2"/>
          <w:sz w:val="32"/>
          <w:szCs w:val="32"/>
          <w:lang w:val="en-US" w:eastAsia="zh-CN" w:bidi="ar-SA"/>
        </w:rPr>
        <w:t>47.61</w:t>
      </w:r>
      <w:r>
        <w:rPr>
          <w:rFonts w:hint="eastAsia" w:ascii="仿宋_GB2312" w:hAnsi="仿宋_GB2312" w:eastAsia="仿宋_GB2312" w:cs="仿宋_GB2312"/>
          <w:kern w:val="2"/>
          <w:sz w:val="32"/>
          <w:szCs w:val="32"/>
          <w:lang w:val="en-US" w:eastAsia="zh-CN" w:bidi="ar-SA"/>
        </w:rPr>
        <w:t>万元，主要用于：工资福利、养老保险缴费、职业年金缴费、医疗保险缴费、公务员医疗补助缴费等。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公用支出</w:t>
      </w:r>
      <w:r>
        <w:rPr>
          <w:rFonts w:hint="eastAsia" w:cs="仿宋_GB2312"/>
          <w:kern w:val="2"/>
          <w:sz w:val="32"/>
          <w:szCs w:val="32"/>
          <w:lang w:val="en-US" w:eastAsia="zh-CN" w:bidi="ar-SA"/>
        </w:rPr>
        <w:t>6.56</w:t>
      </w:r>
      <w:r>
        <w:rPr>
          <w:rFonts w:hint="eastAsia" w:ascii="仿宋_GB2312" w:hAnsi="仿宋_GB2312" w:eastAsia="仿宋_GB2312" w:cs="仿宋_GB2312"/>
          <w:kern w:val="2"/>
          <w:sz w:val="32"/>
          <w:szCs w:val="32"/>
          <w:lang w:val="en-US" w:eastAsia="zh-CN" w:bidi="ar-SA"/>
        </w:rPr>
        <w:t>万元，主要用于日常公务运行等。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黑体" w:hAnsi="黑体" w:eastAsia="黑体"/>
          <w:sz w:val="32"/>
          <w:szCs w:val="32"/>
        </w:rPr>
      </w:pPr>
      <w:r>
        <w:rPr>
          <w:rFonts w:hint="eastAsia" w:ascii="仿宋_GB2312" w:hAnsi="仿宋_GB2312" w:eastAsia="仿宋_GB2312" w:cs="仿宋_GB2312"/>
          <w:kern w:val="2"/>
          <w:sz w:val="32"/>
          <w:szCs w:val="32"/>
          <w:lang w:val="en-US" w:eastAsia="zh-CN" w:bidi="ar-SA"/>
        </w:rPr>
        <w:t>2023年一般公共预算基本支出</w:t>
      </w:r>
      <w:r>
        <w:rPr>
          <w:rFonts w:hint="eastAsia" w:cs="仿宋_GB2312"/>
          <w:kern w:val="2"/>
          <w:sz w:val="32"/>
          <w:szCs w:val="32"/>
          <w:lang w:val="en-US" w:eastAsia="zh-CN" w:bidi="ar-SA"/>
        </w:rPr>
        <w:t>54.18</w:t>
      </w:r>
      <w:r>
        <w:rPr>
          <w:rFonts w:hint="eastAsia" w:ascii="仿宋_GB2312" w:hAnsi="仿宋_GB2312" w:eastAsia="仿宋_GB2312" w:cs="仿宋_GB2312"/>
          <w:kern w:val="2"/>
          <w:sz w:val="32"/>
          <w:szCs w:val="32"/>
          <w:lang w:val="en-US" w:eastAsia="zh-CN" w:bidi="ar-SA"/>
        </w:rPr>
        <w:t>万元，其中：人员经费</w:t>
      </w:r>
      <w:r>
        <w:rPr>
          <w:rFonts w:hint="eastAsia" w:cs="仿宋_GB2312"/>
          <w:kern w:val="2"/>
          <w:sz w:val="32"/>
          <w:szCs w:val="32"/>
          <w:lang w:val="en-US" w:eastAsia="zh-CN" w:bidi="ar-SA"/>
        </w:rPr>
        <w:t>47.61</w:t>
      </w:r>
      <w:r>
        <w:rPr>
          <w:rFonts w:hint="eastAsia" w:ascii="仿宋_GB2312" w:hAnsi="仿宋_GB2312" w:eastAsia="仿宋_GB2312" w:cs="仿宋_GB2312"/>
          <w:kern w:val="2"/>
          <w:sz w:val="32"/>
          <w:szCs w:val="32"/>
          <w:lang w:val="en-US" w:eastAsia="zh-CN" w:bidi="ar-SA"/>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cs="仿宋_GB2312"/>
          <w:kern w:val="2"/>
          <w:sz w:val="32"/>
          <w:szCs w:val="32"/>
          <w:lang w:val="en-US" w:eastAsia="zh-CN" w:bidi="ar-SA"/>
        </w:rPr>
        <w:t>6.56</w:t>
      </w:r>
      <w:r>
        <w:rPr>
          <w:rFonts w:hint="eastAsia" w:ascii="仿宋_GB2312" w:hAnsi="仿宋_GB2312" w:eastAsia="仿宋_GB2312" w:cs="仿宋_GB2312"/>
          <w:kern w:val="2"/>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r>
        <w:rPr>
          <w:rFonts w:hint="eastAsia" w:ascii="仿宋_GB2312" w:hAnsi="仿宋_GB2312" w:eastAsia="仿宋_GB2312" w:cs="仿宋_GB2312"/>
          <w:kern w:val="2"/>
          <w:sz w:val="32"/>
          <w:szCs w:val="32"/>
          <w:lang w:val="en-US" w:eastAsia="zh-CN" w:bidi="ar-SA"/>
        </w:rPr>
        <w:br w:type="textWrapping"/>
      </w:r>
      <w:r>
        <w:rPr>
          <w:rFonts w:hint="eastAsia" w:ascii="黑体" w:hAnsi="黑体" w:eastAsia="黑体"/>
          <w:sz w:val="32"/>
          <w:szCs w:val="32"/>
        </w:rPr>
        <w:t>七、“三公”经费财政拨款预算安排情况说明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sz w:val="32"/>
          <w:szCs w:val="32"/>
        </w:rPr>
        <w:t>　</w:t>
      </w:r>
      <w:r>
        <w:rPr>
          <w:rFonts w:hint="eastAsia" w:ascii="仿宋_GB2312" w:hAnsi="仿宋_GB2312" w:eastAsia="仿宋_GB2312" w:cs="仿宋_GB2312"/>
          <w:kern w:val="2"/>
          <w:sz w:val="32"/>
          <w:szCs w:val="32"/>
          <w:lang w:val="en-US" w:eastAsia="zh-CN" w:bidi="ar-SA"/>
        </w:rPr>
        <w:t>2023年“三公”经费财政拨款预算数</w:t>
      </w:r>
      <w:r>
        <w:rPr>
          <w:rFonts w:hint="eastAsia" w:cs="仿宋_GB2312"/>
          <w:kern w:val="2"/>
          <w:sz w:val="32"/>
          <w:szCs w:val="32"/>
          <w:lang w:val="en-US" w:eastAsia="zh-CN" w:bidi="ar-SA"/>
        </w:rPr>
        <w:t>0.1</w:t>
      </w:r>
      <w:r>
        <w:rPr>
          <w:rFonts w:hint="eastAsia" w:ascii="仿宋_GB2312" w:hAnsi="仿宋_GB2312" w:eastAsia="仿宋_GB2312" w:cs="仿宋_GB2312"/>
          <w:kern w:val="2"/>
          <w:sz w:val="32"/>
          <w:szCs w:val="32"/>
          <w:lang w:val="en-US" w:eastAsia="zh-CN" w:bidi="ar-SA"/>
        </w:rPr>
        <w:t>万元，其中：因公出国（境）经费0.00万元，公务接待费</w:t>
      </w:r>
      <w:r>
        <w:rPr>
          <w:rFonts w:hint="eastAsia" w:cs="仿宋_GB2312"/>
          <w:kern w:val="2"/>
          <w:sz w:val="32"/>
          <w:szCs w:val="32"/>
          <w:lang w:val="en-US" w:eastAsia="zh-CN" w:bidi="ar-SA"/>
        </w:rPr>
        <w:t>0.1</w:t>
      </w:r>
      <w:r>
        <w:rPr>
          <w:rFonts w:hint="eastAsia" w:ascii="仿宋_GB2312" w:hAnsi="仿宋_GB2312" w:eastAsia="仿宋_GB2312" w:cs="仿宋_GB2312"/>
          <w:kern w:val="2"/>
          <w:sz w:val="32"/>
          <w:szCs w:val="32"/>
          <w:lang w:val="en-US" w:eastAsia="zh-CN" w:bidi="ar-SA"/>
        </w:rPr>
        <w:t>万元，公务用车购置及运行维护费</w:t>
      </w:r>
      <w:r>
        <w:rPr>
          <w:rFonts w:hint="eastAsia"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w:t>
      </w:r>
      <w:r>
        <w:rPr>
          <w:rFonts w:hint="eastAsia" w:cs="仿宋_GB2312"/>
          <w:kern w:val="2"/>
          <w:sz w:val="32"/>
          <w:szCs w:val="32"/>
          <w:lang w:val="en-US" w:eastAsia="zh-CN" w:bidi="ar-SA"/>
        </w:rPr>
        <w:t>较上年无变化。</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0" w:line="360" w:lineRule="auto"/>
        <w:textAlignment w:val="auto"/>
        <w:rPr>
          <w:rFonts w:hint="eastAsia" w:ascii="黑体" w:hAnsi="黑体" w:eastAsia="黑体"/>
          <w:sz w:val="32"/>
          <w:szCs w:val="32"/>
        </w:rPr>
      </w:pPr>
      <w:r>
        <w:rPr>
          <w:rFonts w:hint="eastAsia" w:ascii="黑体" w:hAnsi="黑体" w:eastAsia="黑体"/>
          <w:sz w:val="32"/>
          <w:szCs w:val="32"/>
        </w:rPr>
        <w:t>政府性基金预算支出情况说明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黑体" w:hAnsi="黑体" w:eastAsia="黑体"/>
          <w:sz w:val="32"/>
          <w:szCs w:val="32"/>
        </w:rPr>
      </w:pPr>
      <w:r>
        <w:rPr>
          <w:rFonts w:hint="eastAsia" w:ascii="仿宋_GB2312" w:hAnsi="仿宋_GB2312" w:eastAsia="仿宋_GB2312" w:cs="仿宋_GB2312"/>
          <w:kern w:val="2"/>
          <w:sz w:val="32"/>
          <w:szCs w:val="32"/>
          <w:lang w:val="en-US" w:eastAsia="zh-CN" w:bidi="ar-SA"/>
        </w:rPr>
        <w:t>2023年政府性基金预算拨款安排的支出0.00万元。</w:t>
      </w:r>
      <w:r>
        <w:rPr>
          <w:rFonts w:hint="eastAsia" w:ascii="仿宋_GB2312" w:hAnsi="仿宋_GB2312" w:eastAsia="仿宋_GB2312" w:cs="仿宋_GB2312"/>
          <w:kern w:val="2"/>
          <w:sz w:val="32"/>
          <w:szCs w:val="32"/>
          <w:lang w:val="en-US" w:eastAsia="zh-CN" w:bidi="ar-SA"/>
        </w:rPr>
        <w:br w:type="textWrapping"/>
      </w:r>
      <w:r>
        <w:rPr>
          <w:rFonts w:hint="eastAsia" w:ascii="黑体" w:hAnsi="黑体" w:eastAsia="黑体"/>
          <w:sz w:val="32"/>
          <w:szCs w:val="32"/>
        </w:rPr>
        <w:t>九、其他重要事项的情况说明</w:t>
      </w:r>
    </w:p>
    <w:p>
      <w:pPr>
        <w:pStyle w:val="1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Chars="200"/>
        <w:textAlignment w:val="auto"/>
        <w:rPr>
          <w:rFonts w:hint="eastAsia" w:ascii="楷体" w:hAnsi="楷体" w:eastAsia="楷体" w:cs="仿宋_GB2312"/>
          <w:kern w:val="2"/>
          <w:sz w:val="32"/>
          <w:szCs w:val="32"/>
        </w:rPr>
      </w:pPr>
      <w:r>
        <w:rPr>
          <w:rFonts w:hint="eastAsia" w:ascii="楷体" w:hAnsi="楷体" w:eastAsia="楷体" w:cs="仿宋_GB2312"/>
          <w:kern w:val="2"/>
          <w:sz w:val="32"/>
          <w:szCs w:val="32"/>
        </w:rPr>
        <w:t>机关运行经费</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2023年机关运行经费财政拨款预算为</w:t>
      </w:r>
      <w:r>
        <w:rPr>
          <w:rFonts w:hint="eastAsia" w:cs="仿宋_GB2312"/>
          <w:kern w:val="2"/>
          <w:sz w:val="32"/>
          <w:szCs w:val="32"/>
          <w:lang w:val="en-US" w:eastAsia="zh-CN" w:bidi="ar-SA"/>
        </w:rPr>
        <w:t>6.56</w:t>
      </w:r>
      <w:r>
        <w:rPr>
          <w:rFonts w:hint="eastAsia" w:ascii="仿宋_GB2312" w:hAnsi="仿宋_GB2312" w:eastAsia="仿宋_GB2312" w:cs="仿宋_GB2312"/>
          <w:kern w:val="2"/>
          <w:sz w:val="32"/>
          <w:szCs w:val="32"/>
          <w:lang w:val="en-US" w:eastAsia="zh-CN" w:bidi="ar-SA"/>
        </w:rPr>
        <w:t>万元，比</w:t>
      </w:r>
      <w:r>
        <w:rPr>
          <w:rFonts w:hint="eastAsia" w:cs="仿宋_GB2312"/>
          <w:kern w:val="2"/>
          <w:sz w:val="32"/>
          <w:szCs w:val="32"/>
          <w:lang w:val="en-US" w:eastAsia="zh-CN" w:bidi="ar-SA"/>
        </w:rPr>
        <w:t>2021</w:t>
      </w:r>
      <w:r>
        <w:rPr>
          <w:rFonts w:hint="eastAsia" w:ascii="仿宋_GB2312" w:hAnsi="仿宋_GB2312" w:eastAsia="仿宋_GB2312" w:cs="仿宋_GB2312"/>
          <w:kern w:val="2"/>
          <w:sz w:val="32"/>
          <w:szCs w:val="32"/>
          <w:lang w:val="en-US" w:eastAsia="zh-CN" w:bidi="ar-SA"/>
        </w:rPr>
        <w:t>年预算经费</w:t>
      </w:r>
      <w:r>
        <w:rPr>
          <w:rFonts w:hint="eastAsia" w:cs="仿宋_GB2312"/>
          <w:kern w:val="2"/>
          <w:sz w:val="32"/>
          <w:szCs w:val="32"/>
          <w:lang w:val="en-US" w:eastAsia="zh-CN" w:bidi="ar-SA"/>
        </w:rPr>
        <w:t>5.65</w:t>
      </w:r>
      <w:r>
        <w:rPr>
          <w:rFonts w:hint="eastAsia" w:ascii="仿宋_GB2312" w:hAnsi="仿宋_GB2312" w:eastAsia="仿宋_GB2312" w:cs="仿宋_GB2312"/>
          <w:kern w:val="2"/>
          <w:sz w:val="32"/>
          <w:szCs w:val="32"/>
          <w:lang w:val="en-US" w:eastAsia="zh-CN" w:bidi="ar-SA"/>
        </w:rPr>
        <w:t>万元增加</w:t>
      </w:r>
      <w:r>
        <w:rPr>
          <w:rFonts w:hint="eastAsia" w:cs="仿宋_GB2312"/>
          <w:kern w:val="2"/>
          <w:sz w:val="32"/>
          <w:szCs w:val="32"/>
          <w:lang w:val="en-US" w:eastAsia="zh-CN" w:bidi="ar-SA"/>
        </w:rPr>
        <w:t>0.91</w:t>
      </w:r>
      <w:r>
        <w:rPr>
          <w:rFonts w:hint="eastAsia" w:ascii="仿宋_GB2312" w:hAnsi="仿宋_GB2312" w:eastAsia="仿宋_GB2312" w:cs="仿宋_GB2312"/>
          <w:kern w:val="2"/>
          <w:sz w:val="32"/>
          <w:szCs w:val="32"/>
          <w:lang w:val="en-US" w:eastAsia="zh-CN" w:bidi="ar-SA"/>
        </w:rPr>
        <w:t>万元</w:t>
      </w:r>
      <w:r>
        <w:rPr>
          <w:rFonts w:hint="eastAsia" w:cs="仿宋_GB2312"/>
          <w:kern w:val="2"/>
          <w:sz w:val="32"/>
          <w:szCs w:val="32"/>
          <w:lang w:val="en-US" w:eastAsia="zh-CN" w:bidi="ar-SA"/>
        </w:rPr>
        <w:t>。</w:t>
      </w:r>
    </w:p>
    <w:p>
      <w:pPr>
        <w:pStyle w:val="1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Chars="200"/>
        <w:textAlignment w:val="auto"/>
        <w:rPr>
          <w:rFonts w:hint="eastAsia" w:ascii="楷体" w:hAnsi="楷体" w:eastAsia="楷体" w:cs="仿宋_GB2312"/>
          <w:kern w:val="2"/>
          <w:sz w:val="32"/>
          <w:szCs w:val="32"/>
        </w:rPr>
      </w:pPr>
      <w:r>
        <w:rPr>
          <w:rFonts w:hint="eastAsia" w:ascii="楷体" w:hAnsi="楷体" w:eastAsia="楷体" w:cs="仿宋_GB2312"/>
          <w:kern w:val="2"/>
          <w:sz w:val="32"/>
          <w:szCs w:val="32"/>
        </w:rPr>
        <w:t>绩效目标设置情况　</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w:t>
      </w:r>
      <w:r>
        <w:rPr>
          <w:rFonts w:hint="eastAsia" w:cs="仿宋_GB2312"/>
          <w:kern w:val="2"/>
          <w:sz w:val="32"/>
          <w:szCs w:val="32"/>
          <w:lang w:val="en-US" w:eastAsia="zh-CN" w:bidi="ar-SA"/>
        </w:rPr>
        <w:t>阿坝州法官培训中心无预算项目。</w:t>
      </w:r>
    </w:p>
    <w:p>
      <w:pPr>
        <w:pStyle w:val="1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Chars="200"/>
        <w:textAlignment w:val="auto"/>
        <w:rPr>
          <w:rFonts w:hint="eastAsia" w:ascii="楷体" w:hAnsi="楷体" w:eastAsia="楷体" w:cs="仿宋_GB2312"/>
          <w:kern w:val="2"/>
          <w:sz w:val="32"/>
          <w:szCs w:val="32"/>
          <w:lang w:val="en" w:eastAsia="zh-CN"/>
        </w:rPr>
      </w:pPr>
      <w:r>
        <w:rPr>
          <w:rFonts w:hint="eastAsia" w:ascii="楷体" w:hAnsi="楷体" w:eastAsia="楷体" w:cs="仿宋_GB2312"/>
          <w:kern w:val="2"/>
          <w:sz w:val="32"/>
          <w:szCs w:val="32"/>
          <w:lang w:val="en" w:eastAsia="zh-CN"/>
        </w:rPr>
        <w:t>空表说明</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1.3-3一般公共预算项目支出预算表中，法官培训中心无项目预算收支，该表为空表。</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2.4-政府性基金支出预算表，法官培训中心无政府基金预算收支，该表为空表。</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3.4-1政府性基金预算“三公”经费支出预算表，法官培训中心无政府基金预算收支，该表为空表。</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4.5-国有资本经营预算支出预算表，法官培训中心无国有资本经营预算收支，该表为空表。</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（四）政府采购说明</w:t>
      </w:r>
    </w:p>
    <w:p>
      <w:pPr>
        <w:pStyle w:val="10"/>
        <w:spacing w:before="0" w:line="360" w:lineRule="auto"/>
        <w:ind w:firstLine="640" w:firstLineChars="200"/>
        <w:rPr>
          <w:rFonts w:hint="default" w:cs="仿宋_GB2312"/>
          <w:kern w:val="2"/>
          <w:sz w:val="32"/>
          <w:szCs w:val="32"/>
          <w:lang w:val="en-US" w:eastAsia="zh-CN" w:bidi="ar-SA"/>
        </w:rPr>
      </w:pPr>
      <w:r>
        <w:rPr>
          <w:rFonts w:hint="eastAsia" w:cs="仿宋_GB2312"/>
          <w:kern w:val="2"/>
          <w:sz w:val="32"/>
          <w:szCs w:val="32"/>
          <w:lang w:val="en-US" w:eastAsia="zh-CN" w:bidi="ar-SA"/>
        </w:rPr>
        <w:t>2022年，本单位无政府采购项目。</w:t>
      </w:r>
      <w:bookmarkStart w:id="0" w:name="_GoBack"/>
      <w:bookmarkEnd w:id="0"/>
    </w:p>
    <w:p>
      <w:pPr>
        <w:pStyle w:val="10"/>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E9113"/>
    <w:multiLevelType w:val="singleLevel"/>
    <w:tmpl w:val="E3FE9113"/>
    <w:lvl w:ilvl="0" w:tentative="0">
      <w:start w:val="8"/>
      <w:numFmt w:val="chineseCounting"/>
      <w:suff w:val="nothing"/>
      <w:lvlText w:val="%1、"/>
      <w:lvlJc w:val="left"/>
      <w:rPr>
        <w:rFonts w:hint="eastAsia"/>
      </w:rPr>
    </w:lvl>
  </w:abstractNum>
  <w:abstractNum w:abstractNumId="1">
    <w:nsid w:val="E6F9B040"/>
    <w:multiLevelType w:val="singleLevel"/>
    <w:tmpl w:val="E6F9B040"/>
    <w:lvl w:ilvl="0" w:tentative="0">
      <w:start w:val="1"/>
      <w:numFmt w:val="chineseCounting"/>
      <w:suff w:val="nothing"/>
      <w:lvlText w:val="（%1）"/>
      <w:lvlJc w:val="left"/>
      <w:rPr>
        <w:rFonts w:hint="eastAsia"/>
      </w:rPr>
    </w:lvl>
  </w:abstractNum>
  <w:abstractNum w:abstractNumId="2">
    <w:nsid w:val="359BED53"/>
    <w:multiLevelType w:val="singleLevel"/>
    <w:tmpl w:val="359BED5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13197D31"/>
    <w:rsid w:val="164003A4"/>
    <w:rsid w:val="16C5583A"/>
    <w:rsid w:val="177904B8"/>
    <w:rsid w:val="1B0406D7"/>
    <w:rsid w:val="20361CB8"/>
    <w:rsid w:val="29566940"/>
    <w:rsid w:val="32BF7DF5"/>
    <w:rsid w:val="3DFF0AA8"/>
    <w:rsid w:val="48EB0A3F"/>
    <w:rsid w:val="5D9C382E"/>
    <w:rsid w:val="5EFB39F7"/>
    <w:rsid w:val="61693C9D"/>
    <w:rsid w:val="64CC0F4B"/>
    <w:rsid w:val="6BDA4361"/>
    <w:rsid w:val="77FFBEB6"/>
    <w:rsid w:val="7AE4629A"/>
    <w:rsid w:val="7BCF99A7"/>
    <w:rsid w:val="7DC9BF44"/>
    <w:rsid w:val="7EE32C29"/>
    <w:rsid w:val="95F2E9A5"/>
    <w:rsid w:val="AF9F7CC8"/>
    <w:rsid w:val="C97EB68B"/>
    <w:rsid w:val="DFBBBEF4"/>
    <w:rsid w:val="E2EF6983"/>
    <w:rsid w:val="EDBD8814"/>
    <w:rsid w:val="F9997FC5"/>
    <w:rsid w:val="FD6E9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Body Text"/>
    <w:basedOn w:val="1"/>
    <w:qFormat/>
    <w:uiPriority w:val="99"/>
    <w:pPr>
      <w:spacing w:beforeLines="30"/>
    </w:pPr>
    <w:rPr>
      <w:rFonts w:ascii="仿宋_GB2312" w:hAnsi="Times New Roman" w:eastAsia="仿宋_GB2312" w:cs="Times New Roman"/>
      <w:kern w:val="0"/>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Words>
  <Characters>1596</Characters>
  <Lines>13</Lines>
  <Paragraphs>3</Paragraphs>
  <TotalTime>10</TotalTime>
  <ScaleCrop>false</ScaleCrop>
  <LinksUpToDate>false</LinksUpToDate>
  <CharactersWithSpaces>1873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2023-01-03T09:44:00Z</dcterms:created>
  <dc:creator>疯丫头。。</dc:creator>
  <cp:lastModifiedBy>user</cp:lastModifiedBy>
  <cp:lastPrinted>2018-02-03T09:39:00Z</cp:lastPrinted>
  <dcterms:modified xsi:type="dcterms:W3CDTF">2024-08-12T10:40:26Z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