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w:rPr>
          <w:rFonts w:ascii="黑体" w:eastAsia="黑体"/>
          <w:sz w:val="32"/>
          <w:szCs w:val="32"/>
        </w:rPr>
        <w:t>附件</w:t>
      </w:r>
      <w:r>
        <w:rPr>
          <w:rFonts w:hint="eastAsia" w:ascii="黑体" w:eastAsia="黑体"/>
          <w:sz w:val="32"/>
          <w:szCs w:val="32"/>
        </w:rPr>
        <w:t>2</w:t>
      </w:r>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highlight w:val="none"/>
          <w:lang w:val="en-US" w:eastAsia="zh-CN"/>
        </w:rPr>
      </w:pPr>
      <w:r>
        <w:rPr>
          <w:rFonts w:hint="eastAsia" w:ascii="黑体" w:eastAsia="黑体"/>
          <w:sz w:val="44"/>
          <w:szCs w:val="44"/>
          <w:highlight w:val="none"/>
          <w:lang w:val="en-US" w:eastAsia="zh-CN"/>
        </w:rPr>
        <w:t>阿坝州中级人民法院</w:t>
      </w:r>
    </w:p>
    <w:p>
      <w:pPr>
        <w:jc w:val="center"/>
        <w:rPr>
          <w:rFonts w:ascii="黑体" w:eastAsia="黑体"/>
          <w:sz w:val="44"/>
          <w:szCs w:val="44"/>
          <w:highlight w:val="none"/>
        </w:rPr>
      </w:pPr>
      <w:r>
        <w:rPr>
          <w:rFonts w:ascii="黑体" w:eastAsia="黑体"/>
          <w:sz w:val="44"/>
          <w:szCs w:val="44"/>
          <w:highlight w:val="none"/>
        </w:rPr>
        <w:t>2025</w:t>
      </w:r>
      <w:r>
        <w:rPr>
          <w:rFonts w:hint="eastAsia" w:ascii="黑体" w:eastAsia="黑体"/>
          <w:sz w:val="44"/>
          <w:szCs w:val="44"/>
          <w:highlight w:val="none"/>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已经保密审查、内容审定，同意对外公开</w:t>
      </w:r>
    </w:p>
    <w:p>
      <w:pPr>
        <w:ind w:firstLine="1760" w:firstLineChars="400"/>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rPr>
          <w:rFonts w:ascii="黑体" w:eastAsia="黑体"/>
          <w:sz w:val="44"/>
          <w:szCs w:val="44"/>
        </w:rPr>
      </w:pPr>
    </w:p>
    <w:p>
      <w:bookmarkStart w:id="0" w:name="_GoBack"/>
      <w:bookmarkEnd w:id="0"/>
    </w:p>
    <w:p>
      <w:pPr>
        <w:ind w:firstLine="1760" w:firstLineChars="400"/>
        <w:rPr>
          <w:rFonts w:ascii="黑体" w:eastAsia="黑体"/>
          <w:sz w:val="44"/>
          <w:szCs w:val="44"/>
        </w:rPr>
      </w:pPr>
    </w:p>
    <w:p>
      <w:pPr>
        <w:ind w:firstLine="1760" w:firstLineChars="400"/>
        <w:rPr>
          <w:rFonts w:ascii="黑体" w:eastAsia="黑体"/>
          <w:sz w:val="44"/>
          <w:szCs w:val="44"/>
        </w:rPr>
      </w:pPr>
    </w:p>
    <w:p>
      <w:pPr>
        <w:ind w:firstLine="2200" w:firstLineChars="500"/>
        <w:jc w:val="both"/>
        <w:rPr>
          <w:rFonts w:ascii="黑体" w:eastAsia="黑体"/>
          <w:sz w:val="44"/>
          <w:szCs w:val="44"/>
        </w:rPr>
      </w:pPr>
      <w:r>
        <w:rPr>
          <w:rFonts w:hint="eastAsia" w:ascii="黑体" w:eastAsia="黑体"/>
          <w:sz w:val="44"/>
          <w:szCs w:val="44"/>
        </w:rPr>
        <w:t>202</w:t>
      </w:r>
      <w:r>
        <w:rPr>
          <w:rFonts w:hint="eastAsia" w:ascii="黑体" w:eastAsia="黑体"/>
          <w:sz w:val="44"/>
          <w:szCs w:val="44"/>
          <w:lang w:val="en-US" w:eastAsia="zh-CN"/>
        </w:rPr>
        <w:t>5</w:t>
      </w:r>
      <w:r>
        <w:rPr>
          <w:rFonts w:hint="eastAsia" w:ascii="黑体" w:eastAsia="黑体"/>
          <w:sz w:val="44"/>
          <w:szCs w:val="44"/>
        </w:rPr>
        <w:t>年</w:t>
      </w:r>
      <w:r>
        <w:rPr>
          <w:rFonts w:hint="eastAsia" w:ascii="黑体" w:eastAsia="黑体"/>
          <w:sz w:val="44"/>
          <w:szCs w:val="44"/>
          <w:lang w:val="en-US" w:eastAsia="zh-CN"/>
        </w:rPr>
        <w:t>2</w:t>
      </w:r>
      <w:r>
        <w:rPr>
          <w:rFonts w:hint="eastAsia" w:ascii="黑体" w:eastAsia="黑体"/>
          <w:sz w:val="44"/>
          <w:szCs w:val="44"/>
        </w:rPr>
        <w:t xml:space="preserve">月 </w:t>
      </w:r>
      <w:r>
        <w:rPr>
          <w:rFonts w:hint="eastAsia" w:ascii="黑体" w:eastAsia="黑体"/>
          <w:sz w:val="44"/>
          <w:szCs w:val="44"/>
          <w:lang w:val="en-US" w:eastAsia="zh-CN"/>
        </w:rPr>
        <w:t>24</w:t>
      </w:r>
      <w:r>
        <w:rPr>
          <w:rFonts w:hint="eastAsia" w:ascii="黑体" w:eastAsia="黑体"/>
          <w:sz w:val="44"/>
          <w:szCs w:val="44"/>
        </w:rPr>
        <w:t>日</w:t>
      </w: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highlight w:val="none"/>
        </w:rPr>
      </w:pPr>
    </w:p>
    <w:p>
      <w:pPr>
        <w:pStyle w:val="11"/>
        <w:rPr>
          <w:rFonts w:ascii="黑体" w:eastAsia="黑体"/>
          <w:sz w:val="32"/>
          <w:szCs w:val="32"/>
          <w:highlight w:val="none"/>
        </w:rPr>
      </w:pPr>
      <w:r>
        <w:rPr>
          <w:rFonts w:hint="eastAsia" w:ascii="黑体" w:eastAsia="黑体"/>
          <w:sz w:val="32"/>
          <w:szCs w:val="32"/>
          <w:highlight w:val="none"/>
        </w:rPr>
        <w:t>一、基本职能及主要工作</w:t>
      </w:r>
    </w:p>
    <w:p>
      <w:pPr>
        <w:ind w:firstLine="640" w:firstLineChars="200"/>
        <w:rPr>
          <w:rFonts w:ascii="楷体" w:eastAsia="楷体"/>
          <w:sz w:val="32"/>
          <w:szCs w:val="32"/>
          <w:highlight w:val="none"/>
        </w:rPr>
      </w:pPr>
      <w:r>
        <w:rPr>
          <w:rFonts w:hint="eastAsia" w:ascii="楷体" w:eastAsia="楷体"/>
          <w:sz w:val="32"/>
          <w:szCs w:val="32"/>
          <w:highlight w:val="none"/>
        </w:rPr>
        <w:t>（一）部门职能简介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阿坝州中级人民法院是国家审判机关，是指导和监督全州法院的审判工作，对阿坝州人民代表大会及其常务委员会负责并报告工作。其主要职责是：</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1.依法审判法律规定由中级人民法院管辖的刑事、民事、行政等第一、二审案件。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2.依法担负最高人民法院授权高级人民法院核准的死刑案件的执行工作。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3.依法审理高级人民法院指令再审的案件。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4.依法审理本院判决、裁定发生法律效力的提起再审的案件；依法受理不服基层人民法院生效裁判的各类申诉和再审申请，对其中确有错误的，提审或指令下级人民法院再审。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5.依法审判由阿坝州人民检察院按照审判监督程序提出的抗诉案件。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6.依法对基层人民法院管辖不明的案件指定管辖。</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7.监督基层人民法院的审判工作。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8.对全州法院审判工作中提出的具体适用法律问题作出司法解答。</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9.依法行使司法执行权和司法决定权。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10.依法国家赔偿。</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11.对法律、法规、规章等草案提出意见；针对案件审理中发现的问题提出司法建议。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12.组织、指导全州人民法院办理司法协助事项。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13.对阿坝州中级人民法院的法官和其他工作人员进行思想教育、专业培训；指导基层人民法院思想政治、教育培训工作；按照权限管理法官和其他工作人员；协同州级主管部门管理人民法院机构设置、人员编制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14.领导全州人民法院的督察工作。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15.规划和指导全州法院机关的计划财务装备工作。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16.在审判工作中宣传法制、教育公民自觉地遵守宪法、法律和社会公德。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contextualSpacing/>
        <w:textAlignment w:val="auto"/>
        <w:outlineLvl w:val="1"/>
        <w:rPr>
          <w:rFonts w:hint="eastAsia" w:ascii="Times New Roman" w:hAnsi="Times New Roman" w:eastAsia="仿宋_GB2312" w:cs="Times New Roman"/>
          <w:color w:val="000000"/>
          <w:kern w:val="2"/>
          <w:sz w:val="32"/>
          <w:szCs w:val="32"/>
          <w:shd w:val="clear" w:color="auto" w:fill="auto"/>
          <w:lang w:val="zh-CN" w:eastAsia="zh-CN"/>
        </w:rPr>
      </w:pPr>
      <w:r>
        <w:rPr>
          <w:rFonts w:hint="eastAsia" w:ascii="Times New Roman" w:hAnsi="Times New Roman" w:eastAsia="仿宋_GB2312" w:cs="Times New Roman"/>
          <w:color w:val="000000"/>
          <w:kern w:val="2"/>
          <w:sz w:val="32"/>
          <w:szCs w:val="32"/>
          <w:shd w:val="clear" w:color="auto" w:fill="auto"/>
          <w:lang w:val="zh-CN" w:eastAsia="zh-CN"/>
        </w:rPr>
        <w:t>17.着力提升全州两级法院干警的思想政治水平和司法业务能力。</w:t>
      </w:r>
    </w:p>
    <w:p>
      <w:pPr>
        <w:ind w:firstLine="640" w:firstLineChars="200"/>
        <w:rPr>
          <w:rFonts w:hint="eastAsia" w:ascii="Times New Roman" w:hAnsi="Times New Roman" w:eastAsia="仿宋_GB2312" w:cs="Times New Roman"/>
          <w:color w:val="000000"/>
          <w:kern w:val="2"/>
          <w:sz w:val="32"/>
          <w:szCs w:val="32"/>
          <w:shd w:val="clear" w:color="auto" w:fill="auto"/>
          <w:lang w:val="zh-CN" w:eastAsia="zh-CN" w:bidi="ar-SA"/>
        </w:rPr>
      </w:pPr>
      <w:r>
        <w:rPr>
          <w:rFonts w:hint="eastAsia" w:ascii="Times New Roman" w:hAnsi="Times New Roman" w:eastAsia="仿宋_GB2312" w:cs="Times New Roman"/>
          <w:color w:val="000000"/>
          <w:kern w:val="2"/>
          <w:sz w:val="32"/>
          <w:szCs w:val="32"/>
          <w:shd w:val="clear" w:color="auto" w:fill="auto"/>
          <w:lang w:val="zh-CN" w:eastAsia="zh-CN" w:bidi="ar-SA"/>
        </w:rPr>
        <w:t>18</w:t>
      </w:r>
      <w:r>
        <w:rPr>
          <w:rFonts w:hint="eastAsia" w:ascii="Times New Roman" w:hAnsi="Times New Roman" w:eastAsia="仿宋_GB2312" w:cs="Times New Roman"/>
          <w:color w:val="000000"/>
          <w:kern w:val="2"/>
          <w:sz w:val="32"/>
          <w:szCs w:val="32"/>
          <w:shd w:val="clear" w:color="auto" w:fill="auto"/>
          <w:lang w:val="zh-CN" w:eastAsia="zh-CN"/>
        </w:rPr>
        <w:t>.</w:t>
      </w:r>
      <w:r>
        <w:rPr>
          <w:rFonts w:hint="eastAsia" w:ascii="Times New Roman" w:hAnsi="Times New Roman" w:eastAsia="仿宋_GB2312" w:cs="Times New Roman"/>
          <w:color w:val="000000"/>
          <w:kern w:val="2"/>
          <w:sz w:val="32"/>
          <w:szCs w:val="32"/>
          <w:shd w:val="clear" w:color="auto" w:fill="auto"/>
          <w:lang w:val="zh-CN" w:eastAsia="zh-CN" w:bidi="ar-SA"/>
        </w:rPr>
        <w:t>承办其他应由阿坝州中级人民法院负责的工作。</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2025年是“十四五”规划的收官之年，是进一步全面深化改革的关键之年，全州法院总体工作思路是：高举习近平新时代中国特色社会主义思想伟大旗帜，深刻领悟“两个确立”决定性意义，增强“四个意识”，坚定“四个自信”，做到“两个维护”。深学笃行习近平法治思想，深入贯彻党的二十届三中全会精神、省委十二届六次全会精神和州委十二届五次、六次全会精神，紧扣群众工作、依法治州、产业发展“三件大事”，以高度的政治自觉、法治自觉、审判自觉，做实精于“从政治上看”，善于“从法治上办”，以法院工作现代化服务中国式现代化阿坝实践。</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扛牢政治责任，永葆对党忠诚本色。坚持不懈用党的创新理论武装头脑、指导实践、推动工作，把党的绝对领导贯穿法院工作始终，深入学习贯彻《中国共产党政法工作条例》，严格执行重大事项请示报告制度。巩固拓展党纪学习教育成果，深入推进“铸忠诚警魂、建高原铁军”教育活动，全覆盖开展政治轮训，切实提高“政治三力”。压紧压实党组意识形态主体责任，坚决抵制“宪政”“三权鼎立”等西方错误思潮，肃清流毒影响，牢牢掌握意识形态主动权。</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是深耕主责主业，砥砺服务大局担当。深入开展“三反两防”斗争和“三断”专项行动，依法严惩危害国家安全犯罪，保持对“黄赌毒”“盗抢骗”“食药环”等突出犯罪高压打击态势，常态化开展扫黑除恶斗争。全力护航清洁能源开发、交通建设等重点工程项目顺利推进，平等保护民营企业合法权益，强化地理标志产品司法保护，不断优化法治化营商环境。持续擦亮“四圈四同”环资审判品牌，妥善化解涉旅涉环矛盾纠纷，扩大5A景区司法联盟“朋友圈”，服务保障文旅融合高质量发展。</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是厚植法治沃土，坚守司法为民初心。优化审判管理、深化条线指导，树牢案件质量意识，努力做到“纠纷到我为止”。提升“宗巴雅母”少审品牌影响力，强化“一老一小”、单亲母亲权益保障。释放法治副校长、法治副主任制度效能。健全“法庭+”综合治理机制，依托“微网实格”开展矛盾纠纷大起底、大排查、真化解，实现“事心双解、案结事了”。优质化运行“执行110”“一中心两基地”，用足执行强制措施，加速兑现胜诉权益。发挥典型案例示范引领作用，广泛开展巡回审判、庭审直播等宣传活动，讲好群众身边“法治故事”。</w:t>
      </w:r>
    </w:p>
    <w:p>
      <w:pPr>
        <w:ind w:firstLine="640" w:firstLineChars="200"/>
        <w:rPr>
          <w:rFonts w:hint="eastAsia" w:ascii="仿宋_GB2312" w:hAnsi="Calibri" w:eastAsia="仿宋_GB2312" w:cs="仿宋_GB2312"/>
          <w:kern w:val="2"/>
          <w:sz w:val="32"/>
          <w:szCs w:val="32"/>
          <w:highlight w:val="yellow"/>
          <w:lang w:val="en-US" w:eastAsia="zh-CN" w:bidi="ar-SA"/>
        </w:rPr>
      </w:pPr>
      <w:r>
        <w:rPr>
          <w:rFonts w:hint="eastAsia" w:ascii="Times New Roman" w:hAnsi="Times New Roman" w:eastAsia="仿宋_GB2312" w:cs="仿宋_GB2312"/>
          <w:sz w:val="32"/>
          <w:szCs w:val="32"/>
        </w:rPr>
        <w:t>四是淬炼优良作风，锻造过硬法院铁军。纵深推进党风廉政建设，严格执行中央八项规定精神，坚决防止“四风”问题反弹回潮。严格落实防止干预司法“三个规定”、新时代政法干警“十个严禁”等铁规禁令，强化司法巡查、审务督察，整治司法作风顽疾，不断转变纪律作风。健全人才“选育管用”机制，鲜明多干事、干成事、不出事工作导向，常态化选派干警跟岗学习、挂职锻炼，强化全员全面全时考核，锻造让党放心、让人民满意的高原法院铁军</w:t>
      </w:r>
      <w:r>
        <w:rPr>
          <w:rFonts w:hint="eastAsia" w:ascii="Times New Roman" w:hAnsi="Times New Roman" w:eastAsia="仿宋_GB2312" w:cs="仿宋_GB2312"/>
          <w:sz w:val="32"/>
          <w:szCs w:val="32"/>
          <w:lang w:eastAsia="zh-CN"/>
        </w:rPr>
        <w:t>。</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eastAsia="zh-CN"/>
        </w:rPr>
        <w:t>阿坝州中级人民法院属一级预算单位，</w:t>
      </w:r>
      <w:r>
        <w:rPr>
          <w:rFonts w:hint="eastAsia" w:ascii="仿宋_GB2312" w:hAnsi="仿宋" w:eastAsia="仿宋_GB2312" w:cs="Times New Roman"/>
          <w:color w:val="000000"/>
          <w:kern w:val="2"/>
          <w:sz w:val="32"/>
          <w:szCs w:val="32"/>
          <w:lang w:val="en-US" w:eastAsia="zh-CN"/>
        </w:rPr>
        <w:t>无下属二级预算单位。阿坝州中级人民法院总编制104名，其中：政法专项编制92名，工勤编制12名。在职人员总数95人，其中：政法专项在职85人，工勤在职10人。空编9名，其中：政法专项编制7名，工勤编制2名。其他人员30人，其中：聘用制书记员30人。</w:t>
      </w:r>
    </w:p>
    <w:p>
      <w:pPr>
        <w:ind w:firstLine="640" w:firstLineChars="20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我院2025年收入预算3668.15万元，其中：上年结转0万元；一般公共预算拨款收入3668.15万元，占100%；无事业收入；无其他收入。</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我院2025年支出预算3668.15万元，其中：基本支出3228.15万元，占</w:t>
      </w:r>
      <w:r>
        <w:rPr>
          <w:rFonts w:hint="eastAsia" w:ascii="仿宋_GB2312" w:eastAsia="仿宋_GB2312" w:cs="仿宋_GB2312"/>
          <w:kern w:val="2"/>
          <w:sz w:val="32"/>
          <w:szCs w:val="32"/>
          <w:lang w:val="en-US" w:eastAsia="zh-CN" w:bidi="ar-SA"/>
        </w:rPr>
        <w:t>88</w:t>
      </w:r>
      <w:r>
        <w:rPr>
          <w:rFonts w:hint="eastAsia" w:ascii="仿宋_GB2312" w:hAnsi="Calibri" w:eastAsia="仿宋_GB2312" w:cs="仿宋_GB2312"/>
          <w:kern w:val="2"/>
          <w:sz w:val="32"/>
          <w:szCs w:val="32"/>
          <w:lang w:val="en-US" w:eastAsia="zh-CN" w:bidi="ar-SA"/>
        </w:rPr>
        <w:t>%；项目支出440万元，占</w:t>
      </w:r>
      <w:r>
        <w:rPr>
          <w:rFonts w:hint="eastAsia" w:ascii="仿宋_GB2312" w:eastAsia="仿宋_GB2312" w:cs="仿宋_GB2312"/>
          <w:kern w:val="2"/>
          <w:sz w:val="32"/>
          <w:szCs w:val="32"/>
          <w:lang w:val="en-US" w:eastAsia="zh-CN" w:bidi="ar-SA"/>
        </w:rPr>
        <w:t>12</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1360" w:leftChars="0" w:hanging="720" w:firstLineChars="0"/>
        <w:jc w:val="both"/>
        <w:textAlignment w:val="auto"/>
        <w:rPr>
          <w:rFonts w:hint="eastAsia" w:ascii="黑体" w:eastAsia="黑体"/>
          <w:sz w:val="32"/>
          <w:szCs w:val="32"/>
        </w:rPr>
      </w:pPr>
      <w:r>
        <w:rPr>
          <w:rFonts w:hint="eastAsia" w:ascii="黑体" w:eastAsia="黑体"/>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_GB2312" w:hAnsi="Calibri" w:eastAsia="仿宋_GB2312" w:cs="仿宋_GB2312"/>
          <w:kern w:val="2"/>
          <w:sz w:val="32"/>
          <w:szCs w:val="32"/>
          <w:highlight w:val="yellow"/>
          <w:lang w:val="en-US" w:eastAsia="zh-CN" w:bidi="ar-SA"/>
        </w:rPr>
      </w:pPr>
      <w:r>
        <w:rPr>
          <w:rFonts w:hint="eastAsia" w:ascii="仿宋_GB2312" w:hAnsi="Calibri" w:eastAsia="仿宋_GB2312" w:cs="仿宋_GB2312"/>
          <w:kern w:val="2"/>
          <w:sz w:val="32"/>
          <w:szCs w:val="32"/>
          <w:lang w:val="en-US" w:eastAsia="zh-CN" w:bidi="ar-SA"/>
        </w:rPr>
        <w:t>我院2025年财政拨款收支总预算3668.15万元</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比2024年财政拨款收支总预</w:t>
      </w:r>
      <w:r>
        <w:rPr>
          <w:rFonts w:hint="eastAsia" w:ascii="仿宋_GB2312" w:hAnsi="Calibri" w:eastAsia="仿宋_GB2312" w:cs="仿宋_GB2312"/>
          <w:kern w:val="2"/>
          <w:sz w:val="32"/>
          <w:szCs w:val="32"/>
          <w:highlight w:val="none"/>
          <w:lang w:val="en-US" w:eastAsia="zh-CN" w:bidi="ar-SA"/>
        </w:rPr>
        <w:t>算</w:t>
      </w:r>
      <w:r>
        <w:rPr>
          <w:rFonts w:hint="eastAsia" w:ascii="仿宋_GB2312" w:eastAsia="仿宋_GB2312" w:cs="仿宋_GB2312"/>
          <w:kern w:val="2"/>
          <w:sz w:val="32"/>
          <w:szCs w:val="32"/>
          <w:highlight w:val="none"/>
          <w:lang w:val="en-US" w:eastAsia="zh-CN" w:bidi="ar-SA"/>
        </w:rPr>
        <w:t>减少199.39</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收入包括：本年一般公共预算拨款收入3668.15万元。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 公共安全支出2902.93</w:t>
      </w:r>
      <w:r>
        <w:rPr>
          <w:rFonts w:hint="eastAsia" w:ascii="仿宋_GB2312" w:eastAsia="仿宋_GB2312" w:cs="仿宋_GB2312"/>
          <w:kern w:val="2"/>
          <w:sz w:val="32"/>
          <w:szCs w:val="32"/>
          <w:lang w:val="en-US" w:eastAsia="zh-CN" w:bidi="ar-SA"/>
        </w:rPr>
        <w:t>万元、</w:t>
      </w:r>
      <w:r>
        <w:rPr>
          <w:rFonts w:hint="eastAsia" w:ascii="仿宋_GB2312" w:hAnsi="Calibri" w:eastAsia="仿宋_GB2312" w:cs="仿宋_GB2312"/>
          <w:kern w:val="2"/>
          <w:sz w:val="32"/>
          <w:szCs w:val="32"/>
          <w:lang w:val="en-US" w:eastAsia="zh-CN" w:bidi="ar-SA"/>
        </w:rPr>
        <w:t>社会保障和就业支出413.23万元、卫生健康支出149.74万元、住房保障支出202.25万元。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2"/>
        <w:spacing w:before="0" w:line="360" w:lineRule="auto"/>
        <w:ind w:firstLine="66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rPr>
        <w:t>2025年一般公共预算当年拨款</w:t>
      </w:r>
      <w:r>
        <w:rPr>
          <w:rFonts w:hint="eastAsia" w:ascii="仿宋_GB2312" w:hAnsi="Calibri" w:eastAsia="仿宋_GB2312" w:cs="仿宋_GB2312"/>
          <w:kern w:val="2"/>
          <w:sz w:val="32"/>
          <w:szCs w:val="32"/>
          <w:lang w:val="en-US" w:eastAsia="zh-CN" w:bidi="ar-SA"/>
        </w:rPr>
        <w:t>3668.15</w:t>
      </w:r>
      <w:r>
        <w:rPr>
          <w:rFonts w:hint="eastAsia" w:cs="仿宋_GB2312"/>
          <w:kern w:val="2"/>
          <w:sz w:val="32"/>
          <w:szCs w:val="32"/>
        </w:rPr>
        <w:t>万元，比</w:t>
      </w:r>
      <w:r>
        <w:rPr>
          <w:rFonts w:hint="eastAsia" w:cs="仿宋_GB2312"/>
          <w:kern w:val="2"/>
          <w:sz w:val="32"/>
          <w:szCs w:val="32"/>
          <w:highlight w:val="none"/>
        </w:rPr>
        <w:t>2024年预算数</w:t>
      </w:r>
      <w:r>
        <w:rPr>
          <w:rFonts w:hint="eastAsia" w:ascii="仿宋_GB2312" w:eastAsia="仿宋_GB2312" w:cs="仿宋_GB2312"/>
          <w:kern w:val="2"/>
          <w:sz w:val="32"/>
          <w:szCs w:val="32"/>
          <w:highlight w:val="none"/>
          <w:lang w:val="en-US" w:eastAsia="zh-CN" w:bidi="ar-SA"/>
        </w:rPr>
        <w:t>减少199.39</w:t>
      </w:r>
      <w:r>
        <w:rPr>
          <w:rFonts w:hint="eastAsia" w:cs="仿宋_GB2312"/>
          <w:kern w:val="2"/>
          <w:sz w:val="32"/>
          <w:szCs w:val="32"/>
          <w:highlight w:val="none"/>
        </w:rPr>
        <w:t>万元</w:t>
      </w:r>
      <w:r>
        <w:rPr>
          <w:rFonts w:hint="eastAsia" w:cs="仿宋_GB2312"/>
          <w:kern w:val="2"/>
          <w:sz w:val="32"/>
          <w:szCs w:val="32"/>
          <w:highlight w:val="none"/>
          <w:lang w:val="en-US" w:eastAsia="zh-CN"/>
        </w:rPr>
        <w:t>。</w:t>
      </w:r>
      <w:r>
        <w:rPr>
          <w:rFonts w:hint="eastAsia" w:cs="仿宋_GB2312"/>
          <w:kern w:val="2"/>
          <w:sz w:val="32"/>
          <w:szCs w:val="32"/>
          <w:highlight w:val="none"/>
        </w:rPr>
        <w:t>　</w:t>
      </w:r>
      <w:r>
        <w:rPr>
          <w:rFonts w:hint="eastAsia" w:cs="仿宋_GB2312"/>
          <w:kern w:val="2"/>
          <w:sz w:val="32"/>
          <w:szCs w:val="32"/>
        </w:rPr>
        <w:t>　</w:t>
      </w:r>
    </w:p>
    <w:p>
      <w:pPr>
        <w:pStyle w:val="12"/>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640" w:leftChars="0" w:firstLine="0" w:firstLineChars="0"/>
        <w:textAlignment w:val="auto"/>
        <w:rPr>
          <w:rFonts w:hint="eastAsia" w:ascii="楷体" w:eastAsia="楷体" w:cs="仿宋_GB2312"/>
          <w:kern w:val="2"/>
          <w:sz w:val="32"/>
          <w:szCs w:val="32"/>
        </w:rPr>
      </w:pPr>
      <w:r>
        <w:rPr>
          <w:rFonts w:hint="eastAsia" w:ascii="楷体" w:eastAsia="楷体" w:cs="仿宋_GB2312"/>
          <w:kern w:val="2"/>
          <w:sz w:val="32"/>
          <w:szCs w:val="32"/>
        </w:rPr>
        <w:t>一般公共预算当年拨款结构情况</w:t>
      </w:r>
    </w:p>
    <w:p>
      <w:pPr>
        <w:pStyle w:val="12"/>
        <w:spacing w:before="0" w:line="360" w:lineRule="auto"/>
        <w:ind w:firstLine="640" w:firstLineChars="200"/>
        <w:rPr>
          <w:rFonts w:hint="eastAsia" w:cs="仿宋_GB2312"/>
          <w:kern w:val="2"/>
          <w:sz w:val="32"/>
          <w:szCs w:val="32"/>
        </w:rPr>
      </w:pPr>
      <w:r>
        <w:rPr>
          <w:rFonts w:hint="eastAsia" w:ascii="仿宋_GB2312" w:hAnsi="Calibri" w:eastAsia="仿宋_GB2312" w:cs="仿宋_GB2312"/>
          <w:kern w:val="2"/>
          <w:sz w:val="32"/>
          <w:szCs w:val="32"/>
          <w:lang w:val="en-US" w:eastAsia="zh-CN" w:bidi="ar-SA"/>
        </w:rPr>
        <w:t>公共安全支出2902.93</w:t>
      </w:r>
      <w:r>
        <w:rPr>
          <w:rFonts w:hint="eastAsia" w:ascii="仿宋_GB2312" w:eastAsia="仿宋_GB2312" w:cs="仿宋_GB2312"/>
          <w:kern w:val="2"/>
          <w:sz w:val="32"/>
          <w:szCs w:val="32"/>
          <w:lang w:val="en-US" w:eastAsia="zh-CN" w:bidi="ar-SA"/>
        </w:rPr>
        <w:t>万元</w:t>
      </w:r>
      <w:r>
        <w:rPr>
          <w:rFonts w:hint="eastAsia" w:cs="仿宋_GB2312"/>
          <w:kern w:val="2"/>
          <w:sz w:val="32"/>
          <w:szCs w:val="32"/>
          <w:lang w:val="en-US" w:eastAsia="zh-CN" w:bidi="ar-SA"/>
        </w:rPr>
        <w:t>，占比79.14%；</w:t>
      </w:r>
      <w:r>
        <w:rPr>
          <w:rFonts w:hint="eastAsia" w:cs="仿宋_GB2312"/>
          <w:kern w:val="2"/>
          <w:sz w:val="32"/>
          <w:szCs w:val="32"/>
        </w:rPr>
        <w:t>社会保障和就业支出</w:t>
      </w:r>
      <w:r>
        <w:rPr>
          <w:rFonts w:hint="eastAsia" w:ascii="仿宋_GB2312" w:hAnsi="Calibri" w:eastAsia="仿宋_GB2312" w:cs="仿宋_GB2312"/>
          <w:kern w:val="2"/>
          <w:sz w:val="32"/>
          <w:szCs w:val="32"/>
          <w:lang w:val="en-US" w:eastAsia="zh-CN" w:bidi="ar-SA"/>
        </w:rPr>
        <w:t>413.23</w:t>
      </w:r>
      <w:r>
        <w:rPr>
          <w:rFonts w:hint="eastAsia" w:cs="仿宋_GB2312"/>
          <w:kern w:val="2"/>
          <w:sz w:val="32"/>
          <w:szCs w:val="32"/>
        </w:rPr>
        <w:t>万元，占</w:t>
      </w:r>
      <w:r>
        <w:rPr>
          <w:rFonts w:hint="eastAsia" w:cs="仿宋_GB2312"/>
          <w:kern w:val="2"/>
          <w:sz w:val="32"/>
          <w:szCs w:val="32"/>
          <w:lang w:val="en-US" w:eastAsia="zh-CN"/>
        </w:rPr>
        <w:t>11.27</w:t>
      </w:r>
      <w:r>
        <w:rPr>
          <w:rFonts w:hint="eastAsia" w:cs="仿宋_GB2312"/>
          <w:kern w:val="2"/>
          <w:sz w:val="32"/>
          <w:szCs w:val="32"/>
        </w:rPr>
        <w:t>%；卫生健康支出</w:t>
      </w:r>
      <w:r>
        <w:rPr>
          <w:rFonts w:hint="eastAsia" w:ascii="仿宋_GB2312" w:hAnsi="Calibri" w:eastAsia="仿宋_GB2312" w:cs="仿宋_GB2312"/>
          <w:kern w:val="2"/>
          <w:sz w:val="32"/>
          <w:szCs w:val="32"/>
          <w:lang w:val="en-US" w:eastAsia="zh-CN" w:bidi="ar-SA"/>
        </w:rPr>
        <w:t>149.74</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占4.</w:t>
      </w:r>
      <w:r>
        <w:rPr>
          <w:rFonts w:hint="eastAsia" w:cs="仿宋_GB2312"/>
          <w:kern w:val="2"/>
          <w:sz w:val="32"/>
          <w:szCs w:val="32"/>
          <w:lang w:val="en-US" w:eastAsia="zh-CN"/>
        </w:rPr>
        <w:t>08</w:t>
      </w:r>
      <w:r>
        <w:rPr>
          <w:rFonts w:hint="eastAsia" w:cs="仿宋_GB2312"/>
          <w:kern w:val="2"/>
          <w:sz w:val="32"/>
          <w:szCs w:val="32"/>
        </w:rPr>
        <w:t>%；住房保障支出</w:t>
      </w:r>
      <w:r>
        <w:rPr>
          <w:rFonts w:hint="eastAsia" w:ascii="仿宋_GB2312" w:hAnsi="Calibri" w:eastAsia="仿宋_GB2312" w:cs="仿宋_GB2312"/>
          <w:kern w:val="2"/>
          <w:sz w:val="32"/>
          <w:szCs w:val="32"/>
          <w:lang w:val="en-US" w:eastAsia="zh-CN" w:bidi="ar-SA"/>
        </w:rPr>
        <w:t>202.25</w:t>
      </w:r>
      <w:r>
        <w:rPr>
          <w:rFonts w:hint="eastAsia" w:cs="仿宋_GB2312"/>
          <w:kern w:val="2"/>
          <w:sz w:val="32"/>
          <w:szCs w:val="32"/>
        </w:rPr>
        <w:t>万元，占</w:t>
      </w:r>
      <w:r>
        <w:rPr>
          <w:rFonts w:hint="eastAsia" w:cs="仿宋_GB2312"/>
          <w:kern w:val="2"/>
          <w:sz w:val="32"/>
          <w:szCs w:val="32"/>
          <w:lang w:val="en-US" w:eastAsia="zh-CN"/>
        </w:rPr>
        <w:t>5.51</w:t>
      </w:r>
      <w:r>
        <w:rPr>
          <w:rFonts w:hint="eastAsia" w:cs="仿宋_GB2312"/>
          <w:kern w:val="2"/>
          <w:sz w:val="32"/>
          <w:szCs w:val="32"/>
        </w:rPr>
        <w:t>%。</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公共安全支出（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）法院（</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）行政运行（</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）2025年预算数为</w:t>
      </w:r>
      <w:r>
        <w:rPr>
          <w:rFonts w:hint="eastAsia" w:ascii="仿宋_GB2312" w:hAnsi="Calibri" w:eastAsia="仿宋_GB2312" w:cs="仿宋_GB2312"/>
          <w:kern w:val="2"/>
          <w:sz w:val="32"/>
          <w:szCs w:val="32"/>
          <w:lang w:val="en-US" w:eastAsia="zh-CN" w:bidi="ar-SA"/>
        </w:rPr>
        <w:t>2507.93</w:t>
      </w:r>
      <w:r>
        <w:rPr>
          <w:rFonts w:hint="eastAsia" w:ascii="仿宋_GB2312" w:hAnsi="仿宋" w:eastAsia="仿宋_GB2312" w:cs="Times New Roman"/>
          <w:color w:val="000000"/>
          <w:kern w:val="2"/>
          <w:sz w:val="32"/>
          <w:szCs w:val="32"/>
          <w:lang w:val="en-US" w:eastAsia="zh-CN"/>
        </w:rPr>
        <w:t>万元</w:t>
      </w:r>
      <w:r>
        <w:rPr>
          <w:rFonts w:hint="eastAsia" w:ascii="仿宋_GB2312" w:hAnsi="仿宋" w:eastAsia="仿宋_GB2312" w:cs="Times New Roman"/>
          <w:color w:val="000000"/>
          <w:kern w:val="2"/>
          <w:sz w:val="32"/>
          <w:szCs w:val="32"/>
          <w:lang w:eastAsia="zh-CN"/>
        </w:rPr>
        <w:t>，主要用于：单位202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年的人员经费和日常公用经费，</w:t>
      </w:r>
      <w:r>
        <w:rPr>
          <w:rFonts w:hint="eastAsia" w:ascii="仿宋_GB2312" w:hAnsi="仿宋" w:eastAsia="仿宋_GB2312" w:cs="Times New Roman"/>
          <w:color w:val="000000"/>
          <w:kern w:val="2"/>
          <w:sz w:val="32"/>
          <w:szCs w:val="32"/>
          <w:lang w:val="en-US" w:eastAsia="zh-CN"/>
        </w:rPr>
        <w:t>单位2025年的项目支出等</w:t>
      </w:r>
      <w:r>
        <w:rPr>
          <w:rFonts w:hint="eastAsia" w:ascii="仿宋_GB2312" w:hAnsi="仿宋" w:eastAsia="仿宋_GB2312" w:cs="Times New Roman"/>
          <w:color w:val="000000"/>
          <w:kern w:val="2"/>
          <w:sz w:val="32"/>
          <w:szCs w:val="32"/>
          <w:lang w:eastAsia="zh-CN"/>
        </w:rPr>
        <w:t>。</w:t>
      </w:r>
    </w:p>
    <w:p>
      <w:pPr>
        <w:pStyle w:val="2"/>
        <w:rPr>
          <w:rFonts w:hint="eastAsia" w:ascii="仿宋_GB2312" w:hAnsi="仿宋" w:eastAsia="仿宋_GB2312" w:cs="Times New Roman"/>
          <w:b w:val="0"/>
          <w:bCs/>
          <w:color w:val="000000"/>
          <w:kern w:val="2"/>
          <w:sz w:val="32"/>
          <w:szCs w:val="32"/>
          <w:lang w:val="en-US" w:eastAsia="zh-CN" w:bidi="ar-SA"/>
        </w:rPr>
      </w:pPr>
      <w:r>
        <w:rPr>
          <w:rFonts w:hint="eastAsia" w:ascii="仿宋_GB2312" w:hAnsi="仿宋" w:eastAsia="仿宋_GB2312" w:cs="Times New Roman"/>
          <w:b w:val="0"/>
          <w:bCs/>
          <w:color w:val="000000"/>
          <w:kern w:val="2"/>
          <w:sz w:val="32"/>
          <w:szCs w:val="32"/>
          <w:lang w:val="en-US" w:eastAsia="zh-CN" w:bidi="ar-SA"/>
        </w:rPr>
        <w:t>2.公共安全支出（类）法院（款） 一般行政管理事务（项）2025年预算数为335万元，主要用于：单位2025年的日常公用经费与项目经费等支出。</w:t>
      </w:r>
    </w:p>
    <w:p>
      <w:pPr>
        <w:ind w:firstLine="640" w:firstLineChars="200"/>
        <w:rPr>
          <w:rFonts w:hint="default"/>
          <w:lang w:val="en-US" w:eastAsia="zh-CN"/>
        </w:rPr>
      </w:pPr>
      <w:r>
        <w:rPr>
          <w:rFonts w:hint="eastAsia" w:ascii="仿宋_GB2312" w:hAnsi="仿宋" w:eastAsia="仿宋_GB2312" w:cs="Times New Roman"/>
          <w:b w:val="0"/>
          <w:bCs/>
          <w:color w:val="000000"/>
          <w:kern w:val="2"/>
          <w:sz w:val="32"/>
          <w:szCs w:val="32"/>
          <w:lang w:val="en-US" w:eastAsia="zh-CN" w:bidi="ar-SA"/>
        </w:rPr>
        <w:t>3.公共安全支出</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b w:val="0"/>
          <w:bCs/>
          <w:color w:val="000000"/>
          <w:kern w:val="2"/>
          <w:sz w:val="32"/>
          <w:szCs w:val="32"/>
          <w:lang w:val="en-US" w:eastAsia="zh-CN" w:bidi="ar-SA"/>
        </w:rPr>
        <w:t>法院</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b w:val="0"/>
          <w:bCs/>
          <w:color w:val="000000"/>
          <w:kern w:val="2"/>
          <w:sz w:val="32"/>
          <w:szCs w:val="32"/>
          <w:lang w:val="en-US" w:eastAsia="zh-CN" w:bidi="ar-SA"/>
        </w:rPr>
        <w:t>  案件执行</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b w:val="0"/>
          <w:bCs/>
          <w:color w:val="000000"/>
          <w:kern w:val="2"/>
          <w:sz w:val="32"/>
          <w:szCs w:val="32"/>
          <w:lang w:val="en-US" w:eastAsia="zh-CN" w:bidi="ar-SA"/>
        </w:rPr>
        <w:t>2025年预算数为60万元，主要用于：单位2025年司法救助金支出。</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）行政事业单位养老支出</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机关事业单位基本养老保险缴费支出（</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w:t>
      </w:r>
      <w:r>
        <w:rPr>
          <w:rFonts w:hint="eastAsia" w:ascii="仿宋_GB2312" w:hAnsi="Calibri" w:eastAsia="仿宋_GB2312" w:cs="仿宋_GB2312"/>
          <w:kern w:val="2"/>
          <w:sz w:val="32"/>
          <w:szCs w:val="32"/>
          <w:lang w:val="en-US" w:eastAsia="zh-CN" w:bidi="ar-SA"/>
        </w:rPr>
        <w:t>275.49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元，主要用于单位缴纳基本养老保险费。</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）行政事业单位养老支出</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机关事业单位职业年金缴费支出（</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年预算数为137.74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元，主要用于单位缴纳职业年金。</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6</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）行政事业单位医疗</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行政单位医疗（</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年预算数为120.53</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元，主要用于行政单位缴纳基本医疗保险。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）行政事业单位医疗</w:t>
      </w:r>
      <w:r>
        <w:rPr>
          <w:rFonts w:hint="eastAsia" w:ascii="仿宋_GB2312" w:hAnsi="仿宋" w:eastAsia="仿宋_GB2312" w:cs="Times New Roman"/>
          <w:color w:val="000000"/>
          <w:kern w:val="2"/>
          <w:sz w:val="32"/>
          <w:szCs w:val="32"/>
          <w:lang w:val="en-US" w:eastAsia="zh-CN"/>
        </w:rPr>
        <w:t>（款）</w:t>
      </w:r>
      <w:r>
        <w:rPr>
          <w:rFonts w:hint="eastAsia" w:ascii="仿宋_GB2312" w:hAnsi="仿宋" w:eastAsia="仿宋_GB2312" w:cs="Times New Roman"/>
          <w:color w:val="000000"/>
          <w:kern w:val="2"/>
          <w:sz w:val="32"/>
          <w:szCs w:val="32"/>
          <w:lang w:eastAsia="zh-CN"/>
        </w:rPr>
        <w:t>公务员医疗补助（</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年预算数为29.21</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w:t>
      </w:r>
      <w:r>
        <w:rPr>
          <w:rFonts w:hint="eastAsia" w:ascii="仿宋_GB2312" w:hAnsi="仿宋" w:eastAsia="仿宋_GB2312" w:cs="Times New Roman"/>
          <w:color w:val="000000"/>
          <w:kern w:val="2"/>
          <w:sz w:val="32"/>
          <w:szCs w:val="32"/>
          <w:lang w:val="en-US" w:eastAsia="zh-CN"/>
        </w:rPr>
        <w:t>位缴纳公务员医疗补助。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8.住房保障支出</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类</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住房改革支出（款）住房公积金</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项</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年预算数为202.25</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元，主要用于单位为职工缴纳住房公积金。</w:t>
      </w:r>
    </w:p>
    <w:p>
      <w:pPr>
        <w:ind w:firstLine="640" w:firstLineChars="200"/>
        <w:rPr>
          <w:rFonts w:hint="eastAsia"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我院2025年一般公共预算基本支出3228.15万元，其中：人员经费2853.86万元，主要包括：基本工资447.22</w:t>
      </w:r>
      <w:r>
        <w:rPr>
          <w:rFonts w:hint="eastAsia" w:cs="仿宋_GB2312"/>
          <w:kern w:val="2"/>
          <w:sz w:val="32"/>
          <w:szCs w:val="32"/>
          <w:lang w:val="en-US" w:eastAsia="zh-CN"/>
        </w:rPr>
        <w:t>万元</w:t>
      </w:r>
      <w:r>
        <w:rPr>
          <w:rFonts w:hint="eastAsia" w:cs="仿宋_GB2312"/>
          <w:kern w:val="2"/>
          <w:sz w:val="32"/>
          <w:szCs w:val="32"/>
        </w:rPr>
        <w:t>、津贴补贴839.18</w:t>
      </w:r>
      <w:r>
        <w:rPr>
          <w:rFonts w:hint="eastAsia" w:cs="仿宋_GB2312"/>
          <w:kern w:val="2"/>
          <w:sz w:val="32"/>
          <w:szCs w:val="32"/>
          <w:lang w:val="en-US" w:eastAsia="zh-CN"/>
        </w:rPr>
        <w:t>万元</w:t>
      </w:r>
      <w:r>
        <w:rPr>
          <w:rFonts w:hint="eastAsia" w:cs="仿宋_GB2312"/>
          <w:kern w:val="2"/>
          <w:sz w:val="32"/>
          <w:szCs w:val="32"/>
        </w:rPr>
        <w:t>、奖金440.68</w:t>
      </w:r>
      <w:r>
        <w:rPr>
          <w:rFonts w:hint="eastAsia" w:cs="仿宋_GB2312"/>
          <w:kern w:val="2"/>
          <w:sz w:val="32"/>
          <w:szCs w:val="32"/>
          <w:lang w:val="en-US" w:eastAsia="zh-CN"/>
        </w:rPr>
        <w:t>万元</w:t>
      </w:r>
      <w:r>
        <w:rPr>
          <w:rFonts w:hint="eastAsia" w:cs="仿宋_GB2312"/>
          <w:kern w:val="2"/>
          <w:sz w:val="32"/>
          <w:szCs w:val="32"/>
        </w:rPr>
        <w:t>、机关事业单位基本养老保险缴费275.49</w:t>
      </w:r>
      <w:r>
        <w:rPr>
          <w:rFonts w:hint="eastAsia" w:cs="仿宋_GB2312"/>
          <w:kern w:val="2"/>
          <w:sz w:val="32"/>
          <w:szCs w:val="32"/>
          <w:lang w:val="en-US" w:eastAsia="zh-CN"/>
        </w:rPr>
        <w:t>万元</w:t>
      </w:r>
      <w:r>
        <w:rPr>
          <w:rFonts w:hint="eastAsia" w:cs="仿宋_GB2312"/>
          <w:kern w:val="2"/>
          <w:sz w:val="32"/>
          <w:szCs w:val="32"/>
        </w:rPr>
        <w:t>、职业年金缴费137.74</w:t>
      </w:r>
      <w:r>
        <w:rPr>
          <w:rFonts w:hint="eastAsia" w:cs="仿宋_GB2312"/>
          <w:kern w:val="2"/>
          <w:sz w:val="32"/>
          <w:szCs w:val="32"/>
          <w:lang w:val="en-US" w:eastAsia="zh-CN"/>
        </w:rPr>
        <w:t>万元</w:t>
      </w:r>
      <w:r>
        <w:rPr>
          <w:rFonts w:hint="eastAsia" w:cs="仿宋_GB2312"/>
          <w:kern w:val="2"/>
          <w:sz w:val="32"/>
          <w:szCs w:val="32"/>
        </w:rPr>
        <w:t>、职工基本医疗保险缴费120.53</w:t>
      </w:r>
      <w:r>
        <w:rPr>
          <w:rFonts w:hint="eastAsia" w:cs="仿宋_GB2312"/>
          <w:kern w:val="2"/>
          <w:sz w:val="32"/>
          <w:szCs w:val="32"/>
          <w:lang w:val="en-US" w:eastAsia="zh-CN"/>
        </w:rPr>
        <w:t>万元</w:t>
      </w:r>
      <w:r>
        <w:rPr>
          <w:rFonts w:hint="eastAsia" w:cs="仿宋_GB2312"/>
          <w:kern w:val="2"/>
          <w:sz w:val="32"/>
          <w:szCs w:val="32"/>
        </w:rPr>
        <w:t>、  公务员医疗补助缴费29.21</w:t>
      </w:r>
      <w:r>
        <w:rPr>
          <w:rFonts w:hint="eastAsia" w:cs="仿宋_GB2312"/>
          <w:kern w:val="2"/>
          <w:sz w:val="32"/>
          <w:szCs w:val="32"/>
          <w:lang w:val="en-US" w:eastAsia="zh-CN"/>
        </w:rPr>
        <w:t>万元、</w:t>
      </w:r>
      <w:r>
        <w:rPr>
          <w:rFonts w:hint="eastAsia" w:cs="仿宋_GB2312"/>
          <w:kern w:val="2"/>
          <w:sz w:val="32"/>
          <w:szCs w:val="32"/>
        </w:rPr>
        <w:t>其他社会保障缴费13.77</w:t>
      </w:r>
      <w:r>
        <w:rPr>
          <w:rFonts w:hint="eastAsia" w:cs="仿宋_GB2312"/>
          <w:kern w:val="2"/>
          <w:sz w:val="32"/>
          <w:szCs w:val="32"/>
          <w:lang w:val="en-US" w:eastAsia="zh-CN"/>
        </w:rPr>
        <w:t>万元</w:t>
      </w:r>
      <w:r>
        <w:rPr>
          <w:rFonts w:hint="eastAsia" w:cs="仿宋_GB2312"/>
          <w:kern w:val="2"/>
          <w:sz w:val="32"/>
          <w:szCs w:val="32"/>
        </w:rPr>
        <w:t>、住房公积金202.25</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其他</w:t>
      </w:r>
      <w:r>
        <w:rPr>
          <w:rFonts w:hint="eastAsia" w:cs="仿宋_GB2312"/>
          <w:kern w:val="2"/>
          <w:sz w:val="32"/>
          <w:szCs w:val="32"/>
        </w:rPr>
        <w:t>工</w:t>
      </w:r>
      <w:r>
        <w:rPr>
          <w:rFonts w:hint="eastAsia" w:cs="仿宋_GB2312"/>
          <w:kern w:val="2"/>
          <w:sz w:val="32"/>
          <w:szCs w:val="32"/>
          <w:highlight w:val="none"/>
        </w:rPr>
        <w:t>资</w:t>
      </w:r>
      <w:r>
        <w:rPr>
          <w:rFonts w:hint="eastAsia" w:cs="仿宋_GB2312"/>
          <w:kern w:val="2"/>
          <w:sz w:val="32"/>
          <w:szCs w:val="32"/>
          <w:highlight w:val="none"/>
          <w:lang w:val="en-US" w:eastAsia="zh-CN"/>
        </w:rPr>
        <w:t>福利支出</w:t>
      </w:r>
      <w:r>
        <w:rPr>
          <w:rFonts w:hint="eastAsia" w:cs="仿宋_GB2312"/>
          <w:kern w:val="2"/>
          <w:sz w:val="32"/>
          <w:szCs w:val="32"/>
          <w:highlight w:val="none"/>
        </w:rPr>
        <w:t>320.86</w:t>
      </w:r>
      <w:r>
        <w:rPr>
          <w:rFonts w:hint="eastAsia" w:cs="仿宋_GB2312"/>
          <w:kern w:val="2"/>
          <w:sz w:val="32"/>
          <w:szCs w:val="32"/>
          <w:highlight w:val="none"/>
          <w:lang w:val="en-US" w:eastAsia="zh-CN"/>
        </w:rPr>
        <w:t>万元</w:t>
      </w:r>
      <w:r>
        <w:rPr>
          <w:rFonts w:hint="eastAsia" w:cs="仿宋_GB2312"/>
          <w:kern w:val="2"/>
          <w:sz w:val="32"/>
          <w:szCs w:val="32"/>
          <w:highlight w:val="none"/>
        </w:rPr>
        <w:t>、离休费</w:t>
      </w:r>
      <w:r>
        <w:rPr>
          <w:rFonts w:hint="eastAsia" w:cs="仿宋_GB2312"/>
          <w:kern w:val="2"/>
          <w:sz w:val="32"/>
          <w:szCs w:val="32"/>
          <w:highlight w:val="none"/>
          <w:lang w:val="en-US" w:eastAsia="zh-CN"/>
        </w:rPr>
        <w:t>24.02万元、生活补助</w:t>
      </w:r>
      <w:r>
        <w:rPr>
          <w:rFonts w:hint="eastAsia" w:cs="仿宋_GB2312"/>
          <w:kern w:val="2"/>
          <w:sz w:val="32"/>
          <w:szCs w:val="32"/>
          <w:highlight w:val="none"/>
        </w:rPr>
        <w:t>0.49</w:t>
      </w:r>
      <w:r>
        <w:rPr>
          <w:rFonts w:hint="eastAsia" w:cs="仿宋_GB2312"/>
          <w:kern w:val="2"/>
          <w:sz w:val="32"/>
          <w:szCs w:val="32"/>
          <w:highlight w:val="none"/>
          <w:lang w:val="en-US" w:eastAsia="zh-CN"/>
        </w:rPr>
        <w:t>万元</w:t>
      </w:r>
      <w:r>
        <w:rPr>
          <w:rFonts w:hint="eastAsia" w:cs="仿宋_GB2312"/>
          <w:kern w:val="2"/>
          <w:sz w:val="32"/>
          <w:szCs w:val="32"/>
          <w:highlight w:val="none"/>
        </w:rPr>
        <w:t>、奖励金0.06</w:t>
      </w:r>
      <w:r>
        <w:rPr>
          <w:rFonts w:hint="eastAsia" w:cs="仿宋_GB2312"/>
          <w:kern w:val="2"/>
          <w:sz w:val="32"/>
          <w:szCs w:val="32"/>
          <w:highlight w:val="none"/>
          <w:lang w:val="en-US" w:eastAsia="zh-CN"/>
        </w:rPr>
        <w:t>万元</w:t>
      </w:r>
      <w:r>
        <w:rPr>
          <w:rFonts w:hint="eastAsia" w:cs="仿宋_GB2312"/>
          <w:kern w:val="2"/>
          <w:sz w:val="32"/>
          <w:szCs w:val="32"/>
          <w:highlight w:val="none"/>
        </w:rPr>
        <w:t>、离退休人员公用经费2.35</w:t>
      </w:r>
      <w:r>
        <w:rPr>
          <w:rFonts w:hint="eastAsia" w:cs="仿宋_GB2312"/>
          <w:kern w:val="2"/>
          <w:sz w:val="32"/>
          <w:szCs w:val="32"/>
          <w:highlight w:val="none"/>
          <w:lang w:val="en-US" w:eastAsia="zh-CN"/>
        </w:rPr>
        <w:t>万元</w:t>
      </w:r>
      <w:r>
        <w:rPr>
          <w:rFonts w:hint="eastAsia" w:cs="仿宋_GB2312"/>
          <w:kern w:val="2"/>
          <w:sz w:val="32"/>
          <w:szCs w:val="32"/>
        </w:rPr>
        <w:t>。</w:t>
      </w:r>
    </w:p>
    <w:p>
      <w:pPr>
        <w:pStyle w:val="12"/>
        <w:spacing w:before="0" w:line="360" w:lineRule="auto"/>
        <w:ind w:firstLine="640" w:firstLineChars="200"/>
        <w:rPr>
          <w:rFonts w:ascii="黑体" w:eastAsia="黑体"/>
          <w:sz w:val="32"/>
          <w:szCs w:val="32"/>
        </w:rPr>
      </w:pPr>
      <w:r>
        <w:rPr>
          <w:rFonts w:hint="eastAsia" w:cs="仿宋_GB2312"/>
          <w:kern w:val="2"/>
          <w:sz w:val="32"/>
          <w:szCs w:val="32"/>
        </w:rPr>
        <w:t>公用经费374.28万元，主要包括：办公费11.53</w:t>
      </w:r>
      <w:r>
        <w:rPr>
          <w:rFonts w:hint="eastAsia" w:cs="仿宋_GB2312"/>
          <w:kern w:val="2"/>
          <w:sz w:val="32"/>
          <w:szCs w:val="32"/>
          <w:lang w:val="en-US" w:eastAsia="zh-CN"/>
        </w:rPr>
        <w:t>万元</w:t>
      </w:r>
      <w:r>
        <w:rPr>
          <w:rFonts w:hint="eastAsia" w:cs="仿宋_GB2312"/>
          <w:kern w:val="2"/>
          <w:sz w:val="32"/>
          <w:szCs w:val="32"/>
        </w:rPr>
        <w:t>、水费2.88</w:t>
      </w:r>
      <w:r>
        <w:rPr>
          <w:rFonts w:hint="eastAsia" w:cs="仿宋_GB2312"/>
          <w:kern w:val="2"/>
          <w:sz w:val="32"/>
          <w:szCs w:val="32"/>
          <w:lang w:val="en-US" w:eastAsia="zh-CN"/>
        </w:rPr>
        <w:t>万元</w:t>
      </w:r>
      <w:r>
        <w:rPr>
          <w:rFonts w:hint="eastAsia" w:cs="仿宋_GB2312"/>
          <w:kern w:val="2"/>
          <w:sz w:val="32"/>
          <w:szCs w:val="32"/>
        </w:rPr>
        <w:t>、邮电费29.84</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highlight w:val="none"/>
          <w:lang w:val="en-US" w:eastAsia="zh-CN"/>
        </w:rPr>
        <w:t>取暖费</w:t>
      </w:r>
      <w:r>
        <w:rPr>
          <w:rFonts w:hint="eastAsia" w:cs="仿宋_GB2312"/>
          <w:kern w:val="2"/>
          <w:sz w:val="32"/>
          <w:szCs w:val="32"/>
          <w:highlight w:val="none"/>
        </w:rPr>
        <w:t>3.84</w:t>
      </w:r>
      <w:r>
        <w:rPr>
          <w:rFonts w:hint="eastAsia" w:cs="仿宋_GB2312"/>
          <w:kern w:val="2"/>
          <w:sz w:val="32"/>
          <w:szCs w:val="32"/>
          <w:highlight w:val="none"/>
          <w:lang w:val="en-US" w:eastAsia="zh-CN"/>
        </w:rPr>
        <w:t>万元</w:t>
      </w:r>
      <w:r>
        <w:rPr>
          <w:rFonts w:hint="eastAsia" w:cs="仿宋_GB2312"/>
          <w:kern w:val="2"/>
          <w:sz w:val="32"/>
          <w:szCs w:val="32"/>
          <w:highlight w:val="none"/>
        </w:rPr>
        <w:t>、</w:t>
      </w:r>
      <w:r>
        <w:rPr>
          <w:rFonts w:hint="eastAsia" w:cs="仿宋_GB2312"/>
          <w:kern w:val="2"/>
          <w:sz w:val="32"/>
          <w:szCs w:val="32"/>
        </w:rPr>
        <w:t>差旅费102.33</w:t>
      </w:r>
      <w:r>
        <w:rPr>
          <w:rFonts w:hint="eastAsia" w:cs="仿宋_GB2312"/>
          <w:kern w:val="2"/>
          <w:sz w:val="32"/>
          <w:szCs w:val="32"/>
          <w:lang w:val="en-US" w:eastAsia="zh-CN"/>
        </w:rPr>
        <w:t>万元</w:t>
      </w:r>
      <w:r>
        <w:rPr>
          <w:rFonts w:hint="eastAsia" w:cs="仿宋_GB2312"/>
          <w:kern w:val="2"/>
          <w:sz w:val="32"/>
          <w:szCs w:val="32"/>
        </w:rPr>
        <w:t>、维修（护）费5.85</w:t>
      </w:r>
      <w:r>
        <w:rPr>
          <w:rFonts w:hint="eastAsia" w:cs="仿宋_GB2312"/>
          <w:kern w:val="2"/>
          <w:sz w:val="32"/>
          <w:szCs w:val="32"/>
          <w:lang w:val="en-US" w:eastAsia="zh-CN"/>
        </w:rPr>
        <w:t>万元</w:t>
      </w:r>
      <w:r>
        <w:rPr>
          <w:rFonts w:hint="eastAsia" w:cs="仿宋_GB2312"/>
          <w:kern w:val="2"/>
          <w:sz w:val="32"/>
          <w:szCs w:val="32"/>
        </w:rPr>
        <w:t>、培训费22.71</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公务接待费5.38万元</w:t>
      </w:r>
      <w:r>
        <w:rPr>
          <w:rFonts w:hint="eastAsia" w:cs="仿宋_GB2312"/>
          <w:kern w:val="2"/>
          <w:sz w:val="32"/>
          <w:szCs w:val="32"/>
        </w:rPr>
        <w:t>、福利费92.63</w:t>
      </w:r>
      <w:r>
        <w:rPr>
          <w:rFonts w:hint="eastAsia" w:cs="仿宋_GB2312"/>
          <w:kern w:val="2"/>
          <w:sz w:val="32"/>
          <w:szCs w:val="32"/>
          <w:lang w:val="en-US" w:eastAsia="zh-CN"/>
        </w:rPr>
        <w:t>万元</w:t>
      </w:r>
      <w:r>
        <w:rPr>
          <w:rFonts w:hint="eastAsia" w:cs="仿宋_GB2312"/>
          <w:kern w:val="2"/>
          <w:sz w:val="32"/>
          <w:szCs w:val="32"/>
        </w:rPr>
        <w:t>、公务用车运行维护费43.2</w:t>
      </w:r>
      <w:r>
        <w:rPr>
          <w:rFonts w:hint="eastAsia" w:cs="仿宋_GB2312"/>
          <w:kern w:val="2"/>
          <w:sz w:val="32"/>
          <w:szCs w:val="32"/>
          <w:lang w:val="en-US" w:eastAsia="zh-CN"/>
        </w:rPr>
        <w:t>万元</w:t>
      </w:r>
      <w:r>
        <w:rPr>
          <w:rFonts w:hint="eastAsia" w:cs="仿宋_GB2312"/>
          <w:kern w:val="2"/>
          <w:sz w:val="32"/>
          <w:szCs w:val="32"/>
        </w:rPr>
        <w:t>、其他商品和服务支出54.1</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我院2025年“三公”经费财政拨款预算数48.58万元，其中：因公出国（境）经费</w:t>
      </w:r>
      <w:r>
        <w:rPr>
          <w:rFonts w:hint="eastAsia" w:cs="仿宋_GB2312"/>
          <w:kern w:val="2"/>
          <w:sz w:val="32"/>
          <w:szCs w:val="32"/>
          <w:lang w:val="en-US" w:eastAsia="zh-CN"/>
        </w:rPr>
        <w:t>0</w:t>
      </w:r>
      <w:r>
        <w:rPr>
          <w:rFonts w:hint="eastAsia" w:cs="仿宋_GB2312"/>
          <w:kern w:val="2"/>
          <w:sz w:val="32"/>
          <w:szCs w:val="32"/>
        </w:rPr>
        <w:t>万元，公务接待费5.38万元，公务用车购置及运行维护费43.2万元。</w:t>
      </w:r>
    </w:p>
    <w:p>
      <w:pPr>
        <w:pStyle w:val="12"/>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2"/>
        <w:spacing w:before="0" w:line="360" w:lineRule="auto"/>
        <w:ind w:firstLine="640" w:firstLineChars="200"/>
        <w:rPr>
          <w:rFonts w:hint="eastAsia" w:eastAsia="仿宋_GB2312" w:cs="仿宋_GB2312"/>
          <w:color w:val="000000"/>
          <w:kern w:val="2"/>
          <w:sz w:val="32"/>
          <w:szCs w:val="32"/>
          <w:highlight w:val="none"/>
          <w:lang w:eastAsia="zh-CN"/>
        </w:rPr>
      </w:pPr>
      <w:r>
        <w:rPr>
          <w:rFonts w:hint="eastAsia" w:cs="仿宋_GB2312"/>
          <w:kern w:val="2"/>
          <w:sz w:val="32"/>
          <w:szCs w:val="32"/>
          <w:highlight w:val="none"/>
        </w:rPr>
        <w:t>（二）</w:t>
      </w:r>
      <w:r>
        <w:rPr>
          <w:rFonts w:hint="eastAsia" w:cs="仿宋_GB2312"/>
          <w:color w:val="000000"/>
          <w:kern w:val="2"/>
          <w:sz w:val="32"/>
          <w:szCs w:val="32"/>
          <w:highlight w:val="none"/>
        </w:rPr>
        <w:t>2025年公务接待经费</w:t>
      </w:r>
      <w:r>
        <w:rPr>
          <w:rFonts w:hint="eastAsia" w:cs="仿宋_GB2312"/>
          <w:kern w:val="2"/>
          <w:sz w:val="32"/>
          <w:szCs w:val="32"/>
          <w:highlight w:val="none"/>
        </w:rPr>
        <w:t>5.38</w:t>
      </w:r>
      <w:r>
        <w:rPr>
          <w:rFonts w:hint="eastAsia" w:cs="仿宋_GB2312"/>
          <w:color w:val="000000"/>
          <w:kern w:val="2"/>
          <w:sz w:val="32"/>
          <w:szCs w:val="32"/>
          <w:highlight w:val="none"/>
        </w:rPr>
        <w:t>万元。较2024年预算经费</w:t>
      </w:r>
      <w:r>
        <w:rPr>
          <w:rFonts w:hint="eastAsia" w:cs="宋体"/>
          <w:sz w:val="32"/>
          <w:szCs w:val="32"/>
          <w:highlight w:val="none"/>
          <w:lang w:val="en-US" w:eastAsia="zh-CN"/>
        </w:rPr>
        <w:t>减少</w:t>
      </w:r>
      <w:r>
        <w:rPr>
          <w:rFonts w:hint="eastAsia" w:cs="仿宋_GB2312"/>
          <w:color w:val="000000"/>
          <w:kern w:val="2"/>
          <w:sz w:val="32"/>
          <w:szCs w:val="32"/>
          <w:highlight w:val="none"/>
          <w:lang w:val="en-US" w:eastAsia="zh-CN"/>
        </w:rPr>
        <w:t>0.03</w:t>
      </w:r>
      <w:r>
        <w:rPr>
          <w:rFonts w:hint="eastAsia" w:cs="仿宋_GB2312"/>
          <w:color w:val="000000"/>
          <w:kern w:val="2"/>
          <w:sz w:val="32"/>
          <w:szCs w:val="32"/>
          <w:highlight w:val="none"/>
        </w:rPr>
        <w:t>万元，</w:t>
      </w:r>
      <w:r>
        <w:rPr>
          <w:rFonts w:hint="eastAsia" w:cs="仿宋_GB2312"/>
          <w:color w:val="000000"/>
          <w:kern w:val="2"/>
          <w:sz w:val="32"/>
          <w:szCs w:val="32"/>
          <w:highlight w:val="none"/>
          <w:lang w:val="en-US" w:eastAsia="zh-CN"/>
        </w:rPr>
        <w:t>减少0.55</w:t>
      </w:r>
      <w:r>
        <w:rPr>
          <w:rFonts w:hint="eastAsia" w:cs="仿宋_GB2312"/>
          <w:color w:val="000000"/>
          <w:kern w:val="2"/>
          <w:sz w:val="32"/>
          <w:szCs w:val="32"/>
          <w:highlight w:val="none"/>
        </w:rPr>
        <w:t>%，主要原因</w:t>
      </w:r>
      <w:r>
        <w:rPr>
          <w:rFonts w:hint="eastAsia" w:cs="仿宋_GB2312"/>
          <w:color w:val="000000"/>
          <w:kern w:val="2"/>
          <w:sz w:val="32"/>
          <w:szCs w:val="32"/>
          <w:highlight w:val="none"/>
          <w:lang w:val="en-US" w:eastAsia="zh-CN"/>
        </w:rPr>
        <w:t>是减少</w:t>
      </w:r>
      <w:r>
        <w:rPr>
          <w:rFonts w:hint="eastAsia" w:cs="仿宋_GB2312"/>
          <w:color w:val="000000"/>
          <w:kern w:val="2"/>
          <w:sz w:val="32"/>
          <w:szCs w:val="32"/>
          <w:highlight w:val="none"/>
        </w:rPr>
        <w:t>公务接待安排</w:t>
      </w:r>
      <w:r>
        <w:rPr>
          <w:rFonts w:hint="eastAsia" w:cs="仿宋_GB2312"/>
          <w:color w:val="000000"/>
          <w:kern w:val="2"/>
          <w:sz w:val="32"/>
          <w:szCs w:val="32"/>
          <w:highlight w:val="none"/>
          <w:lang w:eastAsia="zh-CN"/>
        </w:rPr>
        <w:t>。</w:t>
      </w:r>
    </w:p>
    <w:p>
      <w:pPr>
        <w:pStyle w:val="12"/>
        <w:spacing w:before="0" w:line="360" w:lineRule="auto"/>
        <w:ind w:firstLine="640" w:firstLineChars="200"/>
        <w:rPr>
          <w:rFonts w:cs="仿宋_GB2312"/>
          <w:color w:val="000000"/>
          <w:kern w:val="2"/>
          <w:sz w:val="32"/>
          <w:szCs w:val="32"/>
          <w:highlight w:val="none"/>
        </w:rPr>
      </w:pPr>
      <w:r>
        <w:rPr>
          <w:rFonts w:hint="eastAsia" w:cs="仿宋_GB2312"/>
          <w:color w:val="000000"/>
          <w:kern w:val="2"/>
          <w:sz w:val="32"/>
          <w:szCs w:val="32"/>
        </w:rPr>
        <w:t>（三）2025年公务用车购置及运行维护费</w:t>
      </w:r>
      <w:r>
        <w:rPr>
          <w:rFonts w:hint="eastAsia" w:cs="仿宋_GB2312"/>
          <w:kern w:val="2"/>
          <w:sz w:val="32"/>
          <w:szCs w:val="32"/>
        </w:rPr>
        <w:t>43.2</w:t>
      </w:r>
      <w:r>
        <w:rPr>
          <w:rFonts w:hint="eastAsia" w:cs="仿宋_GB2312"/>
          <w:color w:val="000000"/>
          <w:kern w:val="2"/>
          <w:sz w:val="32"/>
          <w:szCs w:val="32"/>
        </w:rPr>
        <w:t>万元</w:t>
      </w:r>
      <w:r>
        <w:rPr>
          <w:rFonts w:hint="eastAsia" w:cs="仿宋_GB2312"/>
          <w:color w:val="000000"/>
          <w:kern w:val="2"/>
          <w:sz w:val="32"/>
          <w:szCs w:val="32"/>
          <w:highlight w:val="none"/>
        </w:rPr>
        <w:t>。与202</w:t>
      </w:r>
      <w:r>
        <w:rPr>
          <w:rFonts w:hint="eastAsia" w:cs="仿宋_GB2312"/>
          <w:color w:val="000000"/>
          <w:kern w:val="2"/>
          <w:sz w:val="32"/>
          <w:szCs w:val="32"/>
          <w:highlight w:val="none"/>
          <w:lang w:val="en-US" w:eastAsia="zh-CN"/>
        </w:rPr>
        <w:t>4</w:t>
      </w:r>
      <w:r>
        <w:rPr>
          <w:rFonts w:hint="eastAsia" w:cs="仿宋_GB2312"/>
          <w:color w:val="000000"/>
          <w:kern w:val="2"/>
          <w:sz w:val="32"/>
          <w:szCs w:val="32"/>
          <w:highlight w:val="none"/>
        </w:rPr>
        <w:t>年预算经费持平。</w:t>
      </w:r>
    </w:p>
    <w:p>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年预算经费无变化。</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color w:val="000000"/>
          <w:kern w:val="2"/>
          <w:sz w:val="32"/>
          <w:szCs w:val="32"/>
          <w:lang w:val="en-US" w:eastAsia="zh-CN" w:bidi="ar-SA"/>
        </w:rPr>
        <w:t>202</w:t>
      </w:r>
      <w:r>
        <w:rPr>
          <w:rFonts w:hint="eastAsia" w:hAnsi="仿宋_GB2312" w:cs="仿宋_GB2312"/>
          <w:color w:val="000000"/>
          <w:kern w:val="2"/>
          <w:sz w:val="32"/>
          <w:szCs w:val="32"/>
          <w:lang w:val="en-US" w:eastAsia="zh-CN" w:bidi="ar-SA"/>
        </w:rPr>
        <w:t>5</w:t>
      </w:r>
      <w:r>
        <w:rPr>
          <w:rFonts w:hint="eastAsia" w:ascii="仿宋_GB2312" w:hAnsi="仿宋_GB2312" w:eastAsia="仿宋_GB2312" w:cs="仿宋_GB2312"/>
          <w:color w:val="000000"/>
          <w:kern w:val="2"/>
          <w:sz w:val="32"/>
          <w:szCs w:val="32"/>
          <w:lang w:val="en-US" w:eastAsia="zh-CN" w:bidi="ar-SA"/>
        </w:rPr>
        <w:t>年机关运行经费财政拨款预算为374.28万元，比202</w:t>
      </w:r>
      <w:r>
        <w:rPr>
          <w:rFonts w:hint="eastAsia" w:hAnsi="仿宋_GB2312" w:cs="仿宋_GB2312"/>
          <w:color w:val="000000"/>
          <w:kern w:val="2"/>
          <w:sz w:val="32"/>
          <w:szCs w:val="32"/>
          <w:lang w:val="en-US" w:eastAsia="zh-CN" w:bidi="ar-SA"/>
        </w:rPr>
        <w:t>4</w:t>
      </w:r>
      <w:r>
        <w:rPr>
          <w:rFonts w:hint="eastAsia" w:ascii="仿宋_GB2312" w:hAnsi="仿宋_GB2312" w:eastAsia="仿宋_GB2312" w:cs="仿宋_GB2312"/>
          <w:color w:val="000000"/>
          <w:kern w:val="2"/>
          <w:sz w:val="32"/>
          <w:szCs w:val="32"/>
          <w:lang w:val="en-US" w:eastAsia="zh-CN" w:bidi="ar-SA"/>
        </w:rPr>
        <w:t>年预算增加</w:t>
      </w:r>
      <w:r>
        <w:rPr>
          <w:rFonts w:hint="eastAsia" w:hAnsi="仿宋_GB2312" w:cs="仿宋_GB2312"/>
          <w:color w:val="000000"/>
          <w:kern w:val="2"/>
          <w:sz w:val="32"/>
          <w:szCs w:val="32"/>
          <w:lang w:val="en-US" w:eastAsia="zh-CN" w:bidi="ar-SA"/>
        </w:rPr>
        <w:t>11.35</w:t>
      </w:r>
      <w:r>
        <w:rPr>
          <w:rFonts w:hint="eastAsia" w:ascii="仿宋_GB2312" w:hAnsi="仿宋_GB2312" w:eastAsia="仿宋_GB2312" w:cs="仿宋_GB2312"/>
          <w:color w:val="000000"/>
          <w:kern w:val="2"/>
          <w:sz w:val="32"/>
          <w:szCs w:val="32"/>
          <w:lang w:val="en-US" w:eastAsia="zh-CN" w:bidi="ar-SA"/>
        </w:rPr>
        <w:t>万元，主要原因是</w:t>
      </w:r>
      <w:r>
        <w:rPr>
          <w:rFonts w:hint="eastAsia" w:hAnsi="仿宋_GB2312" w:cs="仿宋_GB2312"/>
          <w:color w:val="000000"/>
          <w:kern w:val="2"/>
          <w:sz w:val="32"/>
          <w:szCs w:val="32"/>
          <w:lang w:val="en-US" w:eastAsia="zh-CN" w:bidi="ar-SA"/>
        </w:rPr>
        <w:t>人员增加，公用运转经费支出增加</w:t>
      </w:r>
      <w:r>
        <w:rPr>
          <w:rFonts w:hint="eastAsia" w:cs="仿宋_GB2312"/>
          <w:color w:val="000000"/>
          <w:kern w:val="2"/>
          <w:sz w:val="32"/>
          <w:szCs w:val="32"/>
        </w:rPr>
        <w:t xml:space="preserve">。 </w:t>
      </w:r>
    </w:p>
    <w:p>
      <w:pPr>
        <w:pStyle w:val="12"/>
        <w:spacing w:before="0" w:line="360" w:lineRule="auto"/>
        <w:ind w:firstLine="640" w:firstLineChars="200"/>
        <w:rPr>
          <w:rFonts w:hint="eastAsia"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2025年</w:t>
      </w:r>
      <w:r>
        <w:rPr>
          <w:rFonts w:hint="eastAsia" w:cs="仿宋_GB2312"/>
          <w:kern w:val="2"/>
          <w:sz w:val="32"/>
          <w:szCs w:val="32"/>
          <w:highlight w:val="none"/>
          <w:lang w:val="en-US" w:eastAsia="zh-CN"/>
        </w:rPr>
        <w:t>我院</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万元</w:t>
      </w:r>
      <w:r>
        <w:rPr>
          <w:rFonts w:hint="eastAsia" w:cs="仿宋_GB2312"/>
          <w:color w:val="000000"/>
          <w:kern w:val="2"/>
          <w:sz w:val="32"/>
          <w:szCs w:val="32"/>
          <w:highlight w:val="none"/>
          <w:lang w:eastAsia="zh-CN"/>
        </w:rPr>
        <w:t>。</w:t>
      </w:r>
    </w:p>
    <w:p>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2"/>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截至</w:t>
      </w:r>
      <w:r>
        <w:rPr>
          <w:rFonts w:hint="eastAsia" w:cs="仿宋_GB2312"/>
          <w:kern w:val="2"/>
          <w:sz w:val="32"/>
          <w:szCs w:val="32"/>
          <w:highlight w:val="none"/>
          <w:lang w:eastAsia="zh-CN"/>
        </w:rPr>
        <w:t>2025</w:t>
      </w:r>
      <w:r>
        <w:rPr>
          <w:rFonts w:hint="eastAsia" w:cs="仿宋_GB2312"/>
          <w:kern w:val="2"/>
          <w:sz w:val="32"/>
          <w:szCs w:val="32"/>
          <w:highlight w:val="none"/>
        </w:rPr>
        <w:t>年12月31日，我单位固定资产</w:t>
      </w:r>
      <w:r>
        <w:rPr>
          <w:rFonts w:hint="eastAsia" w:cs="仿宋_GB2312"/>
          <w:kern w:val="2"/>
          <w:sz w:val="32"/>
          <w:szCs w:val="32"/>
          <w:highlight w:val="none"/>
          <w:lang w:val="en-US" w:eastAsia="zh-CN"/>
        </w:rPr>
        <w:t>3861.40</w:t>
      </w:r>
      <w:r>
        <w:rPr>
          <w:rFonts w:hint="eastAsia" w:cs="仿宋_GB2312"/>
          <w:kern w:val="2"/>
          <w:sz w:val="32"/>
          <w:szCs w:val="32"/>
          <w:highlight w:val="none"/>
        </w:rPr>
        <w:t>万元。</w:t>
      </w:r>
      <w:r>
        <w:rPr>
          <w:rFonts w:hint="eastAsia" w:ascii="仿宋_GB2312" w:hAnsi="仿宋" w:eastAsia="仿宋_GB2312" w:cs="Times New Roman"/>
          <w:color w:val="000000"/>
          <w:kern w:val="2"/>
          <w:sz w:val="32"/>
          <w:szCs w:val="32"/>
          <w:highlight w:val="none"/>
          <w:lang w:eastAsia="zh-CN"/>
        </w:rPr>
        <w:t>其中：房屋</w:t>
      </w:r>
      <w:r>
        <w:rPr>
          <w:rFonts w:hint="eastAsia" w:hAnsi="仿宋" w:cs="Times New Roman"/>
          <w:color w:val="000000"/>
          <w:kern w:val="2"/>
          <w:sz w:val="32"/>
          <w:szCs w:val="32"/>
          <w:highlight w:val="none"/>
          <w:lang w:val="en-US" w:eastAsia="zh-CN"/>
        </w:rPr>
        <w:t>6019</w:t>
      </w:r>
      <w:r>
        <w:rPr>
          <w:rFonts w:hint="eastAsia" w:ascii="仿宋_GB2312" w:hAnsi="仿宋" w:eastAsia="仿宋_GB2312" w:cs="Times New Roman"/>
          <w:color w:val="000000"/>
          <w:kern w:val="2"/>
          <w:sz w:val="32"/>
          <w:szCs w:val="32"/>
          <w:highlight w:val="none"/>
          <w:lang w:eastAsia="zh-CN"/>
        </w:rPr>
        <w:t>平方米，价值</w:t>
      </w:r>
      <w:r>
        <w:rPr>
          <w:rFonts w:hint="eastAsia" w:hAnsi="仿宋" w:cs="Times New Roman"/>
          <w:color w:val="000000"/>
          <w:kern w:val="2"/>
          <w:sz w:val="32"/>
          <w:szCs w:val="32"/>
          <w:highlight w:val="none"/>
          <w:lang w:val="en-US" w:eastAsia="zh-CN"/>
        </w:rPr>
        <w:t>1552.40万</w:t>
      </w:r>
      <w:r>
        <w:rPr>
          <w:rFonts w:hint="eastAsia" w:ascii="仿宋_GB2312" w:hAnsi="仿宋" w:eastAsia="仿宋_GB2312" w:cs="Times New Roman"/>
          <w:color w:val="000000"/>
          <w:kern w:val="2"/>
          <w:sz w:val="32"/>
          <w:szCs w:val="32"/>
          <w:highlight w:val="none"/>
          <w:lang w:eastAsia="zh-CN"/>
        </w:rPr>
        <w:t>元；公务用车</w:t>
      </w:r>
      <w:r>
        <w:rPr>
          <w:rFonts w:hint="eastAsia" w:hAnsi="仿宋" w:cs="Times New Roman"/>
          <w:color w:val="000000"/>
          <w:kern w:val="2"/>
          <w:sz w:val="32"/>
          <w:szCs w:val="32"/>
          <w:highlight w:val="none"/>
          <w:lang w:val="en-US" w:eastAsia="zh-CN"/>
        </w:rPr>
        <w:t>28</w:t>
      </w:r>
      <w:r>
        <w:rPr>
          <w:rFonts w:hint="eastAsia" w:ascii="仿宋_GB2312" w:hAnsi="仿宋" w:eastAsia="仿宋_GB2312" w:cs="Times New Roman"/>
          <w:color w:val="000000"/>
          <w:kern w:val="2"/>
          <w:sz w:val="32"/>
          <w:szCs w:val="32"/>
          <w:highlight w:val="none"/>
          <w:lang w:eastAsia="zh-CN"/>
        </w:rPr>
        <w:t>辆，价值</w:t>
      </w:r>
      <w:r>
        <w:rPr>
          <w:rFonts w:hint="eastAsia" w:hAnsi="仿宋" w:cs="Times New Roman"/>
          <w:color w:val="000000"/>
          <w:kern w:val="2"/>
          <w:sz w:val="32"/>
          <w:szCs w:val="32"/>
          <w:highlight w:val="none"/>
          <w:lang w:val="en-US" w:eastAsia="zh-CN"/>
        </w:rPr>
        <w:t>1218.26万</w:t>
      </w:r>
      <w:r>
        <w:rPr>
          <w:rFonts w:hint="eastAsia" w:ascii="仿宋_GB2312" w:hAnsi="仿宋" w:eastAsia="仿宋_GB2312" w:cs="Times New Roman"/>
          <w:color w:val="000000"/>
          <w:kern w:val="2"/>
          <w:sz w:val="32"/>
          <w:szCs w:val="32"/>
          <w:highlight w:val="none"/>
          <w:lang w:eastAsia="zh-CN"/>
        </w:rPr>
        <w:t>元；其他固定资产</w:t>
      </w:r>
      <w:r>
        <w:rPr>
          <w:rFonts w:hint="eastAsia" w:hAnsi="仿宋" w:cs="Times New Roman"/>
          <w:color w:val="000000"/>
          <w:kern w:val="2"/>
          <w:sz w:val="32"/>
          <w:szCs w:val="32"/>
          <w:highlight w:val="none"/>
          <w:lang w:val="en-US" w:eastAsia="zh-CN"/>
        </w:rPr>
        <w:t>3710.25万</w:t>
      </w:r>
      <w:r>
        <w:rPr>
          <w:rFonts w:hint="eastAsia" w:ascii="仿宋_GB2312" w:hAnsi="仿宋" w:eastAsia="仿宋_GB2312" w:cs="Times New Roman"/>
          <w:color w:val="000000"/>
          <w:kern w:val="2"/>
          <w:sz w:val="32"/>
          <w:szCs w:val="32"/>
          <w:highlight w:val="none"/>
          <w:lang w:eastAsia="zh-CN"/>
        </w:rPr>
        <w:t>元</w:t>
      </w:r>
      <w:r>
        <w:rPr>
          <w:rFonts w:hint="eastAsia" w:cs="仿宋_GB2312"/>
          <w:kern w:val="2"/>
          <w:sz w:val="32"/>
          <w:szCs w:val="32"/>
          <w:highlight w:val="none"/>
        </w:rPr>
        <w:t>。</w:t>
      </w:r>
    </w:p>
    <w:p>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cs="仿宋_GB2312"/>
          <w:kern w:val="2"/>
          <w:sz w:val="32"/>
          <w:szCs w:val="32"/>
          <w:lang w:val="en-US" w:eastAsia="zh-CN"/>
        </w:rPr>
        <w:t>我院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864.28</w:t>
      </w:r>
      <w:r>
        <w:rPr>
          <w:rFonts w:hint="eastAsia" w:cs="仿宋_GB2312"/>
          <w:kern w:val="2"/>
          <w:sz w:val="32"/>
          <w:szCs w:val="32"/>
        </w:rPr>
        <w:t>万元。</w:t>
      </w: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9E2F6"/>
    <w:multiLevelType w:val="singleLevel"/>
    <w:tmpl w:val="97F9E2F6"/>
    <w:lvl w:ilvl="0" w:tentative="0">
      <w:start w:val="2"/>
      <w:numFmt w:val="chineseCounting"/>
      <w:suff w:val="nothing"/>
      <w:lvlText w:val="（%1）"/>
      <w:lvlJc w:val="left"/>
      <w:pPr>
        <w:ind w:left="640" w:leftChars="0" w:firstLine="0" w:firstLineChars="0"/>
      </w:pPr>
      <w:rPr>
        <w:rFonts w:hint="eastAsia"/>
      </w:rPr>
    </w:lvl>
  </w:abstractNum>
  <w:abstractNum w:abstractNumId="1">
    <w:nsid w:val="9B7EAAEB"/>
    <w:multiLevelType w:val="singleLevel"/>
    <w:tmpl w:val="9B7EAAEB"/>
    <w:lvl w:ilvl="0" w:tentative="0">
      <w:start w:val="2"/>
      <w:numFmt w:val="chineseCounting"/>
      <w:suff w:val="nothing"/>
      <w:lvlText w:val="（%1）"/>
      <w:lvlJc w:val="left"/>
      <w:pPr>
        <w:ind w:left="640" w:leftChars="0" w:firstLine="0" w:firstLineChars="0"/>
      </w:pPr>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4E74CF"/>
    <w:rsid w:val="010569BB"/>
    <w:rsid w:val="04BA4FAF"/>
    <w:rsid w:val="1E6E0715"/>
    <w:rsid w:val="24233357"/>
    <w:rsid w:val="2E4B3BC0"/>
    <w:rsid w:val="40B34577"/>
    <w:rsid w:val="40B43503"/>
    <w:rsid w:val="486E27DA"/>
    <w:rsid w:val="49AB4724"/>
    <w:rsid w:val="5D305EA6"/>
    <w:rsid w:val="627E064A"/>
    <w:rsid w:val="65F207D9"/>
    <w:rsid w:val="6F4727D8"/>
    <w:rsid w:val="7DF68160"/>
    <w:rsid w:val="7ED95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2"/>
    <w:qFormat/>
    <w:uiPriority w:val="0"/>
    <w:pPr>
      <w:spacing w:line="500" w:lineRule="exact"/>
      <w:ind w:firstLine="720" w:firstLineChars="240"/>
    </w:pPr>
    <w:rPr>
      <w:rFonts w:ascii="仿宋_GB2312"/>
      <w:b/>
      <w:sz w:val="3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4172</Words>
  <Characters>4671</Characters>
  <Lines>124</Lines>
  <Paragraphs>51</Paragraphs>
  <TotalTime>0</TotalTime>
  <ScaleCrop>false</ScaleCrop>
  <LinksUpToDate>false</LinksUpToDate>
  <CharactersWithSpaces>4709</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2022-12-31T01:44:00Z</dcterms:created>
  <dc:creator>疯丫头。。</dc:creator>
  <cp:lastModifiedBy>user</cp:lastModifiedBy>
  <cp:lastPrinted>2018-01-31T01:39:00Z</cp:lastPrinted>
  <dcterms:modified xsi:type="dcterms:W3CDTF">2025-02-24T15:44:49Z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eyJoZGlkIjoiM2FiOTI1ZDhlMTcwNDE4MDg1OWE5Mzc3MmMxNTc4ZjAiLCJ1c2VySWQiOiI0MjU0NzI2MTgifQ==</vt:lpwstr>
  </property>
  <property fmtid="{D5CDD505-2E9C-101B-9397-08002B2CF9AE}" pid="4" name="ICV">
    <vt:lpwstr>8CE1C311646E4F0C8A187DA05CD57243_13</vt:lpwstr>
  </property>
</Properties>
</file>