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15F16">
      <w:pPr>
        <w:rPr>
          <w:rFonts w:ascii="Times New Roman" w:hAnsi="Times New Roman"/>
        </w:rPr>
      </w:pPr>
    </w:p>
    <w:p w14:paraId="20541C50">
      <w:pPr>
        <w:rPr>
          <w:rFonts w:ascii="Times New Roman" w:hAnsi="Times New Roman"/>
        </w:rPr>
      </w:pPr>
    </w:p>
    <w:p w14:paraId="1CE2528B">
      <w:pPr>
        <w:rPr>
          <w:rFonts w:ascii="Times New Roman" w:hAnsi="Times New Roman"/>
        </w:rPr>
      </w:pPr>
    </w:p>
    <w:p w14:paraId="0533B49A">
      <w:pPr>
        <w:ind w:firstLine="1050" w:firstLineChars="500"/>
        <w:rPr>
          <w:rFonts w:ascii="Times New Roman" w:hAnsi="Times New Roman"/>
        </w:rPr>
      </w:pPr>
    </w:p>
    <w:p w14:paraId="4D6D3D26">
      <w:pPr>
        <w:ind w:firstLine="1050" w:firstLineChars="500"/>
        <w:rPr>
          <w:rFonts w:ascii="Times New Roman" w:hAnsi="Times New Roman"/>
        </w:rPr>
      </w:pPr>
    </w:p>
    <w:p w14:paraId="71E9A463">
      <w:pPr>
        <w:ind w:firstLine="1760" w:firstLineChars="400"/>
        <w:rPr>
          <w:rFonts w:ascii="Times New Roman" w:hAnsi="Times New Roman" w:eastAsia="黑体"/>
          <w:sz w:val="44"/>
          <w:szCs w:val="44"/>
        </w:rPr>
      </w:pPr>
    </w:p>
    <w:p w14:paraId="089C58CD">
      <w:pPr>
        <w:ind w:firstLine="1760" w:firstLineChars="400"/>
        <w:rPr>
          <w:rFonts w:ascii="Times New Roman" w:hAnsi="Times New Roman" w:eastAsia="黑体"/>
          <w:sz w:val="44"/>
          <w:szCs w:val="44"/>
        </w:rPr>
      </w:pPr>
    </w:p>
    <w:p w14:paraId="659D5344">
      <w:pPr>
        <w:jc w:val="center"/>
        <w:rPr>
          <w:rFonts w:ascii="Times New Roman" w:hAnsi="Times New Roman" w:eastAsia="方正小标宋_GBK"/>
          <w:sz w:val="44"/>
          <w:szCs w:val="44"/>
        </w:rPr>
      </w:pPr>
      <w:r>
        <w:rPr>
          <w:rFonts w:ascii="Times New Roman" w:hAnsi="Times New Roman" w:eastAsia="方正小标宋_GBK"/>
          <w:sz w:val="44"/>
          <w:szCs w:val="44"/>
        </w:rPr>
        <w:t>中共阿坝州委统战部（州本级）</w:t>
      </w:r>
    </w:p>
    <w:p w14:paraId="66FF7ACC">
      <w:pPr>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3</w:t>
      </w:r>
      <w:r>
        <w:rPr>
          <w:rFonts w:ascii="Times New Roman" w:hAnsi="Times New Roman" w:eastAsia="方正小标宋_GBK"/>
          <w:sz w:val="44"/>
          <w:szCs w:val="44"/>
        </w:rPr>
        <w:t>年预算</w:t>
      </w:r>
    </w:p>
    <w:p w14:paraId="10C53887">
      <w:pPr>
        <w:ind w:firstLine="1280" w:firstLineChars="400"/>
        <w:rPr>
          <w:rFonts w:ascii="楷体_GB2312" w:eastAsia="楷体_GB2312" w:cs="楷体_GB2312"/>
          <w:sz w:val="32"/>
          <w:szCs w:val="32"/>
        </w:rPr>
      </w:pPr>
    </w:p>
    <w:p w14:paraId="1481E061">
      <w:pPr>
        <w:jc w:val="center"/>
        <w:rPr>
          <w:rFonts w:ascii="楷体_GB2312" w:eastAsia="楷体_GB2312" w:cs="楷体_GB2312"/>
          <w:sz w:val="32"/>
          <w:szCs w:val="32"/>
        </w:rPr>
      </w:pPr>
    </w:p>
    <w:p w14:paraId="75E922B2">
      <w:pPr>
        <w:jc w:val="center"/>
        <w:rPr>
          <w:rFonts w:ascii="楷体_GB2312" w:eastAsia="楷体_GB2312" w:cs="楷体_GB2312"/>
          <w:sz w:val="32"/>
          <w:szCs w:val="32"/>
        </w:rPr>
      </w:pPr>
    </w:p>
    <w:p w14:paraId="1AD3AA44">
      <w:pPr>
        <w:jc w:val="center"/>
        <w:rPr>
          <w:rFonts w:ascii="楷体_GB2312" w:eastAsia="楷体_GB2312" w:cs="楷体_GB2312"/>
          <w:sz w:val="32"/>
          <w:szCs w:val="32"/>
        </w:rPr>
      </w:pPr>
    </w:p>
    <w:p w14:paraId="336F6A17">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4D11D050">
      <w:pPr>
        <w:jc w:val="center"/>
        <w:rPr>
          <w:rFonts w:ascii="Times New Roman" w:hAnsi="Times New Roman" w:eastAsia="楷体_GB2312"/>
          <w:sz w:val="32"/>
          <w:szCs w:val="32"/>
        </w:rPr>
      </w:pPr>
      <w:r>
        <w:rPr>
          <w:rFonts w:ascii="Times New Roman" w:hAnsi="Times New Roman" w:eastAsia="楷体_GB2312"/>
          <w:sz w:val="32"/>
          <w:szCs w:val="32"/>
        </w:rPr>
        <w:t>202</w:t>
      </w:r>
      <w:r>
        <w:rPr>
          <w:rFonts w:hint="eastAsia" w:ascii="Times New Roman" w:hAnsi="Times New Roman" w:eastAsia="楷体_GB2312"/>
          <w:sz w:val="32"/>
          <w:szCs w:val="32"/>
        </w:rPr>
        <w:t>3</w:t>
      </w:r>
      <w:r>
        <w:rPr>
          <w:rFonts w:ascii="Times New Roman" w:hAnsi="Times New Roman" w:eastAsia="楷体_GB2312"/>
          <w:sz w:val="32"/>
          <w:szCs w:val="32"/>
        </w:rPr>
        <w:t>年1月</w:t>
      </w:r>
      <w:r>
        <w:rPr>
          <w:rFonts w:hint="eastAsia" w:ascii="Times New Roman" w:hAnsi="Times New Roman" w:eastAsia="楷体_GB2312"/>
          <w:sz w:val="32"/>
          <w:szCs w:val="32"/>
        </w:rPr>
        <w:t>1</w:t>
      </w:r>
      <w:r>
        <w:rPr>
          <w:rFonts w:hint="eastAsia" w:ascii="Times New Roman" w:hAnsi="Times New Roman" w:eastAsia="楷体_GB2312"/>
          <w:sz w:val="32"/>
          <w:szCs w:val="32"/>
          <w:lang w:val="en-US" w:eastAsia="zh-CN"/>
        </w:rPr>
        <w:t>8</w:t>
      </w:r>
      <w:r>
        <w:rPr>
          <w:rFonts w:ascii="Times New Roman" w:hAnsi="Times New Roman" w:eastAsia="楷体_GB2312"/>
          <w:sz w:val="32"/>
          <w:szCs w:val="32"/>
        </w:rPr>
        <w:t>日</w:t>
      </w:r>
    </w:p>
    <w:p w14:paraId="0FACDA01">
      <w:pPr>
        <w:ind w:firstLine="1280" w:firstLineChars="400"/>
        <w:rPr>
          <w:rFonts w:ascii="楷体_GB2312" w:eastAsia="楷体_GB2312" w:cs="楷体_GB2312"/>
          <w:sz w:val="32"/>
          <w:szCs w:val="32"/>
        </w:rPr>
      </w:pPr>
    </w:p>
    <w:p w14:paraId="3FB4F009">
      <w:pPr>
        <w:ind w:firstLine="1760" w:firstLineChars="400"/>
        <w:rPr>
          <w:rFonts w:ascii="Times New Roman" w:hAnsi="Times New Roman" w:eastAsia="黑体"/>
          <w:sz w:val="44"/>
          <w:szCs w:val="44"/>
        </w:rPr>
      </w:pPr>
    </w:p>
    <w:p w14:paraId="4A9604BF">
      <w:pPr>
        <w:ind w:firstLine="1760" w:firstLineChars="400"/>
        <w:rPr>
          <w:rFonts w:ascii="Times New Roman" w:hAnsi="Times New Roman" w:eastAsia="黑体"/>
          <w:sz w:val="44"/>
          <w:szCs w:val="44"/>
        </w:rPr>
      </w:pPr>
    </w:p>
    <w:p w14:paraId="188E47C1">
      <w:pPr>
        <w:ind w:firstLine="1760" w:firstLineChars="400"/>
        <w:rPr>
          <w:rFonts w:ascii="Times New Roman" w:hAnsi="Times New Roman" w:eastAsia="黑体"/>
          <w:sz w:val="44"/>
          <w:szCs w:val="44"/>
        </w:rPr>
      </w:pPr>
    </w:p>
    <w:p w14:paraId="22BBC1D0">
      <w:pPr>
        <w:ind w:firstLine="1760" w:firstLineChars="400"/>
        <w:rPr>
          <w:rFonts w:ascii="Times New Roman" w:hAnsi="Times New Roman" w:eastAsia="黑体"/>
          <w:sz w:val="44"/>
          <w:szCs w:val="44"/>
        </w:rPr>
      </w:pPr>
    </w:p>
    <w:p w14:paraId="540FFC56">
      <w:pPr>
        <w:ind w:firstLine="1760" w:firstLineChars="400"/>
        <w:rPr>
          <w:rFonts w:ascii="Times New Roman" w:hAnsi="Times New Roman" w:eastAsia="黑体"/>
          <w:sz w:val="44"/>
          <w:szCs w:val="44"/>
        </w:rPr>
      </w:pPr>
    </w:p>
    <w:p w14:paraId="3B6B8175">
      <w:pPr>
        <w:ind w:firstLine="1760" w:firstLineChars="400"/>
        <w:rPr>
          <w:rFonts w:ascii="Times New Roman" w:hAnsi="Times New Roman" w:eastAsia="黑体"/>
          <w:sz w:val="44"/>
          <w:szCs w:val="44"/>
        </w:rPr>
      </w:pPr>
    </w:p>
    <w:p w14:paraId="57045F8F">
      <w:pPr>
        <w:ind w:firstLine="1760" w:firstLineChars="400"/>
        <w:rPr>
          <w:rFonts w:ascii="Times New Roman" w:hAnsi="Times New Roman" w:eastAsia="黑体"/>
          <w:sz w:val="44"/>
          <w:szCs w:val="44"/>
        </w:rPr>
      </w:pPr>
    </w:p>
    <w:p w14:paraId="06E37F7F">
      <w:pPr>
        <w:jc w:val="center"/>
        <w:rPr>
          <w:rFonts w:ascii="Times New Roman" w:hAnsi="Times New Roman" w:eastAsia="黑体"/>
          <w:sz w:val="52"/>
          <w:szCs w:val="52"/>
        </w:rPr>
      </w:pPr>
      <w:r>
        <w:rPr>
          <w:rFonts w:ascii="Times New Roman" w:hAnsi="Times New Roman" w:eastAsia="黑体"/>
          <w:sz w:val="52"/>
          <w:szCs w:val="52"/>
        </w:rPr>
        <w:t>目录</w:t>
      </w:r>
    </w:p>
    <w:p w14:paraId="6E1B04C9">
      <w:pPr>
        <w:ind w:firstLine="3080" w:firstLineChars="700"/>
        <w:rPr>
          <w:rFonts w:ascii="Times New Roman" w:hAnsi="Times New Roman" w:eastAsia="黑体"/>
          <w:sz w:val="44"/>
          <w:szCs w:val="44"/>
        </w:rPr>
      </w:pPr>
    </w:p>
    <w:p w14:paraId="7173CD32">
      <w:pPr>
        <w:pStyle w:val="9"/>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14:paraId="1A7F6E06">
      <w:pPr>
        <w:rPr>
          <w:rFonts w:ascii="Times New Roman" w:hAnsi="Times New Roman" w:eastAsia="仿宋_GB2312"/>
          <w:sz w:val="32"/>
          <w:szCs w:val="32"/>
        </w:rPr>
      </w:pPr>
      <w:r>
        <w:rPr>
          <w:rFonts w:ascii="Times New Roman" w:hAnsi="Times New Roman" w:eastAsia="仿宋_GB2312"/>
          <w:sz w:val="32"/>
          <w:szCs w:val="32"/>
        </w:rPr>
        <w:t>（一）部门职能简介..................................................................1</w:t>
      </w:r>
    </w:p>
    <w:p w14:paraId="623BDA13">
      <w:pPr>
        <w:rPr>
          <w:rFonts w:hint="eastAsia" w:ascii="Times New Roman" w:hAnsi="Times New Roman" w:eastAsia="楷体_GB2312" w:cs="Times New Roman"/>
          <w:sz w:val="32"/>
          <w:szCs w:val="32"/>
          <w:lang w:val="en-US"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机构设置情况</w:t>
      </w:r>
      <w:r>
        <w:rPr>
          <w:rFonts w:ascii="Times New Roman" w:hAnsi="Times New Roman" w:eastAsia="仿宋_GB2312"/>
          <w:sz w:val="32"/>
          <w:szCs w:val="32"/>
        </w:rPr>
        <w:t>..................................................................1</w:t>
      </w:r>
    </w:p>
    <w:p w14:paraId="717BA17E">
      <w:pPr>
        <w:rPr>
          <w:rFonts w:hint="eastAsia" w:ascii="Times New Roman" w:hAnsi="Times New Roman" w:eastAsia="仿宋_GB2312"/>
          <w:sz w:val="32"/>
          <w:szCs w:val="32"/>
          <w:lang w:eastAsia="zh-CN"/>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三</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年重点工作..............................................................</w:t>
      </w:r>
      <w:r>
        <w:rPr>
          <w:rFonts w:hint="eastAsia" w:ascii="Times New Roman" w:hAnsi="Times New Roman" w:eastAsia="仿宋_GB2312"/>
          <w:sz w:val="32"/>
          <w:szCs w:val="32"/>
          <w:lang w:val="en-US" w:eastAsia="zh-CN"/>
        </w:rPr>
        <w:t>2</w:t>
      </w:r>
    </w:p>
    <w:p w14:paraId="5FBF273B">
      <w:pPr>
        <w:rPr>
          <w:rFonts w:ascii="Times New Roman" w:hAnsi="Times New Roman" w:eastAsia="仿宋_GB2312"/>
          <w:sz w:val="32"/>
          <w:szCs w:val="32"/>
        </w:rPr>
      </w:pPr>
      <w:r>
        <w:rPr>
          <w:rFonts w:ascii="Times New Roman" w:hAnsi="Times New Roman" w:eastAsia="黑体"/>
          <w:sz w:val="32"/>
          <w:szCs w:val="32"/>
        </w:rPr>
        <w:t>二、部门预算单位构成</w:t>
      </w:r>
      <w:r>
        <w:rPr>
          <w:rFonts w:ascii="Times New Roman" w:hAnsi="Times New Roman" w:eastAsia="仿宋_GB2312"/>
          <w:sz w:val="32"/>
          <w:szCs w:val="32"/>
        </w:rPr>
        <w:t>..............................................................1</w:t>
      </w:r>
    </w:p>
    <w:p w14:paraId="0C77B002">
      <w:pPr>
        <w:rPr>
          <w:rFonts w:ascii="Times New Roman" w:hAnsi="Times New Roman" w:eastAsia="黑体"/>
          <w:sz w:val="32"/>
          <w:szCs w:val="32"/>
        </w:rPr>
      </w:pPr>
      <w:r>
        <w:rPr>
          <w:rFonts w:ascii="Times New Roman" w:hAnsi="Times New Roman" w:eastAsia="黑体"/>
          <w:sz w:val="32"/>
          <w:szCs w:val="32"/>
        </w:rPr>
        <w:t>三、收支预算情况说明</w:t>
      </w:r>
      <w:r>
        <w:rPr>
          <w:rFonts w:ascii="Times New Roman" w:hAnsi="Times New Roman" w:eastAsia="仿宋_GB2312"/>
          <w:sz w:val="32"/>
          <w:szCs w:val="32"/>
        </w:rPr>
        <w:t>..............................................................2</w:t>
      </w:r>
    </w:p>
    <w:p w14:paraId="3B991607">
      <w:pPr>
        <w:rPr>
          <w:rFonts w:ascii="Times New Roman" w:hAnsi="Times New Roman" w:eastAsia="仿宋_GB2312"/>
          <w:sz w:val="32"/>
          <w:szCs w:val="32"/>
        </w:rPr>
      </w:pPr>
      <w:r>
        <w:rPr>
          <w:rFonts w:ascii="Times New Roman" w:hAnsi="Times New Roman" w:eastAsia="黑体"/>
          <w:sz w:val="32"/>
          <w:szCs w:val="32"/>
        </w:rPr>
        <w:t>（</w:t>
      </w:r>
      <w:r>
        <w:rPr>
          <w:rFonts w:ascii="Times New Roman" w:hAnsi="Times New Roman" w:eastAsia="仿宋_GB2312"/>
          <w:sz w:val="32"/>
          <w:szCs w:val="32"/>
        </w:rPr>
        <w:t>一）收入预算情况..................................................................2</w:t>
      </w:r>
    </w:p>
    <w:p w14:paraId="5D881604">
      <w:pPr>
        <w:rPr>
          <w:rFonts w:ascii="Times New Roman" w:hAnsi="Times New Roman" w:eastAsia="黑体"/>
          <w:sz w:val="32"/>
          <w:szCs w:val="32"/>
        </w:rPr>
      </w:pPr>
      <w:r>
        <w:rPr>
          <w:rFonts w:ascii="Times New Roman" w:hAnsi="Times New Roman" w:eastAsia="仿宋_GB2312"/>
          <w:sz w:val="32"/>
          <w:szCs w:val="32"/>
        </w:rPr>
        <w:t>（二）支出预算情况..................................................................2</w:t>
      </w:r>
    </w:p>
    <w:p w14:paraId="33867151">
      <w:pPr>
        <w:rPr>
          <w:rFonts w:ascii="Times New Roman" w:hAnsi="Times New Roman" w:eastAsia="黑体"/>
          <w:sz w:val="32"/>
          <w:szCs w:val="32"/>
        </w:rPr>
      </w:pPr>
      <w:r>
        <w:rPr>
          <w:rFonts w:ascii="Times New Roman" w:hAnsi="Times New Roman" w:eastAsia="黑体"/>
          <w:sz w:val="32"/>
          <w:szCs w:val="32"/>
        </w:rPr>
        <w:t>四、财政拨款收支预算情况说明</w:t>
      </w:r>
      <w:r>
        <w:rPr>
          <w:rFonts w:ascii="Times New Roman" w:hAnsi="Times New Roman" w:eastAsia="仿宋_GB2312"/>
          <w:sz w:val="32"/>
          <w:szCs w:val="32"/>
        </w:rPr>
        <w:t>..............................................2</w:t>
      </w:r>
    </w:p>
    <w:p w14:paraId="3B7176F3">
      <w:pPr>
        <w:rPr>
          <w:rFonts w:ascii="Times New Roman" w:hAnsi="Times New Roman" w:eastAsia="黑体"/>
          <w:sz w:val="32"/>
          <w:szCs w:val="32"/>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......................................3</w:t>
      </w:r>
    </w:p>
    <w:p w14:paraId="1261D832">
      <w:pPr>
        <w:rPr>
          <w:rFonts w:ascii="Times New Roman" w:hAnsi="Times New Roman" w:eastAsia="黑体"/>
          <w:sz w:val="32"/>
          <w:szCs w:val="32"/>
        </w:rPr>
      </w:pPr>
      <w:r>
        <w:rPr>
          <w:rFonts w:ascii="Times New Roman" w:hAnsi="Times New Roman" w:eastAsia="仿宋_GB2312"/>
          <w:sz w:val="32"/>
          <w:szCs w:val="32"/>
        </w:rPr>
        <w:t>（一）一般公共预算当年拨款规模变化情况..........................3</w:t>
      </w:r>
    </w:p>
    <w:p w14:paraId="0E1FCF6E">
      <w:pPr>
        <w:rPr>
          <w:rFonts w:ascii="Times New Roman" w:hAnsi="Times New Roman" w:eastAsia="黑体"/>
          <w:sz w:val="32"/>
          <w:szCs w:val="32"/>
        </w:rPr>
      </w:pPr>
      <w:r>
        <w:rPr>
          <w:rFonts w:ascii="Times New Roman" w:hAnsi="Times New Roman" w:eastAsia="仿宋_GB2312"/>
          <w:sz w:val="32"/>
          <w:szCs w:val="32"/>
        </w:rPr>
        <w:t>（二）一般公共预算当年拨款结构情况..................................3</w:t>
      </w:r>
    </w:p>
    <w:p w14:paraId="679A6672">
      <w:pPr>
        <w:rPr>
          <w:rFonts w:ascii="Times New Roman" w:hAnsi="Times New Roman" w:eastAsia="黑体"/>
          <w:sz w:val="32"/>
          <w:szCs w:val="32"/>
        </w:rPr>
      </w:pPr>
      <w:r>
        <w:rPr>
          <w:rFonts w:ascii="Times New Roman" w:hAnsi="Times New Roman" w:eastAsia="仿宋_GB2312"/>
          <w:sz w:val="32"/>
          <w:szCs w:val="32"/>
        </w:rPr>
        <w:t>（三）一般公共预算当年拨款具体使用情况..........................3</w:t>
      </w:r>
    </w:p>
    <w:p w14:paraId="2021E2BE">
      <w:pPr>
        <w:rPr>
          <w:rFonts w:hint="eastAsia" w:ascii="Times New Roman" w:hAnsi="Times New Roman" w:eastAsia="仿宋_GB2312"/>
          <w:sz w:val="32"/>
          <w:szCs w:val="32"/>
          <w:lang w:eastAsia="zh-CN"/>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......................................4</w:t>
      </w:r>
    </w:p>
    <w:p w14:paraId="57C431A9">
      <w:pPr>
        <w:rPr>
          <w:rFonts w:hint="eastAsia" w:ascii="Times New Roman" w:hAnsi="Times New Roman" w:eastAsia="仿宋_GB2312"/>
          <w:sz w:val="32"/>
          <w:szCs w:val="32"/>
          <w:lang w:eastAsia="zh-CN"/>
        </w:rPr>
      </w:pP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...........................4</w:t>
      </w:r>
    </w:p>
    <w:p w14:paraId="26F34962">
      <w:pPr>
        <w:rPr>
          <w:rFonts w:hint="eastAsia" w:ascii="Times New Roman" w:hAnsi="Times New Roman" w:eastAsia="黑体"/>
          <w:sz w:val="32"/>
          <w:szCs w:val="32"/>
          <w:lang w:eastAsia="zh-CN"/>
        </w:rPr>
      </w:pPr>
      <w:r>
        <w:rPr>
          <w:rFonts w:ascii="Times New Roman" w:hAnsi="Times New Roman" w:eastAsia="黑体"/>
          <w:sz w:val="32"/>
          <w:szCs w:val="32"/>
        </w:rPr>
        <w:t>八、政府性基金预算支出情况说明..........................................5</w:t>
      </w:r>
    </w:p>
    <w:p w14:paraId="4BE1AC88">
      <w:pPr>
        <w:rPr>
          <w:rFonts w:hint="eastAsia" w:ascii="Times New Roman" w:hAnsi="Times New Roman" w:eastAsia="黑体"/>
          <w:sz w:val="32"/>
          <w:szCs w:val="32"/>
          <w:lang w:val="en-US" w:eastAsia="zh-CN"/>
        </w:rPr>
      </w:pPr>
      <w:r>
        <w:rPr>
          <w:rFonts w:ascii="Times New Roman" w:hAnsi="Times New Roman" w:eastAsia="黑体"/>
          <w:sz w:val="32"/>
          <w:szCs w:val="32"/>
        </w:rPr>
        <w:t>九、</w:t>
      </w:r>
      <w:r>
        <w:rPr>
          <w:rFonts w:hint="eastAsia" w:ascii="Times New Roman" w:hAnsi="Times New Roman" w:eastAsia="黑体"/>
          <w:sz w:val="32"/>
          <w:szCs w:val="32"/>
          <w:lang w:val="en-US" w:eastAsia="zh-CN"/>
        </w:rPr>
        <w:t>国有资本经营预算支出</w:t>
      </w:r>
      <w:r>
        <w:rPr>
          <w:rFonts w:ascii="Times New Roman" w:hAnsi="Times New Roman" w:eastAsia="黑体"/>
          <w:sz w:val="32"/>
          <w:szCs w:val="32"/>
        </w:rPr>
        <w:t>情况说明......................................</w:t>
      </w:r>
      <w:r>
        <w:rPr>
          <w:rFonts w:hint="eastAsia" w:ascii="Times New Roman" w:hAnsi="Times New Roman" w:eastAsia="黑体"/>
          <w:sz w:val="32"/>
          <w:szCs w:val="32"/>
          <w:lang w:val="en-US" w:eastAsia="zh-CN"/>
        </w:rPr>
        <w:t>6</w:t>
      </w:r>
    </w:p>
    <w:p w14:paraId="35311A96">
      <w:pP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、其他重要事项的情况说明..................................................</w:t>
      </w:r>
      <w:r>
        <w:rPr>
          <w:rFonts w:hint="eastAsia" w:ascii="Times New Roman" w:hAnsi="Times New Roman" w:eastAsia="黑体"/>
          <w:sz w:val="32"/>
          <w:szCs w:val="32"/>
          <w:lang w:val="en-US" w:eastAsia="zh-CN"/>
        </w:rPr>
        <w:t>6</w:t>
      </w:r>
    </w:p>
    <w:p w14:paraId="65BF3586">
      <w:pPr>
        <w:rPr>
          <w:rFonts w:hint="default" w:ascii="Times New Roman" w:hAnsi="Times New Roman" w:eastAsia="黑体"/>
          <w:sz w:val="32"/>
          <w:szCs w:val="32"/>
          <w:lang w:val="en-US" w:eastAsia="zh-CN"/>
        </w:rPr>
      </w:pPr>
      <w:r>
        <w:rPr>
          <w:rFonts w:ascii="Times New Roman" w:hAnsi="Times New Roman" w:eastAsia="黑体"/>
          <w:sz w:val="32"/>
          <w:szCs w:val="32"/>
        </w:rPr>
        <w:t>十</w:t>
      </w:r>
      <w:r>
        <w:rPr>
          <w:rFonts w:hint="eastAsia" w:ascii="Times New Roman" w:hAnsi="Times New Roman" w:eastAsia="黑体"/>
          <w:sz w:val="32"/>
          <w:szCs w:val="32"/>
          <w:lang w:val="en-US" w:eastAsia="zh-CN"/>
        </w:rPr>
        <w:t>一</w:t>
      </w:r>
      <w:r>
        <w:rPr>
          <w:rFonts w:ascii="Times New Roman" w:hAnsi="Times New Roman" w:eastAsia="黑体"/>
          <w:sz w:val="32"/>
          <w:szCs w:val="32"/>
        </w:rPr>
        <w:t>、名称解释.........................................................</w:t>
      </w:r>
      <w:bookmarkStart w:id="0" w:name="_GoBack"/>
      <w:bookmarkEnd w:id="0"/>
      <w:r>
        <w:rPr>
          <w:rFonts w:ascii="Times New Roman" w:hAnsi="Times New Roman" w:eastAsia="黑体"/>
          <w:sz w:val="32"/>
          <w:szCs w:val="32"/>
        </w:rPr>
        <w:t>................</w:t>
      </w:r>
      <w:r>
        <w:rPr>
          <w:rFonts w:hint="eastAsia" w:ascii="Times New Roman" w:hAnsi="Times New Roman" w:eastAsia="黑体"/>
          <w:sz w:val="32"/>
          <w:szCs w:val="32"/>
          <w:lang w:val="en-US" w:eastAsia="zh-CN"/>
        </w:rPr>
        <w:t>14</w:t>
      </w:r>
    </w:p>
    <w:p w14:paraId="6789993C">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14:paraId="26155482">
      <w:pPr>
        <w:pStyle w:val="9"/>
        <w:rPr>
          <w:rFonts w:ascii="Times New Roman" w:hAnsi="Times New Roman" w:eastAsia="黑体"/>
          <w:sz w:val="32"/>
          <w:szCs w:val="32"/>
        </w:rPr>
        <w:sectPr>
          <w:headerReference r:id="rId3" w:type="default"/>
          <w:pgSz w:w="11906" w:h="16838"/>
          <w:pgMar w:top="1440" w:right="1800" w:bottom="1440" w:left="1800" w:header="851" w:footer="992" w:gutter="0"/>
          <w:pgNumType w:fmt="numberInDash" w:start="1"/>
          <w:cols w:space="720" w:num="1"/>
          <w:docGrid w:type="lines" w:linePitch="312" w:charSpace="0"/>
        </w:sectPr>
      </w:pPr>
    </w:p>
    <w:p w14:paraId="43F188EC">
      <w:pPr>
        <w:pStyle w:val="9"/>
        <w:rPr>
          <w:rFonts w:ascii="Times New Roman" w:hAnsi="Times New Roman" w:eastAsia="黑体"/>
          <w:sz w:val="32"/>
          <w:szCs w:val="32"/>
        </w:rPr>
      </w:pPr>
      <w:r>
        <w:rPr>
          <w:rFonts w:ascii="Times New Roman" w:hAnsi="Times New Roman" w:eastAsia="黑体"/>
          <w:sz w:val="32"/>
          <w:szCs w:val="32"/>
        </w:rPr>
        <w:t>一、基本职能及主要工作</w:t>
      </w:r>
    </w:p>
    <w:p w14:paraId="1A0DBC97">
      <w:pPr>
        <w:numPr>
          <w:ilvl w:val="0"/>
          <w:numId w:val="1"/>
        </w:numPr>
        <w:ind w:left="0" w:firstLine="640" w:firstLineChars="200"/>
        <w:rPr>
          <w:rFonts w:ascii="Times New Roman" w:hAnsi="Times New Roman" w:eastAsia="楷体_GB2312"/>
          <w:sz w:val="32"/>
          <w:szCs w:val="32"/>
        </w:rPr>
      </w:pPr>
      <w:r>
        <w:rPr>
          <w:rFonts w:ascii="Times New Roman" w:hAnsi="Times New Roman" w:eastAsia="楷体_GB2312"/>
          <w:sz w:val="32"/>
          <w:szCs w:val="32"/>
        </w:rPr>
        <w:t>部门职能简介</w:t>
      </w:r>
    </w:p>
    <w:p w14:paraId="6EEBD49F">
      <w:pPr>
        <w:widowControl/>
        <w:autoSpaceDE w:val="0"/>
        <w:spacing w:line="578"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kern w:val="0"/>
          <w:sz w:val="32"/>
          <w:szCs w:val="32"/>
        </w:rPr>
        <w:t>根据文件规定，主要职责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贯彻和执行中央、省州关于对国外藏胞工作的方针政策，结合我州实际提出实施意见并组织实施；组织动员国外藏胞为我州经济、教育、文化和卫生事业发展服务；会同有关部门处理我州涉及国外藏胞的重大事件。</w:t>
      </w:r>
    </w:p>
    <w:p w14:paraId="1243F03A">
      <w:pPr>
        <w:numPr>
          <w:ilvl w:val="0"/>
          <w:numId w:val="1"/>
        </w:numPr>
        <w:ind w:left="0"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机构设置情况</w:t>
      </w:r>
    </w:p>
    <w:p w14:paraId="4F5F6477">
      <w:pPr>
        <w:keepNext w:val="0"/>
        <w:keepLines w:val="0"/>
        <w:widowControl w:val="0"/>
        <w:suppressLineNumbers w:val="0"/>
        <w:spacing w:before="0" w:beforeAutospacing="0" w:after="0" w:afterAutospacing="0" w:line="576" w:lineRule="exact"/>
        <w:ind w:left="0" w:right="0" w:firstLine="640" w:firstLineChars="200"/>
        <w:jc w:val="both"/>
        <w:rPr>
          <w:rFonts w:hint="default" w:ascii="Times New Roman" w:hAnsi="Times New Roman" w:eastAsia="方正楷体_GBK" w:cs="Times New Roman"/>
          <w:b/>
          <w:bCs/>
          <w:sz w:val="32"/>
          <w:szCs w:val="32"/>
          <w:lang w:val="en-US" w:eastAsia="zh-CN"/>
        </w:rPr>
      </w:pPr>
      <w:r>
        <w:rPr>
          <w:rFonts w:hint="eastAsia" w:ascii="Times New Roman" w:hAnsi="Times New Roman" w:eastAsia="方正仿宋_GBK" w:cs="Times New Roman"/>
          <w:kern w:val="0"/>
          <w:sz w:val="32"/>
          <w:szCs w:val="32"/>
          <w:lang w:val="en-US" w:eastAsia="zh-CN"/>
        </w:rPr>
        <w:t>规格为正县级。</w:t>
      </w:r>
      <w:r>
        <w:rPr>
          <w:rFonts w:hint="eastAsia" w:ascii="Times New Roman" w:hAnsi="方正仿宋_GBK" w:eastAsia="方正仿宋_GBK" w:cs="方正仿宋_GBK"/>
          <w:color w:val="000000"/>
          <w:kern w:val="2"/>
          <w:sz w:val="32"/>
          <w:szCs w:val="32"/>
          <w:lang w:val="en-US" w:eastAsia="zh-CN" w:bidi="ar"/>
        </w:rPr>
        <w:t>内设机构</w:t>
      </w:r>
      <w:r>
        <w:rPr>
          <w:rFonts w:hint="default" w:ascii="Times New Roman" w:hAnsi="Times New Roman" w:eastAsia="方正仿宋_GBK" w:cs="Times New Roman"/>
          <w:color w:val="000000"/>
          <w:kern w:val="2"/>
          <w:sz w:val="32"/>
          <w:szCs w:val="32"/>
          <w:lang w:val="en-US" w:eastAsia="zh-CN" w:bidi="ar"/>
        </w:rPr>
        <w:t>11</w:t>
      </w:r>
      <w:r>
        <w:rPr>
          <w:rFonts w:hint="eastAsia" w:ascii="Times New Roman" w:hAnsi="方正仿宋_GBK" w:eastAsia="方正仿宋_GBK" w:cs="方正仿宋_GBK"/>
          <w:color w:val="000000"/>
          <w:kern w:val="2"/>
          <w:sz w:val="32"/>
          <w:szCs w:val="32"/>
          <w:lang w:val="en-US" w:eastAsia="zh-CN" w:bidi="ar"/>
        </w:rPr>
        <w:t>个：办公室、研究室、民族宗教科、党外干部科、非公有制经济科，党外知识分子与新的社会阶层人士科、港澳台统战工作科、侨务工作科、宣传文化科、对国外藏胞工作科、人事科。</w:t>
      </w:r>
    </w:p>
    <w:p w14:paraId="019999B6">
      <w:pPr>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lang w:val="en-US" w:eastAsia="zh-CN"/>
        </w:rPr>
        <w:t>三</w:t>
      </w:r>
      <w:r>
        <w:rPr>
          <w:rFonts w:ascii="Times New Roman" w:hAnsi="Times New Roman" w:eastAsia="楷体_GB2312"/>
          <w:sz w:val="32"/>
          <w:szCs w:val="32"/>
        </w:rPr>
        <w:t>）202</w:t>
      </w:r>
      <w:r>
        <w:rPr>
          <w:rFonts w:hint="eastAsia" w:ascii="Times New Roman" w:hAnsi="Times New Roman" w:eastAsia="楷体_GB2312"/>
          <w:sz w:val="32"/>
          <w:szCs w:val="32"/>
        </w:rPr>
        <w:t>3</w:t>
      </w:r>
      <w:r>
        <w:rPr>
          <w:rFonts w:ascii="Times New Roman" w:hAnsi="Times New Roman" w:eastAsia="楷体_GB2312"/>
          <w:sz w:val="32"/>
          <w:szCs w:val="32"/>
        </w:rPr>
        <w:t>年重点工作</w:t>
      </w:r>
    </w:p>
    <w:p w14:paraId="508C1374">
      <w:pPr>
        <w:ind w:firstLine="640" w:firstLineChars="200"/>
        <w:rPr>
          <w:rFonts w:ascii="Times New Roman" w:hAnsi="Times New Roman" w:eastAsia="仿宋_GB2312"/>
          <w:sz w:val="32"/>
          <w:szCs w:val="32"/>
        </w:rPr>
      </w:pPr>
      <w:r>
        <w:rPr>
          <w:rFonts w:ascii="Times New Roman" w:hAnsi="Times New Roman" w:eastAsia="仿宋_GB2312"/>
          <w:sz w:val="32"/>
          <w:szCs w:val="32"/>
        </w:rPr>
        <w:t>涉密（略）。</w:t>
      </w:r>
    </w:p>
    <w:p w14:paraId="51B981BD">
      <w:pPr>
        <w:ind w:firstLine="640" w:firstLineChars="200"/>
        <w:rPr>
          <w:rFonts w:ascii="Times New Roman" w:hAnsi="Times New Roman" w:eastAsia="黑体"/>
          <w:sz w:val="32"/>
          <w:szCs w:val="32"/>
        </w:rPr>
      </w:pPr>
      <w:r>
        <w:rPr>
          <w:rFonts w:ascii="Times New Roman" w:hAnsi="Times New Roman" w:eastAsia="黑体"/>
          <w:sz w:val="32"/>
          <w:szCs w:val="32"/>
        </w:rPr>
        <w:t>二、部门预算单位构成</w:t>
      </w:r>
    </w:p>
    <w:p w14:paraId="3680E59F">
      <w:pPr>
        <w:keepNext w:val="0"/>
        <w:keepLines w:val="0"/>
        <w:widowControl w:val="0"/>
        <w:suppressLineNumbers w:val="0"/>
        <w:spacing w:before="0" w:beforeAutospacing="0" w:after="0" w:afterAutospacing="0" w:line="576" w:lineRule="exact"/>
        <w:ind w:left="0" w:right="0" w:firstLine="640" w:firstLineChars="200"/>
        <w:jc w:val="both"/>
        <w:rPr>
          <w:rFonts w:hint="eastAsia" w:ascii="Times New Roman" w:hAnsi="方正仿宋_GBK" w:eastAsia="方正仿宋_GBK" w:cs="方正仿宋_GBK"/>
          <w:color w:val="000000"/>
          <w:kern w:val="2"/>
          <w:sz w:val="32"/>
          <w:szCs w:val="32"/>
          <w:lang w:val="en-US" w:eastAsia="zh-CN" w:bidi="ar"/>
        </w:rPr>
      </w:pPr>
      <w:r>
        <w:rPr>
          <w:rFonts w:hint="eastAsia" w:ascii="Times New Roman" w:hAnsi="方正仿宋_GBK" w:eastAsia="方正仿宋_GBK" w:cs="方正仿宋_GBK"/>
          <w:color w:val="000000"/>
          <w:kern w:val="2"/>
          <w:sz w:val="32"/>
          <w:szCs w:val="32"/>
          <w:lang w:val="en-US" w:eastAsia="zh-CN" w:bidi="ar"/>
        </w:rPr>
        <w:t>州委统战部（一级预算单位），下设州侨联（二级预算单位）和州佛学院（二级预算单位）。</w:t>
      </w:r>
    </w:p>
    <w:p w14:paraId="29E43B65">
      <w:pPr>
        <w:pStyle w:val="9"/>
        <w:rPr>
          <w:rFonts w:ascii="Times New Roman" w:hAnsi="Times New Roman" w:eastAsia="黑体"/>
          <w:sz w:val="32"/>
          <w:szCs w:val="32"/>
        </w:rPr>
      </w:pPr>
      <w:r>
        <w:rPr>
          <w:rFonts w:ascii="Times New Roman" w:hAnsi="Times New Roman" w:eastAsia="黑体"/>
          <w:sz w:val="32"/>
          <w:szCs w:val="32"/>
        </w:rPr>
        <w:t>三、收支预算情况说明</w:t>
      </w:r>
    </w:p>
    <w:p w14:paraId="09D6BB58">
      <w:pPr>
        <w:ind w:firstLine="640" w:firstLineChars="200"/>
        <w:rPr>
          <w:rFonts w:ascii="Times New Roman" w:hAnsi="Times New Roman" w:eastAsia="仿宋"/>
          <w:sz w:val="32"/>
          <w:szCs w:val="32"/>
        </w:rPr>
      </w:pPr>
      <w:r>
        <w:rPr>
          <w:rFonts w:ascii="Times New Roman" w:hAnsi="Times New Roman" w:eastAsia="仿宋"/>
          <w:sz w:val="32"/>
          <w:szCs w:val="32"/>
        </w:rPr>
        <w:t>按照综合预算的原则，州委统战部所有收入和支出均纳入部门预算管理。</w:t>
      </w:r>
    </w:p>
    <w:p w14:paraId="7C904CDC">
      <w:pPr>
        <w:ind w:firstLine="640" w:firstLineChars="200"/>
        <w:rPr>
          <w:rFonts w:ascii="Times New Roman" w:hAnsi="Times New Roman" w:eastAsia="仿宋"/>
          <w:sz w:val="32"/>
          <w:szCs w:val="32"/>
        </w:rPr>
      </w:pPr>
      <w:r>
        <w:rPr>
          <w:rFonts w:ascii="Times New Roman" w:hAnsi="Times New Roman" w:eastAsia="仿宋"/>
          <w:sz w:val="32"/>
          <w:szCs w:val="32"/>
        </w:rPr>
        <w:t>（一）收入预算情况：州委统战部202</w:t>
      </w:r>
      <w:r>
        <w:rPr>
          <w:rFonts w:hint="eastAsia" w:ascii="Times New Roman" w:hAnsi="Times New Roman" w:eastAsia="仿宋"/>
          <w:sz w:val="32"/>
          <w:szCs w:val="32"/>
        </w:rPr>
        <w:t>3</w:t>
      </w:r>
      <w:r>
        <w:rPr>
          <w:rFonts w:ascii="Times New Roman" w:hAnsi="Times New Roman" w:eastAsia="仿宋"/>
          <w:sz w:val="32"/>
          <w:szCs w:val="32"/>
        </w:rPr>
        <w:t>年收入预算</w:t>
      </w:r>
      <w:r>
        <w:rPr>
          <w:rFonts w:hint="eastAsia" w:ascii="Times New Roman" w:hAnsi="Times New Roman" w:eastAsia="仿宋"/>
          <w:sz w:val="32"/>
          <w:szCs w:val="32"/>
        </w:rPr>
        <w:t>1124.57</w:t>
      </w:r>
      <w:r>
        <w:rPr>
          <w:rFonts w:ascii="Times New Roman" w:hAnsi="Times New Roman" w:eastAsia="仿宋"/>
          <w:sz w:val="32"/>
          <w:szCs w:val="32"/>
        </w:rPr>
        <w:t>万元，其中：上年结转0万元；一般公共预算拨款收入</w:t>
      </w:r>
      <w:r>
        <w:rPr>
          <w:rFonts w:hint="eastAsia" w:ascii="Times New Roman" w:hAnsi="Times New Roman" w:eastAsia="仿宋"/>
          <w:sz w:val="32"/>
          <w:szCs w:val="32"/>
        </w:rPr>
        <w:t>1124.57</w:t>
      </w:r>
      <w:r>
        <w:rPr>
          <w:rFonts w:ascii="Times New Roman" w:hAnsi="Times New Roman" w:eastAsia="仿宋"/>
          <w:sz w:val="32"/>
          <w:szCs w:val="32"/>
        </w:rPr>
        <w:t>万元，占100%。</w:t>
      </w:r>
    </w:p>
    <w:p w14:paraId="487F2FE7">
      <w:pPr>
        <w:ind w:firstLine="640" w:firstLineChars="200"/>
        <w:rPr>
          <w:rFonts w:ascii="Times New Roman" w:hAnsi="Times New Roman" w:eastAsia="仿宋"/>
          <w:sz w:val="32"/>
          <w:szCs w:val="32"/>
        </w:rPr>
      </w:pPr>
      <w:r>
        <w:rPr>
          <w:rFonts w:ascii="Times New Roman" w:hAnsi="Times New Roman" w:eastAsia="仿宋"/>
          <w:sz w:val="32"/>
          <w:szCs w:val="32"/>
        </w:rPr>
        <w:t>（二）支出预算情况：一般公共服务支出</w:t>
      </w:r>
      <w:r>
        <w:rPr>
          <w:rFonts w:hint="eastAsia" w:ascii="Times New Roman" w:hAnsi="Times New Roman" w:eastAsia="仿宋"/>
          <w:sz w:val="32"/>
          <w:szCs w:val="32"/>
        </w:rPr>
        <w:t>911.48</w:t>
      </w:r>
      <w:r>
        <w:rPr>
          <w:rFonts w:ascii="Times New Roman" w:hAnsi="Times New Roman" w:eastAsia="仿宋"/>
          <w:sz w:val="32"/>
          <w:szCs w:val="32"/>
        </w:rPr>
        <w:t>万元，社会保障和就业支出</w:t>
      </w:r>
      <w:r>
        <w:rPr>
          <w:rFonts w:hint="eastAsia" w:ascii="Times New Roman" w:hAnsi="Times New Roman" w:eastAsia="仿宋"/>
          <w:sz w:val="32"/>
          <w:szCs w:val="32"/>
        </w:rPr>
        <w:t>115.02</w:t>
      </w:r>
      <w:r>
        <w:rPr>
          <w:rFonts w:ascii="Times New Roman" w:hAnsi="Times New Roman" w:eastAsia="仿宋"/>
          <w:sz w:val="32"/>
          <w:szCs w:val="32"/>
        </w:rPr>
        <w:t>万元，卫生健康支出</w:t>
      </w:r>
      <w:r>
        <w:rPr>
          <w:rFonts w:hint="eastAsia" w:ascii="Times New Roman" w:hAnsi="Times New Roman" w:eastAsia="仿宋"/>
          <w:sz w:val="32"/>
          <w:szCs w:val="32"/>
        </w:rPr>
        <w:t>41.99</w:t>
      </w:r>
      <w:r>
        <w:rPr>
          <w:rFonts w:ascii="Times New Roman" w:hAnsi="Times New Roman" w:eastAsia="仿宋"/>
          <w:sz w:val="32"/>
          <w:szCs w:val="32"/>
        </w:rPr>
        <w:t>万元，住房保障支出</w:t>
      </w:r>
      <w:r>
        <w:rPr>
          <w:rFonts w:hint="eastAsia" w:ascii="Times New Roman" w:hAnsi="Times New Roman" w:eastAsia="仿宋"/>
          <w:sz w:val="32"/>
          <w:szCs w:val="32"/>
        </w:rPr>
        <w:t>56.08</w:t>
      </w:r>
      <w:r>
        <w:rPr>
          <w:rFonts w:ascii="Times New Roman" w:hAnsi="Times New Roman" w:eastAsia="仿宋"/>
          <w:sz w:val="32"/>
          <w:szCs w:val="32"/>
        </w:rPr>
        <w:t>万元。州委统战部202</w:t>
      </w:r>
      <w:r>
        <w:rPr>
          <w:rFonts w:hint="eastAsia" w:ascii="Times New Roman" w:hAnsi="Times New Roman" w:eastAsia="仿宋"/>
          <w:sz w:val="32"/>
          <w:szCs w:val="32"/>
        </w:rPr>
        <w:t>3</w:t>
      </w:r>
      <w:r>
        <w:rPr>
          <w:rFonts w:ascii="Times New Roman" w:hAnsi="Times New Roman" w:eastAsia="仿宋"/>
          <w:sz w:val="32"/>
          <w:szCs w:val="32"/>
        </w:rPr>
        <w:t>年收支总预算</w:t>
      </w:r>
      <w:r>
        <w:rPr>
          <w:rFonts w:hint="eastAsia" w:ascii="Times New Roman" w:hAnsi="Times New Roman" w:eastAsia="仿宋"/>
          <w:sz w:val="32"/>
          <w:szCs w:val="32"/>
        </w:rPr>
        <w:t>1124.57</w:t>
      </w:r>
      <w:r>
        <w:rPr>
          <w:rFonts w:ascii="Times New Roman" w:hAnsi="Times New Roman" w:eastAsia="仿宋"/>
          <w:sz w:val="32"/>
          <w:szCs w:val="32"/>
        </w:rPr>
        <w:t>万元,比2022（</w:t>
      </w:r>
      <w:r>
        <w:rPr>
          <w:rFonts w:hint="eastAsia" w:ascii="Times New Roman" w:hAnsi="Times New Roman" w:eastAsia="仿宋"/>
          <w:sz w:val="32"/>
          <w:szCs w:val="32"/>
        </w:rPr>
        <w:t>1080.21</w:t>
      </w:r>
      <w:r>
        <w:rPr>
          <w:rFonts w:ascii="Times New Roman" w:hAnsi="Times New Roman" w:eastAsia="仿宋"/>
          <w:sz w:val="32"/>
          <w:szCs w:val="32"/>
        </w:rPr>
        <w:t>万元）年收支预算总数多</w:t>
      </w:r>
      <w:r>
        <w:rPr>
          <w:rFonts w:hint="eastAsia" w:ascii="Times New Roman" w:hAnsi="Times New Roman" w:eastAsia="仿宋"/>
          <w:sz w:val="32"/>
          <w:szCs w:val="32"/>
        </w:rPr>
        <w:t>44.36</w:t>
      </w:r>
      <w:r>
        <w:rPr>
          <w:rFonts w:ascii="Times New Roman" w:hAnsi="Times New Roman" w:eastAsia="仿宋"/>
          <w:sz w:val="32"/>
          <w:szCs w:val="32"/>
        </w:rPr>
        <w:t>万元，主要原因:工资福利支出增加</w:t>
      </w:r>
      <w:r>
        <w:rPr>
          <w:rFonts w:hint="eastAsia" w:ascii="Times New Roman" w:hAnsi="Times New Roman" w:eastAsia="仿宋"/>
          <w:sz w:val="32"/>
          <w:szCs w:val="32"/>
        </w:rPr>
        <w:t>,</w:t>
      </w:r>
      <w:r>
        <w:rPr>
          <w:rFonts w:ascii="Times New Roman" w:hAnsi="Times New Roman" w:eastAsia="仿宋"/>
          <w:sz w:val="32"/>
          <w:szCs w:val="32"/>
        </w:rPr>
        <w:t>2021年年末</w:t>
      </w:r>
      <w:r>
        <w:rPr>
          <w:rFonts w:hint="eastAsia" w:ascii="Times New Roman" w:hAnsi="Times New Roman" w:eastAsia="仿宋"/>
          <w:sz w:val="32"/>
          <w:szCs w:val="32"/>
        </w:rPr>
        <w:t>调入公务员3名</w:t>
      </w:r>
      <w:r>
        <w:rPr>
          <w:rFonts w:ascii="Times New Roman" w:hAnsi="Times New Roman" w:eastAsia="仿宋"/>
          <w:sz w:val="32"/>
          <w:szCs w:val="32"/>
        </w:rPr>
        <w:t>，2023年新增3名新进公务员的各类经费。</w:t>
      </w:r>
    </w:p>
    <w:p w14:paraId="0D92294C">
      <w:pPr>
        <w:rPr>
          <w:rFonts w:ascii="Times New Roman" w:hAnsi="Times New Roman" w:eastAsia="仿宋_GB2312"/>
          <w:sz w:val="32"/>
          <w:szCs w:val="32"/>
        </w:rPr>
      </w:pPr>
      <w:r>
        <w:rPr>
          <w:rFonts w:ascii="Times New Roman" w:hAnsi="Times New Roman" w:eastAsia="仿宋"/>
          <w:sz w:val="32"/>
          <w:szCs w:val="32"/>
        </w:rPr>
        <w:t>　　州委统战部2023年支出预算</w:t>
      </w:r>
      <w:r>
        <w:rPr>
          <w:rFonts w:hint="eastAsia" w:ascii="Times New Roman" w:hAnsi="Times New Roman" w:eastAsia="仿宋"/>
          <w:sz w:val="32"/>
          <w:szCs w:val="32"/>
        </w:rPr>
        <w:t>1124.57</w:t>
      </w:r>
      <w:r>
        <w:rPr>
          <w:rFonts w:ascii="Times New Roman" w:hAnsi="Times New Roman" w:eastAsia="仿宋"/>
          <w:sz w:val="32"/>
          <w:szCs w:val="32"/>
        </w:rPr>
        <w:t>元，结转下年支出</w:t>
      </w:r>
      <w:r>
        <w:rPr>
          <w:rFonts w:hint="eastAsia" w:ascii="Times New Roman" w:hAnsi="Times New Roman" w:eastAsia="仿宋"/>
          <w:sz w:val="32"/>
          <w:szCs w:val="32"/>
        </w:rPr>
        <w:t>0</w:t>
      </w:r>
      <w:r>
        <w:rPr>
          <w:rFonts w:ascii="Times New Roman" w:hAnsi="Times New Roman" w:eastAsia="仿宋"/>
          <w:sz w:val="32"/>
          <w:szCs w:val="32"/>
        </w:rPr>
        <w:t>万元，共计</w:t>
      </w:r>
      <w:r>
        <w:rPr>
          <w:rFonts w:hint="eastAsia" w:ascii="Times New Roman" w:hAnsi="Times New Roman" w:eastAsia="仿宋"/>
          <w:sz w:val="32"/>
          <w:szCs w:val="32"/>
        </w:rPr>
        <w:t>1124.57</w:t>
      </w:r>
      <w:r>
        <w:rPr>
          <w:rFonts w:ascii="Times New Roman" w:hAnsi="Times New Roman" w:eastAsia="仿宋"/>
          <w:sz w:val="32"/>
          <w:szCs w:val="32"/>
        </w:rPr>
        <w:t>万元。其中：基本支出</w:t>
      </w:r>
      <w:r>
        <w:rPr>
          <w:rFonts w:hint="eastAsia" w:ascii="Times New Roman" w:hAnsi="Times New Roman" w:eastAsia="仿宋"/>
          <w:sz w:val="32"/>
          <w:szCs w:val="32"/>
        </w:rPr>
        <w:t>907.99</w:t>
      </w:r>
      <w:r>
        <w:rPr>
          <w:rFonts w:ascii="Times New Roman" w:hAnsi="Times New Roman" w:eastAsia="仿宋"/>
          <w:sz w:val="32"/>
          <w:szCs w:val="32"/>
        </w:rPr>
        <w:t>万元，占</w:t>
      </w:r>
      <w:r>
        <w:rPr>
          <w:rFonts w:hint="eastAsia" w:ascii="Times New Roman" w:hAnsi="Times New Roman" w:eastAsia="仿宋"/>
          <w:sz w:val="32"/>
          <w:szCs w:val="32"/>
        </w:rPr>
        <w:t>80.74</w:t>
      </w:r>
      <w:r>
        <w:rPr>
          <w:rFonts w:ascii="Times New Roman" w:hAnsi="Times New Roman" w:eastAsia="仿宋"/>
          <w:sz w:val="32"/>
          <w:szCs w:val="32"/>
        </w:rPr>
        <w:t>%；项目支出</w:t>
      </w:r>
      <w:r>
        <w:rPr>
          <w:rFonts w:hint="eastAsia" w:ascii="Times New Roman" w:hAnsi="Times New Roman" w:eastAsia="仿宋"/>
          <w:sz w:val="32"/>
          <w:szCs w:val="32"/>
        </w:rPr>
        <w:t>216.58</w:t>
      </w:r>
      <w:r>
        <w:rPr>
          <w:rFonts w:ascii="Times New Roman" w:hAnsi="Times New Roman" w:eastAsia="仿宋"/>
          <w:sz w:val="32"/>
          <w:szCs w:val="32"/>
        </w:rPr>
        <w:t>万元，占</w:t>
      </w:r>
      <w:r>
        <w:rPr>
          <w:rFonts w:hint="eastAsia" w:ascii="Times New Roman" w:hAnsi="Times New Roman" w:eastAsia="仿宋"/>
          <w:sz w:val="32"/>
          <w:szCs w:val="32"/>
        </w:rPr>
        <w:t>19.26</w:t>
      </w:r>
      <w:r>
        <w:rPr>
          <w:rFonts w:ascii="Times New Roman" w:hAnsi="Times New Roman" w:eastAsia="仿宋"/>
          <w:sz w:val="32"/>
          <w:szCs w:val="32"/>
        </w:rPr>
        <w:t>%。</w:t>
      </w:r>
    </w:p>
    <w:p w14:paraId="0FB564FA">
      <w:pPr>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四、财政拨款收支预算情况说明</w:t>
      </w:r>
    </w:p>
    <w:p w14:paraId="0E225263">
      <w:pPr>
        <w:ind w:firstLine="640" w:firstLineChars="200"/>
        <w:rPr>
          <w:rFonts w:ascii="Times New Roman" w:hAnsi="Times New Roman" w:eastAsia="仿宋"/>
          <w:sz w:val="32"/>
          <w:szCs w:val="32"/>
        </w:rPr>
      </w:pPr>
      <w:r>
        <w:rPr>
          <w:rFonts w:ascii="Times New Roman" w:hAnsi="Times New Roman" w:eastAsia="仿宋"/>
          <w:sz w:val="32"/>
          <w:szCs w:val="32"/>
        </w:rPr>
        <w:t xml:space="preserve"> 2023年财政拨款收支总预算</w:t>
      </w:r>
      <w:r>
        <w:rPr>
          <w:rFonts w:hint="eastAsia" w:ascii="Times New Roman" w:hAnsi="Times New Roman" w:eastAsia="仿宋"/>
          <w:sz w:val="32"/>
          <w:szCs w:val="32"/>
        </w:rPr>
        <w:t>1124.57</w:t>
      </w:r>
      <w:r>
        <w:rPr>
          <w:rFonts w:ascii="Times New Roman" w:hAnsi="Times New Roman" w:eastAsia="仿宋"/>
          <w:sz w:val="32"/>
          <w:szCs w:val="32"/>
        </w:rPr>
        <w:t>万元,比2022年财政拨款收支总预算增加</w:t>
      </w:r>
      <w:r>
        <w:rPr>
          <w:rFonts w:hint="eastAsia" w:ascii="Times New Roman" w:hAnsi="Times New Roman" w:eastAsia="仿宋"/>
          <w:sz w:val="32"/>
          <w:szCs w:val="32"/>
        </w:rPr>
        <w:t>44.36</w:t>
      </w:r>
      <w:r>
        <w:rPr>
          <w:rFonts w:ascii="Times New Roman" w:hAnsi="Times New Roman" w:eastAsia="仿宋"/>
          <w:sz w:val="32"/>
          <w:szCs w:val="32"/>
        </w:rPr>
        <w:t>万元，主要原因:工资福利支出增加</w:t>
      </w:r>
      <w:r>
        <w:rPr>
          <w:rFonts w:hint="eastAsia" w:ascii="Times New Roman" w:hAnsi="Times New Roman" w:eastAsia="仿宋"/>
          <w:sz w:val="32"/>
          <w:szCs w:val="32"/>
        </w:rPr>
        <w:t>, 调入公务员3名</w:t>
      </w:r>
      <w:r>
        <w:rPr>
          <w:rFonts w:ascii="Times New Roman" w:hAnsi="Times New Roman" w:eastAsia="仿宋"/>
          <w:sz w:val="32"/>
          <w:szCs w:val="32"/>
        </w:rPr>
        <w:t>。</w:t>
      </w:r>
    </w:p>
    <w:p w14:paraId="31CDB04B">
      <w:pPr>
        <w:ind w:firstLine="640" w:firstLineChars="200"/>
        <w:rPr>
          <w:rFonts w:ascii="Times New Roman" w:hAnsi="Times New Roman" w:eastAsia="仿宋"/>
          <w:sz w:val="32"/>
          <w:szCs w:val="32"/>
        </w:rPr>
      </w:pPr>
      <w:r>
        <w:rPr>
          <w:rFonts w:ascii="Times New Roman" w:hAnsi="Times New Roman" w:eastAsia="仿宋"/>
          <w:sz w:val="32"/>
          <w:szCs w:val="32"/>
        </w:rPr>
        <w:t>收入包括：行政运行</w:t>
      </w:r>
      <w:r>
        <w:rPr>
          <w:rFonts w:hint="eastAsia" w:ascii="Times New Roman" w:hAnsi="Times New Roman" w:eastAsia="仿宋"/>
          <w:sz w:val="32"/>
          <w:szCs w:val="32"/>
        </w:rPr>
        <w:t>694.90</w:t>
      </w:r>
      <w:r>
        <w:rPr>
          <w:rFonts w:ascii="Times New Roman" w:hAnsi="Times New Roman" w:eastAsia="仿宋"/>
          <w:sz w:val="32"/>
          <w:szCs w:val="32"/>
        </w:rPr>
        <w:t>万元，一般行政管理事务</w:t>
      </w:r>
      <w:r>
        <w:rPr>
          <w:rFonts w:hint="eastAsia" w:ascii="Times New Roman" w:hAnsi="Times New Roman" w:eastAsia="仿宋"/>
          <w:sz w:val="32"/>
          <w:szCs w:val="32"/>
        </w:rPr>
        <w:t>216.58</w:t>
      </w:r>
      <w:r>
        <w:rPr>
          <w:rFonts w:ascii="Times New Roman" w:hAnsi="Times New Roman" w:eastAsia="仿宋"/>
          <w:sz w:val="32"/>
          <w:szCs w:val="32"/>
        </w:rPr>
        <w:t>万元，机关事业单位基本养老保险缴费支出</w:t>
      </w:r>
      <w:r>
        <w:rPr>
          <w:rFonts w:hint="eastAsia" w:ascii="Times New Roman" w:hAnsi="Times New Roman" w:eastAsia="仿宋"/>
          <w:sz w:val="32"/>
          <w:szCs w:val="32"/>
        </w:rPr>
        <w:t>76.68</w:t>
      </w:r>
      <w:r>
        <w:rPr>
          <w:rFonts w:ascii="Times New Roman" w:hAnsi="Times New Roman" w:eastAsia="仿宋"/>
          <w:sz w:val="32"/>
          <w:szCs w:val="32"/>
        </w:rPr>
        <w:t>万元，机关事业单位职业年金缴费支出</w:t>
      </w:r>
      <w:r>
        <w:rPr>
          <w:rFonts w:hint="eastAsia" w:ascii="Times New Roman" w:hAnsi="Times New Roman" w:eastAsia="仿宋"/>
          <w:sz w:val="32"/>
          <w:szCs w:val="32"/>
        </w:rPr>
        <w:t>38.34</w:t>
      </w:r>
      <w:r>
        <w:rPr>
          <w:rFonts w:ascii="Times New Roman" w:hAnsi="Times New Roman" w:eastAsia="仿宋"/>
          <w:sz w:val="32"/>
          <w:szCs w:val="32"/>
        </w:rPr>
        <w:t>万元，行政单位医疗</w:t>
      </w:r>
      <w:r>
        <w:rPr>
          <w:rFonts w:hint="eastAsia" w:ascii="Times New Roman" w:hAnsi="Times New Roman" w:eastAsia="仿宋"/>
          <w:sz w:val="32"/>
          <w:szCs w:val="32"/>
        </w:rPr>
        <w:t>33.55</w:t>
      </w:r>
      <w:r>
        <w:rPr>
          <w:rFonts w:ascii="Times New Roman" w:hAnsi="Times New Roman" w:eastAsia="仿宋"/>
          <w:sz w:val="32"/>
          <w:szCs w:val="32"/>
        </w:rPr>
        <w:t>万元，公务员医疗补助</w:t>
      </w:r>
      <w:r>
        <w:rPr>
          <w:rFonts w:hint="eastAsia" w:ascii="Times New Roman" w:hAnsi="Times New Roman" w:eastAsia="仿宋"/>
          <w:sz w:val="32"/>
          <w:szCs w:val="32"/>
        </w:rPr>
        <w:t>8.44</w:t>
      </w:r>
      <w:r>
        <w:rPr>
          <w:rFonts w:ascii="Times New Roman" w:hAnsi="Times New Roman" w:eastAsia="仿宋"/>
          <w:sz w:val="32"/>
          <w:szCs w:val="32"/>
        </w:rPr>
        <w:t>万元，住房公积金</w:t>
      </w:r>
      <w:r>
        <w:rPr>
          <w:rFonts w:hint="eastAsia" w:ascii="Times New Roman" w:hAnsi="Times New Roman" w:eastAsia="仿宋"/>
          <w:sz w:val="32"/>
          <w:szCs w:val="32"/>
        </w:rPr>
        <w:t>56.08</w:t>
      </w:r>
      <w:r>
        <w:rPr>
          <w:rFonts w:ascii="Times New Roman" w:hAnsi="Times New Roman" w:eastAsia="仿宋"/>
          <w:sz w:val="32"/>
          <w:szCs w:val="32"/>
        </w:rPr>
        <w:t>万元。</w:t>
      </w:r>
    </w:p>
    <w:p w14:paraId="0D666594">
      <w:pPr>
        <w:ind w:firstLine="640" w:firstLineChars="200"/>
        <w:rPr>
          <w:rFonts w:ascii="Times New Roman" w:hAnsi="Times New Roman" w:eastAsia="仿宋"/>
          <w:sz w:val="32"/>
          <w:szCs w:val="32"/>
        </w:rPr>
      </w:pPr>
      <w:r>
        <w:rPr>
          <w:rFonts w:ascii="Times New Roman" w:hAnsi="Times New Roman" w:eastAsia="仿宋"/>
          <w:sz w:val="32"/>
          <w:szCs w:val="32"/>
        </w:rPr>
        <w:t>支出包括：行政运行</w:t>
      </w:r>
      <w:r>
        <w:rPr>
          <w:rFonts w:hint="eastAsia" w:ascii="Times New Roman" w:hAnsi="Times New Roman" w:eastAsia="仿宋"/>
          <w:sz w:val="32"/>
          <w:szCs w:val="32"/>
        </w:rPr>
        <w:t>694.90</w:t>
      </w:r>
      <w:r>
        <w:rPr>
          <w:rFonts w:ascii="Times New Roman" w:hAnsi="Times New Roman" w:eastAsia="仿宋"/>
          <w:sz w:val="32"/>
          <w:szCs w:val="32"/>
        </w:rPr>
        <w:t>万元，一般行政管理事务</w:t>
      </w:r>
      <w:r>
        <w:rPr>
          <w:rFonts w:hint="eastAsia" w:ascii="Times New Roman" w:hAnsi="Times New Roman" w:eastAsia="仿宋"/>
          <w:sz w:val="32"/>
          <w:szCs w:val="32"/>
        </w:rPr>
        <w:t>216.58</w:t>
      </w:r>
      <w:r>
        <w:rPr>
          <w:rFonts w:ascii="Times New Roman" w:hAnsi="Times New Roman" w:eastAsia="仿宋"/>
          <w:sz w:val="32"/>
          <w:szCs w:val="32"/>
        </w:rPr>
        <w:t>万元，机关事业单位基本养老保险缴费支出</w:t>
      </w:r>
      <w:r>
        <w:rPr>
          <w:rFonts w:hint="eastAsia" w:ascii="Times New Roman" w:hAnsi="Times New Roman" w:eastAsia="仿宋"/>
          <w:sz w:val="32"/>
          <w:szCs w:val="32"/>
        </w:rPr>
        <w:t>76.68</w:t>
      </w:r>
      <w:r>
        <w:rPr>
          <w:rFonts w:ascii="Times New Roman" w:hAnsi="Times New Roman" w:eastAsia="仿宋"/>
          <w:sz w:val="32"/>
          <w:szCs w:val="32"/>
        </w:rPr>
        <w:t>万元，机关事业单位职业年金缴费支出</w:t>
      </w:r>
      <w:r>
        <w:rPr>
          <w:rFonts w:hint="eastAsia" w:ascii="Times New Roman" w:hAnsi="Times New Roman" w:eastAsia="仿宋"/>
          <w:sz w:val="32"/>
          <w:szCs w:val="32"/>
        </w:rPr>
        <w:t>38.34</w:t>
      </w:r>
      <w:r>
        <w:rPr>
          <w:rFonts w:ascii="Times New Roman" w:hAnsi="Times New Roman" w:eastAsia="仿宋"/>
          <w:sz w:val="32"/>
          <w:szCs w:val="32"/>
        </w:rPr>
        <w:t>万元，行政单位医疗</w:t>
      </w:r>
      <w:r>
        <w:rPr>
          <w:rFonts w:hint="eastAsia" w:ascii="Times New Roman" w:hAnsi="Times New Roman" w:eastAsia="仿宋"/>
          <w:sz w:val="32"/>
          <w:szCs w:val="32"/>
        </w:rPr>
        <w:t>33.55</w:t>
      </w:r>
      <w:r>
        <w:rPr>
          <w:rFonts w:ascii="Times New Roman" w:hAnsi="Times New Roman" w:eastAsia="仿宋"/>
          <w:sz w:val="32"/>
          <w:szCs w:val="32"/>
        </w:rPr>
        <w:t>万元，公务员医疗补助</w:t>
      </w:r>
      <w:r>
        <w:rPr>
          <w:rFonts w:hint="eastAsia" w:ascii="Times New Roman" w:hAnsi="Times New Roman" w:eastAsia="仿宋"/>
          <w:sz w:val="32"/>
          <w:szCs w:val="32"/>
        </w:rPr>
        <w:t>8.44</w:t>
      </w:r>
      <w:r>
        <w:rPr>
          <w:rFonts w:ascii="Times New Roman" w:hAnsi="Times New Roman" w:eastAsia="仿宋"/>
          <w:sz w:val="32"/>
          <w:szCs w:val="32"/>
        </w:rPr>
        <w:t>万元，住房公积金</w:t>
      </w:r>
      <w:r>
        <w:rPr>
          <w:rFonts w:hint="eastAsia" w:ascii="Times New Roman" w:hAnsi="Times New Roman" w:eastAsia="仿宋"/>
          <w:sz w:val="32"/>
          <w:szCs w:val="32"/>
        </w:rPr>
        <w:t>56.08</w:t>
      </w:r>
      <w:r>
        <w:rPr>
          <w:rFonts w:ascii="Times New Roman" w:hAnsi="Times New Roman" w:eastAsia="仿宋"/>
          <w:sz w:val="32"/>
          <w:szCs w:val="32"/>
        </w:rPr>
        <w:t>万元。</w:t>
      </w:r>
    </w:p>
    <w:p w14:paraId="162B2D4C">
      <w:pPr>
        <w:ind w:firstLine="640" w:firstLineChars="200"/>
        <w:rPr>
          <w:rFonts w:ascii="Times New Roman" w:hAnsi="Times New Roman" w:eastAsia="黑体"/>
          <w:sz w:val="32"/>
          <w:szCs w:val="32"/>
        </w:rPr>
      </w:pPr>
      <w:r>
        <w:rPr>
          <w:rFonts w:ascii="Times New Roman" w:hAnsi="Times New Roman" w:eastAsia="黑体"/>
          <w:sz w:val="32"/>
          <w:szCs w:val="32"/>
        </w:rPr>
        <w:t>五、一般公共预算当年拨款情况说明</w:t>
      </w:r>
    </w:p>
    <w:p w14:paraId="61752141">
      <w:pPr>
        <w:pStyle w:val="10"/>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（一）一般公共预算当年拨款规模变化情况</w:t>
      </w:r>
    </w:p>
    <w:p w14:paraId="561CF7D3">
      <w:pPr>
        <w:ind w:firstLine="640" w:firstLineChars="200"/>
        <w:rPr>
          <w:rFonts w:ascii="Times New Roman" w:hAnsi="Times New Roman" w:eastAsia="仿宋"/>
          <w:sz w:val="32"/>
          <w:szCs w:val="32"/>
        </w:rPr>
      </w:pPr>
      <w:r>
        <w:rPr>
          <w:rFonts w:ascii="Times New Roman" w:hAnsi="Times New Roman" w:eastAsia="仿宋"/>
          <w:sz w:val="32"/>
          <w:szCs w:val="32"/>
        </w:rPr>
        <w:t>2023年一般公共预算当年拨款</w:t>
      </w:r>
      <w:r>
        <w:rPr>
          <w:rFonts w:hint="eastAsia" w:ascii="Times New Roman" w:hAnsi="Times New Roman" w:eastAsia="仿宋"/>
          <w:sz w:val="32"/>
          <w:szCs w:val="32"/>
        </w:rPr>
        <w:t>1124.57</w:t>
      </w:r>
      <w:r>
        <w:rPr>
          <w:rFonts w:ascii="Times New Roman" w:hAnsi="Times New Roman" w:eastAsia="仿宋"/>
          <w:sz w:val="32"/>
          <w:szCs w:val="32"/>
        </w:rPr>
        <w:t>万元，比2022年预算数增加</w:t>
      </w:r>
      <w:r>
        <w:rPr>
          <w:rFonts w:hint="eastAsia" w:ascii="Times New Roman" w:hAnsi="Times New Roman" w:eastAsia="仿宋"/>
          <w:sz w:val="32"/>
          <w:szCs w:val="32"/>
        </w:rPr>
        <w:t>44.36</w:t>
      </w:r>
      <w:r>
        <w:rPr>
          <w:rFonts w:ascii="Times New Roman" w:hAnsi="Times New Roman" w:eastAsia="仿宋"/>
          <w:sz w:val="32"/>
          <w:szCs w:val="32"/>
        </w:rPr>
        <w:t>万元，主要原因:工资福利支出增加</w:t>
      </w:r>
      <w:r>
        <w:rPr>
          <w:rFonts w:hint="eastAsia" w:ascii="Times New Roman" w:hAnsi="Times New Roman" w:eastAsia="仿宋"/>
          <w:sz w:val="32"/>
          <w:szCs w:val="32"/>
        </w:rPr>
        <w:t>, 调入公务员3名</w:t>
      </w:r>
      <w:r>
        <w:rPr>
          <w:rFonts w:ascii="Times New Roman" w:hAnsi="Times New Roman" w:eastAsia="仿宋"/>
          <w:sz w:val="32"/>
          <w:szCs w:val="32"/>
        </w:rPr>
        <w:t>。</w:t>
      </w:r>
    </w:p>
    <w:p w14:paraId="044A4B65">
      <w:pPr>
        <w:pStyle w:val="10"/>
        <w:numPr>
          <w:ilvl w:val="0"/>
          <w:numId w:val="1"/>
        </w:numPr>
        <w:spacing w:before="0" w:line="360" w:lineRule="auto"/>
        <w:ind w:left="0" w:firstLine="640" w:firstLineChars="200"/>
        <w:rPr>
          <w:rFonts w:ascii="Times New Roman" w:hAnsi="Times New Roman"/>
          <w:kern w:val="2"/>
          <w:sz w:val="32"/>
          <w:szCs w:val="32"/>
        </w:rPr>
      </w:pPr>
      <w:r>
        <w:rPr>
          <w:rFonts w:ascii="Times New Roman" w:hAnsi="Times New Roman"/>
          <w:sz w:val="32"/>
          <w:szCs w:val="32"/>
        </w:rPr>
        <w:t>一般公共预算当年拨款结构情况</w:t>
      </w:r>
    </w:p>
    <w:p w14:paraId="4C3AD197">
      <w:pPr>
        <w:pStyle w:val="10"/>
        <w:spacing w:before="0" w:line="360" w:lineRule="auto"/>
        <w:ind w:firstLine="640" w:firstLineChars="200"/>
        <w:rPr>
          <w:rFonts w:ascii="Times New Roman" w:hAnsi="Times New Roman"/>
          <w:sz w:val="32"/>
          <w:szCs w:val="32"/>
        </w:rPr>
      </w:pPr>
      <w:r>
        <w:rPr>
          <w:rFonts w:ascii="Times New Roman" w:hAnsi="Times New Roman"/>
          <w:sz w:val="32"/>
          <w:szCs w:val="32"/>
        </w:rPr>
        <w:t>一般公共服务支出</w:t>
      </w:r>
      <w:r>
        <w:rPr>
          <w:rFonts w:hint="eastAsia" w:ascii="Times New Roman" w:hAnsi="Times New Roman"/>
          <w:sz w:val="32"/>
          <w:szCs w:val="32"/>
        </w:rPr>
        <w:t>911.48</w:t>
      </w:r>
      <w:r>
        <w:rPr>
          <w:rFonts w:ascii="Times New Roman" w:hAnsi="Times New Roman"/>
          <w:sz w:val="32"/>
          <w:szCs w:val="32"/>
        </w:rPr>
        <w:t>万元，占</w:t>
      </w:r>
      <w:r>
        <w:rPr>
          <w:rFonts w:hint="eastAsia" w:ascii="Times New Roman" w:hAnsi="Times New Roman"/>
          <w:sz w:val="32"/>
          <w:szCs w:val="32"/>
        </w:rPr>
        <w:t>81.05</w:t>
      </w:r>
      <w:r>
        <w:rPr>
          <w:rFonts w:ascii="Times New Roman" w:hAnsi="Times New Roman"/>
          <w:sz w:val="32"/>
          <w:szCs w:val="32"/>
        </w:rPr>
        <w:t>%；社会保障和就业支出</w:t>
      </w:r>
      <w:r>
        <w:rPr>
          <w:rFonts w:hint="eastAsia" w:ascii="Times New Roman" w:hAnsi="Times New Roman"/>
          <w:sz w:val="32"/>
          <w:szCs w:val="32"/>
        </w:rPr>
        <w:t>115.02</w:t>
      </w:r>
      <w:r>
        <w:rPr>
          <w:rFonts w:ascii="Times New Roman" w:hAnsi="Times New Roman"/>
          <w:sz w:val="32"/>
          <w:szCs w:val="32"/>
        </w:rPr>
        <w:t>万元，占</w:t>
      </w:r>
      <w:r>
        <w:rPr>
          <w:rFonts w:hint="eastAsia" w:ascii="Times New Roman" w:hAnsi="Times New Roman"/>
          <w:sz w:val="32"/>
          <w:szCs w:val="32"/>
        </w:rPr>
        <w:t>10.23</w:t>
      </w:r>
      <w:r>
        <w:rPr>
          <w:rFonts w:ascii="Times New Roman" w:hAnsi="Times New Roman"/>
          <w:sz w:val="32"/>
          <w:szCs w:val="32"/>
        </w:rPr>
        <w:t>%；医疗卫生与计划生育支出</w:t>
      </w:r>
      <w:r>
        <w:rPr>
          <w:rFonts w:hint="eastAsia" w:ascii="Times New Roman" w:hAnsi="Times New Roman"/>
          <w:sz w:val="32"/>
          <w:szCs w:val="32"/>
        </w:rPr>
        <w:t>41.99</w:t>
      </w:r>
      <w:r>
        <w:rPr>
          <w:rFonts w:ascii="Times New Roman" w:hAnsi="Times New Roman"/>
          <w:sz w:val="32"/>
          <w:szCs w:val="32"/>
        </w:rPr>
        <w:t>万元，占</w:t>
      </w:r>
      <w:r>
        <w:rPr>
          <w:rFonts w:hint="eastAsia" w:ascii="Times New Roman" w:hAnsi="Times New Roman"/>
          <w:sz w:val="32"/>
          <w:szCs w:val="32"/>
        </w:rPr>
        <w:t>3.73</w:t>
      </w:r>
      <w:r>
        <w:rPr>
          <w:rFonts w:ascii="Times New Roman" w:hAnsi="Times New Roman"/>
          <w:sz w:val="32"/>
          <w:szCs w:val="32"/>
        </w:rPr>
        <w:t>%；住房保障支出</w:t>
      </w:r>
      <w:r>
        <w:rPr>
          <w:rFonts w:hint="eastAsia" w:ascii="Times New Roman" w:hAnsi="Times New Roman"/>
          <w:sz w:val="32"/>
          <w:szCs w:val="32"/>
        </w:rPr>
        <w:t>56.08</w:t>
      </w:r>
      <w:r>
        <w:rPr>
          <w:rFonts w:ascii="Times New Roman" w:hAnsi="Times New Roman"/>
          <w:sz w:val="32"/>
          <w:szCs w:val="32"/>
        </w:rPr>
        <w:t>万元，占</w:t>
      </w:r>
      <w:r>
        <w:rPr>
          <w:rFonts w:hint="eastAsia" w:ascii="Times New Roman" w:hAnsi="Times New Roman"/>
          <w:sz w:val="32"/>
          <w:szCs w:val="32"/>
        </w:rPr>
        <w:t>4.99</w:t>
      </w:r>
      <w:r>
        <w:rPr>
          <w:rFonts w:ascii="Times New Roman" w:hAnsi="Times New Roman"/>
          <w:sz w:val="32"/>
          <w:szCs w:val="32"/>
        </w:rPr>
        <w:t>%。</w:t>
      </w:r>
    </w:p>
    <w:p w14:paraId="50D096E4">
      <w:pPr>
        <w:pStyle w:val="10"/>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（三）一般公共预算当年拨款具体使用情况</w:t>
      </w:r>
    </w:p>
    <w:p w14:paraId="00DF9A94">
      <w:pPr>
        <w:rPr>
          <w:rFonts w:ascii="Times New Roman" w:hAnsi="Times New Roman" w:eastAsia="仿宋_GB2312"/>
          <w:kern w:val="0"/>
          <w:sz w:val="32"/>
          <w:szCs w:val="32"/>
        </w:rPr>
      </w:pPr>
      <w:r>
        <w:rPr>
          <w:rFonts w:ascii="Times New Roman" w:hAnsi="Times New Roman" w:eastAsia="仿宋"/>
          <w:sz w:val="32"/>
          <w:szCs w:val="32"/>
        </w:rPr>
        <w:t>　</w:t>
      </w:r>
      <w:r>
        <w:rPr>
          <w:rFonts w:ascii="Times New Roman" w:hAnsi="Times New Roman" w:eastAsia="仿宋_GB2312"/>
          <w:kern w:val="0"/>
          <w:sz w:val="32"/>
          <w:szCs w:val="32"/>
        </w:rPr>
        <w:t xml:space="preserve">  1．一般公共服务统战事务行政运行经费（2013401）2023年预算数为</w:t>
      </w:r>
      <w:r>
        <w:rPr>
          <w:rFonts w:hint="eastAsia" w:ascii="Times New Roman" w:hAnsi="Times New Roman" w:eastAsia="仿宋_GB2312"/>
          <w:kern w:val="0"/>
          <w:sz w:val="32"/>
          <w:szCs w:val="32"/>
        </w:rPr>
        <w:t>694.90</w:t>
      </w:r>
      <w:r>
        <w:rPr>
          <w:rFonts w:ascii="Times New Roman" w:hAnsi="Times New Roman" w:eastAsia="仿宋_GB2312"/>
          <w:kern w:val="0"/>
          <w:sz w:val="32"/>
          <w:szCs w:val="32"/>
        </w:rPr>
        <w:t>万元，主要用于:人员经费及日常公用经费支出。</w:t>
      </w:r>
    </w:p>
    <w:p w14:paraId="7E7B14E6">
      <w:pPr>
        <w:rPr>
          <w:rFonts w:ascii="Times New Roman" w:hAnsi="Times New Roman" w:eastAsia="仿宋_GB2312"/>
          <w:kern w:val="0"/>
          <w:sz w:val="32"/>
          <w:szCs w:val="32"/>
        </w:rPr>
      </w:pPr>
      <w:r>
        <w:rPr>
          <w:rFonts w:ascii="Times New Roman" w:hAnsi="Times New Roman" w:eastAsia="仿宋_GB2312"/>
          <w:kern w:val="0"/>
          <w:sz w:val="32"/>
          <w:szCs w:val="32"/>
        </w:rPr>
        <w:t>　　2.一般公共服务统战事务一般行政管理事务经费（2013402）2023年预算数为</w:t>
      </w:r>
      <w:r>
        <w:rPr>
          <w:rFonts w:hint="eastAsia" w:ascii="Times New Roman" w:hAnsi="Times New Roman" w:eastAsia="仿宋_GB2312"/>
          <w:kern w:val="0"/>
          <w:sz w:val="32"/>
          <w:szCs w:val="32"/>
        </w:rPr>
        <w:t>216.58</w:t>
      </w:r>
      <w:r>
        <w:rPr>
          <w:rFonts w:ascii="Times New Roman" w:hAnsi="Times New Roman" w:eastAsia="仿宋_GB2312"/>
          <w:kern w:val="0"/>
          <w:sz w:val="32"/>
          <w:szCs w:val="32"/>
        </w:rPr>
        <w:t>万元，主要用于:工作运转类项目经费支出、会议、培训和慰问支出。</w:t>
      </w:r>
    </w:p>
    <w:p w14:paraId="00CD24F2">
      <w:pPr>
        <w:rPr>
          <w:rFonts w:ascii="Times New Roman" w:hAnsi="Times New Roman" w:eastAsia="仿宋_GB2312"/>
          <w:kern w:val="0"/>
          <w:sz w:val="32"/>
          <w:szCs w:val="32"/>
        </w:rPr>
      </w:pPr>
      <w:r>
        <w:rPr>
          <w:rFonts w:ascii="Times New Roman" w:hAnsi="Times New Roman" w:eastAsia="仿宋_GB2312"/>
          <w:kern w:val="0"/>
          <w:sz w:val="32"/>
          <w:szCs w:val="32"/>
        </w:rPr>
        <w:t>　　3.机关事业单位基本养老保险缴费（2080505）2023年预算数为</w:t>
      </w:r>
      <w:r>
        <w:rPr>
          <w:rFonts w:hint="eastAsia" w:ascii="Times New Roman" w:hAnsi="Times New Roman" w:eastAsia="仿宋_GB2312"/>
          <w:kern w:val="0"/>
          <w:sz w:val="32"/>
          <w:szCs w:val="32"/>
        </w:rPr>
        <w:t>76.68</w:t>
      </w:r>
      <w:r>
        <w:rPr>
          <w:rFonts w:ascii="Times New Roman" w:hAnsi="Times New Roman" w:eastAsia="仿宋_GB2312"/>
          <w:kern w:val="0"/>
          <w:sz w:val="32"/>
          <w:szCs w:val="32"/>
        </w:rPr>
        <w:t>万元，主要用于缴纳职工的基本养老保险。</w:t>
      </w:r>
    </w:p>
    <w:p w14:paraId="055E2988">
      <w:pPr>
        <w:rPr>
          <w:rFonts w:ascii="Times New Roman" w:hAnsi="Times New Roman" w:eastAsia="仿宋_GB2312"/>
          <w:kern w:val="0"/>
          <w:sz w:val="32"/>
          <w:szCs w:val="32"/>
        </w:rPr>
      </w:pPr>
      <w:r>
        <w:rPr>
          <w:rFonts w:ascii="Times New Roman" w:hAnsi="Times New Roman" w:eastAsia="仿宋_GB2312"/>
          <w:kern w:val="0"/>
          <w:sz w:val="32"/>
          <w:szCs w:val="32"/>
        </w:rPr>
        <w:t>　　4.机关事业单位职业年金缴费（2080506）2023年预算数为</w:t>
      </w:r>
      <w:r>
        <w:rPr>
          <w:rFonts w:hint="eastAsia" w:ascii="Times New Roman" w:hAnsi="Times New Roman" w:eastAsia="仿宋_GB2312"/>
          <w:kern w:val="0"/>
          <w:sz w:val="32"/>
          <w:szCs w:val="32"/>
        </w:rPr>
        <w:t>38.34</w:t>
      </w:r>
      <w:r>
        <w:rPr>
          <w:rFonts w:ascii="Times New Roman" w:hAnsi="Times New Roman" w:eastAsia="仿宋_GB2312"/>
          <w:kern w:val="0"/>
          <w:sz w:val="32"/>
          <w:szCs w:val="32"/>
        </w:rPr>
        <w:t>万元，主要用于缴纳职工职业年金。</w:t>
      </w:r>
    </w:p>
    <w:p w14:paraId="5CE4ED87">
      <w:pPr>
        <w:ind w:firstLine="645"/>
        <w:rPr>
          <w:rFonts w:ascii="Times New Roman" w:hAnsi="Times New Roman" w:eastAsia="仿宋_GB2312"/>
          <w:kern w:val="0"/>
          <w:sz w:val="32"/>
          <w:szCs w:val="32"/>
        </w:rPr>
      </w:pPr>
      <w:r>
        <w:rPr>
          <w:rFonts w:ascii="Times New Roman" w:hAnsi="Times New Roman" w:eastAsia="仿宋_GB2312"/>
          <w:kern w:val="0"/>
          <w:sz w:val="32"/>
          <w:szCs w:val="32"/>
        </w:rPr>
        <w:t>5.行政单位医疗（2101101）2023年预算数为</w:t>
      </w:r>
      <w:r>
        <w:rPr>
          <w:rFonts w:hint="eastAsia" w:ascii="Times New Roman" w:hAnsi="Times New Roman" w:eastAsia="仿宋_GB2312"/>
          <w:kern w:val="0"/>
          <w:sz w:val="32"/>
          <w:szCs w:val="32"/>
        </w:rPr>
        <w:t>33.55</w:t>
      </w:r>
      <w:r>
        <w:rPr>
          <w:rFonts w:ascii="Times New Roman" w:hAnsi="Times New Roman" w:eastAsia="仿宋_GB2312"/>
          <w:kern w:val="0"/>
          <w:sz w:val="32"/>
          <w:szCs w:val="32"/>
        </w:rPr>
        <w:t>万元，主要用于缴纳职工基本医疗保险。</w:t>
      </w:r>
    </w:p>
    <w:p w14:paraId="40039E70">
      <w:pPr>
        <w:ind w:firstLine="645"/>
        <w:rPr>
          <w:rFonts w:ascii="Times New Roman" w:hAnsi="Times New Roman" w:eastAsia="仿宋_GB2312"/>
          <w:kern w:val="0"/>
          <w:sz w:val="32"/>
          <w:szCs w:val="32"/>
        </w:rPr>
      </w:pPr>
      <w:r>
        <w:rPr>
          <w:rFonts w:ascii="Times New Roman" w:hAnsi="Times New Roman" w:eastAsia="仿宋_GB2312"/>
          <w:kern w:val="0"/>
          <w:sz w:val="32"/>
          <w:szCs w:val="32"/>
        </w:rPr>
        <w:t>6.公务员医疗补助（2101103）2023年预算数为</w:t>
      </w:r>
      <w:r>
        <w:rPr>
          <w:rFonts w:hint="eastAsia" w:ascii="Times New Roman" w:hAnsi="Times New Roman" w:eastAsia="仿宋_GB2312"/>
          <w:kern w:val="0"/>
          <w:sz w:val="32"/>
          <w:szCs w:val="32"/>
        </w:rPr>
        <w:t>8.44</w:t>
      </w:r>
      <w:r>
        <w:rPr>
          <w:rFonts w:ascii="Times New Roman" w:hAnsi="Times New Roman" w:eastAsia="仿宋_GB2312"/>
          <w:kern w:val="0"/>
          <w:sz w:val="32"/>
          <w:szCs w:val="32"/>
        </w:rPr>
        <w:t>万元，主要用于缴纳职工公务员医疗补助。</w:t>
      </w:r>
    </w:p>
    <w:p w14:paraId="6E38AA62">
      <w:pPr>
        <w:rPr>
          <w:rFonts w:ascii="Times New Roman" w:hAnsi="Times New Roman" w:eastAsia="仿宋_GB2312"/>
          <w:kern w:val="0"/>
          <w:sz w:val="32"/>
          <w:szCs w:val="32"/>
        </w:rPr>
      </w:pPr>
      <w:r>
        <w:rPr>
          <w:rFonts w:ascii="Times New Roman" w:hAnsi="Times New Roman" w:eastAsia="仿宋_GB2312"/>
          <w:kern w:val="0"/>
          <w:sz w:val="32"/>
          <w:szCs w:val="32"/>
        </w:rPr>
        <w:t>　　7.住房公积金（2210201）2023年预算数为</w:t>
      </w:r>
      <w:r>
        <w:rPr>
          <w:rFonts w:hint="eastAsia" w:ascii="Times New Roman" w:hAnsi="Times New Roman" w:eastAsia="仿宋_GB2312"/>
          <w:kern w:val="0"/>
          <w:sz w:val="32"/>
          <w:szCs w:val="32"/>
        </w:rPr>
        <w:t>56.08</w:t>
      </w:r>
      <w:r>
        <w:rPr>
          <w:rFonts w:ascii="Times New Roman" w:hAnsi="Times New Roman" w:eastAsia="仿宋_GB2312"/>
          <w:kern w:val="0"/>
          <w:sz w:val="32"/>
          <w:szCs w:val="32"/>
        </w:rPr>
        <w:t>万元，主要用于缴纳职工住房公积金。</w:t>
      </w:r>
    </w:p>
    <w:p w14:paraId="5B24ABC3">
      <w:pPr>
        <w:pStyle w:val="10"/>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六、一般公共预算基本支出情况说明</w:t>
      </w:r>
    </w:p>
    <w:p w14:paraId="08B9A315">
      <w:pPr>
        <w:pStyle w:val="10"/>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2023年一般公共预算基本支出</w:t>
      </w:r>
      <w:r>
        <w:rPr>
          <w:rFonts w:hint="eastAsia" w:ascii="Times New Roman" w:hAnsi="Times New Roman"/>
          <w:kern w:val="2"/>
          <w:sz w:val="32"/>
          <w:szCs w:val="32"/>
        </w:rPr>
        <w:t>907.99</w:t>
      </w:r>
      <w:r>
        <w:rPr>
          <w:rFonts w:ascii="Times New Roman" w:hAnsi="Times New Roman"/>
          <w:kern w:val="2"/>
          <w:sz w:val="32"/>
          <w:szCs w:val="32"/>
        </w:rPr>
        <w:t>万元，其中：人员经费</w:t>
      </w:r>
      <w:r>
        <w:rPr>
          <w:rFonts w:hint="eastAsia" w:ascii="Times New Roman" w:hAnsi="Times New Roman"/>
          <w:kern w:val="2"/>
          <w:sz w:val="32"/>
          <w:szCs w:val="32"/>
        </w:rPr>
        <w:t>777.03</w:t>
      </w:r>
      <w:r>
        <w:rPr>
          <w:rFonts w:ascii="Times New Roman" w:hAnsi="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02B97390">
      <w:pPr>
        <w:pStyle w:val="10"/>
        <w:spacing w:before="0" w:line="360" w:lineRule="auto"/>
        <w:ind w:firstLine="640" w:firstLineChars="200"/>
        <w:rPr>
          <w:rFonts w:hint="eastAsia" w:ascii="Times New Roman" w:hAnsi="Times New Roman" w:eastAsia="仿宋_GB2312"/>
          <w:kern w:val="2"/>
          <w:sz w:val="32"/>
          <w:szCs w:val="32"/>
          <w:lang w:eastAsia="zh-CN"/>
        </w:rPr>
      </w:pPr>
      <w:r>
        <w:rPr>
          <w:rFonts w:ascii="Times New Roman" w:hAnsi="Times New Roman"/>
          <w:kern w:val="2"/>
          <w:sz w:val="32"/>
          <w:szCs w:val="32"/>
        </w:rPr>
        <w:t>公用经费</w:t>
      </w:r>
      <w:r>
        <w:rPr>
          <w:rFonts w:hint="eastAsia" w:ascii="Times New Roman" w:hAnsi="Times New Roman"/>
          <w:kern w:val="2"/>
          <w:sz w:val="32"/>
          <w:szCs w:val="32"/>
        </w:rPr>
        <w:t>130.96</w:t>
      </w:r>
      <w:r>
        <w:rPr>
          <w:rFonts w:ascii="Times New Roman" w:hAnsi="Times New Roman"/>
          <w:kern w:val="2"/>
          <w:sz w:val="32"/>
          <w:szCs w:val="32"/>
        </w:rPr>
        <w:t>万元，主要包括：办公费、印刷费、水电费、邮电费、</w:t>
      </w:r>
      <w:r>
        <w:rPr>
          <w:rFonts w:hint="eastAsia" w:ascii="Times New Roman" w:hAnsi="Times New Roman"/>
          <w:kern w:val="2"/>
          <w:sz w:val="32"/>
          <w:szCs w:val="32"/>
        </w:rPr>
        <w:t>取暖费、因公出国境费、公务接待费、公务用车运行维护费、</w:t>
      </w:r>
      <w:r>
        <w:rPr>
          <w:rFonts w:ascii="Times New Roman" w:hAnsi="Times New Roman"/>
          <w:kern w:val="2"/>
          <w:sz w:val="32"/>
          <w:szCs w:val="32"/>
        </w:rPr>
        <w:t>差旅费、维修（护）费、会议费、培训费、劳务费、工会经费、福利费、</w:t>
      </w:r>
      <w:r>
        <w:rPr>
          <w:rFonts w:hint="eastAsia" w:ascii="Times New Roman" w:hAnsi="Times New Roman"/>
          <w:kern w:val="2"/>
          <w:sz w:val="32"/>
          <w:szCs w:val="32"/>
        </w:rPr>
        <w:t>退休费、生活补助费、</w:t>
      </w:r>
      <w:r>
        <w:rPr>
          <w:rFonts w:ascii="Times New Roman" w:hAnsi="Times New Roman"/>
          <w:kern w:val="2"/>
          <w:sz w:val="32"/>
          <w:szCs w:val="32"/>
        </w:rPr>
        <w:t>其他交通工具运行维护费、其他商品和服务支出</w:t>
      </w:r>
      <w:r>
        <w:rPr>
          <w:rFonts w:hint="eastAsia" w:ascii="Times New Roman" w:hAnsi="Times New Roman"/>
          <w:kern w:val="2"/>
          <w:sz w:val="32"/>
          <w:szCs w:val="32"/>
        </w:rPr>
        <w:t>、办公设备购置费、</w:t>
      </w:r>
      <w:r>
        <w:rPr>
          <w:rFonts w:ascii="Times New Roman" w:hAnsi="Times New Roman"/>
          <w:kern w:val="2"/>
          <w:sz w:val="32"/>
          <w:szCs w:val="32"/>
        </w:rPr>
        <w:t>其他对个人和家庭的补助支出。</w:t>
      </w:r>
    </w:p>
    <w:p w14:paraId="646B86D8">
      <w:pPr>
        <w:pStyle w:val="10"/>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七、“三公”经费财政拨款预算安排情况说明</w:t>
      </w:r>
    </w:p>
    <w:p w14:paraId="426DFB2F">
      <w:pPr>
        <w:pStyle w:val="10"/>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2023年“三公”经费财政拨款预算数</w:t>
      </w:r>
      <w:r>
        <w:rPr>
          <w:rFonts w:hint="eastAsia" w:ascii="Times New Roman" w:hAnsi="Times New Roman"/>
          <w:kern w:val="2"/>
          <w:sz w:val="32"/>
          <w:szCs w:val="32"/>
        </w:rPr>
        <w:t>81.78</w:t>
      </w:r>
      <w:r>
        <w:rPr>
          <w:rFonts w:ascii="Times New Roman" w:hAnsi="Times New Roman"/>
          <w:kern w:val="2"/>
          <w:sz w:val="32"/>
          <w:szCs w:val="32"/>
        </w:rPr>
        <w:t>万元，其中：因公出国（境）经费</w:t>
      </w:r>
      <w:r>
        <w:rPr>
          <w:rFonts w:hint="eastAsia" w:ascii="Times New Roman" w:hAnsi="Times New Roman"/>
          <w:kern w:val="2"/>
          <w:sz w:val="32"/>
          <w:szCs w:val="32"/>
        </w:rPr>
        <w:t>0</w:t>
      </w:r>
      <w:r>
        <w:rPr>
          <w:rFonts w:ascii="Times New Roman" w:hAnsi="Times New Roman"/>
          <w:kern w:val="2"/>
          <w:sz w:val="32"/>
          <w:szCs w:val="32"/>
        </w:rPr>
        <w:t>万元，公务接待费</w:t>
      </w:r>
      <w:r>
        <w:rPr>
          <w:rFonts w:hint="eastAsia" w:ascii="Times New Roman" w:hAnsi="Times New Roman"/>
          <w:kern w:val="2"/>
          <w:sz w:val="32"/>
          <w:szCs w:val="32"/>
        </w:rPr>
        <w:t>3.8</w:t>
      </w:r>
      <w:r>
        <w:rPr>
          <w:rFonts w:ascii="Times New Roman" w:hAnsi="Times New Roman"/>
          <w:kern w:val="2"/>
          <w:sz w:val="32"/>
          <w:szCs w:val="32"/>
        </w:rPr>
        <w:t>万元，公务用车购置及运行维护费</w:t>
      </w:r>
      <w:r>
        <w:rPr>
          <w:rFonts w:hint="eastAsia" w:ascii="Times New Roman" w:hAnsi="Times New Roman"/>
          <w:kern w:val="2"/>
          <w:sz w:val="32"/>
          <w:szCs w:val="32"/>
        </w:rPr>
        <w:t>77.98</w:t>
      </w:r>
      <w:r>
        <w:rPr>
          <w:rFonts w:ascii="Times New Roman" w:hAnsi="Times New Roman"/>
          <w:kern w:val="2"/>
          <w:sz w:val="32"/>
          <w:szCs w:val="32"/>
        </w:rPr>
        <w:t>万元。</w:t>
      </w:r>
    </w:p>
    <w:p w14:paraId="399F010E">
      <w:pPr>
        <w:pStyle w:val="10"/>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（一）2023年因公出国（境）经费</w:t>
      </w:r>
      <w:r>
        <w:rPr>
          <w:rFonts w:hint="eastAsia" w:ascii="Times New Roman" w:hAnsi="Times New Roman"/>
          <w:kern w:val="2"/>
          <w:sz w:val="32"/>
          <w:szCs w:val="32"/>
        </w:rPr>
        <w:t>0</w:t>
      </w:r>
      <w:r>
        <w:rPr>
          <w:rFonts w:ascii="Times New Roman" w:hAnsi="Times New Roman"/>
          <w:kern w:val="2"/>
          <w:sz w:val="32"/>
          <w:szCs w:val="32"/>
        </w:rPr>
        <w:t>万元。</w:t>
      </w:r>
    </w:p>
    <w:p w14:paraId="389D2D57">
      <w:pPr>
        <w:pStyle w:val="10"/>
        <w:spacing w:before="0" w:line="360" w:lineRule="auto"/>
        <w:ind w:firstLine="640" w:firstLineChars="200"/>
        <w:rPr>
          <w:rFonts w:hint="eastAsia" w:ascii="Times New Roman" w:hAnsi="Times New Roman" w:eastAsia="仿宋_GB2312"/>
          <w:color w:val="000000"/>
          <w:kern w:val="2"/>
          <w:sz w:val="32"/>
          <w:szCs w:val="32"/>
          <w:lang w:eastAsia="zh-CN"/>
        </w:rPr>
      </w:pPr>
      <w:r>
        <w:rPr>
          <w:rFonts w:ascii="Times New Roman" w:hAnsi="Times New Roman"/>
          <w:kern w:val="2"/>
          <w:sz w:val="32"/>
          <w:szCs w:val="32"/>
        </w:rPr>
        <w:t>（二）</w:t>
      </w:r>
      <w:r>
        <w:rPr>
          <w:rFonts w:ascii="Times New Roman" w:hAnsi="Times New Roman"/>
          <w:color w:val="000000"/>
          <w:kern w:val="2"/>
          <w:sz w:val="32"/>
          <w:szCs w:val="32"/>
        </w:rPr>
        <w:t>2023年公务接待经费5.86万元。较2022年预算经费减少</w:t>
      </w:r>
      <w:r>
        <w:rPr>
          <w:rFonts w:hint="eastAsia" w:ascii="Times New Roman" w:hAnsi="Times New Roman"/>
          <w:color w:val="000000"/>
          <w:kern w:val="2"/>
          <w:sz w:val="32"/>
          <w:szCs w:val="32"/>
        </w:rPr>
        <w:t>2.06</w:t>
      </w:r>
      <w:r>
        <w:rPr>
          <w:rFonts w:ascii="Times New Roman" w:hAnsi="Times New Roman"/>
          <w:color w:val="000000"/>
          <w:kern w:val="2"/>
          <w:sz w:val="32"/>
          <w:szCs w:val="32"/>
        </w:rPr>
        <w:t>万元，</w:t>
      </w:r>
      <w:r>
        <w:rPr>
          <w:rFonts w:ascii="Times New Roman" w:hAnsi="Times New Roman"/>
          <w:sz w:val="32"/>
          <w:szCs w:val="32"/>
        </w:rPr>
        <w:t>减少</w:t>
      </w:r>
      <w:r>
        <w:rPr>
          <w:rFonts w:hint="eastAsia" w:ascii="Times New Roman" w:hAnsi="Times New Roman"/>
          <w:sz w:val="32"/>
          <w:szCs w:val="32"/>
        </w:rPr>
        <w:t>35.15</w:t>
      </w:r>
      <w:r>
        <w:rPr>
          <w:rFonts w:ascii="Times New Roman" w:hAnsi="Times New Roman"/>
          <w:color w:val="000000"/>
          <w:kern w:val="2"/>
          <w:sz w:val="32"/>
          <w:szCs w:val="32"/>
        </w:rPr>
        <w:t>%，主要原因是厉行节约。</w:t>
      </w:r>
    </w:p>
    <w:p w14:paraId="0289FF02">
      <w:pPr>
        <w:pStyle w:val="10"/>
        <w:spacing w:before="0" w:line="360" w:lineRule="auto"/>
        <w:ind w:firstLine="640" w:firstLineChars="200"/>
        <w:rPr>
          <w:rFonts w:ascii="Times New Roman" w:hAnsi="Times New Roman"/>
          <w:color w:val="000000"/>
          <w:kern w:val="2"/>
          <w:sz w:val="32"/>
          <w:szCs w:val="32"/>
        </w:rPr>
      </w:pPr>
      <w:r>
        <w:rPr>
          <w:rFonts w:ascii="Times New Roman" w:hAnsi="Times New Roman"/>
          <w:color w:val="000000"/>
          <w:kern w:val="2"/>
          <w:sz w:val="32"/>
          <w:szCs w:val="32"/>
        </w:rPr>
        <w:t>（三）2023年公务用车购置及运行维护费86.8万元其中公务用车购置费0万元，公车运行级维护费86.8万元。较2022年预算经费</w:t>
      </w:r>
      <w:r>
        <w:rPr>
          <w:rFonts w:ascii="Times New Roman" w:hAnsi="Times New Roman"/>
          <w:sz w:val="32"/>
          <w:szCs w:val="32"/>
        </w:rPr>
        <w:t>增加</w:t>
      </w:r>
      <w:r>
        <w:rPr>
          <w:rFonts w:hint="eastAsia" w:ascii="Times New Roman" w:hAnsi="Times New Roman"/>
          <w:sz w:val="32"/>
          <w:szCs w:val="32"/>
        </w:rPr>
        <w:t>8.82</w:t>
      </w:r>
      <w:r>
        <w:rPr>
          <w:rFonts w:ascii="Times New Roman" w:hAnsi="Times New Roman"/>
          <w:color w:val="000000"/>
          <w:kern w:val="2"/>
          <w:sz w:val="32"/>
          <w:szCs w:val="32"/>
        </w:rPr>
        <w:t>万元，增长</w:t>
      </w:r>
      <w:r>
        <w:rPr>
          <w:rFonts w:hint="eastAsia" w:ascii="Times New Roman" w:hAnsi="Times New Roman"/>
          <w:color w:val="000000"/>
          <w:kern w:val="2"/>
          <w:sz w:val="32"/>
          <w:szCs w:val="32"/>
        </w:rPr>
        <w:t>10.16</w:t>
      </w:r>
      <w:r>
        <w:rPr>
          <w:rFonts w:ascii="Times New Roman" w:hAnsi="Times New Roman"/>
          <w:color w:val="000000"/>
          <w:kern w:val="2"/>
          <w:sz w:val="32"/>
          <w:szCs w:val="32"/>
        </w:rPr>
        <w:t>%，主要原因是重点工作任务加重。</w:t>
      </w:r>
    </w:p>
    <w:p w14:paraId="73DFEA53">
      <w:pPr>
        <w:pStyle w:val="10"/>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八、政府性基金预算支出情况说明</w:t>
      </w:r>
    </w:p>
    <w:p w14:paraId="6260145B">
      <w:pPr>
        <w:pStyle w:val="10"/>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2023年政府性基金预算拨款安排的支出0万元。较2022年预算经费</w:t>
      </w:r>
      <w:r>
        <w:rPr>
          <w:rFonts w:ascii="Times New Roman" w:hAnsi="Times New Roman"/>
          <w:sz w:val="32"/>
          <w:szCs w:val="32"/>
        </w:rPr>
        <w:t>增加/</w:t>
      </w:r>
      <w:r>
        <w:rPr>
          <w:rFonts w:ascii="Times New Roman" w:hAnsi="Times New Roman"/>
          <w:color w:val="000000"/>
          <w:kern w:val="2"/>
          <w:sz w:val="32"/>
          <w:szCs w:val="32"/>
        </w:rPr>
        <w:t>减少</w:t>
      </w:r>
      <w:r>
        <w:rPr>
          <w:rFonts w:ascii="Times New Roman" w:hAnsi="Times New Roman"/>
          <w:kern w:val="2"/>
          <w:sz w:val="32"/>
          <w:szCs w:val="32"/>
        </w:rPr>
        <w:t>0万元，增长0%，本年无预算安排。</w:t>
      </w:r>
    </w:p>
    <w:p w14:paraId="2E10891B">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p>
    <w:p w14:paraId="313AE86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国有资本经营</w:t>
      </w:r>
      <w:r>
        <w:rPr>
          <w:rFonts w:hint="default" w:ascii="Times New Roman" w:hAnsi="Times New Roman" w:eastAsia="方正仿宋_GBK" w:cs="Times New Roman"/>
          <w:kern w:val="0"/>
          <w:sz w:val="32"/>
          <w:szCs w:val="32"/>
        </w:rPr>
        <w:t>预算拨款安排的支出0万元。较202</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年预算经费增加/减少0万元，增长0%。</w:t>
      </w:r>
    </w:p>
    <w:p w14:paraId="1FEFBF21">
      <w:pPr>
        <w:pStyle w:val="10"/>
        <w:spacing w:before="0"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、其他重要事项的情况说明</w:t>
      </w:r>
    </w:p>
    <w:p w14:paraId="3D14DD86">
      <w:pPr>
        <w:pStyle w:val="10"/>
        <w:spacing w:before="0" w:line="360" w:lineRule="auto"/>
        <w:ind w:firstLine="640" w:firstLineChars="200"/>
        <w:rPr>
          <w:rFonts w:hint="eastAsia" w:ascii="Times New Roman" w:hAnsi="Times New Roman" w:eastAsia="仿宋_GB2312"/>
          <w:kern w:val="2"/>
          <w:sz w:val="32"/>
          <w:szCs w:val="32"/>
          <w:lang w:eastAsia="zh-CN"/>
        </w:rPr>
      </w:pPr>
      <w:r>
        <w:rPr>
          <w:rFonts w:ascii="Times New Roman" w:hAnsi="Times New Roman"/>
          <w:kern w:val="2"/>
          <w:sz w:val="32"/>
          <w:szCs w:val="32"/>
        </w:rPr>
        <w:t>（一）机关运行经费</w:t>
      </w:r>
    </w:p>
    <w:p w14:paraId="2ED42B38">
      <w:pPr>
        <w:pStyle w:val="10"/>
        <w:spacing w:before="0" w:line="360" w:lineRule="auto"/>
        <w:ind w:firstLine="640" w:firstLineChars="200"/>
        <w:rPr>
          <w:rFonts w:ascii="Times New Roman" w:hAnsi="Times New Roman"/>
          <w:color w:val="000000"/>
          <w:kern w:val="2"/>
          <w:sz w:val="32"/>
          <w:szCs w:val="32"/>
        </w:rPr>
      </w:pPr>
      <w:r>
        <w:rPr>
          <w:rFonts w:ascii="Times New Roman" w:hAnsi="Times New Roman"/>
          <w:kern w:val="2"/>
          <w:sz w:val="32"/>
          <w:szCs w:val="32"/>
        </w:rPr>
        <w:t>2023年机关运行经费财政拨款预算为</w:t>
      </w:r>
      <w:r>
        <w:rPr>
          <w:rFonts w:hint="eastAsia" w:ascii="Times New Roman" w:hAnsi="Times New Roman"/>
          <w:kern w:val="2"/>
          <w:sz w:val="32"/>
          <w:szCs w:val="32"/>
        </w:rPr>
        <w:t>694.9</w:t>
      </w:r>
      <w:r>
        <w:rPr>
          <w:rFonts w:ascii="Times New Roman" w:hAnsi="Times New Roman"/>
          <w:kern w:val="2"/>
          <w:sz w:val="32"/>
          <w:szCs w:val="32"/>
        </w:rPr>
        <w:t>万元，比2022 年预算</w:t>
      </w:r>
      <w:r>
        <w:rPr>
          <w:rFonts w:hint="eastAsia" w:ascii="Times New Roman" w:hAnsi="Times New Roman"/>
          <w:kern w:val="2"/>
          <w:sz w:val="32"/>
          <w:szCs w:val="32"/>
        </w:rPr>
        <w:t>增加</w:t>
      </w:r>
      <w:r>
        <w:rPr>
          <w:rFonts w:hint="eastAsia" w:ascii="Times New Roman" w:hAnsi="Times New Roman"/>
          <w:color w:val="000000"/>
          <w:kern w:val="2"/>
          <w:sz w:val="32"/>
          <w:szCs w:val="32"/>
        </w:rPr>
        <w:t>135.92</w:t>
      </w:r>
      <w:r>
        <w:rPr>
          <w:rFonts w:ascii="Times New Roman" w:hAnsi="Times New Roman"/>
          <w:color w:val="000000"/>
          <w:kern w:val="2"/>
          <w:sz w:val="32"/>
          <w:szCs w:val="32"/>
        </w:rPr>
        <w:t>万元，</w:t>
      </w:r>
      <w:r>
        <w:rPr>
          <w:rFonts w:hint="eastAsia" w:ascii="Times New Roman" w:hAnsi="Times New Roman"/>
          <w:color w:val="000000"/>
          <w:kern w:val="2"/>
          <w:sz w:val="32"/>
          <w:szCs w:val="32"/>
        </w:rPr>
        <w:t>增加24.32</w:t>
      </w:r>
      <w:r>
        <w:rPr>
          <w:rFonts w:ascii="Times New Roman" w:hAnsi="Times New Roman"/>
          <w:color w:val="000000"/>
          <w:kern w:val="2"/>
          <w:sz w:val="32"/>
          <w:szCs w:val="32"/>
        </w:rPr>
        <w:t>%。主要原因是工资福利支出增加</w:t>
      </w:r>
      <w:r>
        <w:rPr>
          <w:rFonts w:hint="eastAsia" w:ascii="Times New Roman" w:hAnsi="Times New Roman"/>
          <w:color w:val="000000"/>
          <w:kern w:val="2"/>
          <w:sz w:val="32"/>
          <w:szCs w:val="32"/>
        </w:rPr>
        <w:t>, 调入公务员3名</w:t>
      </w:r>
      <w:r>
        <w:rPr>
          <w:rFonts w:ascii="Times New Roman" w:hAnsi="Times New Roman"/>
          <w:color w:val="000000"/>
          <w:kern w:val="2"/>
          <w:sz w:val="32"/>
          <w:szCs w:val="32"/>
        </w:rPr>
        <w:t>。</w:t>
      </w:r>
    </w:p>
    <w:p w14:paraId="50034430">
      <w:pPr>
        <w:pStyle w:val="10"/>
        <w:spacing w:before="0" w:line="360" w:lineRule="auto"/>
        <w:ind w:firstLine="640" w:firstLineChars="200"/>
        <w:rPr>
          <w:rFonts w:hint="eastAsia" w:ascii="Times New Roman" w:hAnsi="Times New Roman" w:eastAsia="仿宋_GB2312"/>
          <w:kern w:val="2"/>
          <w:sz w:val="32"/>
          <w:szCs w:val="32"/>
          <w:lang w:eastAsia="zh-CN"/>
        </w:rPr>
      </w:pPr>
      <w:r>
        <w:rPr>
          <w:rFonts w:ascii="Times New Roman" w:hAnsi="Times New Roman"/>
          <w:kern w:val="2"/>
          <w:sz w:val="32"/>
          <w:szCs w:val="32"/>
        </w:rPr>
        <w:t>（二）政府采购情况</w:t>
      </w:r>
    </w:p>
    <w:p w14:paraId="3CA72457">
      <w:pPr>
        <w:pStyle w:val="10"/>
        <w:spacing w:before="0" w:line="360" w:lineRule="auto"/>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2023年安排政府采购预算18万元，其中拟授予中小企业的合同金额占100%。主要用于购置4台国产内网便携式计算机和配套打印机3万元；2台国产外网便携式计算机1.5万元；部机关监控设备更换3万元；电子小白板0.5万元;节能洁厕起和节能灯用品5万元(机关事务管理局考核要求）；碎纸机5台1万元；办公楼1楼两间办公室维修4万元。</w:t>
      </w:r>
    </w:p>
    <w:p w14:paraId="54E1E5F1">
      <w:pPr>
        <w:pStyle w:val="10"/>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（三）国有资产占有使用情况</w:t>
      </w:r>
    </w:p>
    <w:p w14:paraId="53508EA7">
      <w:pPr>
        <w:pStyle w:val="10"/>
        <w:spacing w:before="0" w:line="360" w:lineRule="auto"/>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截至2022年12月31日，我单位固定资产569.2万元。</w:t>
      </w:r>
    </w:p>
    <w:p w14:paraId="6DA521BA">
      <w:pPr>
        <w:pStyle w:val="10"/>
        <w:numPr>
          <w:ilvl w:val="0"/>
          <w:numId w:val="2"/>
        </w:numPr>
        <w:spacing w:before="0" w:line="360" w:lineRule="auto"/>
        <w:ind w:left="0" w:firstLine="640" w:firstLineChars="200"/>
        <w:rPr>
          <w:rFonts w:ascii="Times New Roman" w:hAnsi="Times New Roman" w:eastAsia="黑体"/>
          <w:sz w:val="32"/>
          <w:szCs w:val="32"/>
        </w:rPr>
      </w:pPr>
      <w:r>
        <w:rPr>
          <w:rFonts w:ascii="Times New Roman" w:hAnsi="Times New Roman"/>
          <w:kern w:val="2"/>
          <w:sz w:val="32"/>
          <w:szCs w:val="32"/>
        </w:rPr>
        <w:t>绩效目标设置情况</w:t>
      </w:r>
    </w:p>
    <w:p w14:paraId="0D1440E9">
      <w:pPr>
        <w:pStyle w:val="10"/>
        <w:spacing w:before="0" w:line="360" w:lineRule="auto"/>
        <w:ind w:firstLine="640" w:firstLineChars="200"/>
        <w:rPr>
          <w:rFonts w:ascii="Times New Roman" w:hAnsi="Times New Roman" w:eastAsia="黑体"/>
          <w:sz w:val="32"/>
          <w:szCs w:val="32"/>
        </w:rPr>
      </w:pPr>
      <w:r>
        <w:rPr>
          <w:rFonts w:hint="eastAsia" w:ascii="Times New Roman" w:hAnsi="Times New Roman" w:eastAsia="方正仿宋_GBK" w:cs="Times New Roman"/>
          <w:kern w:val="0"/>
          <w:sz w:val="32"/>
          <w:szCs w:val="32"/>
          <w:lang w:val="en-US" w:eastAsia="zh-CN" w:bidi="ar-SA"/>
        </w:rPr>
        <w:t>2023年通用项目和专用项目均按要求实行绩效目标管理，涉及一般公共预算当年拨款216.58万元。</w:t>
      </w:r>
    </w:p>
    <w:p w14:paraId="2B3AEE11">
      <w:pPr>
        <w:pStyle w:val="10"/>
        <w:spacing w:before="0" w:line="360" w:lineRule="auto"/>
        <w:ind w:firstLine="640" w:firstLineChars="200"/>
        <w:rPr>
          <w:rFonts w:ascii="Times New Roman" w:hAnsi="Times New Roman" w:eastAsia="黑体"/>
          <w:sz w:val="32"/>
          <w:szCs w:val="32"/>
        </w:rPr>
      </w:pPr>
    </w:p>
    <w:p w14:paraId="1D5D5E6F">
      <w:pPr>
        <w:pStyle w:val="10"/>
        <w:spacing w:before="0" w:line="360" w:lineRule="auto"/>
        <w:rPr>
          <w:rFonts w:ascii="Times New Roman" w:hAnsi="Times New Roman" w:eastAsia="黑体"/>
          <w:sz w:val="32"/>
          <w:szCs w:val="32"/>
        </w:rPr>
        <w:sectPr>
          <w:footerReference r:id="rId4" w:type="default"/>
          <w:pgSz w:w="11906" w:h="16838"/>
          <w:pgMar w:top="1440" w:right="1803" w:bottom="1440" w:left="1803" w:header="851" w:footer="992" w:gutter="0"/>
          <w:paperSrc/>
          <w:pgNumType w:fmt="numberInDash" w:start="1"/>
          <w:cols w:space="0" w:num="1"/>
          <w:rtlGutter w:val="0"/>
          <w:docGrid w:type="lines" w:linePitch="319" w:charSpace="0"/>
        </w:sectPr>
      </w:pPr>
    </w:p>
    <w:p w14:paraId="3F80269C">
      <w:pPr>
        <w:pStyle w:val="10"/>
        <w:spacing w:before="0" w:line="360" w:lineRule="auto"/>
        <w:ind w:firstLine="640" w:firstLineChars="200"/>
        <w:rPr>
          <w:rFonts w:ascii="Times New Roman" w:hAnsi="Times New Roman" w:eastAsia="黑体"/>
          <w:sz w:val="32"/>
          <w:szCs w:val="32"/>
        </w:rPr>
      </w:pPr>
    </w:p>
    <w:tbl>
      <w:tblPr>
        <w:tblStyle w:val="7"/>
        <w:tblW w:w="14192" w:type="dxa"/>
        <w:tblInd w:w="-18" w:type="dxa"/>
        <w:tblLayout w:type="autofit"/>
        <w:tblCellMar>
          <w:top w:w="0" w:type="dxa"/>
          <w:left w:w="108" w:type="dxa"/>
          <w:bottom w:w="0" w:type="dxa"/>
          <w:right w:w="108" w:type="dxa"/>
        </w:tblCellMar>
      </w:tblPr>
      <w:tblGrid>
        <w:gridCol w:w="18"/>
        <w:gridCol w:w="222"/>
        <w:gridCol w:w="885"/>
        <w:gridCol w:w="237"/>
        <w:gridCol w:w="605"/>
        <w:gridCol w:w="148"/>
        <w:gridCol w:w="386"/>
        <w:gridCol w:w="518"/>
        <w:gridCol w:w="380"/>
        <w:gridCol w:w="232"/>
        <w:gridCol w:w="270"/>
        <w:gridCol w:w="1175"/>
        <w:gridCol w:w="752"/>
        <w:gridCol w:w="329"/>
        <w:gridCol w:w="233"/>
        <w:gridCol w:w="423"/>
        <w:gridCol w:w="528"/>
        <w:gridCol w:w="184"/>
        <w:gridCol w:w="104"/>
        <w:gridCol w:w="723"/>
        <w:gridCol w:w="847"/>
        <w:gridCol w:w="178"/>
        <w:gridCol w:w="681"/>
        <w:gridCol w:w="204"/>
        <w:gridCol w:w="628"/>
        <w:gridCol w:w="36"/>
        <w:gridCol w:w="254"/>
        <w:gridCol w:w="287"/>
        <w:gridCol w:w="152"/>
        <w:gridCol w:w="15"/>
        <w:gridCol w:w="378"/>
        <w:gridCol w:w="154"/>
        <w:gridCol w:w="108"/>
        <w:gridCol w:w="163"/>
        <w:gridCol w:w="205"/>
        <w:gridCol w:w="945"/>
        <w:gridCol w:w="89"/>
        <w:gridCol w:w="32"/>
        <w:gridCol w:w="181"/>
        <w:gridCol w:w="45"/>
        <w:gridCol w:w="16"/>
        <w:gridCol w:w="242"/>
      </w:tblGrid>
      <w:tr w14:paraId="3CB4DBF5">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0AD2F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F155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712C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7C3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78E5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E0ED2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3D3C1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E9C17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F53A4F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70F83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D9D9A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14B95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2281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1872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DC77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D885D6F">
        <w:tblPrEx>
          <w:tblCellMar>
            <w:top w:w="0" w:type="dxa"/>
            <w:left w:w="108" w:type="dxa"/>
            <w:bottom w:w="0" w:type="dxa"/>
            <w:right w:w="108" w:type="dxa"/>
          </w:tblCellMar>
        </w:tblPrEx>
        <w:trPr>
          <w:gridBefore w:val="1"/>
          <w:wBefore w:w="18" w:type="dxa"/>
          <w:trHeight w:val="34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4D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347" w:type="dxa"/>
            <w:gridSpan w:val="34"/>
            <w:tcBorders>
              <w:top w:val="single" w:color="000000" w:sz="4" w:space="0"/>
              <w:left w:val="single" w:color="000000" w:sz="4" w:space="0"/>
              <w:bottom w:val="single" w:color="000000" w:sz="4" w:space="0"/>
              <w:right w:val="single" w:color="000000" w:sz="4" w:space="0"/>
            </w:tcBorders>
            <w:shd w:val="clear" w:color="auto" w:fill="FFFFFF"/>
            <w:vAlign w:val="center"/>
          </w:tcPr>
          <w:p w14:paraId="16CA1C9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68177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628CE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A9E29E6">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E14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EE440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15FB5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6FE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6C16F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5E49A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43D89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6D208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46AB17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C0016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A627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09521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277B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9ED16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09301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D60FBF3">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AB3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CD35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193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7A1643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43E03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337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9A6CD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51320021T000000133878-车辆大修费</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DCE92E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2661"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176DE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10-统筹协调/01-小车大修</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04F9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A2AB4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084AA37">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44F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D702F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B2881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E3A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2799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67EAC5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CEC77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0475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340B44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C7C89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DAC2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163BE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5DCC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987B6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F177A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0B8DA01">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017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B00D9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193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F16EB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089E4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18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ABC473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4DED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75E787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151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4BDD521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56387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02115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89AA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D03E53C">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5881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450E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57235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1B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8B44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E9B567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6776B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A088E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75ED08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7204D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223C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E7164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9AEDF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55105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6BD6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6499025">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7D0F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D80FF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193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4EB6E1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1A318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18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600BCA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832F8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26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037F4A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9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FE043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EECC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98ED8D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15EE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732F80F">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73A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5BA9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B611F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C1CC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8DB2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D19B7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46D43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FF603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94A56D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C752F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2CE0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FE15A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39E7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30F5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20AF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853EEAB">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F0A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3005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7232" w:type="dxa"/>
            <w:gridSpan w:val="16"/>
            <w:vMerge w:val="restart"/>
            <w:tcBorders>
              <w:top w:val="single" w:color="000000" w:sz="4" w:space="0"/>
              <w:left w:val="single" w:color="000000" w:sz="4" w:space="0"/>
              <w:bottom w:val="single" w:color="000000" w:sz="4" w:space="0"/>
              <w:right w:val="single" w:color="000000" w:sz="4" w:space="0"/>
            </w:tcBorders>
            <w:shd w:val="clear" w:color="auto" w:fill="FFFFFF"/>
          </w:tcPr>
          <w:p w14:paraId="590CA4D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保障行车安全</w:t>
            </w:r>
          </w:p>
        </w:tc>
        <w:tc>
          <w:tcPr>
            <w:tcW w:w="226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B0454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9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C7F021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2239E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E523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6CCF6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10E2E54">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1B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8E530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32" w:type="dxa"/>
            <w:gridSpan w:val="1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ABDD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CD258B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18580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DFA4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DE8EE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5E4E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EFE15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CA73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318D05D">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6EF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1CDB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32" w:type="dxa"/>
            <w:gridSpan w:val="1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0CB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226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BDDFEE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9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4C0AB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777C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70C4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5CD3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FF71BF0">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E7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77AC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32" w:type="dxa"/>
            <w:gridSpan w:val="1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60C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B6D151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1DB29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5A4667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97CBA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915A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D6FC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ADD4E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5079781">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C2E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5864D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32" w:type="dxa"/>
            <w:gridSpan w:val="1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E20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226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5075B0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9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264C52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2CD2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7FE5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81AF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7A425CD">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81E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14A0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32" w:type="dxa"/>
            <w:gridSpan w:val="1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992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4E4999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53279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73356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1AF1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1223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41FD9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0323B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18E54F2">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83A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A63B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32" w:type="dxa"/>
            <w:gridSpan w:val="1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43D8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226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939B6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9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ECB456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41153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D79C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E13D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E5FDE79">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1497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2DA0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A19A9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930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AC788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AAF4C4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8189A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36EE0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8824A3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AFC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9B9C42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43C3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ACC1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F474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3485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D9D6C5A">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EBEFF3" w:fill="FFFFFF"/>
            <w:vAlign w:val="center"/>
          </w:tcPr>
          <w:p w14:paraId="78355CC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1727"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0E589BB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1664" w:type="dxa"/>
            <w:gridSpan w:val="5"/>
            <w:tcBorders>
              <w:top w:val="single" w:color="000000" w:sz="4" w:space="0"/>
              <w:left w:val="single" w:color="000000" w:sz="4" w:space="0"/>
              <w:bottom w:val="single" w:color="000000" w:sz="4" w:space="0"/>
              <w:right w:val="single" w:color="000000" w:sz="4" w:space="0"/>
            </w:tcBorders>
            <w:shd w:val="clear" w:color="EBEFF3" w:fill="FFFFFF"/>
            <w:vAlign w:val="center"/>
          </w:tcPr>
          <w:p w14:paraId="40C0432A">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2197"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31EA083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985"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4B59F0EA">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816"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351E028D">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1570" w:type="dxa"/>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2F0F010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1727" w:type="dxa"/>
            <w:gridSpan w:val="5"/>
            <w:tcBorders>
              <w:top w:val="single" w:color="000000" w:sz="4" w:space="0"/>
              <w:left w:val="single" w:color="000000" w:sz="4" w:space="0"/>
              <w:bottom w:val="single" w:color="000000" w:sz="4" w:space="0"/>
              <w:right w:val="single" w:color="000000" w:sz="4" w:space="0"/>
            </w:tcBorders>
            <w:shd w:val="clear" w:color="EBEFF3" w:fill="FFFFFF"/>
            <w:vAlign w:val="center"/>
          </w:tcPr>
          <w:p w14:paraId="0E9FF5C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1086" w:type="dxa"/>
            <w:gridSpan w:val="5"/>
            <w:tcBorders>
              <w:top w:val="single" w:color="000000" w:sz="4" w:space="0"/>
              <w:left w:val="single" w:color="000000" w:sz="4" w:space="0"/>
              <w:bottom w:val="single" w:color="000000" w:sz="4" w:space="0"/>
              <w:right w:val="single" w:color="000000" w:sz="4" w:space="0"/>
            </w:tcBorders>
            <w:shd w:val="clear" w:color="EBEFF3" w:fill="FFFFFF"/>
            <w:vAlign w:val="center"/>
          </w:tcPr>
          <w:p w14:paraId="5E8480BC">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1575" w:type="dxa"/>
            <w:gridSpan w:val="5"/>
            <w:tcBorders>
              <w:top w:val="single" w:color="000000" w:sz="4" w:space="0"/>
              <w:left w:val="single" w:color="000000" w:sz="4" w:space="0"/>
              <w:bottom w:val="single" w:color="000000" w:sz="4" w:space="0"/>
              <w:right w:val="single" w:color="000000" w:sz="4" w:space="0"/>
            </w:tcBorders>
            <w:shd w:val="clear" w:color="EBEFF3" w:fill="FFFFFF"/>
            <w:vAlign w:val="center"/>
          </w:tcPr>
          <w:p w14:paraId="16F0821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605" w:type="dxa"/>
            <w:gridSpan w:val="6"/>
            <w:tcBorders>
              <w:top w:val="single" w:color="000000" w:sz="4" w:space="0"/>
              <w:left w:val="single" w:color="000000" w:sz="4" w:space="0"/>
              <w:bottom w:val="single" w:color="000000" w:sz="4" w:space="0"/>
              <w:right w:val="single" w:color="000000" w:sz="4" w:space="0"/>
            </w:tcBorders>
            <w:shd w:val="clear" w:color="EBEFF3" w:fill="FFFFFF"/>
            <w:vAlign w:val="center"/>
          </w:tcPr>
          <w:p w14:paraId="06B3E37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6D04618B">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5625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6E3C13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85C54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2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59FFE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一台公车维修</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6F96F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A079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90F51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16ED69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辆</w:t>
            </w:r>
          </w:p>
        </w:tc>
        <w:tc>
          <w:tcPr>
            <w:tcW w:w="10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126F3E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E24EC0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60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46171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A046E01">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6177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8637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4AC06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2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A294D9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提升安全性</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3C6BD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2448F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6B0D8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6E8DCC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辆</w:t>
            </w:r>
          </w:p>
        </w:tc>
        <w:tc>
          <w:tcPr>
            <w:tcW w:w="10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EDDF9D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9B7DF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60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4DF1F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17C96AD">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C2A1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E6275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E340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2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E6433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2023年12月上旬完成</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AA7FC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A315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0C683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FA52CB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辆</w:t>
            </w:r>
          </w:p>
        </w:tc>
        <w:tc>
          <w:tcPr>
            <w:tcW w:w="10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979903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95BEA1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60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94582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993C03E">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98A8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66AC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8B959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2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0DD49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验收合格</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2B7AAD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CEBE7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CE46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8D094C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人数</w:t>
            </w:r>
          </w:p>
        </w:tc>
        <w:tc>
          <w:tcPr>
            <w:tcW w:w="10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ACEAA5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4732A3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60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169EF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DBC9AA4">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2CA9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436C3D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成本指标</w:t>
            </w:r>
          </w:p>
        </w:tc>
        <w:tc>
          <w:tcPr>
            <w:tcW w:w="166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E8FDE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经济成本指标</w:t>
            </w:r>
          </w:p>
        </w:tc>
        <w:tc>
          <w:tcPr>
            <w:tcW w:w="2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B86B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高效节约使用经费</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444D0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CA744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3357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80000</w:t>
            </w:r>
          </w:p>
        </w:tc>
        <w:tc>
          <w:tcPr>
            <w:tcW w:w="172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328012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元</w:t>
            </w:r>
          </w:p>
        </w:tc>
        <w:tc>
          <w:tcPr>
            <w:tcW w:w="10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442829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DC1D7B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60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3F6C4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DD87755">
        <w:tblPrEx>
          <w:tblCellMar>
            <w:top w:w="0" w:type="dxa"/>
            <w:left w:w="108" w:type="dxa"/>
            <w:bottom w:w="0" w:type="dxa"/>
            <w:right w:w="108" w:type="dxa"/>
          </w:tblCellMar>
        </w:tblPrEx>
        <w:trPr>
          <w:trHeight w:val="88" w:hRule="atLeast"/>
        </w:trPr>
        <w:tc>
          <w:tcPr>
            <w:tcW w:w="240" w:type="dxa"/>
            <w:gridSpan w:val="2"/>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C998E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C1846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ADF26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8FD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C7D65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CECF3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93AD7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06294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950794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A8F95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37D7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50BF98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3288E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99669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9FD1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5A49B9D">
        <w:tblPrEx>
          <w:tblCellMar>
            <w:top w:w="0" w:type="dxa"/>
            <w:left w:w="108" w:type="dxa"/>
            <w:bottom w:w="0" w:type="dxa"/>
            <w:right w:w="108" w:type="dxa"/>
          </w:tblCellMar>
        </w:tblPrEx>
        <w:trPr>
          <w:trHeight w:val="34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CC10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436" w:type="dxa"/>
            <w:gridSpan w:val="35"/>
            <w:tcBorders>
              <w:top w:val="single" w:color="000000" w:sz="4" w:space="0"/>
              <w:left w:val="single" w:color="000000" w:sz="4" w:space="0"/>
              <w:bottom w:val="single" w:color="000000" w:sz="4" w:space="0"/>
              <w:right w:val="single" w:color="000000" w:sz="4" w:space="0"/>
            </w:tcBorders>
            <w:shd w:val="clear" w:color="auto" w:fill="FFFFFF"/>
            <w:vAlign w:val="center"/>
          </w:tcPr>
          <w:p w14:paraId="0CC5DB0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511E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13A2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632DDA8">
        <w:tblPrEx>
          <w:tblCellMar>
            <w:top w:w="0" w:type="dxa"/>
            <w:left w:w="108" w:type="dxa"/>
            <w:bottom w:w="0" w:type="dxa"/>
            <w:right w:w="108" w:type="dxa"/>
          </w:tblCellMar>
        </w:tblPrEx>
        <w:trPr>
          <w:trHeight w:val="8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5C4CD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C52C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146F8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53D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8934D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96A3D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3FA81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067F18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12C709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9EB41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BF2A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6DC98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BF80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8FC3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1E9F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F3E8527">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27F7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C9D07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203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5CCFE0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2936F9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390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03FA9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51320021T000000137264-伊协日常工作经费</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EBB204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249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B7100D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14-民族宗教工作/07-伊斯兰协会日常工作</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2E1C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EFF1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7A16BFC">
        <w:tblPrEx>
          <w:tblCellMar>
            <w:top w:w="0" w:type="dxa"/>
            <w:left w:w="108" w:type="dxa"/>
            <w:bottom w:w="0" w:type="dxa"/>
            <w:right w:w="108" w:type="dxa"/>
          </w:tblCellMar>
        </w:tblPrEx>
        <w:trPr>
          <w:trHeight w:val="8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E8E21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F8D8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286003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97A7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E2F21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B266C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21294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42FD3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D7BD7C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AE840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02F7F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1891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93396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A500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D9C7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F748E44">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F1E00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ECCB9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203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6541C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63C7F2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219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B358C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D43A7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E9B0DF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146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B5DBA6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11.38</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99C4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535D7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3486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25EE6A9">
        <w:tblPrEx>
          <w:tblCellMar>
            <w:top w:w="0" w:type="dxa"/>
            <w:left w:w="108" w:type="dxa"/>
            <w:bottom w:w="0" w:type="dxa"/>
            <w:right w:w="108" w:type="dxa"/>
          </w:tblCellMar>
        </w:tblPrEx>
        <w:trPr>
          <w:trHeight w:val="8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EC59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5EF6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BA93A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A87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BD28C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3112D8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89148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003DE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D55B62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4DFEE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2E51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A70BD5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FBCA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4A69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5C4ED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C446300">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8DA6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1CAF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203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37BAF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D78B3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219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9C3E7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B5C00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7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0B7802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89AA6F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11.38</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5D3D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72B169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E085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4EDC58E">
        <w:tblPrEx>
          <w:tblCellMar>
            <w:top w:w="0" w:type="dxa"/>
            <w:left w:w="108" w:type="dxa"/>
            <w:bottom w:w="0" w:type="dxa"/>
            <w:right w:w="108" w:type="dxa"/>
          </w:tblCellMar>
        </w:tblPrEx>
        <w:trPr>
          <w:trHeight w:val="8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BA4F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DA93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7CFF0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03E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921A9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3DBF9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EF332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1C187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67336F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78B60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383CB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2061D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D99D6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508D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9A40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DDF6AB5">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57CD6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12094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8696" w:type="dxa"/>
            <w:gridSpan w:val="19"/>
            <w:vMerge w:val="restart"/>
            <w:tcBorders>
              <w:top w:val="single" w:color="000000" w:sz="4" w:space="0"/>
              <w:left w:val="single" w:color="000000" w:sz="4" w:space="0"/>
              <w:bottom w:val="single" w:color="000000" w:sz="4" w:space="0"/>
              <w:right w:val="single" w:color="000000" w:sz="4" w:space="0"/>
            </w:tcBorders>
            <w:shd w:val="clear" w:color="auto" w:fill="FFFFFF"/>
          </w:tcPr>
          <w:p w14:paraId="650327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为发挥好协会桥梁和纽带作用，扎实将伊协日常工作有序推进，同时积极完成州委、州政府和业务主管部门及省伊协所交办的工作任务。</w:t>
            </w:r>
          </w:p>
        </w:tc>
        <w:tc>
          <w:tcPr>
            <w:tcW w:w="157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443FDF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3E6359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DFC9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50F0A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14F9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CF9941E">
        <w:tblPrEx>
          <w:tblCellMar>
            <w:top w:w="0" w:type="dxa"/>
            <w:left w:w="108" w:type="dxa"/>
            <w:bottom w:w="0" w:type="dxa"/>
            <w:right w:w="108" w:type="dxa"/>
          </w:tblCellMar>
        </w:tblPrEx>
        <w:trPr>
          <w:trHeight w:val="8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D9C0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EF4D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696"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8785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9693A2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1C1CF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FE6C7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A5F82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0B45D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D7C86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07F2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4A5FF2C">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C5778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1C84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696"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0B0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57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25A69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CE2595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6B7B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9B956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9B3F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47842BB">
        <w:tblPrEx>
          <w:tblCellMar>
            <w:top w:w="0" w:type="dxa"/>
            <w:left w:w="108" w:type="dxa"/>
            <w:bottom w:w="0" w:type="dxa"/>
            <w:right w:w="108" w:type="dxa"/>
          </w:tblCellMar>
        </w:tblPrEx>
        <w:trPr>
          <w:trHeight w:val="8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000E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7E4D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696"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58F4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740042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09518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5E41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C19EB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CD3D7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CE6029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B07B2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BFD3D85">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8A174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45F3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696"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11A0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57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2C7ABC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FE38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3DB2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CA3E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E0E90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AFE1F02">
        <w:tblPrEx>
          <w:tblCellMar>
            <w:top w:w="0" w:type="dxa"/>
            <w:left w:w="108" w:type="dxa"/>
            <w:bottom w:w="0" w:type="dxa"/>
            <w:right w:w="108" w:type="dxa"/>
          </w:tblCellMar>
        </w:tblPrEx>
        <w:trPr>
          <w:trHeight w:val="8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EB19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04EC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696"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8C0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926812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7804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DD05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2D24A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4350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74A73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5136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48AC18C">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A9CF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4A84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696"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E120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57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271C28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E8F006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56E70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515B0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10D8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D45E700">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09AE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9C70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5D6B1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9CCF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CE85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A1BCD0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B5E97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19E7A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CB10C2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7FE45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0497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C37C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EDA1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90243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CE27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5287AF8">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5859E1A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1122" w:type="dxa"/>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55902AE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1657" w:type="dxa"/>
            <w:gridSpan w:val="4"/>
            <w:tcBorders>
              <w:top w:val="single" w:color="000000" w:sz="4" w:space="0"/>
              <w:left w:val="single" w:color="000000" w:sz="4" w:space="0"/>
              <w:bottom w:val="single" w:color="000000" w:sz="4" w:space="0"/>
              <w:right w:val="single" w:color="000000" w:sz="4" w:space="0"/>
            </w:tcBorders>
            <w:shd w:val="clear" w:color="EBEFF3" w:fill="FFFFFF"/>
            <w:vAlign w:val="center"/>
          </w:tcPr>
          <w:p w14:paraId="1A1E270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3138" w:type="dxa"/>
            <w:gridSpan w:val="6"/>
            <w:tcBorders>
              <w:top w:val="single" w:color="000000" w:sz="4" w:space="0"/>
              <w:left w:val="single" w:color="000000" w:sz="4" w:space="0"/>
              <w:bottom w:val="single" w:color="000000" w:sz="4" w:space="0"/>
              <w:right w:val="single" w:color="000000" w:sz="4" w:space="0"/>
            </w:tcBorders>
            <w:shd w:val="clear" w:color="EBEFF3" w:fill="FFFFFF"/>
            <w:vAlign w:val="center"/>
          </w:tcPr>
          <w:p w14:paraId="3529274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1184"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73A75FB9">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1011"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6D27E60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1706"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7131978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1122" w:type="dxa"/>
            <w:gridSpan w:val="4"/>
            <w:tcBorders>
              <w:top w:val="single" w:color="000000" w:sz="4" w:space="0"/>
              <w:left w:val="single" w:color="000000" w:sz="4" w:space="0"/>
              <w:bottom w:val="single" w:color="000000" w:sz="4" w:space="0"/>
              <w:right w:val="single" w:color="000000" w:sz="4" w:space="0"/>
            </w:tcBorders>
            <w:shd w:val="clear" w:color="EBEFF3" w:fill="FFFFFF"/>
            <w:vAlign w:val="center"/>
          </w:tcPr>
          <w:p w14:paraId="6D1954B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986" w:type="dxa"/>
            <w:gridSpan w:val="5"/>
            <w:tcBorders>
              <w:top w:val="single" w:color="000000" w:sz="4" w:space="0"/>
              <w:left w:val="single" w:color="000000" w:sz="4" w:space="0"/>
              <w:bottom w:val="single" w:color="000000" w:sz="4" w:space="0"/>
              <w:right w:val="single" w:color="000000" w:sz="4" w:space="0"/>
            </w:tcBorders>
            <w:shd w:val="clear" w:color="EBEFF3" w:fill="FFFFFF"/>
            <w:vAlign w:val="center"/>
          </w:tcPr>
          <w:p w14:paraId="62656B9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1510" w:type="dxa"/>
            <w:gridSpan w:val="5"/>
            <w:tcBorders>
              <w:top w:val="single" w:color="000000" w:sz="4" w:space="0"/>
              <w:left w:val="single" w:color="000000" w:sz="4" w:space="0"/>
              <w:bottom w:val="single" w:color="000000" w:sz="4" w:space="0"/>
              <w:right w:val="single" w:color="000000" w:sz="4" w:space="0"/>
            </w:tcBorders>
            <w:shd w:val="clear" w:color="EBEFF3" w:fill="FFFFFF"/>
            <w:vAlign w:val="center"/>
          </w:tcPr>
          <w:p w14:paraId="41C4BDB9">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516" w:type="dxa"/>
            <w:gridSpan w:val="5"/>
            <w:tcBorders>
              <w:top w:val="single" w:color="000000" w:sz="4" w:space="0"/>
              <w:left w:val="single" w:color="000000" w:sz="4" w:space="0"/>
              <w:bottom w:val="single" w:color="000000" w:sz="4" w:space="0"/>
              <w:right w:val="single" w:color="000000" w:sz="4" w:space="0"/>
            </w:tcBorders>
            <w:shd w:val="clear" w:color="EBEFF3" w:fill="FFFFFF"/>
            <w:vAlign w:val="center"/>
          </w:tcPr>
          <w:p w14:paraId="0C9E535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2967E423">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BC73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69F5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8586F8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31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D70596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2023年12月中旬完成</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BE6E2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55BBA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92EEFD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CA1066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9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E108F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CD9F44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AF33BD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F5E09F0">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7F67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10DD5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D56C9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31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ADC00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会计核算资料的完整性</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D239E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B613C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D2FD28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302A9D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9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B9ABF5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E7CCBD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5413A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90A1D6E">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2270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B59B7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064B7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31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F3C974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支出的合规性</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2825C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521A6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73FBC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F2DE4B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9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BF69AF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1C1D6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63308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02411693">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0BB2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D257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EE8332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31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0381A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发挥好协会桥梁和纽带作用，扎实将伊协日常工作有序推进</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E1A557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AE64A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69FB1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96A53F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9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3E0AC2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FF35B5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2F4D0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E56AA7A">
        <w:tblPrEx>
          <w:tblCellMar>
            <w:top w:w="0" w:type="dxa"/>
            <w:left w:w="108" w:type="dxa"/>
            <w:bottom w:w="0" w:type="dxa"/>
            <w:right w:w="108" w:type="dxa"/>
          </w:tblCellMar>
        </w:tblPrEx>
        <w:trPr>
          <w:trHeight w:val="308" w:hRule="atLeast"/>
        </w:trPr>
        <w:tc>
          <w:tcPr>
            <w:tcW w:w="2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EC47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D5B8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16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6EB4C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31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D8C64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积极完成州委、州政府和业务主管部门及省伊协所交办的工作任务</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1FF939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5F507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7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D2104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6C88C2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98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041A84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CD8A21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5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DF07C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D6DEBE0">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594B49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03B8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BED1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A61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152A9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DD506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AF759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EF59E2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3466F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CE80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DFBB1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5A91D7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F2885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866E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7CD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3D9975D">
        <w:tblPrEx>
          <w:tblCellMar>
            <w:top w:w="0" w:type="dxa"/>
            <w:left w:w="108" w:type="dxa"/>
            <w:bottom w:w="0" w:type="dxa"/>
            <w:right w:w="108" w:type="dxa"/>
          </w:tblCellMar>
        </w:tblPrEx>
        <w:trPr>
          <w:gridBefore w:val="1"/>
          <w:wBefore w:w="18" w:type="dxa"/>
          <w:trHeight w:val="34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CF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468" w:type="dxa"/>
            <w:gridSpan w:val="36"/>
            <w:tcBorders>
              <w:top w:val="single" w:color="000000" w:sz="4" w:space="0"/>
              <w:left w:val="single" w:color="000000" w:sz="4" w:space="0"/>
              <w:bottom w:val="single" w:color="000000" w:sz="4" w:space="0"/>
              <w:right w:val="single" w:color="000000" w:sz="4" w:space="0"/>
            </w:tcBorders>
            <w:shd w:val="clear" w:color="auto" w:fill="FFFFFF"/>
            <w:vAlign w:val="center"/>
          </w:tcPr>
          <w:p w14:paraId="0B4704B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98F1A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C54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6E6AA38">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053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A161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6EBCC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04F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133FEB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DA299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D64E6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E8A39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DB1D1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BECA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F12A0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ABDC9A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5E8C2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9D6F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E378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86F1D9E">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ECB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3972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13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B4331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4B476D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4301"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6ADDA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51320021T000000134073-《中国共产党统一战线工作条例》、新《宗教事务条例》、习总书记重要论述宣传学习活动经费</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C4C1A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3446"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6AB8DA3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11-研究政策/01-《中国共产党统一战线工作条例》、新《宗教事务条例》、习总书记重要论述宣讲等宣传学习活动</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62F1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CCB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E581103">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4E8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1D04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92927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07E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08498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5B1D5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FE5DD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5BA507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DA733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929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C48093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6B049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E326E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2348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919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597CC6D">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FDC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A58C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13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0B198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FCCC63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24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70A0E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029EC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F5053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2012"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A22650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20.00</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A6157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A921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4220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B6BC073">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CE0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276A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D932D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FA5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028FEC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BACA4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2C684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D380E5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FC4EE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661B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11744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E1B7A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0686E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04C3B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82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0B0684A">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CA4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B585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13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4EF4F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508C69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24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F772D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948A4C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0A56A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138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92A879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20.00</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37184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9726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DBC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AF36B52">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CE1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75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383E9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49F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EB466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39984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D80A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DDD419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CD8F6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51D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6E319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E6FCAF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B1EB8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37B14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55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BD284DE">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3C2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41B7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8252" w:type="dxa"/>
            <w:gridSpan w:val="19"/>
            <w:vMerge w:val="restart"/>
            <w:tcBorders>
              <w:top w:val="single" w:color="000000" w:sz="4" w:space="0"/>
              <w:left w:val="single" w:color="000000" w:sz="4" w:space="0"/>
              <w:bottom w:val="single" w:color="000000" w:sz="4" w:space="0"/>
              <w:right w:val="single" w:color="000000" w:sz="4" w:space="0"/>
            </w:tcBorders>
            <w:shd w:val="clear" w:color="auto" w:fill="FFFFFF"/>
          </w:tcPr>
          <w:p w14:paraId="271054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巩固中国共产党的执政基础、扩大中国共产党的群众基础、学习好、领会好、贯彻组织实施好〈条例〉精神</w:t>
            </w: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CF1CD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138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48B241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3136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EA43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1C6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B54EBFA">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3B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40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252"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159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2B4F0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9C28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FB604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8CB93C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AD3B7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F8FB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8A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ADDA024">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394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C48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252"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418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A8B6C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138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04079A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F5298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BD15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F9F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A191BC3">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E83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DF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252"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115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D2617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B0F0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7FF9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99C70C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722163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B21F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592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E033E92">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969F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586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252"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5437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74E7F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138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4905AC8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6DAD0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564D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D5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98EB1F5">
        <w:tblPrEx>
          <w:tblCellMar>
            <w:top w:w="0" w:type="dxa"/>
            <w:left w:w="108" w:type="dxa"/>
            <w:bottom w:w="0" w:type="dxa"/>
            <w:right w:w="108" w:type="dxa"/>
          </w:tblCellMar>
        </w:tblPrEx>
        <w:trPr>
          <w:gridBefore w:val="1"/>
          <w:wBefore w:w="18" w:type="dxa"/>
          <w:trHeight w:val="8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A1B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405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252"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2CF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701A6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162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ACFB3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306025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314CD0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97C23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53C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B8E7E18">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4F4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A4C8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252" w:type="dxa"/>
            <w:gridSpan w:val="1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071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6862B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138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D7CC7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46DD2A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07CE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246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5DE1AED">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677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2083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D4B2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A22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5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6FA35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6C2F0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D6DD0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D1939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ED111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4AE4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0D3480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5F7C16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43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0D686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CA5A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942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3CBFD1C">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EBEFF3" w:fill="FFFFFF"/>
            <w:vAlign w:val="center"/>
          </w:tcPr>
          <w:p w14:paraId="05155DB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885" w:type="dxa"/>
            <w:tcBorders>
              <w:top w:val="single" w:color="000000" w:sz="4" w:space="0"/>
              <w:left w:val="single" w:color="000000" w:sz="4" w:space="0"/>
              <w:bottom w:val="single" w:color="000000" w:sz="4" w:space="0"/>
              <w:right w:val="single" w:color="000000" w:sz="4" w:space="0"/>
            </w:tcBorders>
            <w:shd w:val="clear" w:color="EBEFF3" w:fill="FFFFFF"/>
            <w:vAlign w:val="center"/>
          </w:tcPr>
          <w:p w14:paraId="211D04EC">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4C877C6D">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2961" w:type="dxa"/>
            <w:gridSpan w:val="6"/>
            <w:tcBorders>
              <w:top w:val="single" w:color="000000" w:sz="4" w:space="0"/>
              <w:left w:val="single" w:color="000000" w:sz="4" w:space="0"/>
              <w:bottom w:val="single" w:color="000000" w:sz="4" w:space="0"/>
              <w:right w:val="single" w:color="000000" w:sz="4" w:space="0"/>
            </w:tcBorders>
            <w:shd w:val="clear" w:color="EBEFF3" w:fill="FFFFFF"/>
            <w:vAlign w:val="center"/>
          </w:tcPr>
          <w:p w14:paraId="1E681CC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1314"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581CEFC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1135" w:type="dxa"/>
            <w:gridSpan w:val="3"/>
            <w:tcBorders>
              <w:top w:val="single" w:color="000000" w:sz="4" w:space="0"/>
              <w:left w:val="single" w:color="000000" w:sz="4" w:space="0"/>
              <w:bottom w:val="single" w:color="000000" w:sz="4" w:space="0"/>
              <w:right w:val="single" w:color="000000" w:sz="4" w:space="0"/>
            </w:tcBorders>
            <w:shd w:val="clear" w:color="EBEFF3" w:fill="FFFFFF"/>
            <w:vAlign w:val="center"/>
          </w:tcPr>
          <w:p w14:paraId="2C6F8CA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1852" w:type="dxa"/>
            <w:gridSpan w:val="4"/>
            <w:tcBorders>
              <w:top w:val="single" w:color="000000" w:sz="4" w:space="0"/>
              <w:left w:val="single" w:color="000000" w:sz="4" w:space="0"/>
              <w:bottom w:val="single" w:color="000000" w:sz="4" w:space="0"/>
              <w:right w:val="single" w:color="000000" w:sz="4" w:space="0"/>
            </w:tcBorders>
            <w:shd w:val="clear" w:color="EBEFF3" w:fill="FFFFFF"/>
            <w:vAlign w:val="center"/>
          </w:tcPr>
          <w:p w14:paraId="41F506F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885" w:type="dxa"/>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0FDAB32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1357" w:type="dxa"/>
            <w:gridSpan w:val="5"/>
            <w:tcBorders>
              <w:top w:val="single" w:color="000000" w:sz="4" w:space="0"/>
              <w:left w:val="single" w:color="000000" w:sz="4" w:space="0"/>
              <w:bottom w:val="single" w:color="000000" w:sz="4" w:space="0"/>
              <w:right w:val="single" w:color="000000" w:sz="4" w:space="0"/>
            </w:tcBorders>
            <w:shd w:val="clear" w:color="EBEFF3" w:fill="FFFFFF"/>
            <w:vAlign w:val="center"/>
          </w:tcPr>
          <w:p w14:paraId="68D05A6A">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2089" w:type="dxa"/>
            <w:gridSpan w:val="9"/>
            <w:tcBorders>
              <w:top w:val="single" w:color="000000" w:sz="4" w:space="0"/>
              <w:left w:val="single" w:color="000000" w:sz="4" w:space="0"/>
              <w:bottom w:val="single" w:color="000000" w:sz="4" w:space="0"/>
              <w:right w:val="single" w:color="000000" w:sz="4" w:space="0"/>
            </w:tcBorders>
            <w:shd w:val="clear" w:color="EBEFF3" w:fill="FFFFFF"/>
            <w:vAlign w:val="center"/>
          </w:tcPr>
          <w:p w14:paraId="5B82777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484" w:type="dxa"/>
            <w:gridSpan w:val="4"/>
            <w:tcBorders>
              <w:top w:val="single" w:color="000000" w:sz="4" w:space="0"/>
              <w:left w:val="single" w:color="000000" w:sz="4" w:space="0"/>
              <w:bottom w:val="single" w:color="000000" w:sz="4" w:space="0"/>
              <w:right w:val="single" w:color="000000" w:sz="4" w:space="0"/>
            </w:tcBorders>
            <w:shd w:val="clear" w:color="EBEFF3" w:fill="FFFFFF"/>
            <w:vAlign w:val="center"/>
          </w:tcPr>
          <w:p w14:paraId="351A3B8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25C7C186">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3EE29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BC8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38C5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296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234AF0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2023年12月上旬完成</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89661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F9B5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091AC6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E9CC9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135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56C186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208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38DB0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4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D8EB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AAC933F">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348B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214B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9F8A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296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E16C8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支出相符性</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300A0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21BD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513946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B3279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135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16597E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208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4C675E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4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23310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562A45C">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FE2F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127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3B2A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296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9EAFB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会计核算资料完整性</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46F47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98BCB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7085A1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A3099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135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866D9F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208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63BD61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4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B54A0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08010F84">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0084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B76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91F9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296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344BB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巩固中国共产党的执政基础、扩大中国共产党的群众基础、学习好、领会好、贯彻组织实施好〈条例〉精神</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08001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68135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957ED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54392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135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C4A782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208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D3BFA8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4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63165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ED942F8">
        <w:tblPrEx>
          <w:tblCellMar>
            <w:top w:w="0" w:type="dxa"/>
            <w:left w:w="108" w:type="dxa"/>
            <w:bottom w:w="0" w:type="dxa"/>
            <w:right w:w="108" w:type="dxa"/>
          </w:tblCellMar>
        </w:tblPrEx>
        <w:trPr>
          <w:gridBefore w:val="1"/>
          <w:wBefore w:w="18" w:type="dxa"/>
          <w:trHeight w:val="308" w:hRule="atLeast"/>
        </w:trPr>
        <w:tc>
          <w:tcPr>
            <w:tcW w:w="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EA3E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18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FD2DC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296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056CBD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切实做好统战宣传工作</w:t>
            </w:r>
          </w:p>
        </w:tc>
        <w:tc>
          <w:tcPr>
            <w:tcW w:w="13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918DC5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11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0C409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18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FFAFA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C1BB1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135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6BE3F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208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A09B95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4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ED8C1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tbl>
      <w:tblPr>
        <w:tblStyle w:val="7"/>
        <w:tblpPr w:leftFromText="180" w:rightFromText="180" w:vertAnchor="text" w:horzAnchor="page" w:tblpX="1431" w:tblpY="283"/>
        <w:tblOverlap w:val="never"/>
        <w:tblW w:w="0" w:type="auto"/>
        <w:tblInd w:w="0" w:type="dxa"/>
        <w:tblLayout w:type="autofit"/>
        <w:tblCellMar>
          <w:top w:w="0" w:type="dxa"/>
          <w:left w:w="108" w:type="dxa"/>
          <w:bottom w:w="0" w:type="dxa"/>
          <w:right w:w="108" w:type="dxa"/>
        </w:tblCellMar>
      </w:tblPr>
      <w:tblGrid>
        <w:gridCol w:w="222"/>
        <w:gridCol w:w="1184"/>
        <w:gridCol w:w="1320"/>
        <w:gridCol w:w="390"/>
        <w:gridCol w:w="2910"/>
        <w:gridCol w:w="1023"/>
        <w:gridCol w:w="875"/>
        <w:gridCol w:w="1465"/>
        <w:gridCol w:w="1184"/>
        <w:gridCol w:w="572"/>
        <w:gridCol w:w="611"/>
        <w:gridCol w:w="554"/>
        <w:gridCol w:w="1337"/>
        <w:gridCol w:w="263"/>
        <w:gridCol w:w="264"/>
      </w:tblGrid>
      <w:tr w14:paraId="3130FC9B">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0FD3B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6F1D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B0C7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9BC5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37DE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320F9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D6E93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61102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120C5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D0062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C64A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A9C64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6FAE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92D4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BCB19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CADBBBB">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1087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206FAB1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F04B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38B8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C86215F">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964C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9D719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CFBA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D2B8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973F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32F90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C3CD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FCBC3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C8530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917C5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7BE85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DC55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F720D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B785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033A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425451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2A14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9599F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323C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E65E2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3BFC9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51320021T000000137299-知新会专项工作经费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B2416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B8580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15-新的社会阶层代表人士/01-阿坝州知新会专项工作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AA35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94C4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7F8921C">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0E5A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355D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639E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C36C8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505E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B9D2A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4DCE1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A75F8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7DF52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4DA77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C3BD5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DE62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34356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78FB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2EED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A22F8C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C008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39DD8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F7C9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7FE4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4728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4FA43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07713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7D8D2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BDD8A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A867F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47C1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E0AD63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02C9D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DD8C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B501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9F2E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36237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DEEDB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32516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1B0C6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F6CC7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95465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03AF6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C96B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B034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AEFBF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48AD8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269E3B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12A0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674CE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4E14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231A0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1D80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4CCA6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96DBC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47392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5C49F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FC20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3E05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B85662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77E7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04CFA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4CEB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5B90F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009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3F54A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84133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74072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DAE50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C118F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B907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8AE7B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C843D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FAB1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62AC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3AE4FF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AA3A8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5FA28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6ACF12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切实发挥知新会作用，加大新兴代表人士培养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FF4F4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9A6C1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55E7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5468A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ABCD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CCF9DA7">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8652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1AF1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9972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966DA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41A07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7D1B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FA981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7BB0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484AD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835A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41BB9E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1663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D7186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E05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BCF74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E8A6D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FA56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870C6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4074C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B5BD519">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6AFB0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C81A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9746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8D36B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4D749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CB7A9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63958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42FF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0C30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A916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31CB62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CFC0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02CE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24BA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A7774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5C0F4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4E70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CDA89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5134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2901B17">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42E8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4BDA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699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1356B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13626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882FC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902CB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6D54D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AE6D9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F7A0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8BCDE6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E7F90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8386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C4CB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6C9D9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12AEF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0CA1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B635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EE02B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38BF2D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5B7AD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AA2F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135BE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BDA6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3287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94727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D2BE2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6DD92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BE87E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850CE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2974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27670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A1BC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BDA8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5AB9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F0F47F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4A69A5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59B95A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10A0613">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D73AC2A">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E9D910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3532DC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D93574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3991BB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6D9ADAEC">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A04B98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1BDFA08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6CC5EA4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A78C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76BC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D44A6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4D55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1次培训会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1E982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B2FF7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B8B77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C4F4F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57D2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5B2F5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7859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7FBCF2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EC7A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EDE6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4EF66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FB67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2023年12月中旬完成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97912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F2BC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1CDCB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5F294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08CE0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16B5C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E23D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F5F265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78F4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F559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AF7C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1410D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支出相符性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1DCAF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206C8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19103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5C9C7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A15B0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33ECD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8357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85A884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6EBF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7B14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75107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CFDA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切实发挥知新会作用，加大新兴代表人士培养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44A90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132A4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AD322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14A25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BC4FA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490AB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3E9D3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88BDDB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078E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E9F2E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48BD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632AA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加强代表人士的培养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A9480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96494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F936C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0C122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2582B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A3C08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56CF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AC0E84F">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AA099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2DFC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4F9CB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8828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72FCA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1F2A1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5C8CE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4B47E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93C38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E24C5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B595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0766B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3E6FA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59407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913B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FB11B9B">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BB2A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78DABD6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2F983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AD336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F8017CF">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699EC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6FF6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E3331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84CA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B7EB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BC8EA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852D7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12B82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033FE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45EC8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B3802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2D15F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A693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9A11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B7285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196C41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6AA5A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43AE4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FA5A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5EB2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C5E7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51320021T000000137427-外事台侨专项业务经费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F1F0D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AE7255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17-港澳台统战工作/01-外事台侨专项业务活动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F9D3F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64D1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49DEAF9">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A3F7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2D26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C5A0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335C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041A5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72CF3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27490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EF8F3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D6BCF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11335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168A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05BE8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7149D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EC44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6F8C2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08ECCD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BDFB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516EE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892D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A9D2C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73095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79D16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D4841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5FD72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D4924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0F0E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CE7C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5A10C41">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C8FA0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23A3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A7F9C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908C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D502D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AE54E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690C9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59977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5BDF2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685BF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C11D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4CB52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166D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F8553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7C2B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F1FA62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A21E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17839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94EF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3CE8C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1E4A3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6012C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BF36D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CF528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825E4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9B673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8D12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069C03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38B3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F59E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AC59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030F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417A0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48AA2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6235E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0BBD4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02160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190CA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DD6F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E3617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B78D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5DAE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077C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A7CF76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EB17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76FA9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05C256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促进海外侨胞与祖国进行经济合作和科技交流的桥梁和纽带作用，推动我州侨联工作顺利开展。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0B999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1398A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A5284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E3F2F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F24E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3CF1AC1">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832D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8FA59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A5C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56866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96B89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34CE6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6FF04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87D7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28C9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932B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44BC0D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B4C27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45EB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5054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0670A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7A478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AC7E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F1B0E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534A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6D37F20">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08F67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E486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B98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FD8A6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9BFDB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0C9A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5199A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F91D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980A9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A27D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B4D499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B2E1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83E0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4CA12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EFC9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B2C81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8873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7F3B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2C349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C089DEA">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85297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5945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8E6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4F83C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0BFE6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79975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A0D69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B309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D544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4C1C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EB2DEC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30DA4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25649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EF90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A4082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D60A8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8D20F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2B269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0ED6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5399F5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56A6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F879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B3426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78AE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93CA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36AF1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A00BF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4794B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58127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02A41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FB9BB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8A357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2FC2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C771E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91E0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685110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29E0C7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17045A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26F5EA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1C63437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171600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D52E7B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A070D9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CECE90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057535B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51A617D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619C6EB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11EC950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3535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E0B2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FA44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05B97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63FC2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70844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8D12B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9C1F4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0385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0CE9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8CCAB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F9E3D1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6D6CF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5C24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B797B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083E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2023年12月上旬完成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D3B98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F01B9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AFB5F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9B46C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730D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A47F8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D64B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059B9C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0672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C4657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4F173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FED2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高效节约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9F90B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1B7F7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65A6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D0FAF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67E23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01B81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4BB4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3A54FD5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2F48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0759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36B8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81BCA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促进海外侨胞与祖国进行经济合作和科技交流的桥梁和纽带作用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E02CA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84F2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524FB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3753F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60B00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21356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33B6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4C2354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13CA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12CD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D6CC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7335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推动我州侨联工作顺利开展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8EAE3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2E13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C964C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3F91A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7D87B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31825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A6B5C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11E86107">
      <w:pPr>
        <w:pStyle w:val="10"/>
        <w:spacing w:before="0" w:line="360" w:lineRule="auto"/>
        <w:ind w:firstLine="640" w:firstLineChars="200"/>
        <w:rPr>
          <w:rFonts w:ascii="Times New Roman" w:hAnsi="Times New Roman" w:eastAsia="黑体"/>
          <w:sz w:val="32"/>
          <w:szCs w:val="32"/>
        </w:rPr>
      </w:pPr>
    </w:p>
    <w:p w14:paraId="2CF08378">
      <w:pPr>
        <w:pStyle w:val="10"/>
        <w:spacing w:before="0"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......涉密（略）。</w:t>
      </w:r>
    </w:p>
    <w:p w14:paraId="61E1C1D7">
      <w:pPr>
        <w:pStyle w:val="10"/>
        <w:spacing w:before="0" w:line="360" w:lineRule="auto"/>
        <w:ind w:firstLine="640" w:firstLineChars="200"/>
        <w:rPr>
          <w:rFonts w:ascii="Times New Roman" w:hAnsi="Times New Roman" w:eastAsia="黑体"/>
          <w:sz w:val="32"/>
          <w:szCs w:val="32"/>
        </w:rPr>
      </w:pPr>
    </w:p>
    <w:p w14:paraId="1FFA65EF">
      <w:pPr>
        <w:pStyle w:val="10"/>
        <w:spacing w:before="0" w:line="360" w:lineRule="auto"/>
        <w:ind w:firstLine="640" w:firstLineChars="200"/>
        <w:rPr>
          <w:rFonts w:ascii="Times New Roman" w:hAnsi="Times New Roman" w:eastAsia="黑体"/>
          <w:sz w:val="32"/>
          <w:szCs w:val="32"/>
        </w:rPr>
      </w:pPr>
    </w:p>
    <w:p w14:paraId="1E85FA23">
      <w:pPr>
        <w:pStyle w:val="10"/>
        <w:spacing w:before="0" w:line="360" w:lineRule="auto"/>
        <w:ind w:firstLine="640" w:firstLineChars="200"/>
        <w:rPr>
          <w:rFonts w:ascii="Times New Roman" w:hAnsi="Times New Roman" w:eastAsia="黑体"/>
          <w:sz w:val="32"/>
          <w:szCs w:val="32"/>
        </w:rPr>
      </w:pPr>
    </w:p>
    <w:p w14:paraId="364CF860">
      <w:pPr>
        <w:pStyle w:val="10"/>
        <w:spacing w:before="0" w:line="360" w:lineRule="auto"/>
        <w:ind w:firstLine="640" w:firstLineChars="200"/>
        <w:rPr>
          <w:rFonts w:ascii="Times New Roman" w:hAnsi="Times New Roman" w:eastAsia="黑体"/>
          <w:sz w:val="32"/>
          <w:szCs w:val="32"/>
        </w:rPr>
      </w:pPr>
    </w:p>
    <w:p w14:paraId="73CEFE20">
      <w:pPr>
        <w:pStyle w:val="10"/>
        <w:spacing w:before="0" w:line="360" w:lineRule="auto"/>
        <w:ind w:firstLine="640" w:firstLineChars="200"/>
        <w:rPr>
          <w:rFonts w:ascii="Times New Roman" w:hAnsi="Times New Roman" w:eastAsia="黑体"/>
          <w:sz w:val="32"/>
          <w:szCs w:val="32"/>
        </w:rPr>
        <w:sectPr>
          <w:footerReference r:id="rId5" w:type="default"/>
          <w:pgSz w:w="16838" w:h="11906" w:orient="landscape"/>
          <w:pgMar w:top="1803" w:right="1440" w:bottom="1803" w:left="1440" w:header="851" w:footer="992" w:gutter="0"/>
          <w:paperSrc/>
          <w:pgNumType w:fmt="numberInDash" w:start="7"/>
          <w:cols w:space="0" w:num="1"/>
          <w:rtlGutter w:val="0"/>
          <w:docGrid w:type="lines" w:linePitch="319" w:charSpace="0"/>
        </w:sectPr>
      </w:pPr>
    </w:p>
    <w:p w14:paraId="6F3118CF">
      <w:pPr>
        <w:pStyle w:val="10"/>
        <w:spacing w:before="0" w:line="360" w:lineRule="auto"/>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十</w:t>
      </w:r>
      <w:r>
        <w:rPr>
          <w:rFonts w:hint="eastAsia" w:ascii="Times New Roman" w:hAnsi="Times New Roman" w:eastAsia="黑体"/>
          <w:sz w:val="32"/>
          <w:szCs w:val="32"/>
          <w:lang w:val="en-US" w:eastAsia="zh-CN"/>
        </w:rPr>
        <w:t>一</w:t>
      </w:r>
      <w:r>
        <w:rPr>
          <w:rFonts w:ascii="Times New Roman" w:hAnsi="Times New Roman" w:eastAsia="黑体"/>
          <w:sz w:val="32"/>
          <w:szCs w:val="32"/>
        </w:rPr>
        <w:t xml:space="preserve">、名称解释 </w:t>
      </w:r>
    </w:p>
    <w:p w14:paraId="405AF6C3">
      <w:pPr>
        <w:pStyle w:val="10"/>
        <w:spacing w:before="0" w:line="360" w:lineRule="auto"/>
        <w:ind w:firstLine="320" w:firstLineChars="200"/>
        <w:rPr>
          <w:rFonts w:hint="eastAsia" w:ascii="Times New Roman" w:hAnsi="Times New Roman" w:eastAsia="方正仿宋_GBK" w:cs="Times New Roman"/>
          <w:kern w:val="0"/>
          <w:sz w:val="32"/>
          <w:szCs w:val="32"/>
          <w:lang w:val="en-US" w:eastAsia="zh-CN" w:bidi="ar-SA"/>
        </w:rPr>
      </w:pPr>
      <w:r>
        <w:rPr>
          <w:rFonts w:ascii="Times New Roman" w:hAnsi="Times New Roman" w:eastAsia="宋体"/>
          <w:sz w:val="16"/>
        </w:rPr>
        <w:t>　　</w:t>
      </w:r>
      <w:r>
        <w:rPr>
          <w:rFonts w:hint="eastAsia" w:ascii="Times New Roman" w:hAnsi="Times New Roman" w:eastAsia="方正仿宋_GBK" w:cs="Times New Roman"/>
          <w:kern w:val="0"/>
          <w:sz w:val="32"/>
          <w:szCs w:val="32"/>
          <w:lang w:val="en-US" w:eastAsia="zh-CN" w:bidi="ar-SA"/>
        </w:rPr>
        <w:t>（一）财政拨款收入：指由财政拨款形成的部门收入。按现行管理制度，部门预算中反映的财政拨款仅包括一般公共预算拨款和政府性基金预算拨款。</w:t>
      </w:r>
    </w:p>
    <w:p w14:paraId="632F4AF5">
      <w:pPr>
        <w:pStyle w:val="10"/>
        <w:spacing w:before="0" w:line="360" w:lineRule="auto"/>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（二）事业收入：指所属事业单位开展专业业务活动及辅助活动所取得的收入。</w:t>
      </w:r>
    </w:p>
    <w:p w14:paraId="4456A239">
      <w:pPr>
        <w:pStyle w:val="10"/>
        <w:spacing w:before="0" w:line="360" w:lineRule="auto"/>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（三）事业单位经营收入：指所属事业单位在专业业务活动及其辅助活动之外开展非独立核算经营活动取得的收入。</w:t>
      </w:r>
    </w:p>
    <w:p w14:paraId="06E5FAFB">
      <w:pPr>
        <w:pStyle w:val="10"/>
        <w:spacing w:before="0" w:line="360" w:lineRule="auto"/>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（四）其他收入：指除上述“财政拨款收入”、“事业收入”、“事业单位经营收入”等以外的收入，主要是所属行政事业单位按规定动用的售房收入、存款利息收入等。</w:t>
      </w:r>
    </w:p>
    <w:p w14:paraId="6D2F7D06">
      <w:pPr>
        <w:pStyle w:val="10"/>
        <w:spacing w:before="0" w:line="360" w:lineRule="auto"/>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0BC8A5EC">
      <w:pPr>
        <w:pStyle w:val="10"/>
        <w:spacing w:before="0" w:line="360" w:lineRule="auto"/>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（六）上年结转：指所属行政事业单位以前年度尚未完成、结转至本年按原规定用途继续使用的资金和以前年度已完成项目剩余资金经批准用于新用途使用的资金。</w:t>
      </w:r>
    </w:p>
    <w:p w14:paraId="74AE726C">
      <w:pPr>
        <w:pStyle w:val="10"/>
        <w:spacing w:before="0" w:line="360" w:lineRule="auto"/>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七）“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8ACA02E">
      <w:pPr>
        <w:pStyle w:val="10"/>
        <w:spacing w:before="0" w:line="360" w:lineRule="auto"/>
        <w:ind w:firstLine="640" w:firstLineChars="200"/>
        <w:rPr>
          <w:rFonts w:ascii="Times New Roman" w:hAnsi="Times New Roman"/>
          <w:kern w:val="2"/>
          <w:sz w:val="32"/>
          <w:szCs w:val="32"/>
        </w:rPr>
      </w:pPr>
    </w:p>
    <w:p w14:paraId="64F0A3DF">
      <w:pPr>
        <w:ind w:firstLine="640" w:firstLineChars="200"/>
        <w:rPr>
          <w:rFonts w:ascii="Times New Roman" w:hAnsi="Times New Roman" w:eastAsia="仿宋_GB2312"/>
          <w:sz w:val="32"/>
          <w:szCs w:val="32"/>
        </w:rPr>
      </w:pPr>
    </w:p>
    <w:p w14:paraId="7AD110E2"/>
    <w:sectPr>
      <w:footerReference r:id="rId6" w:type="default"/>
      <w:pgSz w:w="11906" w:h="16838"/>
      <w:pgMar w:top="1440" w:right="1803" w:bottom="1440" w:left="1803" w:header="851" w:footer="992" w:gutter="0"/>
      <w:paperSrc/>
      <w:pgNumType w:fmt="numberInDash" w:start="14"/>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E6BE4">
    <w:pPr>
      <w:pStyle w:val="5"/>
    </w:pP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14:paraId="2586A08D">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right;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Cp5II8AwIAAPQDAAAOAAAAAAAAAAEAIAAAACABAABkcnMvZTJv&#10;RG9jLnhtbFBLBQYAAAAABgAGAFkBAACVBQAAAAA=&#10;">
              <v:fill on="f" focussize="0,0"/>
              <v:stroke on="f" joinstyle="miter"/>
              <v:imagedata o:title=""/>
              <o:lock v:ext="edit" aspectratio="f"/>
              <v:textbox inset="0mm,0mm,0mm,0mm" style="mso-fit-shape-to-text:t;">
                <w:txbxContent>
                  <w:p w14:paraId="2586A08D">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B0FC">
    <w:pPr>
      <w:pStyle w:val="5"/>
    </w:pPr>
    <w:r>
      <mc:AlternateContent>
        <mc:Choice Requires="wps">
          <w:drawing>
            <wp:anchor distT="0" distB="0" distL="113665" distR="113665" simplePos="0" relativeHeight="251660288" behindDoc="0" locked="0" layoutInCell="1" allowOverlap="1">
              <wp:simplePos x="0" y="0"/>
              <wp:positionH relativeFrom="margin">
                <wp:align>right</wp:align>
              </wp:positionH>
              <wp:positionV relativeFrom="paragraph">
                <wp:posOffset>0</wp:posOffset>
              </wp:positionV>
              <wp:extent cx="444500" cy="230505"/>
              <wp:effectExtent l="0" t="0" r="0" b="0"/>
              <wp:wrapNone/>
              <wp:docPr id="2" name="文本框 3"/>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14:paraId="5EDB04B1">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right;mso-position-horizontal-relative:margin;mso-wrap-style:none;z-index:251660288;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AwVi6qAwIAAPQDAAAOAAAAAAAAAAEAIAAAACABAABkcnMvZTJv&#10;RG9jLnhtbFBLBQYAAAAABgAGAFkBAACVBQAAAAA=&#10;">
              <v:fill on="f" focussize="0,0"/>
              <v:stroke on="f" joinstyle="miter"/>
              <v:imagedata o:title=""/>
              <o:lock v:ext="edit" aspectratio="f"/>
              <v:textbox inset="0mm,0mm,0mm,0mm" style="mso-fit-shape-to-text:t;">
                <w:txbxContent>
                  <w:p w14:paraId="5EDB04B1">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E9733">
    <w:pPr>
      <w:pStyle w:val="5"/>
    </w:pPr>
    <w:r>
      <mc:AlternateContent>
        <mc:Choice Requires="wps">
          <w:drawing>
            <wp:anchor distT="0" distB="0" distL="113665" distR="113665" simplePos="0" relativeHeight="251661312" behindDoc="0" locked="0" layoutInCell="1" allowOverlap="1">
              <wp:simplePos x="0" y="0"/>
              <wp:positionH relativeFrom="margin">
                <wp:align>right</wp:align>
              </wp:positionH>
              <wp:positionV relativeFrom="paragraph">
                <wp:posOffset>0</wp:posOffset>
              </wp:positionV>
              <wp:extent cx="444500" cy="230505"/>
              <wp:effectExtent l="0" t="0" r="0" b="0"/>
              <wp:wrapNone/>
              <wp:docPr id="3" name="文本框 3"/>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14:paraId="568898CF">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right;mso-position-horizontal-relative:margin;mso-wrap-style:none;z-index:251661312;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BHOErYAwIAAPQDAAAOAAAAAAAAAAEAIAAAACABAABkcnMvZTJv&#10;RG9jLnhtbFBLBQYAAAAABgAGAFkBAACVBQAAAAA=&#10;">
              <v:fill on="f" focussize="0,0"/>
              <v:stroke on="f" joinstyle="miter"/>
              <v:imagedata o:title=""/>
              <o:lock v:ext="edit" aspectratio="f"/>
              <v:textbox inset="0mm,0mm,0mm,0mm" style="mso-fit-shape-to-text:t;">
                <w:txbxContent>
                  <w:p w14:paraId="568898CF">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95D0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ADD0"/>
    <w:multiLevelType w:val="singleLevel"/>
    <w:tmpl w:val="A474ADD0"/>
    <w:lvl w:ilvl="0" w:tentative="0">
      <w:start w:val="4"/>
      <w:numFmt w:val="chineseCounting"/>
      <w:suff w:val="nothing"/>
      <w:lvlText w:val="（%1）"/>
      <w:lvlJc w:val="left"/>
      <w:pPr>
        <w:ind w:left="0" w:firstLine="0"/>
      </w:pPr>
      <w:rPr>
        <w:rFonts w:hint="eastAsia" w:ascii="仿宋_GB2312" w:hAnsi="仿宋_GB2312" w:eastAsia="仿宋_GB2312" w:cs="仿宋_GB2312"/>
      </w:rPr>
    </w:lvl>
  </w:abstractNum>
  <w:abstractNum w:abstractNumId="1">
    <w:nsid w:val="AADE4796"/>
    <w:multiLevelType w:val="singleLevel"/>
    <w:tmpl w:val="AADE4796"/>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TdkNDk2Y2YwNmYwNjM3MTY2OWE4NDM0Yjc0ZDEifQ=="/>
  </w:docVars>
  <w:rsids>
    <w:rsidRoot w:val="00000000"/>
    <w:rsid w:val="06960DCD"/>
    <w:rsid w:val="137D5290"/>
    <w:rsid w:val="1E566E09"/>
    <w:rsid w:val="1FF16DE9"/>
    <w:rsid w:val="32E2418A"/>
    <w:rsid w:val="3FF71594"/>
    <w:rsid w:val="56CF5DCB"/>
    <w:rsid w:val="61A92B9F"/>
    <w:rsid w:val="777A41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3444</Words>
  <Characters>4823</Characters>
  <Lines>196</Lines>
  <Paragraphs>78</Paragraphs>
  <TotalTime>5</TotalTime>
  <ScaleCrop>false</ScaleCrop>
  <LinksUpToDate>false</LinksUpToDate>
  <CharactersWithSpaces>4844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幽然</cp:lastModifiedBy>
  <cp:lastPrinted>2023-01-18T06:33:00Z</cp:lastPrinted>
  <dcterms:modified xsi:type="dcterms:W3CDTF">2024-08-16T02:12:59Z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BDBE9597BC084863B4C3B5A26E0BEBE6_13</vt:lpwstr>
  </property>
</Properties>
</file>