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2476A">
      <w:pPr>
        <w:rPr>
          <w:rFonts w:ascii="Times New Roman" w:hAnsi="Times New Roman"/>
        </w:rPr>
      </w:pPr>
    </w:p>
    <w:p w14:paraId="148B0822">
      <w:pPr>
        <w:rPr>
          <w:rFonts w:ascii="Times New Roman" w:hAnsi="Times New Roman"/>
        </w:rPr>
      </w:pPr>
    </w:p>
    <w:p w14:paraId="1D32E6FE">
      <w:pPr>
        <w:rPr>
          <w:rFonts w:ascii="Times New Roman" w:hAnsi="Times New Roman"/>
        </w:rPr>
      </w:pPr>
    </w:p>
    <w:p w14:paraId="3321571A">
      <w:pPr>
        <w:ind w:firstLine="1050" w:firstLineChars="500"/>
        <w:rPr>
          <w:rFonts w:ascii="Times New Roman" w:hAnsi="Times New Roman"/>
        </w:rPr>
      </w:pPr>
    </w:p>
    <w:p w14:paraId="69DAAB64">
      <w:pPr>
        <w:ind w:firstLine="1050" w:firstLineChars="500"/>
        <w:rPr>
          <w:rFonts w:ascii="Times New Roman" w:hAnsi="Times New Roman"/>
        </w:rPr>
      </w:pPr>
    </w:p>
    <w:p w14:paraId="508B40EF">
      <w:pPr>
        <w:ind w:firstLine="1760" w:firstLineChars="400"/>
        <w:rPr>
          <w:rFonts w:ascii="Times New Roman" w:hAnsi="Times New Roman" w:eastAsia="黑体"/>
          <w:sz w:val="44"/>
          <w:szCs w:val="44"/>
        </w:rPr>
      </w:pPr>
    </w:p>
    <w:p w14:paraId="3E2A86E1">
      <w:pPr>
        <w:ind w:firstLine="1760" w:firstLineChars="400"/>
        <w:rPr>
          <w:rFonts w:ascii="Times New Roman" w:hAnsi="Times New Roman" w:eastAsia="黑体"/>
          <w:sz w:val="44"/>
          <w:szCs w:val="44"/>
        </w:rPr>
      </w:pPr>
    </w:p>
    <w:p w14:paraId="436A234F">
      <w:pPr>
        <w:jc w:val="center"/>
        <w:rPr>
          <w:rFonts w:ascii="Times New Roman" w:hAnsi="Times New Roman" w:eastAsia="方正小标宋_GBK"/>
          <w:sz w:val="44"/>
          <w:szCs w:val="44"/>
        </w:rPr>
      </w:pPr>
      <w:r>
        <w:rPr>
          <w:rFonts w:ascii="Times New Roman" w:hAnsi="Times New Roman" w:eastAsia="方正小标宋_GBK"/>
          <w:sz w:val="44"/>
          <w:szCs w:val="44"/>
        </w:rPr>
        <w:t>中共阿坝州委统战部（</w:t>
      </w:r>
      <w:r>
        <w:rPr>
          <w:rFonts w:hint="eastAsia" w:ascii="Times New Roman" w:hAnsi="Times New Roman" w:eastAsia="方正小标宋_GBK"/>
          <w:sz w:val="44"/>
          <w:szCs w:val="44"/>
          <w:lang w:val="en-US" w:eastAsia="zh-CN"/>
        </w:rPr>
        <w:t>单位</w:t>
      </w:r>
      <w:r>
        <w:rPr>
          <w:rFonts w:ascii="Times New Roman" w:hAnsi="Times New Roman" w:eastAsia="方正小标宋_GBK"/>
          <w:sz w:val="44"/>
          <w:szCs w:val="44"/>
        </w:rPr>
        <w:t>）</w:t>
      </w:r>
    </w:p>
    <w:p w14:paraId="7D516560">
      <w:pPr>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5</w:t>
      </w:r>
      <w:r>
        <w:rPr>
          <w:rFonts w:ascii="Times New Roman" w:hAnsi="Times New Roman" w:eastAsia="方正小标宋_GBK"/>
          <w:sz w:val="44"/>
          <w:szCs w:val="44"/>
        </w:rPr>
        <w:t>年预算</w:t>
      </w:r>
    </w:p>
    <w:p w14:paraId="2229D8B9">
      <w:pPr>
        <w:ind w:firstLine="1280" w:firstLineChars="400"/>
        <w:rPr>
          <w:rFonts w:ascii="楷体_GB2312" w:eastAsia="楷体_GB2312" w:cs="楷体_GB2312"/>
          <w:sz w:val="32"/>
          <w:szCs w:val="32"/>
        </w:rPr>
      </w:pPr>
    </w:p>
    <w:p w14:paraId="71E619B0">
      <w:pPr>
        <w:jc w:val="center"/>
        <w:rPr>
          <w:rFonts w:ascii="楷体_GB2312" w:eastAsia="楷体_GB2312" w:cs="楷体_GB2312"/>
          <w:sz w:val="32"/>
          <w:szCs w:val="32"/>
        </w:rPr>
      </w:pPr>
    </w:p>
    <w:p w14:paraId="10952D79">
      <w:pPr>
        <w:jc w:val="center"/>
        <w:rPr>
          <w:rFonts w:ascii="楷体_GB2312" w:eastAsia="楷体_GB2312" w:cs="楷体_GB2312"/>
          <w:sz w:val="32"/>
          <w:szCs w:val="32"/>
        </w:rPr>
      </w:pPr>
    </w:p>
    <w:p w14:paraId="3276BCEA">
      <w:pPr>
        <w:jc w:val="center"/>
        <w:rPr>
          <w:rFonts w:ascii="楷体_GB2312" w:eastAsia="楷体_GB2312" w:cs="楷体_GB2312"/>
          <w:sz w:val="32"/>
          <w:szCs w:val="32"/>
        </w:rPr>
      </w:pPr>
    </w:p>
    <w:p w14:paraId="6CC9E62E">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705790E7">
      <w:pPr>
        <w:jc w:val="center"/>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20</w:t>
      </w:r>
      <w:r>
        <w:rPr>
          <w:rFonts w:ascii="Times New Roman" w:hAnsi="Times New Roman" w:eastAsia="楷体_GB2312"/>
          <w:sz w:val="32"/>
          <w:szCs w:val="32"/>
        </w:rPr>
        <w:t>日</w:t>
      </w:r>
    </w:p>
    <w:p w14:paraId="00FE848F">
      <w:pPr>
        <w:ind w:firstLine="1280" w:firstLineChars="400"/>
        <w:rPr>
          <w:rFonts w:ascii="楷体_GB2312" w:eastAsia="楷体_GB2312" w:cs="楷体_GB2312"/>
          <w:sz w:val="32"/>
          <w:szCs w:val="32"/>
        </w:rPr>
      </w:pPr>
    </w:p>
    <w:p w14:paraId="2590F317">
      <w:pPr>
        <w:ind w:firstLine="1760" w:firstLineChars="400"/>
        <w:rPr>
          <w:rFonts w:ascii="Times New Roman" w:hAnsi="Times New Roman" w:eastAsia="黑体"/>
          <w:sz w:val="44"/>
          <w:szCs w:val="44"/>
        </w:rPr>
      </w:pPr>
    </w:p>
    <w:p w14:paraId="615B70C8">
      <w:pPr>
        <w:ind w:firstLine="1760" w:firstLineChars="400"/>
        <w:rPr>
          <w:rFonts w:ascii="Times New Roman" w:hAnsi="Times New Roman" w:eastAsia="黑体"/>
          <w:sz w:val="44"/>
          <w:szCs w:val="44"/>
        </w:rPr>
      </w:pPr>
    </w:p>
    <w:p w14:paraId="6BF2DFF4">
      <w:pPr>
        <w:ind w:firstLine="1760" w:firstLineChars="400"/>
        <w:rPr>
          <w:rFonts w:ascii="Times New Roman" w:hAnsi="Times New Roman" w:eastAsia="黑体"/>
          <w:sz w:val="44"/>
          <w:szCs w:val="44"/>
        </w:rPr>
      </w:pPr>
    </w:p>
    <w:p w14:paraId="5E3A11E8">
      <w:pPr>
        <w:ind w:firstLine="1760" w:firstLineChars="400"/>
        <w:rPr>
          <w:rFonts w:ascii="Times New Roman" w:hAnsi="Times New Roman" w:eastAsia="黑体"/>
          <w:sz w:val="44"/>
          <w:szCs w:val="44"/>
        </w:rPr>
      </w:pPr>
    </w:p>
    <w:p w14:paraId="170325A8">
      <w:pPr>
        <w:ind w:firstLine="1760" w:firstLineChars="400"/>
        <w:rPr>
          <w:rFonts w:ascii="Times New Roman" w:hAnsi="Times New Roman" w:eastAsia="黑体"/>
          <w:sz w:val="44"/>
          <w:szCs w:val="44"/>
        </w:rPr>
      </w:pPr>
    </w:p>
    <w:p w14:paraId="73FF91BA">
      <w:pPr>
        <w:ind w:firstLine="1760" w:firstLineChars="400"/>
        <w:rPr>
          <w:rFonts w:ascii="Times New Roman" w:hAnsi="Times New Roman" w:eastAsia="黑体"/>
          <w:sz w:val="44"/>
          <w:szCs w:val="44"/>
        </w:rPr>
      </w:pPr>
    </w:p>
    <w:p w14:paraId="6D4137FA">
      <w:pPr>
        <w:ind w:firstLine="1760" w:firstLineChars="400"/>
        <w:rPr>
          <w:rFonts w:ascii="Times New Roman" w:hAnsi="Times New Roman" w:eastAsia="黑体"/>
          <w:sz w:val="44"/>
          <w:szCs w:val="44"/>
        </w:rPr>
      </w:pPr>
    </w:p>
    <w:p w14:paraId="6E35BB50">
      <w:pPr>
        <w:jc w:val="center"/>
        <w:rPr>
          <w:rFonts w:ascii="Times New Roman" w:hAnsi="Times New Roman" w:eastAsia="黑体"/>
          <w:sz w:val="52"/>
          <w:szCs w:val="52"/>
        </w:rPr>
      </w:pPr>
      <w:r>
        <w:rPr>
          <w:rFonts w:ascii="Times New Roman" w:hAnsi="Times New Roman" w:eastAsia="黑体"/>
          <w:sz w:val="52"/>
          <w:szCs w:val="52"/>
        </w:rPr>
        <w:t>目录</w:t>
      </w:r>
    </w:p>
    <w:p w14:paraId="0619B09C">
      <w:pPr>
        <w:ind w:firstLine="3080" w:firstLineChars="700"/>
        <w:rPr>
          <w:rFonts w:ascii="Times New Roman" w:hAnsi="Times New Roman" w:eastAsia="黑体"/>
          <w:sz w:val="44"/>
          <w:szCs w:val="44"/>
        </w:rPr>
      </w:pPr>
    </w:p>
    <w:p w14:paraId="1AD40F74">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6E25BAA9">
      <w:pPr>
        <w:rPr>
          <w:rFonts w:ascii="Times New Roman" w:hAnsi="Times New Roman" w:eastAsia="仿宋_GB2312"/>
          <w:sz w:val="32"/>
          <w:szCs w:val="32"/>
        </w:rPr>
      </w:pPr>
      <w:r>
        <w:rPr>
          <w:rFonts w:ascii="Times New Roman" w:hAnsi="Times New Roman" w:eastAsia="仿宋_GB2312"/>
          <w:sz w:val="32"/>
          <w:szCs w:val="32"/>
        </w:rPr>
        <w:t>（一）部门职能简介..................................................................1</w:t>
      </w:r>
    </w:p>
    <w:p w14:paraId="77934B5C">
      <w:pPr>
        <w:rPr>
          <w:rFonts w:ascii="Times New Roman" w:hAnsi="Times New Roman" w:eastAsia="仿宋_GB2312"/>
          <w:sz w:val="32"/>
          <w:szCs w:val="32"/>
        </w:rPr>
      </w:pPr>
      <w:r>
        <w:rPr>
          <w:rFonts w:ascii="Times New Roman" w:hAnsi="Times New Roman" w:eastAsia="仿宋_GB2312"/>
          <w:sz w:val="32"/>
          <w:szCs w:val="32"/>
        </w:rPr>
        <w:t>（二）202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年重点工作..............................................................1</w:t>
      </w:r>
    </w:p>
    <w:p w14:paraId="3327AC3A">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14:paraId="76975A91">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p>
    <w:p w14:paraId="49C1BB44">
      <w:pPr>
        <w:rPr>
          <w:rFonts w:ascii="Times New Roman" w:hAnsi="Times New Roman" w:eastAsia="仿宋_GB2312"/>
          <w:sz w:val="32"/>
          <w:szCs w:val="32"/>
        </w:rPr>
      </w:pPr>
      <w:r>
        <w:rPr>
          <w:rFonts w:ascii="Times New Roman" w:hAnsi="Times New Roman" w:eastAsia="黑体"/>
          <w:sz w:val="32"/>
          <w:szCs w:val="32"/>
        </w:rPr>
        <w:t>（</w:t>
      </w:r>
      <w:r>
        <w:rPr>
          <w:rFonts w:ascii="Times New Roman" w:hAnsi="Times New Roman" w:eastAsia="仿宋_GB2312"/>
          <w:sz w:val="32"/>
          <w:szCs w:val="32"/>
        </w:rPr>
        <w:t>一）收入预算情况..................................................................2</w:t>
      </w:r>
    </w:p>
    <w:p w14:paraId="1ACFF8E0">
      <w:pPr>
        <w:rPr>
          <w:rFonts w:ascii="Times New Roman" w:hAnsi="Times New Roman" w:eastAsia="黑体"/>
          <w:sz w:val="32"/>
          <w:szCs w:val="32"/>
        </w:rPr>
      </w:pPr>
      <w:r>
        <w:rPr>
          <w:rFonts w:ascii="Times New Roman" w:hAnsi="Times New Roman" w:eastAsia="仿宋_GB2312"/>
          <w:sz w:val="32"/>
          <w:szCs w:val="32"/>
        </w:rPr>
        <w:t>（二）支出预算情况..................................................................2</w:t>
      </w:r>
    </w:p>
    <w:p w14:paraId="6E3980A9">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14:paraId="6FB12582">
      <w:pPr>
        <w:rPr>
          <w:rFonts w:ascii="Times New Roman" w:hAnsi="Times New Roman" w:eastAsia="黑体"/>
          <w:sz w:val="32"/>
          <w:szCs w:val="32"/>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......................................3</w:t>
      </w:r>
    </w:p>
    <w:p w14:paraId="15234289">
      <w:pPr>
        <w:rPr>
          <w:rFonts w:ascii="Times New Roman" w:hAnsi="Times New Roman" w:eastAsia="黑体"/>
          <w:sz w:val="32"/>
          <w:szCs w:val="32"/>
        </w:rPr>
      </w:pPr>
      <w:r>
        <w:rPr>
          <w:rFonts w:ascii="Times New Roman" w:hAnsi="Times New Roman" w:eastAsia="仿宋_GB2312"/>
          <w:sz w:val="32"/>
          <w:szCs w:val="32"/>
        </w:rPr>
        <w:t>（一）一般公共预算当年拨款规模变化情况..........................3</w:t>
      </w:r>
    </w:p>
    <w:p w14:paraId="70B51685">
      <w:pPr>
        <w:rPr>
          <w:rFonts w:ascii="Times New Roman" w:hAnsi="Times New Roman" w:eastAsia="黑体"/>
          <w:sz w:val="32"/>
          <w:szCs w:val="32"/>
        </w:rPr>
      </w:pPr>
      <w:r>
        <w:rPr>
          <w:rFonts w:ascii="Times New Roman" w:hAnsi="Times New Roman" w:eastAsia="仿宋_GB2312"/>
          <w:sz w:val="32"/>
          <w:szCs w:val="32"/>
        </w:rPr>
        <w:t>（二）一般公共预算当年拨款结构情况..................................3</w:t>
      </w:r>
    </w:p>
    <w:p w14:paraId="0369918E">
      <w:pPr>
        <w:rPr>
          <w:rFonts w:ascii="Times New Roman" w:hAnsi="Times New Roman" w:eastAsia="黑体"/>
          <w:sz w:val="32"/>
          <w:szCs w:val="32"/>
        </w:rPr>
      </w:pPr>
      <w:r>
        <w:rPr>
          <w:rFonts w:ascii="Times New Roman" w:hAnsi="Times New Roman" w:eastAsia="仿宋_GB2312"/>
          <w:sz w:val="32"/>
          <w:szCs w:val="32"/>
        </w:rPr>
        <w:t>（三）一般公共预算当年拨款具体使用情况..........................3</w:t>
      </w:r>
    </w:p>
    <w:p w14:paraId="39C2A880">
      <w:pPr>
        <w:rPr>
          <w:rFonts w:ascii="Times New Roman" w:hAnsi="Times New Roman" w:eastAsia="黑体"/>
          <w:sz w:val="32"/>
          <w:szCs w:val="32"/>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......................................4</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...........................4</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八、政府性基金预算支出情况说明..........................................5</w:t>
      </w:r>
      <w:r>
        <w:rPr>
          <w:rFonts w:ascii="Times New Roman" w:hAnsi="Times New Roman" w:eastAsia="黑体"/>
          <w:sz w:val="32"/>
          <w:szCs w:val="32"/>
        </w:rPr>
        <w:br w:type="textWrapping"/>
      </w:r>
      <w:r>
        <w:rPr>
          <w:rFonts w:ascii="Times New Roman" w:hAnsi="Times New Roman" w:eastAsia="黑体"/>
          <w:sz w:val="32"/>
          <w:szCs w:val="32"/>
        </w:rPr>
        <w:t>九、其他重要事项的情况说明..................................................5</w:t>
      </w:r>
      <w:r>
        <w:rPr>
          <w:rFonts w:ascii="Times New Roman" w:hAnsi="Times New Roman" w:eastAsia="黑体"/>
          <w:sz w:val="32"/>
          <w:szCs w:val="32"/>
        </w:rPr>
        <w:br w:type="textWrapping"/>
      </w:r>
      <w:r>
        <w:rPr>
          <w:rFonts w:ascii="Times New Roman" w:hAnsi="Times New Roman" w:eastAsia="黑体"/>
          <w:sz w:val="32"/>
          <w:szCs w:val="32"/>
        </w:rPr>
        <w:t>十、名称解释...............................................................................6</w:t>
      </w:r>
    </w:p>
    <w:p w14:paraId="55D85BB0">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7F74786B">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14:paraId="2D1620C8">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14:paraId="4A1C35B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部门职能简介</w:t>
      </w:r>
    </w:p>
    <w:p w14:paraId="252B738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3724DA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年重点工作</w:t>
      </w:r>
    </w:p>
    <w:p w14:paraId="1335D4C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涉密（略）。</w:t>
      </w:r>
    </w:p>
    <w:p w14:paraId="015633B6">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14:paraId="3692073D">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一级预算单位。</w:t>
      </w:r>
    </w:p>
    <w:p w14:paraId="1452D65F">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bookmarkStart w:id="0" w:name="_GoBack"/>
      <w:bookmarkEnd w:id="0"/>
    </w:p>
    <w:p w14:paraId="42DD19A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按照综合预算的原则，州委统战部所有收入和支出均纳入部门预算管理。</w:t>
      </w:r>
    </w:p>
    <w:p w14:paraId="00D3C68B">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kern w:val="0"/>
          <w:sz w:val="32"/>
          <w:szCs w:val="32"/>
        </w:rPr>
        <w:t>州委统战部202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年收入预算</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万元，其中：上年结转0万元；一般公共预算拨款收入</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万元，占100%。</w:t>
      </w:r>
    </w:p>
    <w:p w14:paraId="0BF86C2A">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kern w:val="0"/>
          <w:sz w:val="32"/>
          <w:szCs w:val="32"/>
        </w:rPr>
        <w:t>一般公共服务支出</w:t>
      </w:r>
      <w:r>
        <w:rPr>
          <w:rFonts w:hint="eastAsia" w:ascii="Times New Roman" w:hAnsi="Times New Roman" w:eastAsia="方正仿宋_GBK" w:cs="Times New Roman"/>
          <w:kern w:val="0"/>
          <w:sz w:val="32"/>
          <w:szCs w:val="32"/>
          <w:lang w:val="en-US" w:eastAsia="zh-CN"/>
        </w:rPr>
        <w:t>1068.17</w:t>
      </w:r>
      <w:r>
        <w:rPr>
          <w:rFonts w:hint="default" w:ascii="Times New Roman" w:hAnsi="Times New Roman" w:eastAsia="方正仿宋_GBK" w:cs="Times New Roman"/>
          <w:kern w:val="0"/>
          <w:sz w:val="32"/>
          <w:szCs w:val="32"/>
        </w:rPr>
        <w:t>万元，社会保障和就业支出</w:t>
      </w:r>
      <w:r>
        <w:rPr>
          <w:rFonts w:hint="eastAsia" w:ascii="Times New Roman" w:hAnsi="Times New Roman" w:eastAsia="方正仿宋_GBK" w:cs="Times New Roman"/>
          <w:kern w:val="0"/>
          <w:sz w:val="32"/>
          <w:szCs w:val="32"/>
          <w:lang w:val="en-US" w:eastAsia="zh-CN"/>
        </w:rPr>
        <w:t>124.79</w:t>
      </w:r>
      <w:r>
        <w:rPr>
          <w:rFonts w:hint="default" w:ascii="Times New Roman" w:hAnsi="Times New Roman" w:eastAsia="方正仿宋_GBK" w:cs="Times New Roman"/>
          <w:kern w:val="0"/>
          <w:sz w:val="32"/>
          <w:szCs w:val="32"/>
        </w:rPr>
        <w:t>万元，卫生健康支出</w:t>
      </w:r>
      <w:r>
        <w:rPr>
          <w:rFonts w:hint="eastAsia" w:ascii="Times New Roman" w:hAnsi="Times New Roman" w:eastAsia="方正仿宋_GBK" w:cs="Times New Roman"/>
          <w:kern w:val="0"/>
          <w:sz w:val="32"/>
          <w:szCs w:val="32"/>
          <w:lang w:val="en-US" w:eastAsia="zh-CN"/>
        </w:rPr>
        <w:t>45.49</w:t>
      </w:r>
      <w:r>
        <w:rPr>
          <w:rFonts w:hint="default" w:ascii="Times New Roman" w:hAnsi="Times New Roman" w:eastAsia="方正仿宋_GBK" w:cs="Times New Roman"/>
          <w:kern w:val="0"/>
          <w:sz w:val="32"/>
          <w:szCs w:val="32"/>
        </w:rPr>
        <w:t>万元，住房保障支出</w:t>
      </w:r>
      <w:r>
        <w:rPr>
          <w:rFonts w:hint="eastAsia" w:ascii="Times New Roman" w:hAnsi="Times New Roman" w:eastAsia="方正仿宋_GBK" w:cs="Times New Roman"/>
          <w:kern w:val="0"/>
          <w:sz w:val="32"/>
          <w:szCs w:val="32"/>
          <w:lang w:val="en-US" w:eastAsia="zh-CN"/>
        </w:rPr>
        <w:t>60.85</w:t>
      </w:r>
      <w:r>
        <w:rPr>
          <w:rFonts w:hint="default" w:ascii="Times New Roman" w:hAnsi="Times New Roman" w:eastAsia="方正仿宋_GBK" w:cs="Times New Roman"/>
          <w:kern w:val="0"/>
          <w:sz w:val="32"/>
          <w:szCs w:val="32"/>
        </w:rPr>
        <w:t>万元。州委统战部202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年收支总预算</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万元）年收支预算总数多</w:t>
      </w:r>
      <w:r>
        <w:rPr>
          <w:rFonts w:hint="eastAsia" w:ascii="Times New Roman" w:hAnsi="Times New Roman" w:eastAsia="方正仿宋_GBK" w:cs="Times New Roman"/>
          <w:kern w:val="0"/>
          <w:sz w:val="32"/>
          <w:szCs w:val="32"/>
          <w:lang w:val="en-US" w:eastAsia="zh-CN"/>
        </w:rPr>
        <w:t>109.36</w:t>
      </w:r>
      <w:r>
        <w:rPr>
          <w:rFonts w:hint="default" w:ascii="Times New Roman" w:hAnsi="Times New Roman" w:eastAsia="方正仿宋_GBK" w:cs="Times New Roman"/>
          <w:kern w:val="0"/>
          <w:sz w:val="32"/>
          <w:szCs w:val="32"/>
        </w:rPr>
        <w:t>万元，主要原因:</w:t>
      </w:r>
      <w:r>
        <w:rPr>
          <w:rFonts w:hint="eastAsia" w:ascii="Times New Roman" w:hAnsi="Times New Roman" w:eastAsia="方正仿宋_GBK" w:cs="Times New Roman"/>
          <w:kern w:val="0"/>
          <w:sz w:val="32"/>
          <w:szCs w:val="32"/>
          <w:lang w:val="en-US" w:eastAsia="zh-CN"/>
        </w:rPr>
        <w:t>职工职务职级变动，社保基数变动，2024年</w:t>
      </w:r>
      <w:r>
        <w:rPr>
          <w:rFonts w:hint="default" w:ascii="Times New Roman" w:hAnsi="Times New Roman" w:eastAsia="方正仿宋_GBK" w:cs="Times New Roman"/>
          <w:kern w:val="0"/>
          <w:sz w:val="32"/>
          <w:szCs w:val="32"/>
        </w:rPr>
        <w:t>调入公务员</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导致</w:t>
      </w:r>
      <w:r>
        <w:rPr>
          <w:rFonts w:hint="default" w:ascii="Times New Roman" w:hAnsi="Times New Roman" w:eastAsia="方正仿宋_GBK" w:cs="Times New Roman"/>
          <w:kern w:val="0"/>
          <w:sz w:val="32"/>
          <w:szCs w:val="32"/>
        </w:rPr>
        <w:t>工资福利支出增加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项常规项目经费</w:t>
      </w:r>
      <w:r>
        <w:rPr>
          <w:rFonts w:hint="eastAsia" w:ascii="Times New Roman" w:hAnsi="Times New Roman" w:eastAsia="方正仿宋_GBK" w:cs="Times New Roman"/>
          <w:kern w:val="0"/>
          <w:sz w:val="32"/>
          <w:szCs w:val="32"/>
          <w:lang w:val="en-US" w:eastAsia="zh-CN"/>
        </w:rPr>
        <w:t>100万元，专项工作任务加重</w:t>
      </w:r>
      <w:r>
        <w:rPr>
          <w:rFonts w:hint="default" w:ascii="Times New Roman" w:hAnsi="Times New Roman" w:eastAsia="方正仿宋_GBK" w:cs="Times New Roman"/>
          <w:kern w:val="0"/>
          <w:sz w:val="32"/>
          <w:szCs w:val="32"/>
          <w:lang w:val="en-US" w:eastAsia="zh-CN"/>
        </w:rPr>
        <w:t>，相应经费增加</w:t>
      </w:r>
      <w:r>
        <w:rPr>
          <w:rFonts w:hint="default" w:ascii="Times New Roman" w:hAnsi="Times New Roman" w:eastAsia="方正仿宋_GBK" w:cs="Times New Roman"/>
          <w:kern w:val="0"/>
          <w:sz w:val="32"/>
          <w:szCs w:val="32"/>
        </w:rPr>
        <w:t>。</w:t>
      </w:r>
    </w:p>
    <w:p w14:paraId="7672609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年支出预算</w:t>
      </w:r>
      <w:r>
        <w:rPr>
          <w:rFonts w:hint="eastAsia" w:ascii="Times New Roman" w:hAnsi="Times New Roman" w:eastAsia="方正仿宋_GBK" w:cs="Times New Roman"/>
          <w:kern w:val="0"/>
          <w:sz w:val="32"/>
          <w:szCs w:val="32"/>
          <w:lang w:val="en-US" w:eastAsia="zh-CN"/>
        </w:rPr>
        <w:t>1299.29万</w:t>
      </w:r>
      <w:r>
        <w:rPr>
          <w:rFonts w:hint="default" w:ascii="Times New Roman" w:hAnsi="Times New Roman" w:eastAsia="方正仿宋_GBK" w:cs="Times New Roman"/>
          <w:kern w:val="0"/>
          <w:sz w:val="32"/>
          <w:szCs w:val="32"/>
        </w:rPr>
        <w:t>元，结转下年支出0万元，共计</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万元。其中：基本支出</w:t>
      </w:r>
      <w:r>
        <w:rPr>
          <w:rFonts w:hint="eastAsia" w:ascii="Times New Roman" w:hAnsi="Times New Roman" w:eastAsia="方正仿宋_GBK" w:cs="Times New Roman"/>
          <w:kern w:val="0"/>
          <w:sz w:val="32"/>
          <w:szCs w:val="32"/>
          <w:lang w:val="en-US" w:eastAsia="zh-CN"/>
        </w:rPr>
        <w:t>988.69</w:t>
      </w:r>
      <w:r>
        <w:rPr>
          <w:rFonts w:hint="default"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lang w:val="en-US" w:eastAsia="zh-CN"/>
        </w:rPr>
        <w:t>76.09</w:t>
      </w:r>
      <w:r>
        <w:rPr>
          <w:rFonts w:hint="default" w:ascii="Times New Roman" w:hAnsi="Times New Roman" w:eastAsia="方正仿宋_GBK" w:cs="Times New Roman"/>
          <w:kern w:val="0"/>
          <w:sz w:val="32"/>
          <w:szCs w:val="32"/>
        </w:rPr>
        <w:t>%；项目支出</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lang w:val="en-US" w:eastAsia="zh-CN"/>
        </w:rPr>
        <w:t>23.91</w:t>
      </w:r>
      <w:r>
        <w:rPr>
          <w:rFonts w:hint="default" w:ascii="Times New Roman" w:hAnsi="Times New Roman" w:eastAsia="方正仿宋_GBK" w:cs="Times New Roman"/>
          <w:kern w:val="0"/>
          <w:sz w:val="32"/>
          <w:szCs w:val="32"/>
        </w:rPr>
        <w:t>%。</w:t>
      </w:r>
    </w:p>
    <w:p w14:paraId="4E904D55">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14:paraId="5D161F0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年财政拨款收支总预算</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年财政拨款收支总预算增加</w:t>
      </w:r>
      <w:r>
        <w:rPr>
          <w:rFonts w:hint="eastAsia" w:ascii="Times New Roman" w:hAnsi="Times New Roman" w:eastAsia="方正仿宋_GBK" w:cs="Times New Roman"/>
          <w:kern w:val="0"/>
          <w:sz w:val="32"/>
          <w:szCs w:val="32"/>
          <w:lang w:val="en-US" w:eastAsia="zh-CN"/>
        </w:rPr>
        <w:t>109.36</w:t>
      </w:r>
      <w:r>
        <w:rPr>
          <w:rFonts w:hint="default" w:ascii="Times New Roman" w:hAnsi="Times New Roman" w:eastAsia="方正仿宋_GBK" w:cs="Times New Roman"/>
          <w:kern w:val="0"/>
          <w:sz w:val="32"/>
          <w:szCs w:val="32"/>
        </w:rPr>
        <w:t>万元，主要原因:</w:t>
      </w:r>
      <w:r>
        <w:rPr>
          <w:rFonts w:hint="eastAsia" w:ascii="Times New Roman" w:hAnsi="Times New Roman" w:eastAsia="方正仿宋_GBK" w:cs="Times New Roman"/>
          <w:kern w:val="0"/>
          <w:sz w:val="32"/>
          <w:szCs w:val="32"/>
          <w:lang w:val="en-US" w:eastAsia="zh-CN"/>
        </w:rPr>
        <w:t>职工职务职级变动，社保基数变动，2024年</w:t>
      </w:r>
      <w:r>
        <w:rPr>
          <w:rFonts w:hint="default" w:ascii="Times New Roman" w:hAnsi="Times New Roman" w:eastAsia="方正仿宋_GBK" w:cs="Times New Roman"/>
          <w:kern w:val="0"/>
          <w:sz w:val="32"/>
          <w:szCs w:val="32"/>
        </w:rPr>
        <w:t>调入公务员</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导致</w:t>
      </w:r>
      <w:r>
        <w:rPr>
          <w:rFonts w:hint="default" w:ascii="Times New Roman" w:hAnsi="Times New Roman" w:eastAsia="方正仿宋_GBK" w:cs="Times New Roman"/>
          <w:kern w:val="0"/>
          <w:sz w:val="32"/>
          <w:szCs w:val="32"/>
        </w:rPr>
        <w:t>工资福利支出增加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项常规项目经费</w:t>
      </w:r>
      <w:r>
        <w:rPr>
          <w:rFonts w:hint="eastAsia" w:ascii="Times New Roman" w:hAnsi="Times New Roman" w:eastAsia="方正仿宋_GBK" w:cs="Times New Roman"/>
          <w:kern w:val="0"/>
          <w:sz w:val="32"/>
          <w:szCs w:val="32"/>
          <w:lang w:val="en-US" w:eastAsia="zh-CN"/>
        </w:rPr>
        <w:t>100万元，专项工作任务加重</w:t>
      </w:r>
      <w:r>
        <w:rPr>
          <w:rFonts w:hint="default" w:ascii="Times New Roman" w:hAnsi="Times New Roman" w:eastAsia="方正仿宋_GBK" w:cs="Times New Roman"/>
          <w:kern w:val="0"/>
          <w:sz w:val="32"/>
          <w:szCs w:val="32"/>
          <w:lang w:val="en-US" w:eastAsia="zh-CN"/>
        </w:rPr>
        <w:t>，相应经费增加</w:t>
      </w:r>
      <w:r>
        <w:rPr>
          <w:rFonts w:hint="default" w:ascii="Times New Roman" w:hAnsi="Times New Roman" w:eastAsia="方正仿宋_GBK" w:cs="Times New Roman"/>
          <w:kern w:val="0"/>
          <w:sz w:val="32"/>
          <w:szCs w:val="32"/>
        </w:rPr>
        <w:t>。</w:t>
      </w:r>
    </w:p>
    <w:p w14:paraId="2B80618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收入包括：行政运行</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万元，一般行政管理事务</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万元，机关事业单位基本养老保险缴费支出</w:t>
      </w:r>
      <w:r>
        <w:rPr>
          <w:rFonts w:hint="eastAsia" w:ascii="Times New Roman" w:hAnsi="Times New Roman" w:eastAsia="方正仿宋_GBK" w:cs="Times New Roman"/>
          <w:kern w:val="0"/>
          <w:sz w:val="32"/>
          <w:szCs w:val="32"/>
          <w:lang w:val="en-US" w:eastAsia="zh-CN"/>
        </w:rPr>
        <w:t>83.19</w:t>
      </w:r>
      <w:r>
        <w:rPr>
          <w:rFonts w:hint="default" w:ascii="Times New Roman" w:hAnsi="Times New Roman" w:eastAsia="方正仿宋_GBK" w:cs="Times New Roman"/>
          <w:kern w:val="0"/>
          <w:sz w:val="32"/>
          <w:szCs w:val="32"/>
        </w:rPr>
        <w:t>万元，机关事业单位职业年金缴费支出</w:t>
      </w:r>
      <w:r>
        <w:rPr>
          <w:rFonts w:hint="eastAsia" w:ascii="Times New Roman" w:hAnsi="Times New Roman" w:eastAsia="方正仿宋_GBK" w:cs="Times New Roman"/>
          <w:kern w:val="0"/>
          <w:sz w:val="32"/>
          <w:szCs w:val="32"/>
          <w:lang w:val="en-US" w:eastAsia="zh-CN"/>
        </w:rPr>
        <w:t>41.6</w:t>
      </w:r>
      <w:r>
        <w:rPr>
          <w:rFonts w:hint="default" w:ascii="Times New Roman" w:hAnsi="Times New Roman" w:eastAsia="方正仿宋_GBK" w:cs="Times New Roman"/>
          <w:kern w:val="0"/>
          <w:sz w:val="32"/>
          <w:szCs w:val="32"/>
        </w:rPr>
        <w:t>万元，行政单位医疗</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万元，公务员医疗补助</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万元，住房公积金</w:t>
      </w:r>
      <w:r>
        <w:rPr>
          <w:rFonts w:hint="eastAsia" w:ascii="Times New Roman" w:hAnsi="Times New Roman" w:eastAsia="方正仿宋_GBK" w:cs="Times New Roman"/>
          <w:kern w:val="0"/>
          <w:sz w:val="32"/>
          <w:szCs w:val="32"/>
          <w:lang w:val="en-US" w:eastAsia="zh-CN"/>
        </w:rPr>
        <w:t>60.85</w:t>
      </w:r>
      <w:r>
        <w:rPr>
          <w:rFonts w:hint="default" w:ascii="Times New Roman" w:hAnsi="Times New Roman" w:eastAsia="方正仿宋_GBK" w:cs="Times New Roman"/>
          <w:kern w:val="0"/>
          <w:sz w:val="32"/>
          <w:szCs w:val="32"/>
        </w:rPr>
        <w:t>万元。</w:t>
      </w:r>
    </w:p>
    <w:p w14:paraId="19C07CA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支出包括：行政运行</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万元，一般行政管理事务</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万元，机关事业单位基本养老保险缴费支出</w:t>
      </w:r>
      <w:r>
        <w:rPr>
          <w:rFonts w:hint="eastAsia" w:ascii="Times New Roman" w:hAnsi="Times New Roman" w:eastAsia="方正仿宋_GBK" w:cs="Times New Roman"/>
          <w:kern w:val="0"/>
          <w:sz w:val="32"/>
          <w:szCs w:val="32"/>
          <w:lang w:val="en-US" w:eastAsia="zh-CN"/>
        </w:rPr>
        <w:t>83.19</w:t>
      </w:r>
      <w:r>
        <w:rPr>
          <w:rFonts w:hint="default" w:ascii="Times New Roman" w:hAnsi="Times New Roman" w:eastAsia="方正仿宋_GBK" w:cs="Times New Roman"/>
          <w:kern w:val="0"/>
          <w:sz w:val="32"/>
          <w:szCs w:val="32"/>
        </w:rPr>
        <w:t>万元，机关事业单位职业年金缴费支出</w:t>
      </w:r>
      <w:r>
        <w:rPr>
          <w:rFonts w:hint="eastAsia" w:ascii="Times New Roman" w:hAnsi="Times New Roman" w:eastAsia="方正仿宋_GBK" w:cs="Times New Roman"/>
          <w:kern w:val="0"/>
          <w:sz w:val="32"/>
          <w:szCs w:val="32"/>
          <w:lang w:val="en-US" w:eastAsia="zh-CN"/>
        </w:rPr>
        <w:t>41.6</w:t>
      </w:r>
      <w:r>
        <w:rPr>
          <w:rFonts w:hint="default" w:ascii="Times New Roman" w:hAnsi="Times New Roman" w:eastAsia="方正仿宋_GBK" w:cs="Times New Roman"/>
          <w:kern w:val="0"/>
          <w:sz w:val="32"/>
          <w:szCs w:val="32"/>
        </w:rPr>
        <w:t>万元，行政单位医疗</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万元，公务员医疗补助</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万元，住房公积金</w:t>
      </w:r>
      <w:r>
        <w:rPr>
          <w:rFonts w:hint="eastAsia" w:ascii="Times New Roman" w:hAnsi="Times New Roman" w:eastAsia="方正仿宋_GBK" w:cs="Times New Roman"/>
          <w:kern w:val="0"/>
          <w:sz w:val="32"/>
          <w:szCs w:val="32"/>
          <w:lang w:val="en-US" w:eastAsia="zh-CN"/>
        </w:rPr>
        <w:t>60.85</w:t>
      </w:r>
      <w:r>
        <w:rPr>
          <w:rFonts w:hint="default" w:ascii="Times New Roman" w:hAnsi="Times New Roman" w:eastAsia="方正仿宋_GBK" w:cs="Times New Roman"/>
          <w:kern w:val="0"/>
          <w:sz w:val="32"/>
          <w:szCs w:val="32"/>
        </w:rPr>
        <w:t>万元。</w:t>
      </w:r>
    </w:p>
    <w:p w14:paraId="0C74C0C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14:paraId="0FFC9F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14:paraId="08E5B22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年一般公共预算当年拨款</w:t>
      </w:r>
      <w:r>
        <w:rPr>
          <w:rFonts w:hint="eastAsia" w:ascii="Times New Roman" w:hAnsi="Times New Roman" w:eastAsia="方正仿宋_GBK" w:cs="Times New Roman"/>
          <w:kern w:val="0"/>
          <w:sz w:val="32"/>
          <w:szCs w:val="32"/>
          <w:lang w:val="en-US" w:eastAsia="zh-CN"/>
        </w:rPr>
        <w:t>1299.29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年预算数增加</w:t>
      </w:r>
      <w:r>
        <w:rPr>
          <w:rFonts w:hint="default" w:ascii="Times New Roman" w:hAnsi="Times New Roman" w:eastAsia="方正仿宋_GBK" w:cs="Times New Roman"/>
          <w:kern w:val="0"/>
          <w:sz w:val="32"/>
          <w:szCs w:val="32"/>
          <w:lang w:val="en-US" w:eastAsia="zh-CN"/>
        </w:rPr>
        <w:t>65.36</w:t>
      </w:r>
      <w:r>
        <w:rPr>
          <w:rFonts w:hint="default" w:ascii="Times New Roman" w:hAnsi="Times New Roman" w:eastAsia="方正仿宋_GBK" w:cs="Times New Roman"/>
          <w:kern w:val="0"/>
          <w:sz w:val="32"/>
          <w:szCs w:val="32"/>
        </w:rPr>
        <w:t>万元，主要原因:</w:t>
      </w:r>
      <w:r>
        <w:rPr>
          <w:rFonts w:hint="eastAsia" w:ascii="Times New Roman" w:hAnsi="Times New Roman" w:eastAsia="方正仿宋_GBK" w:cs="Times New Roman"/>
          <w:kern w:val="0"/>
          <w:sz w:val="32"/>
          <w:szCs w:val="32"/>
          <w:lang w:val="en-US" w:eastAsia="zh-CN"/>
        </w:rPr>
        <w:t>职工职务职级变动，社保基数变动，2024年</w:t>
      </w:r>
      <w:r>
        <w:rPr>
          <w:rFonts w:hint="default" w:ascii="Times New Roman" w:hAnsi="Times New Roman" w:eastAsia="方正仿宋_GBK" w:cs="Times New Roman"/>
          <w:kern w:val="0"/>
          <w:sz w:val="32"/>
          <w:szCs w:val="32"/>
        </w:rPr>
        <w:t>调入公务员</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导致</w:t>
      </w:r>
      <w:r>
        <w:rPr>
          <w:rFonts w:hint="default" w:ascii="Times New Roman" w:hAnsi="Times New Roman" w:eastAsia="方正仿宋_GBK" w:cs="Times New Roman"/>
          <w:kern w:val="0"/>
          <w:sz w:val="32"/>
          <w:szCs w:val="32"/>
        </w:rPr>
        <w:t>工资福利支出增加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项常规项目经费</w:t>
      </w:r>
      <w:r>
        <w:rPr>
          <w:rFonts w:hint="eastAsia" w:ascii="Times New Roman" w:hAnsi="Times New Roman" w:eastAsia="方正仿宋_GBK" w:cs="Times New Roman"/>
          <w:kern w:val="0"/>
          <w:sz w:val="32"/>
          <w:szCs w:val="32"/>
          <w:lang w:val="en-US" w:eastAsia="zh-CN"/>
        </w:rPr>
        <w:t>100万元，专项工作任务加重</w:t>
      </w:r>
      <w:r>
        <w:rPr>
          <w:rFonts w:hint="default" w:ascii="Times New Roman" w:hAnsi="Times New Roman" w:eastAsia="方正仿宋_GBK" w:cs="Times New Roman"/>
          <w:kern w:val="0"/>
          <w:sz w:val="32"/>
          <w:szCs w:val="32"/>
          <w:lang w:val="en-US" w:eastAsia="zh-CN"/>
        </w:rPr>
        <w:t>，相应经费增加</w:t>
      </w:r>
      <w:r>
        <w:rPr>
          <w:rFonts w:hint="default" w:ascii="Times New Roman" w:hAnsi="Times New Roman" w:eastAsia="方正仿宋_GBK" w:cs="Times New Roman"/>
          <w:kern w:val="0"/>
          <w:sz w:val="32"/>
          <w:szCs w:val="32"/>
        </w:rPr>
        <w:t>。</w:t>
      </w:r>
    </w:p>
    <w:p w14:paraId="1BD4576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一般公共预算当年拨款结构情况</w:t>
      </w:r>
    </w:p>
    <w:p w14:paraId="6A0FB4F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一般公共服务支出</w:t>
      </w:r>
      <w:r>
        <w:rPr>
          <w:rFonts w:hint="eastAsia" w:ascii="Times New Roman" w:hAnsi="Times New Roman" w:eastAsia="方正仿宋_GBK" w:cs="Times New Roman"/>
          <w:kern w:val="0"/>
          <w:sz w:val="32"/>
          <w:szCs w:val="32"/>
          <w:lang w:val="en-US" w:eastAsia="zh-CN"/>
        </w:rPr>
        <w:t>1068.17</w:t>
      </w:r>
      <w:r>
        <w:rPr>
          <w:rFonts w:hint="default"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lang w:val="en-US" w:eastAsia="zh-CN"/>
        </w:rPr>
        <w:t>82.21</w:t>
      </w:r>
      <w:r>
        <w:rPr>
          <w:rFonts w:hint="default" w:ascii="Times New Roman" w:hAnsi="Times New Roman" w:eastAsia="方正仿宋_GBK" w:cs="Times New Roman"/>
          <w:kern w:val="0"/>
          <w:sz w:val="32"/>
          <w:szCs w:val="32"/>
        </w:rPr>
        <w:t>%；社会保障和就业支出</w:t>
      </w:r>
      <w:r>
        <w:rPr>
          <w:rFonts w:hint="eastAsia" w:ascii="Times New Roman" w:hAnsi="Times New Roman" w:eastAsia="方正仿宋_GBK" w:cs="Times New Roman"/>
          <w:kern w:val="0"/>
          <w:sz w:val="32"/>
          <w:szCs w:val="32"/>
          <w:lang w:val="en-US" w:eastAsia="zh-CN"/>
        </w:rPr>
        <w:t>124.79</w:t>
      </w:r>
      <w:r>
        <w:rPr>
          <w:rFonts w:hint="default"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lang w:val="en-US" w:eastAsia="zh-CN"/>
        </w:rPr>
        <w:t>9.61</w:t>
      </w:r>
      <w:r>
        <w:rPr>
          <w:rFonts w:hint="default" w:ascii="Times New Roman" w:hAnsi="Times New Roman" w:eastAsia="方正仿宋_GBK" w:cs="Times New Roman"/>
          <w:kern w:val="0"/>
          <w:sz w:val="32"/>
          <w:szCs w:val="32"/>
        </w:rPr>
        <w:t>%；医疗卫生与计划生育支出</w:t>
      </w:r>
      <w:r>
        <w:rPr>
          <w:rFonts w:hint="eastAsia" w:ascii="Times New Roman" w:hAnsi="Times New Roman" w:eastAsia="方正仿宋_GBK" w:cs="Times New Roman"/>
          <w:kern w:val="0"/>
          <w:sz w:val="32"/>
          <w:szCs w:val="32"/>
          <w:lang w:val="en-US" w:eastAsia="zh-CN"/>
        </w:rPr>
        <w:t>45.49</w:t>
      </w:r>
      <w:r>
        <w:rPr>
          <w:rFonts w:hint="default"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lang w:val="en-US" w:eastAsia="zh-CN"/>
        </w:rPr>
        <w:t>3.50</w:t>
      </w:r>
      <w:r>
        <w:rPr>
          <w:rFonts w:hint="default" w:ascii="Times New Roman" w:hAnsi="Times New Roman" w:eastAsia="方正仿宋_GBK" w:cs="Times New Roman"/>
          <w:kern w:val="0"/>
          <w:sz w:val="32"/>
          <w:szCs w:val="32"/>
        </w:rPr>
        <w:t>%；住房保障支出</w:t>
      </w:r>
      <w:r>
        <w:rPr>
          <w:rFonts w:hint="eastAsia" w:ascii="Times New Roman" w:hAnsi="Times New Roman" w:eastAsia="方正仿宋_GBK" w:cs="Times New Roman"/>
          <w:kern w:val="0"/>
          <w:sz w:val="32"/>
          <w:szCs w:val="32"/>
          <w:lang w:val="en-US" w:eastAsia="zh-CN"/>
        </w:rPr>
        <w:t>60.85</w:t>
      </w:r>
      <w:r>
        <w:rPr>
          <w:rFonts w:hint="default" w:ascii="Times New Roman" w:hAnsi="Times New Roman" w:eastAsia="方正仿宋_GBK" w:cs="Times New Roman"/>
          <w:kern w:val="0"/>
          <w:sz w:val="32"/>
          <w:szCs w:val="32"/>
        </w:rPr>
        <w:t>万元，占4.</w:t>
      </w:r>
      <w:r>
        <w:rPr>
          <w:rFonts w:hint="eastAsia" w:ascii="Times New Roman" w:hAnsi="Times New Roman" w:eastAsia="方正仿宋_GBK" w:cs="Times New Roman"/>
          <w:kern w:val="0"/>
          <w:sz w:val="32"/>
          <w:szCs w:val="32"/>
          <w:lang w:val="en-US" w:eastAsia="zh-CN"/>
        </w:rPr>
        <w:t>68</w:t>
      </w:r>
      <w:r>
        <w:rPr>
          <w:rFonts w:hint="default" w:ascii="Times New Roman" w:hAnsi="Times New Roman" w:eastAsia="方正仿宋_GBK" w:cs="Times New Roman"/>
          <w:kern w:val="0"/>
          <w:sz w:val="32"/>
          <w:szCs w:val="32"/>
        </w:rPr>
        <w:t>%。</w:t>
      </w:r>
    </w:p>
    <w:p w14:paraId="256BE5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（三）一般公共预算当年拨款具体使用情况</w:t>
      </w:r>
    </w:p>
    <w:p w14:paraId="149F385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1．一般公共服务统战事务行政运行经费（2013401）202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万元，主要用于:人员经费及日常公用经费支出。</w:t>
      </w:r>
    </w:p>
    <w:p w14:paraId="159A2E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2.一般公共服务统战事务一般行政管理事务经费（2013402）202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万元，主要用于:</w:t>
      </w:r>
      <w:r>
        <w:rPr>
          <w:rFonts w:hint="default" w:ascii="Times New Roman" w:hAnsi="Times New Roman" w:eastAsia="方正仿宋_GBK" w:cs="Times New Roman"/>
          <w:kern w:val="0"/>
          <w:sz w:val="32"/>
          <w:szCs w:val="32"/>
          <w:lang w:val="en-US" w:eastAsia="zh-CN"/>
        </w:rPr>
        <w:t>日常</w:t>
      </w:r>
      <w:r>
        <w:rPr>
          <w:rFonts w:hint="default" w:ascii="Times New Roman" w:hAnsi="Times New Roman" w:eastAsia="方正仿宋_GBK" w:cs="Times New Roman"/>
          <w:kern w:val="0"/>
          <w:sz w:val="32"/>
          <w:szCs w:val="32"/>
        </w:rPr>
        <w:t>工作运转类项目经费支出、会议、培训和慰问支出。</w:t>
      </w:r>
    </w:p>
    <w:p w14:paraId="6A7AA665">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3.机关事业单位基本养老保险缴费（2080505）202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83.19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主要用于：单位缴纳职工基本养老保险</w:t>
      </w:r>
      <w:r>
        <w:rPr>
          <w:rFonts w:hint="default" w:ascii="Times New Roman" w:hAnsi="Times New Roman" w:eastAsia="方正仿宋_GBK" w:cs="Times New Roman"/>
          <w:kern w:val="0"/>
          <w:sz w:val="32"/>
          <w:szCs w:val="32"/>
        </w:rPr>
        <w:t>。</w:t>
      </w:r>
    </w:p>
    <w:p w14:paraId="4A1F63A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4.机关事业单位职业年金缴费（2080506）202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41.6</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主要用于：单位缴纳职工职业年金</w:t>
      </w:r>
      <w:r>
        <w:rPr>
          <w:rFonts w:hint="default" w:ascii="Times New Roman" w:hAnsi="Times New Roman" w:eastAsia="方正仿宋_GBK" w:cs="Times New Roman"/>
          <w:kern w:val="0"/>
          <w:sz w:val="32"/>
          <w:szCs w:val="32"/>
        </w:rPr>
        <w:t>。</w:t>
      </w:r>
    </w:p>
    <w:p w14:paraId="6E84A24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5.行政单位医疗（2101101）202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主要用于：单位缴纳职工基本医疗保险</w:t>
      </w:r>
      <w:r>
        <w:rPr>
          <w:rFonts w:hint="default" w:ascii="Times New Roman" w:hAnsi="Times New Roman" w:eastAsia="方正仿宋_GBK" w:cs="Times New Roman"/>
          <w:kern w:val="0"/>
          <w:sz w:val="32"/>
          <w:szCs w:val="32"/>
        </w:rPr>
        <w:t>。</w:t>
      </w:r>
    </w:p>
    <w:p w14:paraId="23CC712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6.公务员医疗补助（2101103）202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主要用于：单位缴纳职工公务员医疗补助</w:t>
      </w:r>
      <w:r>
        <w:rPr>
          <w:rFonts w:hint="default" w:ascii="Times New Roman" w:hAnsi="Times New Roman" w:eastAsia="方正仿宋_GBK" w:cs="Times New Roman"/>
          <w:kern w:val="0"/>
          <w:sz w:val="32"/>
          <w:szCs w:val="32"/>
        </w:rPr>
        <w:t>。</w:t>
      </w:r>
    </w:p>
    <w:p w14:paraId="72BBFF5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7.住房公积金（2210201）2024年预算数为</w:t>
      </w:r>
      <w:r>
        <w:rPr>
          <w:rFonts w:hint="eastAsia" w:ascii="Times New Roman" w:hAnsi="Times New Roman" w:eastAsia="方正仿宋_GBK" w:cs="Times New Roman"/>
          <w:kern w:val="0"/>
          <w:sz w:val="32"/>
          <w:szCs w:val="32"/>
          <w:lang w:val="en-US" w:eastAsia="zh-CN"/>
        </w:rPr>
        <w:t>60.85</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主要用于：单位按规定比例为职工缴纳住房公积金</w:t>
      </w:r>
      <w:r>
        <w:rPr>
          <w:rFonts w:hint="default" w:ascii="Times New Roman" w:hAnsi="Times New Roman" w:eastAsia="方正仿宋_GBK" w:cs="Times New Roman"/>
          <w:kern w:val="0"/>
          <w:sz w:val="32"/>
          <w:szCs w:val="32"/>
        </w:rPr>
        <w:t>。</w:t>
      </w:r>
    </w:p>
    <w:p w14:paraId="7BB98AE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14:paraId="250D326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年一般公共预算基本支出</w:t>
      </w:r>
      <w:r>
        <w:rPr>
          <w:rFonts w:hint="eastAsia" w:ascii="Times New Roman" w:hAnsi="Times New Roman" w:eastAsia="方正仿宋_GBK" w:cs="Times New Roman"/>
          <w:kern w:val="0"/>
          <w:sz w:val="32"/>
          <w:szCs w:val="32"/>
          <w:lang w:val="en-US" w:eastAsia="zh-CN"/>
        </w:rPr>
        <w:t>988.69</w:t>
      </w:r>
      <w:r>
        <w:rPr>
          <w:rFonts w:hint="default" w:ascii="Times New Roman" w:hAnsi="Times New Roman" w:eastAsia="方正仿宋_GBK" w:cs="Times New Roman"/>
          <w:kern w:val="0"/>
          <w:sz w:val="32"/>
          <w:szCs w:val="32"/>
        </w:rPr>
        <w:t>万元，其中：人员经费</w:t>
      </w:r>
      <w:r>
        <w:rPr>
          <w:rFonts w:hint="eastAsia" w:ascii="Times New Roman" w:hAnsi="Times New Roman" w:eastAsia="方正仿宋_GBK" w:cs="Times New Roman"/>
          <w:kern w:val="0"/>
          <w:sz w:val="32"/>
          <w:szCs w:val="32"/>
          <w:lang w:val="en-US" w:eastAsia="zh-CN"/>
        </w:rPr>
        <w:t>849.62</w:t>
      </w:r>
      <w:r>
        <w:rPr>
          <w:rFonts w:hint="default" w:ascii="Times New Roman" w:hAnsi="Times New Roman" w:eastAsia="方正仿宋_GBK" w:cs="Times New Roman"/>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54C5848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公用经费</w:t>
      </w:r>
      <w:r>
        <w:rPr>
          <w:rFonts w:hint="eastAsia" w:ascii="Times New Roman" w:hAnsi="Times New Roman" w:eastAsia="方正仿宋_GBK" w:cs="Times New Roman"/>
          <w:kern w:val="0"/>
          <w:sz w:val="32"/>
          <w:szCs w:val="32"/>
          <w:lang w:val="en-US" w:eastAsia="zh-CN"/>
        </w:rPr>
        <w:t>139.06</w:t>
      </w:r>
      <w:r>
        <w:rPr>
          <w:rFonts w:hint="default" w:ascii="Times New Roman" w:hAnsi="Times New Roman" w:eastAsia="方正仿宋_GBK" w:cs="Times New Roman"/>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4084F293">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14:paraId="31481ECD">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年“三公”经费财政拨款预算数</w:t>
      </w:r>
      <w:r>
        <w:rPr>
          <w:rFonts w:hint="eastAsia" w:ascii="Times New Roman" w:hAnsi="Times New Roman" w:eastAsia="方正仿宋_GBK" w:cs="Times New Roman"/>
          <w:kern w:val="0"/>
          <w:sz w:val="32"/>
          <w:szCs w:val="32"/>
          <w:lang w:val="en-US" w:eastAsia="zh-CN"/>
        </w:rPr>
        <w:t>100.11</w:t>
      </w:r>
      <w:r>
        <w:rPr>
          <w:rFonts w:hint="default" w:ascii="Times New Roman" w:hAnsi="Times New Roman" w:eastAsia="方正仿宋_GBK" w:cs="Times New Roman"/>
          <w:kern w:val="0"/>
          <w:sz w:val="32"/>
          <w:szCs w:val="32"/>
        </w:rPr>
        <w:t>万元，其中：因公出国（境）经费0万元，公务接待费</w:t>
      </w:r>
      <w:r>
        <w:rPr>
          <w:rFonts w:hint="eastAsia" w:ascii="Times New Roman" w:hAnsi="Times New Roman" w:eastAsia="方正仿宋_GBK" w:cs="Times New Roman"/>
          <w:kern w:val="0"/>
          <w:sz w:val="32"/>
          <w:szCs w:val="32"/>
          <w:lang w:val="en-US" w:eastAsia="zh-CN"/>
        </w:rPr>
        <w:t>2.51</w:t>
      </w:r>
      <w:r>
        <w:rPr>
          <w:rFonts w:hint="default" w:ascii="Times New Roman" w:hAnsi="Times New Roman" w:eastAsia="方正仿宋_GBK" w:cs="Times New Roman"/>
          <w:kern w:val="0"/>
          <w:sz w:val="32"/>
          <w:szCs w:val="32"/>
        </w:rPr>
        <w:t>万元，公务用车购置及运行维护费</w:t>
      </w:r>
      <w:r>
        <w:rPr>
          <w:rFonts w:hint="eastAsia" w:ascii="Times New Roman" w:hAnsi="Times New Roman" w:eastAsia="方正仿宋_GBK" w:cs="Times New Roman"/>
          <w:kern w:val="0"/>
          <w:sz w:val="32"/>
          <w:szCs w:val="32"/>
          <w:lang w:val="en-US" w:eastAsia="zh-CN"/>
        </w:rPr>
        <w:t>97.6</w:t>
      </w:r>
      <w:r>
        <w:rPr>
          <w:rFonts w:hint="default" w:ascii="Times New Roman" w:hAnsi="Times New Roman" w:eastAsia="方正仿宋_GBK" w:cs="Times New Roman"/>
          <w:kern w:val="0"/>
          <w:sz w:val="32"/>
          <w:szCs w:val="32"/>
        </w:rPr>
        <w:t>万元。</w:t>
      </w:r>
    </w:p>
    <w:p w14:paraId="339B67CB">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年因公出国（境）经费0万元。</w:t>
      </w:r>
    </w:p>
    <w:p w14:paraId="027B6681">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（二）202</w:t>
      </w:r>
      <w:r>
        <w:rPr>
          <w:rFonts w:hint="eastAsia" w:ascii="Times New Roman" w:hAnsi="Times New Roman" w:eastAsia="方正楷体_GBK" w:cs="Times New Roman"/>
          <w:b/>
          <w:bCs/>
          <w:kern w:val="2"/>
          <w:sz w:val="32"/>
          <w:szCs w:val="32"/>
          <w:lang w:val="en-US" w:eastAsia="zh-CN" w:bidi="ar-SA"/>
        </w:rPr>
        <w:t>5</w:t>
      </w:r>
      <w:r>
        <w:rPr>
          <w:rFonts w:hint="default" w:ascii="Times New Roman" w:hAnsi="Times New Roman" w:eastAsia="方正楷体_GBK" w:cs="Times New Roman"/>
          <w:b/>
          <w:bCs/>
          <w:kern w:val="2"/>
          <w:sz w:val="32"/>
          <w:szCs w:val="32"/>
          <w:lang w:val="en-US" w:eastAsia="zh-CN" w:bidi="ar-SA"/>
        </w:rPr>
        <w:t>年公务接待经费</w:t>
      </w:r>
      <w:r>
        <w:rPr>
          <w:rFonts w:hint="eastAsia" w:ascii="Times New Roman" w:hAnsi="Times New Roman" w:eastAsia="方正楷体_GBK" w:cs="Times New Roman"/>
          <w:b/>
          <w:bCs/>
          <w:kern w:val="2"/>
          <w:sz w:val="32"/>
          <w:szCs w:val="32"/>
          <w:lang w:val="en-US" w:eastAsia="zh-CN" w:bidi="ar-SA"/>
        </w:rPr>
        <w:t>2.51</w:t>
      </w:r>
      <w:r>
        <w:rPr>
          <w:rFonts w:hint="default" w:ascii="Times New Roman" w:hAnsi="Times New Roman" w:eastAsia="方正楷体_GBK" w:cs="Times New Roman"/>
          <w:b/>
          <w:bCs/>
          <w:kern w:val="2"/>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较202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年预算经费</w:t>
      </w:r>
      <w:r>
        <w:rPr>
          <w:rFonts w:hint="eastAsia" w:ascii="Times New Roman" w:hAnsi="Times New Roman" w:eastAsia="方正仿宋_GBK" w:cs="Times New Roman"/>
          <w:kern w:val="0"/>
          <w:sz w:val="32"/>
          <w:szCs w:val="32"/>
          <w:lang w:val="en-US" w:eastAsia="zh-CN" w:bidi="ar-SA"/>
        </w:rPr>
        <w:t>减少8.43</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减少77.06</w:t>
      </w:r>
      <w:r>
        <w:rPr>
          <w:rFonts w:hint="default" w:ascii="Times New Roman" w:hAnsi="Times New Roman" w:eastAsia="方正仿宋_GBK" w:cs="Times New Roman"/>
          <w:kern w:val="0"/>
          <w:sz w:val="32"/>
          <w:szCs w:val="32"/>
          <w:lang w:val="en-US" w:eastAsia="zh-CN" w:bidi="ar-SA"/>
        </w:rPr>
        <w:t>%，增加主要原因</w:t>
      </w:r>
      <w:r>
        <w:rPr>
          <w:rFonts w:hint="eastAsia" w:ascii="Times New Roman" w:hAnsi="Times New Roman" w:eastAsia="方正仿宋_GBK" w:cs="Times New Roman"/>
          <w:kern w:val="0"/>
          <w:sz w:val="32"/>
          <w:szCs w:val="32"/>
          <w:lang w:val="en-US" w:eastAsia="zh-CN" w:bidi="ar-SA"/>
        </w:rPr>
        <w:t>为厉行节约，减少接待支出</w:t>
      </w:r>
      <w:r>
        <w:rPr>
          <w:rFonts w:hint="default" w:ascii="Times New Roman" w:hAnsi="Times New Roman" w:eastAsia="方正仿宋_GBK" w:cs="Times New Roman"/>
          <w:kern w:val="0"/>
          <w:sz w:val="32"/>
          <w:szCs w:val="32"/>
          <w:lang w:val="en-US" w:eastAsia="zh-CN" w:bidi="ar-SA"/>
        </w:rPr>
        <w:t>。</w:t>
      </w:r>
    </w:p>
    <w:p w14:paraId="545E8899">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（三）202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年公务用车购置及运行维护费</w:t>
      </w:r>
      <w:r>
        <w:rPr>
          <w:rFonts w:hint="eastAsia" w:ascii="Times New Roman" w:hAnsi="Times New Roman" w:eastAsia="方正楷体_GBK" w:cs="Times New Roman"/>
          <w:b/>
          <w:bCs/>
          <w:sz w:val="32"/>
          <w:szCs w:val="32"/>
          <w:lang w:val="en-US" w:eastAsia="zh-CN"/>
        </w:rPr>
        <w:t>97.6</w:t>
      </w:r>
      <w:r>
        <w:rPr>
          <w:rFonts w:hint="default" w:ascii="Times New Roman" w:hAnsi="Times New Roman" w:eastAsia="方正楷体_GBK" w:cs="Times New Roman"/>
          <w:b/>
          <w:bCs/>
          <w:sz w:val="32"/>
          <w:szCs w:val="32"/>
        </w:rPr>
        <w:t>万元。</w:t>
      </w:r>
      <w:r>
        <w:rPr>
          <w:rFonts w:hint="default" w:ascii="Times New Roman" w:hAnsi="Times New Roman" w:eastAsia="方正仿宋_GBK" w:cs="Times New Roman"/>
          <w:kern w:val="0"/>
          <w:sz w:val="32"/>
          <w:szCs w:val="32"/>
          <w:lang w:val="en-US" w:eastAsia="zh-CN" w:bidi="ar-SA"/>
        </w:rPr>
        <w:t>较202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年预算经费减少</w:t>
      </w:r>
      <w:r>
        <w:rPr>
          <w:rFonts w:hint="eastAsia" w:ascii="Times New Roman" w:hAnsi="Times New Roman" w:eastAsia="方正仿宋_GBK" w:cs="Times New Roman"/>
          <w:kern w:val="0"/>
          <w:sz w:val="32"/>
          <w:szCs w:val="32"/>
          <w:lang w:val="en-US" w:eastAsia="zh-CN" w:bidi="ar-SA"/>
        </w:rPr>
        <w:t>25</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增加34.43</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，增加主要原因是2025年专项工作任务繁重，出差增加，相应公务用车运行维护费增加</w:t>
      </w:r>
      <w:r>
        <w:rPr>
          <w:rFonts w:hint="default" w:ascii="Times New Roman" w:hAnsi="Times New Roman" w:eastAsia="方正仿宋_GBK" w:cs="Times New Roman"/>
          <w:kern w:val="0"/>
          <w:sz w:val="32"/>
          <w:szCs w:val="32"/>
          <w:lang w:val="en-US" w:eastAsia="zh-CN" w:bidi="ar-SA"/>
        </w:rPr>
        <w:t>。</w:t>
      </w:r>
    </w:p>
    <w:p w14:paraId="0D014718">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14:paraId="6821C57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年政府性基金预算拨款安排的支出0万元。较202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年预算经费增加0万元，增长0%。</w:t>
      </w:r>
    </w:p>
    <w:p w14:paraId="4188E48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九、其他重要事项的情况说明</w:t>
      </w:r>
    </w:p>
    <w:p w14:paraId="6535A287">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（一）机关运行经费</w:t>
      </w:r>
      <w:r>
        <w:rPr>
          <w:rFonts w:hint="default" w:ascii="Times New Roman" w:hAnsi="Times New Roman" w:eastAsia="楷体_GB2312"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eastAsia="方正仿宋_GBK" w:cs="Times New Roman"/>
          <w:kern w:val="0"/>
          <w:sz w:val="32"/>
          <w:szCs w:val="32"/>
          <w:lang w:val="en-US" w:eastAsia="zh-CN" w:bidi="ar-SA"/>
        </w:rPr>
        <w:t>2024年机关运行经费财政拨款预算为</w:t>
      </w:r>
      <w:r>
        <w:rPr>
          <w:rFonts w:hint="eastAsia" w:ascii="Times New Roman" w:hAnsi="Times New Roman" w:eastAsia="方正仿宋_GBK" w:cs="Times New Roman"/>
          <w:kern w:val="0"/>
          <w:sz w:val="32"/>
          <w:szCs w:val="32"/>
          <w:lang w:val="en-US" w:eastAsia="zh-CN" w:bidi="ar-SA"/>
        </w:rPr>
        <w:t>139.06</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较</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年预算</w:t>
      </w:r>
      <w:r>
        <w:rPr>
          <w:rFonts w:hint="eastAsia" w:ascii="Times New Roman" w:hAnsi="Times New Roman" w:eastAsia="方正仿宋_GBK" w:cs="Times New Roman"/>
          <w:kern w:val="0"/>
          <w:sz w:val="32"/>
          <w:szCs w:val="32"/>
          <w:lang w:val="en-US" w:eastAsia="zh-CN" w:bidi="ar-SA"/>
        </w:rPr>
        <w:t>减少1.02</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减少</w:t>
      </w:r>
      <w:r>
        <w:rPr>
          <w:rFonts w:hint="default" w:ascii="Times New Roman" w:hAnsi="Times New Roman" w:eastAsia="方正仿宋_GBK" w:cs="Times New Roman"/>
          <w:kern w:val="0"/>
          <w:sz w:val="32"/>
          <w:szCs w:val="32"/>
          <w:lang w:val="en-US" w:eastAsia="zh-CN" w:bidi="ar-SA"/>
        </w:rPr>
        <w:t>加</w:t>
      </w:r>
      <w:r>
        <w:rPr>
          <w:rFonts w:hint="eastAsia" w:ascii="Times New Roman" w:hAnsi="Times New Roman" w:eastAsia="方正仿宋_GBK" w:cs="Times New Roman"/>
          <w:kern w:val="0"/>
          <w:sz w:val="32"/>
          <w:szCs w:val="32"/>
          <w:lang w:val="en-US" w:eastAsia="zh-CN" w:bidi="ar-SA"/>
        </w:rPr>
        <w:t>0.73</w:t>
      </w:r>
      <w:r>
        <w:rPr>
          <w:rFonts w:hint="default" w:ascii="Times New Roman" w:hAnsi="Times New Roman" w:eastAsia="方正仿宋_GBK" w:cs="Times New Roman"/>
          <w:kern w:val="0"/>
          <w:sz w:val="32"/>
          <w:szCs w:val="32"/>
          <w:lang w:val="en-US" w:eastAsia="zh-CN" w:bidi="ar-SA"/>
        </w:rPr>
        <w:t>%。主要原因是</w:t>
      </w:r>
      <w:r>
        <w:rPr>
          <w:rFonts w:hint="eastAsia" w:ascii="Times New Roman" w:hAnsi="Times New Roman" w:eastAsia="方正仿宋_GBK" w:cs="Times New Roman"/>
          <w:kern w:val="0"/>
          <w:sz w:val="32"/>
          <w:szCs w:val="32"/>
          <w:lang w:val="en-US" w:eastAsia="zh-CN" w:bidi="ar-SA"/>
        </w:rPr>
        <w:t>厉行节约，压减经费</w:t>
      </w:r>
      <w:r>
        <w:rPr>
          <w:rFonts w:hint="default" w:ascii="Times New Roman" w:hAnsi="Times New Roman" w:eastAsia="方正仿宋_GBK" w:cs="Times New Roman"/>
          <w:kern w:val="0"/>
          <w:sz w:val="32"/>
          <w:szCs w:val="32"/>
          <w:lang w:val="en-US" w:eastAsia="zh-CN" w:bidi="ar-SA"/>
        </w:rPr>
        <w:t>。</w:t>
      </w:r>
    </w:p>
    <w:p w14:paraId="65EA5946">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（二）政府采购情况</w:t>
      </w:r>
      <w:r>
        <w:rPr>
          <w:rFonts w:hint="default" w:ascii="Times New Roman" w:hAnsi="Times New Roman" w:eastAsia="方正楷体_GBK" w:cs="Times New Roman"/>
          <w:b/>
          <w:bCs/>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年安排政府采购预算</w:t>
      </w:r>
      <w:r>
        <w:rPr>
          <w:rFonts w:hint="eastAsia" w:ascii="Times New Roman" w:hAnsi="Times New Roman" w:eastAsia="方正仿宋_GBK" w:cs="Times New Roman"/>
          <w:kern w:val="0"/>
          <w:sz w:val="32"/>
          <w:szCs w:val="32"/>
          <w:lang w:val="en-US" w:eastAsia="zh-CN" w:bidi="ar-SA"/>
        </w:rPr>
        <w:t>0</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2025年无采购预算安排</w:t>
      </w:r>
      <w:r>
        <w:rPr>
          <w:rFonts w:hint="default" w:ascii="Times New Roman" w:hAnsi="Times New Roman" w:eastAsia="方正仿宋_GBK" w:cs="Times New Roman"/>
          <w:kern w:val="0"/>
          <w:sz w:val="32"/>
          <w:szCs w:val="32"/>
          <w:lang w:val="en-US" w:eastAsia="zh-CN" w:bidi="ar-SA"/>
        </w:rPr>
        <w:t>。</w:t>
      </w:r>
    </w:p>
    <w:p w14:paraId="7785A417">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1B1F4FBC">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截至202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年12月31日，我单位固定资产</w:t>
      </w:r>
      <w:r>
        <w:rPr>
          <w:rFonts w:hint="eastAsia" w:ascii="Times New Roman" w:hAnsi="Times New Roman" w:eastAsia="方正仿宋_GBK" w:cs="Times New Roman"/>
          <w:kern w:val="0"/>
          <w:sz w:val="32"/>
          <w:szCs w:val="32"/>
          <w:lang w:val="en-US" w:eastAsia="zh-CN"/>
        </w:rPr>
        <w:t>604.90</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新增固定资产19.68万元</w:t>
      </w:r>
      <w:r>
        <w:rPr>
          <w:rFonts w:hint="default" w:ascii="Times New Roman" w:hAnsi="Times New Roman" w:eastAsia="方正仿宋_GBK" w:cs="Times New Roman"/>
          <w:kern w:val="0"/>
          <w:sz w:val="32"/>
          <w:szCs w:val="32"/>
        </w:rPr>
        <w:t>。</w:t>
      </w:r>
    </w:p>
    <w:p w14:paraId="12ADB5F3">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lang w:val="en-US" w:eastAsia="zh-CN"/>
        </w:rPr>
        <w:t>四</w:t>
      </w:r>
      <w:r>
        <w:rPr>
          <w:rFonts w:hint="eastAsia"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绩效目标设置情况</w:t>
      </w:r>
      <w:r>
        <w:rPr>
          <w:rFonts w:hint="default" w:ascii="Times New Roman" w:hAnsi="Times New Roman" w:eastAsia="楷体_GB2312"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K" w:cs="Times New Roman"/>
          <w:kern w:val="0"/>
          <w:sz w:val="32"/>
          <w:szCs w:val="32"/>
          <w:lang w:val="en-US" w:eastAsia="zh-CN" w:bidi="ar-SA"/>
        </w:rPr>
        <w:t>　202</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年通用项目和专用项目均按要求实行绩效目标管理，涉及一般公共预算当年拨款</w:t>
      </w:r>
      <w:r>
        <w:rPr>
          <w:rFonts w:hint="eastAsia" w:ascii="Times New Roman" w:hAnsi="Times New Roman" w:eastAsia="方正仿宋_GBK" w:cs="Times New Roman"/>
          <w:kern w:val="0"/>
          <w:sz w:val="32"/>
          <w:szCs w:val="32"/>
          <w:lang w:val="en-US" w:eastAsia="zh-CN" w:bidi="ar-SA"/>
        </w:rPr>
        <w:t>310.6</w:t>
      </w:r>
      <w:r>
        <w:rPr>
          <w:rFonts w:hint="default" w:ascii="Times New Roman" w:hAnsi="Times New Roman" w:eastAsia="方正仿宋_GBK" w:cs="Times New Roman"/>
          <w:kern w:val="0"/>
          <w:sz w:val="32"/>
          <w:szCs w:val="32"/>
          <w:lang w:val="en-US" w:eastAsia="zh-CN" w:bidi="ar-SA"/>
        </w:rPr>
        <w:t>万元。</w:t>
      </w:r>
    </w:p>
    <w:p w14:paraId="684AD688">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十、名称解释 </w:t>
      </w:r>
    </w:p>
    <w:p w14:paraId="4E43894C">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（一）财政拨款收入：</w:t>
      </w:r>
      <w:r>
        <w:rPr>
          <w:rFonts w:hint="default" w:ascii="Times New Roman" w:hAnsi="Times New Roman" w:eastAsia="方正仿宋_GBK" w:cs="Times New Roman"/>
          <w:kern w:val="0"/>
          <w:sz w:val="32"/>
          <w:szCs w:val="32"/>
          <w:lang w:val="en-US" w:eastAsia="zh-CN" w:bidi="ar-SA"/>
        </w:rPr>
        <w:t>指由财政拨款形成的部门收入。按现行管理制度，部门预算中反映的财政拨款仅包括一般公共预算拨款和政府性基金预算拨款。</w:t>
      </w:r>
    </w:p>
    <w:p w14:paraId="7D60670C">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（二）事业收入：</w:t>
      </w:r>
      <w:r>
        <w:rPr>
          <w:rFonts w:hint="default" w:ascii="Times New Roman" w:hAnsi="Times New Roman" w:eastAsia="方正仿宋_GBK" w:cs="Times New Roman"/>
          <w:kern w:val="0"/>
          <w:sz w:val="32"/>
          <w:szCs w:val="32"/>
          <w:lang w:val="en-US" w:eastAsia="zh-CN" w:bidi="ar-SA"/>
        </w:rPr>
        <w:t>指所属事业单位开展专业业务活动及辅助活动所取得的收入。</w:t>
      </w:r>
    </w:p>
    <w:p w14:paraId="3EEF0F36">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（三）事业单位经营收入</w:t>
      </w:r>
      <w:r>
        <w:rPr>
          <w:rFonts w:hint="default" w:ascii="Times New Roman" w:hAnsi="Times New Roman" w:eastAsia="楷体_GB2312" w:cs="Times New Roman"/>
          <w:kern w:val="2"/>
          <w:sz w:val="32"/>
          <w:szCs w:val="32"/>
        </w:rPr>
        <w:t>：</w:t>
      </w:r>
      <w:r>
        <w:rPr>
          <w:rFonts w:hint="default" w:ascii="Times New Roman" w:hAnsi="Times New Roman" w:eastAsia="方正仿宋_GBK" w:cs="Times New Roman"/>
          <w:kern w:val="0"/>
          <w:sz w:val="32"/>
          <w:szCs w:val="32"/>
          <w:lang w:val="en-US" w:eastAsia="zh-CN" w:bidi="ar-SA"/>
        </w:rPr>
        <w:t>指所属事业单位在专业业务活动及其辅助活动之外开展非独立核算经营活动取得的收入。</w:t>
      </w:r>
    </w:p>
    <w:p w14:paraId="10C923A9">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（四）其他收入：</w:t>
      </w:r>
      <w:r>
        <w:rPr>
          <w:rFonts w:hint="default" w:ascii="Times New Roman" w:hAnsi="Times New Roman" w:eastAsia="方正仿宋_GBK" w:cs="Times New Roman"/>
          <w:kern w:val="0"/>
          <w:sz w:val="32"/>
          <w:szCs w:val="32"/>
          <w:lang w:val="en-US" w:eastAsia="zh-CN" w:bidi="ar-SA"/>
        </w:rPr>
        <w:t>指除上述“财政拨款收入”、“事业收入”、“事业单位经营收入”等以外的收入，主要是所属行政事业单位按规定动用的售房收入、存款利息收入等。</w:t>
      </w:r>
    </w:p>
    <w:p w14:paraId="422321EA">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（五）用事业基金弥补收支差额：</w:t>
      </w:r>
      <w:r>
        <w:rPr>
          <w:rFonts w:hint="default" w:ascii="Times New Roman" w:hAnsi="Times New Roman" w:eastAsia="方正仿宋_GBK" w:cs="Times New Roman"/>
          <w:kern w:val="0"/>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14:paraId="3804A61B">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pPr>
      <w:r>
        <w:rPr>
          <w:rFonts w:hint="default" w:ascii="Times New Roman" w:hAnsi="Times New Roman" w:eastAsia="方正楷体_GBK" w:cs="Times New Roman"/>
          <w:b/>
          <w:bCs/>
          <w:sz w:val="32"/>
          <w:szCs w:val="32"/>
        </w:rPr>
        <w:t>（六）上年结转：</w:t>
      </w:r>
      <w:r>
        <w:rPr>
          <w:rFonts w:hint="default" w:ascii="Times New Roman" w:hAnsi="Times New Roman" w:eastAsia="方正仿宋_GBK" w:cs="Times New Roman"/>
          <w:kern w:val="0"/>
          <w:sz w:val="32"/>
          <w:szCs w:val="32"/>
          <w:lang w:val="en-US" w:eastAsia="zh-CN" w:bidi="ar-SA"/>
        </w:rPr>
        <w:t>指所属行政事业单位以前年度尚未完成、结转至本年按原规定用途继续使用的资金和以前年度已完成项目剩余资金经批准用于新用途使用的资金。</w:t>
      </w: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9C3B">
    <w:pPr>
      <w:pStyle w:val="5"/>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35B295CE">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fX2QrAw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pgESgzTeOHH37+Of/4d&#10;//4kV9Ge3kGJVffuzk8jQBi1Do3X8Y8qyJAsPZwtFUMgHCcXi8UyR7M5LhVXebGcR87sstl5CB+F&#10;1SSCinq8sWQk23+GMJaeSuJZxt5KpXCelcqQvqLvl8US6RkmscEEINQO1YBpE82j+kizYdCRPcMw&#10;gFWyHq9fyyCiNuxKGfxFxaPGiMKwHXAxwq2tD+gWPh7stLP+ByU9RqeiBl8KJeqTwZuJKTsBfwLb&#10;E2CG48aKYqMj/BDGNO6cl22HvPPUN7ibXUCtyYLL2VN3GIbU7hTcmLbH41R1eaz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fX2QrAwIAAPQDAAAOAAAAAAAAAAEAIAAAACABAABkcnMvZTJv&#10;RG9jLnhtbFBLBQYAAAAABgAGAFkBAACVBQAAAAA=&#10;">
              <v:fill on="f" focussize="0,0"/>
              <v:stroke on="f" joinstyle="miter"/>
              <v:imagedata o:title=""/>
              <o:lock v:ext="edit" aspectratio="f"/>
              <v:textbox inset="0mm,0mm,0mm,0mm" style="mso-fit-shape-to-text:t;">
                <w:txbxContent>
                  <w:p w14:paraId="35B295CE">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B24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xNzk4ZDQ5NGYxNzMxMTcwNDQ2N2U0ZDQwZDdjYzgifQ=="/>
  </w:docVars>
  <w:rsids>
    <w:rsidRoot w:val="00000000"/>
    <w:rsid w:val="0BE612D4"/>
    <w:rsid w:val="0C5E4C9F"/>
    <w:rsid w:val="1D813BCE"/>
    <w:rsid w:val="1E42455A"/>
    <w:rsid w:val="27BB5B99"/>
    <w:rsid w:val="29975169"/>
    <w:rsid w:val="2A9767DF"/>
    <w:rsid w:val="2B3250EF"/>
    <w:rsid w:val="2C4604BD"/>
    <w:rsid w:val="32B12FF1"/>
    <w:rsid w:val="386E5121"/>
    <w:rsid w:val="397B6A50"/>
    <w:rsid w:val="39E92015"/>
    <w:rsid w:val="3E3948D0"/>
    <w:rsid w:val="4451255A"/>
    <w:rsid w:val="557E1425"/>
    <w:rsid w:val="55D84FEE"/>
    <w:rsid w:val="5B064E51"/>
    <w:rsid w:val="626D0121"/>
    <w:rsid w:val="66F94C6A"/>
    <w:rsid w:val="67005B4F"/>
    <w:rsid w:val="696438EC"/>
    <w:rsid w:val="73294318"/>
    <w:rsid w:val="74685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3043</Words>
  <Characters>4352</Characters>
  <Lines>183</Lines>
  <Paragraphs>69</Paragraphs>
  <TotalTime>44</TotalTime>
  <ScaleCrop>false</ScaleCrop>
  <LinksUpToDate>false</LinksUpToDate>
  <CharactersWithSpaces>4360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陈延枫</cp:lastModifiedBy>
  <dcterms:modified xsi:type="dcterms:W3CDTF">2025-02-26T02:56:28Z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4921BF7ACC6D42AEB7E5BE61115F5411</vt:lpwstr>
  </property>
  <property fmtid="{D5CDD505-2E9C-101B-9397-08002B2CF9AE}" pid="4" name="KSOTemplateDocerSaveRecord">
    <vt:lpwstr>eyJoZGlkIjoiMDExNzk4ZDQ5NGYxNzMxMTcwNDQ2N2U0ZDQwZDdjYzgiLCJ1c2VySWQiOiIxMTc5MTM2MzkzIn0=</vt:lpwstr>
  </property>
</Properties>
</file>