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EDAA1">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420" w:firstLineChars="200"/>
        <w:jc w:val="both"/>
        <w:textAlignment w:val="auto"/>
        <w:rPr>
          <w:rFonts w:hint="default" w:ascii="Times New Roman" w:hAnsi="Times New Roman" w:eastAsia="方正仿宋_GBK" w:cs="Times New Roman"/>
          <w:color w:val="auto"/>
        </w:rPr>
      </w:pPr>
    </w:p>
    <w:p w14:paraId="6EB6604D">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420" w:firstLineChars="200"/>
        <w:jc w:val="both"/>
        <w:textAlignment w:val="auto"/>
        <w:rPr>
          <w:rFonts w:hint="default" w:ascii="Times New Roman" w:hAnsi="Times New Roman" w:eastAsia="方正仿宋_GBK" w:cs="Times New Roman"/>
          <w:color w:val="auto"/>
        </w:rPr>
      </w:pPr>
    </w:p>
    <w:p w14:paraId="4EAB4A35">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420" w:firstLineChars="200"/>
        <w:jc w:val="both"/>
        <w:textAlignment w:val="auto"/>
        <w:rPr>
          <w:rFonts w:hint="default" w:ascii="Times New Roman" w:hAnsi="Times New Roman" w:eastAsia="方正仿宋_GBK" w:cs="Times New Roman"/>
          <w:color w:val="auto"/>
        </w:rPr>
      </w:pPr>
    </w:p>
    <w:p w14:paraId="73D8714E">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420" w:firstLineChars="200"/>
        <w:jc w:val="both"/>
        <w:textAlignment w:val="auto"/>
        <w:rPr>
          <w:rFonts w:hint="default" w:ascii="Times New Roman" w:hAnsi="Times New Roman" w:eastAsia="方正仿宋_GBK" w:cs="Times New Roman"/>
          <w:color w:val="auto"/>
        </w:rPr>
      </w:pPr>
    </w:p>
    <w:p w14:paraId="78C2669A">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420" w:firstLineChars="200"/>
        <w:jc w:val="both"/>
        <w:textAlignment w:val="auto"/>
        <w:rPr>
          <w:rFonts w:hint="default" w:ascii="Times New Roman" w:hAnsi="Times New Roman" w:eastAsia="方正仿宋_GBK" w:cs="Times New Roman"/>
          <w:color w:val="auto"/>
        </w:rPr>
      </w:pPr>
    </w:p>
    <w:p w14:paraId="7D574437">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880" w:firstLineChars="200"/>
        <w:jc w:val="center"/>
        <w:textAlignment w:val="auto"/>
        <w:rPr>
          <w:rFonts w:hint="default" w:ascii="Times New Roman" w:hAnsi="Times New Roman" w:eastAsia="黑体" w:cs="Times New Roman"/>
          <w:color w:val="auto"/>
          <w:sz w:val="44"/>
          <w:szCs w:val="44"/>
        </w:rPr>
      </w:pPr>
    </w:p>
    <w:p w14:paraId="32154A33">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880" w:firstLineChars="200"/>
        <w:jc w:val="center"/>
        <w:textAlignment w:val="auto"/>
        <w:rPr>
          <w:rFonts w:hint="default" w:ascii="Times New Roman" w:hAnsi="Times New Roman" w:eastAsia="黑体" w:cs="Times New Roman"/>
          <w:color w:val="auto"/>
          <w:sz w:val="44"/>
          <w:szCs w:val="44"/>
        </w:rPr>
      </w:pPr>
    </w:p>
    <w:p w14:paraId="2EB288AA">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880" w:firstLineChars="200"/>
        <w:jc w:val="center"/>
        <w:textAlignment w:val="auto"/>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lang w:val="en-US" w:eastAsia="zh-CN"/>
        </w:rPr>
        <w:t>中共阿坝州委州直属机关工作委员会</w:t>
      </w:r>
    </w:p>
    <w:p w14:paraId="09D6D4A6">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880" w:firstLineChars="200"/>
        <w:jc w:val="center"/>
        <w:textAlignment w:val="auto"/>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2026年部门预算</w:t>
      </w:r>
    </w:p>
    <w:p w14:paraId="5C2FBCF9">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880" w:firstLineChars="200"/>
        <w:jc w:val="both"/>
        <w:textAlignment w:val="auto"/>
        <w:rPr>
          <w:rFonts w:hint="default" w:ascii="Times New Roman" w:hAnsi="Times New Roman" w:eastAsia="黑体" w:cs="Times New Roman"/>
          <w:color w:val="auto"/>
          <w:sz w:val="44"/>
          <w:szCs w:val="44"/>
        </w:rPr>
      </w:pPr>
    </w:p>
    <w:p w14:paraId="5D85A30D">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880" w:firstLineChars="200"/>
        <w:jc w:val="both"/>
        <w:textAlignment w:val="auto"/>
        <w:rPr>
          <w:rFonts w:hint="default" w:ascii="Times New Roman" w:hAnsi="Times New Roman" w:eastAsia="黑体" w:cs="Times New Roman"/>
          <w:color w:val="auto"/>
          <w:sz w:val="44"/>
          <w:szCs w:val="44"/>
        </w:rPr>
      </w:pPr>
    </w:p>
    <w:p w14:paraId="53EB4EDF">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880" w:firstLineChars="200"/>
        <w:jc w:val="both"/>
        <w:textAlignment w:val="auto"/>
        <w:rPr>
          <w:rFonts w:hint="default" w:ascii="Times New Roman" w:hAnsi="Times New Roman" w:eastAsia="黑体" w:cs="Times New Roman"/>
          <w:color w:val="auto"/>
          <w:sz w:val="44"/>
          <w:szCs w:val="44"/>
        </w:rPr>
      </w:pPr>
    </w:p>
    <w:p w14:paraId="53B9F2E6">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880" w:firstLineChars="200"/>
        <w:jc w:val="both"/>
        <w:textAlignment w:val="auto"/>
        <w:rPr>
          <w:rFonts w:hint="default" w:ascii="Times New Roman" w:hAnsi="Times New Roman" w:eastAsia="黑体" w:cs="Times New Roman"/>
          <w:color w:val="auto"/>
          <w:sz w:val="44"/>
          <w:szCs w:val="44"/>
        </w:rPr>
      </w:pPr>
    </w:p>
    <w:p w14:paraId="37181ED7">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880" w:firstLineChars="200"/>
        <w:jc w:val="both"/>
        <w:textAlignment w:val="auto"/>
        <w:rPr>
          <w:rFonts w:hint="default" w:ascii="Times New Roman" w:hAnsi="Times New Roman" w:eastAsia="黑体" w:cs="Times New Roman"/>
          <w:color w:val="auto"/>
          <w:sz w:val="44"/>
          <w:szCs w:val="44"/>
        </w:rPr>
      </w:pPr>
    </w:p>
    <w:p w14:paraId="7EF22503">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880" w:firstLineChars="200"/>
        <w:jc w:val="both"/>
        <w:textAlignment w:val="auto"/>
        <w:rPr>
          <w:rFonts w:hint="default" w:ascii="Times New Roman" w:hAnsi="Times New Roman" w:eastAsia="黑体" w:cs="Times New Roman"/>
          <w:color w:val="auto"/>
          <w:sz w:val="44"/>
          <w:szCs w:val="44"/>
        </w:rPr>
      </w:pPr>
    </w:p>
    <w:p w14:paraId="1ACBA59D">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p>
    <w:p w14:paraId="3A5AAE22">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1920" w:firstLineChars="600"/>
        <w:jc w:val="both"/>
        <w:textAlignment w:val="auto"/>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已经保密审查、内容审定，同意对外公开</w:t>
      </w:r>
    </w:p>
    <w:p w14:paraId="31EA8CB6">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6" w:lineRule="exact"/>
        <w:ind w:left="0" w:leftChars="0" w:firstLine="640" w:firstLineChars="200"/>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报送时间：2026年1月2</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日</w:t>
      </w:r>
    </w:p>
    <w:p w14:paraId="32B1081A">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880" w:firstLineChars="200"/>
        <w:jc w:val="both"/>
        <w:textAlignment w:val="auto"/>
        <w:rPr>
          <w:rFonts w:hint="default" w:ascii="Times New Roman" w:hAnsi="Times New Roman" w:eastAsia="黑体" w:cs="Times New Roman"/>
          <w:color w:val="auto"/>
          <w:sz w:val="44"/>
          <w:szCs w:val="44"/>
          <w:lang w:val="en-US" w:eastAsia="zh-CN"/>
        </w:rPr>
      </w:pPr>
    </w:p>
    <w:p w14:paraId="3CC7F066">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880" w:firstLineChars="200"/>
        <w:jc w:val="both"/>
        <w:textAlignment w:val="auto"/>
        <w:rPr>
          <w:rFonts w:hint="default" w:ascii="Times New Roman" w:hAnsi="Times New Roman" w:eastAsia="黑体" w:cs="Times New Roman"/>
          <w:color w:val="auto"/>
          <w:sz w:val="44"/>
          <w:szCs w:val="44"/>
        </w:rPr>
      </w:pPr>
    </w:p>
    <w:p w14:paraId="30FF5B04">
      <w:pPr>
        <w:pStyle w:val="2"/>
        <w:rPr>
          <w:rFonts w:hint="default"/>
        </w:rPr>
      </w:pPr>
    </w:p>
    <w:p w14:paraId="0E00EB79">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880" w:firstLineChars="200"/>
        <w:jc w:val="both"/>
        <w:textAlignment w:val="auto"/>
        <w:rPr>
          <w:rFonts w:hint="default" w:ascii="Times New Roman" w:hAnsi="Times New Roman" w:eastAsia="黑体" w:cs="Times New Roman"/>
          <w:sz w:val="44"/>
          <w:szCs w:val="44"/>
        </w:rPr>
      </w:pPr>
    </w:p>
    <w:p w14:paraId="7D1279F3">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1040" w:firstLineChars="200"/>
        <w:jc w:val="both"/>
        <w:textAlignment w:val="auto"/>
        <w:rPr>
          <w:rFonts w:hint="default" w:eastAsia="方正仿宋_GBK"/>
        </w:rPr>
      </w:pPr>
      <w:r>
        <w:rPr>
          <w:rFonts w:hint="default" w:ascii="Times New Roman" w:hAnsi="Times New Roman" w:eastAsia="黑体" w:cs="Times New Roman"/>
          <w:sz w:val="52"/>
          <w:szCs w:val="52"/>
        </w:rPr>
        <w:t>目录</w:t>
      </w:r>
    </w:p>
    <w:p w14:paraId="63F6E8F6">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72321A97">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14:paraId="344C0229">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（二）2026年重点工作</w:t>
      </w:r>
    </w:p>
    <w:p w14:paraId="4FDCBA68">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14:paraId="7781B82C">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2C45B047">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（一）收入预算情况</w:t>
      </w:r>
    </w:p>
    <w:p w14:paraId="2B838338">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（二）支出预算情况</w:t>
      </w:r>
    </w:p>
    <w:p w14:paraId="5E2A3C0F">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14:paraId="079AA7C7">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1B1B6F0E">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638" w:leftChars="304" w:firstLine="0" w:firstLineChars="0"/>
        <w:jc w:val="both"/>
        <w:textAlignment w:val="auto"/>
        <w:rPr>
          <w:rFonts w:hint="default" w:ascii="Times New Roman" w:hAnsi="Times New Roman" w:eastAsia="黑体" w:cs="Times New Roman"/>
          <w:sz w:val="32"/>
          <w:szCs w:val="32"/>
        </w:rPr>
      </w:pPr>
      <w:r>
        <w:rPr>
          <w:rFonts w:hint="default" w:ascii="Times New Roman" w:hAnsi="Times New Roman" w:eastAsia="楷体" w:cs="Times New Roman"/>
          <w:sz w:val="32"/>
          <w:szCs w:val="32"/>
        </w:rPr>
        <w:t>（一）一般公共预算当年拨款规模变化情况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（二）一般公共预算当年拨款结构情况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（三）一般公共预算当年拨款具体使用情况</w:t>
      </w:r>
      <w:r>
        <w:rPr>
          <w:rFonts w:hint="default" w:ascii="Times New Roman" w:hAnsi="Times New Roman" w:eastAsia="方正仿宋_GBK" w:cs="Times New Roman"/>
          <w:kern w:val="0"/>
          <w:sz w:val="16"/>
          <w:szCs w:val="16"/>
        </w:rPr>
        <w:br w:type="textWrapping"/>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十、名称解释</w:t>
      </w:r>
    </w:p>
    <w:p w14:paraId="03E4A286">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880" w:firstLineChars="200"/>
        <w:jc w:val="both"/>
        <w:textAlignment w:val="auto"/>
        <w:rPr>
          <w:rFonts w:hint="default" w:ascii="Times New Roman" w:hAnsi="Times New Roman" w:eastAsia="黑体" w:cs="Times New Roman"/>
          <w:sz w:val="44"/>
          <w:szCs w:val="44"/>
        </w:rPr>
      </w:pPr>
    </w:p>
    <w:p w14:paraId="2DFF4C41">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6" w:lineRule="exact"/>
        <w:ind w:left="0" w:leftChars="0" w:firstLine="400" w:firstLineChars="200"/>
        <w:jc w:val="both"/>
        <w:textAlignment w:val="auto"/>
        <w:rPr>
          <w:rFonts w:hint="default" w:ascii="Times New Roman" w:hAnsi="Times New Roman" w:eastAsia="方正仿宋_GBK" w:cs="Times New Roman"/>
        </w:rPr>
      </w:pPr>
    </w:p>
    <w:p w14:paraId="189099CC">
      <w:pPr>
        <w:rPr>
          <w:rFonts w:hint="default" w:ascii="Times New Roman" w:hAnsi="Times New Roman" w:eastAsia="方正仿宋_GBK" w:cs="Times New Roman"/>
        </w:rPr>
      </w:pPr>
    </w:p>
    <w:p w14:paraId="23624D1F">
      <w:pPr>
        <w:pStyle w:val="2"/>
        <w:rPr>
          <w:rFonts w:hint="default" w:eastAsia="方正仿宋_GBK"/>
        </w:rPr>
      </w:pPr>
    </w:p>
    <w:p w14:paraId="08ED7B71">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420" w:firstLineChars="200"/>
        <w:jc w:val="both"/>
        <w:textAlignment w:val="auto"/>
        <w:rPr>
          <w:rFonts w:hint="default" w:eastAsia="方正仿宋_GBK"/>
        </w:rPr>
      </w:pPr>
    </w:p>
    <w:p w14:paraId="7C29AC98">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6CBCE591">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14:paraId="6C9F36ED">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规划州直机关党的建设，分类指导州直机关党组织抓好党的政治、思想、组织、作风、纪律、制度建设和党员的发展、教育、管理工作。</w:t>
      </w:r>
    </w:p>
    <w:p w14:paraId="02FA8694">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负责实施州直机关领导班子、领导干部的思想政治和作风建设；指导州直机关党组织加强党风廉政建设；指导州直机关各级党组织实施对党员特别是党员领导干部的监督。</w:t>
      </w:r>
    </w:p>
    <w:p w14:paraId="01C70750">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综合指导州直机关精神文明建设有关工作，承担州直机关思想、道德、文化建设工作。</w:t>
      </w:r>
    </w:p>
    <w:p w14:paraId="79F7DF41">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负责审批州直机关各部门机关党委、直属总支、支部和机关纪委的建立、领导班子的组成；负责州直机关各部门机关党委、直属总支、支部和纪委负责人的考核、任免和培训工作。</w:t>
      </w:r>
    </w:p>
    <w:p w14:paraId="65725695">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领导州直机关党的纪律检查工作，按照干部管理权限依照党章和其他党内法规履行监督、执纪、问责职责，依照监察法和有关法律规定履行监督、调查、处置职责；审理州纪委监委派驻州级党和国家机关纪检监察组审查的党组织和党员违反党纪的案件、调查的公职人员职务违法案件。</w:t>
      </w:r>
    </w:p>
    <w:p w14:paraId="76A5A854">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指导州直机关党组织抓好党员和干部的理论学习、党的路线方针政策以及科学文化业务知识的学习；组织实施州直机关党员、党务干部和入党积极分子的教育培训工作。</w:t>
      </w:r>
    </w:p>
    <w:p w14:paraId="4F485520">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指导州直机关各部门机关党组织配合行政领导做好思想政治工作、统战工作和社会稳定工作。</w:t>
      </w:r>
    </w:p>
    <w:p w14:paraId="18F03683">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领导州直机关工、青、妇等群众组织的工作。</w:t>
      </w:r>
    </w:p>
    <w:p w14:paraId="72411722">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9.负责州直部门（单位）驻村干部轮换和安排及帮扶工作队员管理服务等工作。</w:t>
      </w:r>
    </w:p>
    <w:p w14:paraId="4232B189">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完成州委交办的其他事项。</w:t>
      </w:r>
    </w:p>
    <w:p w14:paraId="08E280F7">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（二）2026年重点工作</w:t>
      </w:r>
    </w:p>
    <w:p w14:paraId="2490B7DC">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b w:val="0"/>
          <w:bCs/>
          <w:snapToGrid w:val="0"/>
          <w:kern w:val="2"/>
          <w:sz w:val="32"/>
          <w:szCs w:val="32"/>
          <w:lang w:val="en-US" w:eastAsia="zh-CN" w:bidi="ar-SA"/>
        </w:rPr>
      </w:pPr>
      <w:r>
        <w:rPr>
          <w:rFonts w:hint="default" w:ascii="Times New Roman" w:hAnsi="Times New Roman" w:eastAsia="方正仿宋_GBK" w:cs="Times New Roman"/>
          <w:b w:val="0"/>
          <w:bCs/>
          <w:snapToGrid w:val="0"/>
          <w:sz w:val="32"/>
          <w:szCs w:val="32"/>
          <w:lang w:val="en-US" w:eastAsia="zh-CN"/>
        </w:rPr>
        <w:t>坚持以“高质量机关党建推动高质量发展”为主线，紧紧围绕州委“三件大事”，突出“四个带头”，持续抓好机关党建“五大行动”，为推动阿坝典范建设提供坚强组织保证。</w:t>
      </w:r>
      <w:r>
        <w:rPr>
          <w:rFonts w:hint="default" w:ascii="Times New Roman" w:hAnsi="Times New Roman" w:eastAsia="方正楷体_GBK" w:cs="Times New Roman"/>
          <w:b w:val="0"/>
          <w:bCs/>
          <w:color w:val="auto"/>
          <w:spacing w:val="0"/>
          <w:kern w:val="2"/>
          <w:sz w:val="32"/>
          <w:szCs w:val="32"/>
          <w:u w:val="none"/>
          <w:lang w:val="en-US" w:eastAsia="zh-CN" w:bidi="ar-SA"/>
        </w:rPr>
        <w:t>一是坚持政治领航，筑牢思想根基。</w:t>
      </w:r>
      <w:r>
        <w:rPr>
          <w:rFonts w:hint="default" w:ascii="Times New Roman" w:hAnsi="Times New Roman" w:eastAsia="方正仿宋_GBK" w:cs="Times New Roman"/>
          <w:b w:val="0"/>
          <w:bCs/>
          <w:snapToGrid w:val="0"/>
          <w:sz w:val="32"/>
          <w:szCs w:val="32"/>
          <w:lang w:eastAsia="zh-CN"/>
        </w:rPr>
        <w:t>坚持</w:t>
      </w:r>
      <w:r>
        <w:rPr>
          <w:rFonts w:hint="default" w:ascii="Times New Roman" w:hAnsi="Times New Roman" w:eastAsia="方正仿宋_GBK" w:cs="Times New Roman"/>
          <w:b w:val="0"/>
          <w:bCs/>
          <w:snapToGrid w:val="0"/>
          <w:sz w:val="32"/>
          <w:szCs w:val="32"/>
        </w:rPr>
        <w:t>把党的政治建设</w:t>
      </w:r>
      <w:r>
        <w:rPr>
          <w:rFonts w:hint="default" w:ascii="Times New Roman" w:hAnsi="Times New Roman" w:eastAsia="方正仿宋_GBK" w:cs="Times New Roman"/>
          <w:b w:val="0"/>
          <w:bCs/>
          <w:snapToGrid w:val="0"/>
          <w:sz w:val="32"/>
          <w:szCs w:val="32"/>
          <w:lang w:eastAsia="zh-CN"/>
        </w:rPr>
        <w:t>摆</w:t>
      </w:r>
      <w:r>
        <w:rPr>
          <w:rFonts w:hint="default" w:ascii="Times New Roman" w:hAnsi="Times New Roman" w:eastAsia="方正仿宋_GBK" w:cs="Times New Roman"/>
          <w:b w:val="0"/>
          <w:bCs/>
          <w:snapToGrid w:val="0"/>
          <w:sz w:val="32"/>
          <w:szCs w:val="32"/>
        </w:rPr>
        <w:t>在首位，严格落实“第一议题”制度</w:t>
      </w:r>
      <w:r>
        <w:rPr>
          <w:rFonts w:hint="default" w:ascii="Times New Roman" w:hAnsi="Times New Roman" w:eastAsia="方正仿宋_GBK" w:cs="Times New Roman"/>
          <w:b w:val="0"/>
          <w:bCs/>
          <w:snapToGrid w:val="0"/>
          <w:sz w:val="32"/>
          <w:szCs w:val="32"/>
          <w:lang w:eastAsia="zh-CN"/>
        </w:rPr>
        <w:t>。</w:t>
      </w:r>
      <w:r>
        <w:rPr>
          <w:rFonts w:hint="default" w:ascii="Times New Roman" w:hAnsi="Times New Roman" w:eastAsia="方正仿宋_GBK" w:cs="Times New Roman"/>
          <w:b w:val="0"/>
          <w:bCs/>
          <w:snapToGrid w:val="0"/>
          <w:sz w:val="32"/>
          <w:szCs w:val="32"/>
        </w:rPr>
        <w:t>加强政治机关意识教育、对党忠诚教育、政治纪律教育和政治规矩教育，引导机关党员干部不断提高</w:t>
      </w:r>
      <w:bookmarkStart w:id="0" w:name="_GoBack"/>
      <w:r>
        <w:rPr>
          <w:rFonts w:hint="default" w:ascii="Times New Roman" w:hAnsi="Times New Roman" w:eastAsia="方正仿宋_GBK" w:cs="Times New Roman"/>
          <w:b w:val="0"/>
          <w:bCs/>
          <w:snapToGrid w:val="0"/>
          <w:sz w:val="32"/>
          <w:szCs w:val="32"/>
        </w:rPr>
        <w:t>政治</w:t>
      </w:r>
      <w:r>
        <w:rPr>
          <w:rFonts w:hint="default" w:ascii="Times New Roman" w:hAnsi="Times New Roman" w:eastAsia="方正仿宋_GBK" w:cs="Times New Roman"/>
          <w:b w:val="0"/>
          <w:bCs/>
          <w:snapToGrid w:val="0"/>
          <w:sz w:val="32"/>
          <w:szCs w:val="32"/>
          <w:lang w:eastAsia="zh-CN"/>
        </w:rPr>
        <w:t>“三力”</w:t>
      </w:r>
      <w:bookmarkEnd w:id="0"/>
      <w:r>
        <w:rPr>
          <w:rFonts w:hint="default" w:ascii="Times New Roman" w:hAnsi="Times New Roman" w:eastAsia="方正仿宋_GBK" w:cs="Times New Roman"/>
          <w:b w:val="0"/>
          <w:bCs/>
          <w:snapToGrid w:val="0"/>
          <w:sz w:val="32"/>
          <w:szCs w:val="32"/>
        </w:rPr>
        <w:t>。</w:t>
      </w:r>
      <w:r>
        <w:rPr>
          <w:rFonts w:hint="default" w:ascii="Times New Roman" w:hAnsi="Times New Roman" w:eastAsia="方正楷体_GBK" w:cs="Times New Roman"/>
          <w:b w:val="0"/>
          <w:bCs/>
          <w:color w:val="auto"/>
          <w:spacing w:val="0"/>
          <w:kern w:val="2"/>
          <w:sz w:val="32"/>
          <w:szCs w:val="32"/>
          <w:u w:val="none"/>
          <w:lang w:val="en-US" w:eastAsia="zh-CN" w:bidi="ar-SA"/>
        </w:rPr>
        <w:t>二是聚焦中心大局，强化党建赋能。</w:t>
      </w:r>
      <w:r>
        <w:rPr>
          <w:rFonts w:hint="default" w:ascii="Times New Roman" w:hAnsi="Times New Roman" w:eastAsia="方正仿宋_GBK" w:cs="Times New Roman"/>
          <w:b w:val="0"/>
          <w:bCs/>
          <w:snapToGrid w:val="0"/>
          <w:kern w:val="2"/>
          <w:sz w:val="32"/>
          <w:szCs w:val="32"/>
          <w:lang w:eastAsia="zh-CN" w:bidi="ar-SA"/>
        </w:rPr>
        <w:t>对标州委“1610”系统部署，</w:t>
      </w:r>
      <w:r>
        <w:rPr>
          <w:rFonts w:hint="default" w:ascii="Times New Roman" w:hAnsi="Times New Roman" w:eastAsia="方正仿宋_GBK" w:cs="Times New Roman"/>
          <w:b w:val="0"/>
          <w:bCs/>
          <w:snapToGrid w:val="0"/>
          <w:kern w:val="2"/>
          <w:sz w:val="32"/>
          <w:szCs w:val="32"/>
          <w:lang w:val="en-US" w:eastAsia="zh-CN" w:bidi="ar-SA"/>
        </w:rPr>
        <w:t>进一步</w:t>
      </w:r>
      <w:r>
        <w:rPr>
          <w:rFonts w:hint="default" w:ascii="Times New Roman" w:hAnsi="Times New Roman" w:eastAsia="方正仿宋_GBK" w:cs="Times New Roman"/>
          <w:b w:val="0"/>
          <w:bCs/>
          <w:snapToGrid w:val="0"/>
          <w:kern w:val="2"/>
          <w:sz w:val="32"/>
          <w:szCs w:val="32"/>
          <w:lang w:eastAsia="zh-CN" w:bidi="ar-SA"/>
        </w:rPr>
        <w:t>强化机关党建力量向基层下沉、为基层赋能，推动机关党建和业务工作深度融合，以高水平党建引领服务保障经济社会高质量发展，激励党员干部在服务中心大局中当先锋、打头阵</w:t>
      </w:r>
      <w:r>
        <w:rPr>
          <w:rFonts w:hint="default" w:ascii="Times New Roman" w:hAnsi="Times New Roman" w:eastAsia="方正仿宋_GBK" w:cs="Times New Roman"/>
          <w:b w:val="0"/>
          <w:bCs/>
          <w:snapToGrid w:val="0"/>
          <w:kern w:val="2"/>
          <w:sz w:val="32"/>
          <w:szCs w:val="32"/>
          <w:lang w:val="en-US" w:eastAsia="zh-CN" w:bidi="ar-SA"/>
        </w:rPr>
        <w:t>。</w:t>
      </w:r>
      <w:r>
        <w:rPr>
          <w:rFonts w:hint="default" w:ascii="Times New Roman" w:hAnsi="Times New Roman" w:eastAsia="方正楷体_GBK" w:cs="Times New Roman"/>
          <w:b w:val="0"/>
          <w:bCs/>
          <w:color w:val="auto"/>
          <w:spacing w:val="0"/>
          <w:kern w:val="2"/>
          <w:sz w:val="32"/>
          <w:szCs w:val="32"/>
          <w:u w:val="none"/>
          <w:lang w:val="en-US" w:eastAsia="zh-CN" w:bidi="ar-SA"/>
        </w:rPr>
        <w:t>三是聚力强基固本，夯实基层基础</w:t>
      </w:r>
      <w:r>
        <w:rPr>
          <w:rFonts w:hint="default" w:ascii="Times New Roman" w:hAnsi="Times New Roman" w:eastAsia="方正楷体_GBK" w:cs="Times New Roman"/>
          <w:b w:val="0"/>
          <w:bCs/>
          <w:color w:val="auto"/>
          <w:spacing w:val="0"/>
          <w:kern w:val="2"/>
          <w:sz w:val="32"/>
          <w:szCs w:val="32"/>
          <w:u w:val="none"/>
          <w:lang w:val="zh-TW" w:eastAsia="zh-CN" w:bidi="ar-SA"/>
        </w:rPr>
        <w:t>。</w:t>
      </w:r>
      <w:r>
        <w:rPr>
          <w:rFonts w:hint="default" w:ascii="Times New Roman" w:hAnsi="Times New Roman" w:eastAsia="方正仿宋_GBK" w:cs="Times New Roman"/>
          <w:b w:val="0"/>
          <w:bCs/>
          <w:snapToGrid w:val="0"/>
          <w:kern w:val="2"/>
          <w:sz w:val="32"/>
          <w:szCs w:val="32"/>
          <w:lang w:val="en-US" w:eastAsia="zh-CN" w:bidi="ar-SA"/>
        </w:rPr>
        <w:t>严格落实机关党建工作责任制，</w:t>
      </w:r>
      <w:r>
        <w:rPr>
          <w:rFonts w:hint="default" w:ascii="Times New Roman" w:hAnsi="Times New Roman" w:eastAsia="方正仿宋_GBK" w:cs="Times New Roman"/>
          <w:b w:val="0"/>
          <w:bCs/>
          <w:snapToGrid w:val="0"/>
          <w:kern w:val="2"/>
          <w:sz w:val="32"/>
          <w:szCs w:val="32"/>
          <w:lang w:val="zh-TW" w:eastAsia="zh-CN" w:bidi="ar-SA"/>
        </w:rPr>
        <w:t>持续培育“四强”党支部，</w:t>
      </w:r>
      <w:r>
        <w:rPr>
          <w:rFonts w:hint="default" w:ascii="Times New Roman" w:hAnsi="Times New Roman" w:eastAsia="方正仿宋_GBK" w:cs="Times New Roman"/>
          <w:b w:val="0"/>
          <w:bCs/>
          <w:snapToGrid w:val="0"/>
          <w:kern w:val="2"/>
          <w:sz w:val="32"/>
          <w:szCs w:val="32"/>
          <w:lang w:eastAsia="zh-CN" w:bidi="ar-SA"/>
        </w:rPr>
        <w:t>在提质扩面上下功夫，发挥示范党支部引领作用。坚持为民至上，广泛开展</w:t>
      </w:r>
      <w:r>
        <w:rPr>
          <w:rFonts w:hint="default" w:ascii="Times New Roman" w:hAnsi="Times New Roman" w:eastAsia="方正仿宋_GBK" w:cs="Times New Roman"/>
          <w:b w:val="0"/>
          <w:bCs/>
          <w:snapToGrid w:val="0"/>
          <w:kern w:val="2"/>
          <w:sz w:val="32"/>
          <w:szCs w:val="32"/>
          <w:lang w:val="en-US" w:eastAsia="zh-CN" w:bidi="ar-SA"/>
        </w:rPr>
        <w:t>“我为群众办实事”实践活动，充分发挥党组织的战斗堡垒作用和党员的先锋模范作用。</w:t>
      </w:r>
      <w:r>
        <w:rPr>
          <w:rFonts w:hint="default" w:ascii="Times New Roman" w:hAnsi="Times New Roman" w:eastAsia="方正楷体_GBK" w:cs="Times New Roman"/>
          <w:b w:val="0"/>
          <w:bCs/>
          <w:color w:val="auto"/>
          <w:spacing w:val="0"/>
          <w:kern w:val="2"/>
          <w:sz w:val="32"/>
          <w:szCs w:val="32"/>
          <w:u w:val="none"/>
          <w:lang w:val="en-US" w:eastAsia="zh-CN" w:bidi="ar-SA"/>
        </w:rPr>
        <w:t>四是深化清廉建设，着力正风肃纪。</w:t>
      </w:r>
      <w:r>
        <w:rPr>
          <w:rFonts w:hint="default" w:ascii="Times New Roman" w:hAnsi="Times New Roman" w:eastAsia="方正仿宋_GBK" w:cs="Times New Roman"/>
          <w:b w:val="0"/>
          <w:bCs/>
          <w:snapToGrid w:val="0"/>
          <w:kern w:val="2"/>
          <w:sz w:val="32"/>
          <w:szCs w:val="32"/>
          <w:lang w:val="zh-TW" w:eastAsia="zh-CN" w:bidi="ar-SA"/>
        </w:rPr>
        <w:t>认真落实党风廉政建设责任制，</w:t>
      </w:r>
      <w:r>
        <w:rPr>
          <w:rFonts w:hint="default" w:ascii="Times New Roman" w:hAnsi="Times New Roman" w:eastAsia="方正仿宋_GBK" w:cs="Times New Roman"/>
          <w:b w:val="0"/>
          <w:bCs/>
          <w:snapToGrid w:val="0"/>
          <w:kern w:val="2"/>
          <w:sz w:val="32"/>
          <w:szCs w:val="32"/>
          <w:lang w:val="en-US" w:eastAsia="zh-CN" w:bidi="ar-SA"/>
        </w:rPr>
        <w:t>聚焦“两个维护”，加强正风肃纪监督检查，</w:t>
      </w:r>
      <w:r>
        <w:rPr>
          <w:rFonts w:hint="default" w:ascii="Times New Roman" w:hAnsi="Times New Roman" w:eastAsia="方正仿宋_GBK" w:cs="Times New Roman"/>
          <w:b w:val="0"/>
          <w:bCs/>
          <w:snapToGrid w:val="0"/>
          <w:kern w:val="2"/>
          <w:sz w:val="32"/>
          <w:szCs w:val="32"/>
          <w:lang w:val="zh-TW" w:eastAsia="zh-CN" w:bidi="ar-SA"/>
        </w:rPr>
        <w:t>扎实</w:t>
      </w:r>
      <w:r>
        <w:rPr>
          <w:rFonts w:hint="default" w:ascii="Times New Roman" w:hAnsi="Times New Roman" w:eastAsia="方正仿宋_GBK" w:cs="Times New Roman"/>
          <w:b w:val="0"/>
          <w:bCs/>
          <w:snapToGrid w:val="0"/>
          <w:kern w:val="2"/>
          <w:sz w:val="32"/>
          <w:szCs w:val="32"/>
          <w:lang w:val="en-US" w:eastAsia="zh-CN" w:bidi="ar-SA"/>
        </w:rPr>
        <w:t>开展廉洁从政</w:t>
      </w:r>
      <w:r>
        <w:rPr>
          <w:rFonts w:hint="default" w:ascii="Times New Roman" w:hAnsi="Times New Roman" w:eastAsia="方正仿宋_GBK" w:cs="Times New Roman"/>
          <w:b w:val="0"/>
          <w:bCs/>
          <w:snapToGrid w:val="0"/>
          <w:kern w:val="2"/>
          <w:sz w:val="32"/>
          <w:szCs w:val="32"/>
          <w:lang w:val="zh-TW" w:eastAsia="zh-CN" w:bidi="ar-SA"/>
        </w:rPr>
        <w:t>教育，切实推动机关党员干部转作风树新风</w:t>
      </w:r>
      <w:r>
        <w:rPr>
          <w:rFonts w:hint="default" w:ascii="Times New Roman" w:hAnsi="Times New Roman" w:eastAsia="方正仿宋_GBK" w:cs="Times New Roman"/>
          <w:b w:val="0"/>
          <w:bCs/>
          <w:snapToGrid w:val="0"/>
          <w:kern w:val="2"/>
          <w:sz w:val="32"/>
          <w:szCs w:val="32"/>
          <w:lang w:val="en-US" w:eastAsia="zh-CN" w:bidi="ar-SA"/>
        </w:rPr>
        <w:t>。</w:t>
      </w:r>
    </w:p>
    <w:p w14:paraId="1AC66826">
      <w:pPr>
        <w:keepNext w:val="0"/>
        <w:keepLines w:val="0"/>
        <w:pageBreakBefore w:val="0"/>
        <w:widowControl w:val="0"/>
        <w:numPr>
          <w:ilvl w:val="0"/>
          <w:numId w:val="1"/>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部门预算单位构成</w:t>
      </w:r>
    </w:p>
    <w:p w14:paraId="12782B34">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 w:cs="Times New Roman"/>
          <w:sz w:val="32"/>
          <w:szCs w:val="32"/>
          <w:lang w:val="en-US" w:eastAsia="zh-CN"/>
        </w:rPr>
        <w:t>中共阿坝州委州直属机关工作委员会</w:t>
      </w:r>
      <w:r>
        <w:rPr>
          <w:rFonts w:hint="default" w:ascii="Times New Roman" w:hAnsi="Times New Roman" w:eastAsia="仿宋" w:cs="Times New Roman"/>
          <w:sz w:val="32"/>
          <w:szCs w:val="32"/>
        </w:rPr>
        <w:t>属一级预算单位，下属二级预算单位</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个，</w:t>
      </w:r>
      <w:r>
        <w:rPr>
          <w:rFonts w:hint="default" w:ascii="Times New Roman" w:hAnsi="Times New Roman" w:eastAsia="仿宋" w:cs="Times New Roman"/>
          <w:sz w:val="32"/>
          <w:szCs w:val="32"/>
          <w:lang w:val="en-US" w:eastAsia="zh-CN"/>
        </w:rPr>
        <w:t>为阿坝州直属机关基层帮扶工作服务中心。</w:t>
      </w:r>
    </w:p>
    <w:p w14:paraId="31101DA4">
      <w:pPr>
        <w:keepNext w:val="0"/>
        <w:keepLines w:val="0"/>
        <w:pageBreakBefore w:val="0"/>
        <w:widowControl w:val="0"/>
        <w:numPr>
          <w:ilvl w:val="0"/>
          <w:numId w:val="2"/>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收支预算情况说明</w:t>
      </w:r>
    </w:p>
    <w:p w14:paraId="26156837">
      <w:pPr>
        <w:keepNext w:val="0"/>
        <w:keepLines w:val="0"/>
        <w:pageBreakBefore w:val="0"/>
        <w:widowControl w:val="0"/>
        <w:numPr>
          <w:ilvl w:val="0"/>
          <w:numId w:val="3"/>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收入预算情况</w:t>
      </w:r>
    </w:p>
    <w:p w14:paraId="005FB462">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rPr>
      </w:pPr>
      <w:r>
        <w:rPr>
          <w:rFonts w:hint="default" w:ascii="Times New Roman" w:hAnsi="Times New Roman" w:eastAsia="仿宋" w:cs="Times New Roman"/>
          <w:sz w:val="32"/>
          <w:szCs w:val="32"/>
          <w:lang w:val="en-US" w:eastAsia="zh-CN"/>
        </w:rPr>
        <w:t>按照综合预算的原则，中共阿坝州委州直属机关工作委</w:t>
      </w:r>
      <w:r>
        <w:rPr>
          <w:rFonts w:hint="eastAsia" w:ascii="Times New Roman" w:hAnsi="Times New Roman" w:eastAsia="仿宋" w:cs="Times New Roman"/>
          <w:sz w:val="32"/>
          <w:szCs w:val="32"/>
          <w:lang w:val="en-US" w:eastAsia="zh-CN"/>
        </w:rPr>
        <w:t>员会</w:t>
      </w:r>
      <w:r>
        <w:rPr>
          <w:rFonts w:hint="default" w:ascii="Times New Roman" w:hAnsi="Times New Roman" w:eastAsia="仿宋" w:cs="Times New Roman"/>
          <w:sz w:val="32"/>
          <w:szCs w:val="32"/>
          <w:lang w:val="en-US" w:eastAsia="zh-CN"/>
        </w:rPr>
        <w:t>所有收入纳入部门预算管理。收入包括：</w:t>
      </w:r>
      <w:r>
        <w:rPr>
          <w:rFonts w:hint="eastAsia" w:ascii="Times New Roman" w:hAnsi="Times New Roman" w:eastAsia="仿宋" w:cs="Times New Roman"/>
          <w:sz w:val="32"/>
          <w:szCs w:val="32"/>
          <w:lang w:val="en-US" w:eastAsia="zh-CN"/>
        </w:rPr>
        <w:t>一般公共预算财政拨款</w:t>
      </w:r>
      <w:r>
        <w:rPr>
          <w:rFonts w:hint="default" w:ascii="Times New Roman" w:hAnsi="Times New Roman" w:eastAsia="仿宋" w:cs="Times New Roman"/>
          <w:sz w:val="32"/>
          <w:szCs w:val="32"/>
          <w:lang w:val="en-US" w:eastAsia="zh-CN"/>
        </w:rPr>
        <w:t>收入645.49万元，其他收入0万元。</w:t>
      </w:r>
    </w:p>
    <w:p w14:paraId="39EDB57B">
      <w:pPr>
        <w:keepNext w:val="0"/>
        <w:keepLines w:val="0"/>
        <w:pageBreakBefore w:val="0"/>
        <w:widowControl w:val="0"/>
        <w:numPr>
          <w:ilvl w:val="0"/>
          <w:numId w:val="3"/>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rPr>
        <w:t>支出预算情况</w:t>
      </w:r>
      <w:r>
        <w:rPr>
          <w:rFonts w:hint="default" w:ascii="Times New Roman" w:hAnsi="Times New Roman" w:eastAsia="楷体" w:cs="Times New Roman"/>
          <w:sz w:val="32"/>
          <w:szCs w:val="32"/>
          <w:lang w:val="en-US" w:eastAsia="zh-CN"/>
        </w:rPr>
        <w:t xml:space="preserve"> </w:t>
      </w:r>
    </w:p>
    <w:p w14:paraId="3195AE41">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按照综合预算的原则，中共阿坝州委州直属机关工作委</w:t>
      </w:r>
      <w:r>
        <w:rPr>
          <w:rFonts w:hint="eastAsia" w:ascii="Times New Roman" w:hAnsi="Times New Roman" w:eastAsia="仿宋" w:cs="Times New Roman"/>
          <w:sz w:val="32"/>
          <w:szCs w:val="32"/>
          <w:lang w:val="en-US" w:eastAsia="zh-CN"/>
        </w:rPr>
        <w:t>员会</w:t>
      </w:r>
      <w:r>
        <w:rPr>
          <w:rFonts w:hint="default" w:ascii="Times New Roman" w:hAnsi="Times New Roman" w:eastAsia="仿宋" w:cs="Times New Roman"/>
          <w:sz w:val="32"/>
          <w:szCs w:val="32"/>
          <w:lang w:val="en-US" w:eastAsia="zh-CN"/>
        </w:rPr>
        <w:t>所有支出均纳入部门预算管理。支出包括：一般公共服务支出512.52万元，社会保障和就业支出70.58万元，卫生健康支出26.98万元，住房保障支出35.41万元，其中基本支出568.49万元，项目支出77万元。</w:t>
      </w:r>
    </w:p>
    <w:p w14:paraId="47F54C52">
      <w:pPr>
        <w:keepNext w:val="0"/>
        <w:keepLines w:val="0"/>
        <w:pageBreakBefore w:val="0"/>
        <w:widowControl w:val="0"/>
        <w:numPr>
          <w:ilvl w:val="0"/>
          <w:numId w:val="2"/>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财政拨款收支预算情况说明</w:t>
      </w:r>
    </w:p>
    <w:p w14:paraId="1544B068">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中共阿坝州直属机关工作委员会</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年财政拨款收支总预算</w:t>
      </w:r>
      <w:r>
        <w:rPr>
          <w:rFonts w:hint="default" w:ascii="Times New Roman" w:hAnsi="Times New Roman" w:eastAsia="仿宋_GB2312" w:cs="Times New Roman"/>
          <w:sz w:val="32"/>
          <w:szCs w:val="32"/>
          <w:lang w:val="en-US" w:eastAsia="zh-CN"/>
        </w:rPr>
        <w:t>645.49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年财政拨款收支总预算</w:t>
      </w:r>
      <w:r>
        <w:rPr>
          <w:rFonts w:hint="default" w:ascii="Times New Roman" w:hAnsi="Times New Roman" w:eastAsia="仿宋_GB2312" w:cs="Times New Roman"/>
          <w:sz w:val="32"/>
          <w:szCs w:val="32"/>
          <w:lang w:val="en-US" w:eastAsia="zh-CN"/>
        </w:rPr>
        <w:t>减少57.58</w:t>
      </w:r>
      <w:r>
        <w:rPr>
          <w:rFonts w:hint="default" w:ascii="Times New Roman" w:hAnsi="Times New Roman" w:eastAsia="仿宋_GB2312" w:cs="Times New Roman"/>
          <w:sz w:val="32"/>
          <w:szCs w:val="32"/>
        </w:rPr>
        <w:t>万元，主要原因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2026年培训项目预算未安排。</w:t>
      </w:r>
    </w:p>
    <w:p w14:paraId="130088B3">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收入包括：本年</w:t>
      </w:r>
      <w:r>
        <w:rPr>
          <w:rFonts w:hint="eastAsia" w:ascii="Times New Roman" w:hAnsi="Times New Roman" w:eastAsia="仿宋_GB2312" w:cs="Times New Roman"/>
          <w:sz w:val="32"/>
          <w:szCs w:val="32"/>
          <w:lang w:val="en-US" w:eastAsia="zh-CN"/>
        </w:rPr>
        <w:t>一般公共预算财政拨款</w:t>
      </w:r>
      <w:r>
        <w:rPr>
          <w:rFonts w:hint="default" w:ascii="Times New Roman" w:hAnsi="Times New Roman" w:eastAsia="仿宋_GB2312" w:cs="Times New Roman"/>
          <w:sz w:val="32"/>
          <w:szCs w:val="32"/>
          <w:lang w:val="en-US" w:eastAsia="zh-CN"/>
        </w:rPr>
        <w:t>收入645.49万元。其中州委州直机关工委573.02万元，州基层帮扶工作服务中心72.47万元。</w:t>
      </w:r>
    </w:p>
    <w:p w14:paraId="229127B2">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支出包括：一般公共服务支出512.52万元，社会保障和就业支出70.58万元，卫生健康支出26.98万元，住房保障支出35.41万元，其中基本支出568.49万元，项目支出77万元。</w:t>
      </w:r>
    </w:p>
    <w:p w14:paraId="715B42D6">
      <w:pPr>
        <w:keepNext w:val="0"/>
        <w:keepLines w:val="0"/>
        <w:pageBreakBefore w:val="0"/>
        <w:widowControl w:val="0"/>
        <w:numPr>
          <w:ilvl w:val="0"/>
          <w:numId w:val="2"/>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一般公共预算当年拨款情况说明</w:t>
      </w:r>
    </w:p>
    <w:p w14:paraId="2F9440E3">
      <w:pPr>
        <w:keepNext w:val="0"/>
        <w:keepLines w:val="0"/>
        <w:pageBreakBefore w:val="0"/>
        <w:widowControl w:val="0"/>
        <w:numPr>
          <w:ilvl w:val="0"/>
          <w:numId w:val="4"/>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240" w:lineRule="auto"/>
        <w:ind w:left="0" w:leftChars="0"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一般公共预算当年拨款规模变化情况</w:t>
      </w:r>
    </w:p>
    <w:p w14:paraId="70A888A9">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中共阿坝州委州直属机关工作委员会2026年一般公共预算当年拨款645.49万元，比2025年预算数减少57.58万元，主要原因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2026年培训项目预算未安排。</w:t>
      </w:r>
    </w:p>
    <w:p w14:paraId="3F8EC9BA">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（二）一般公共预算当年拨款结构情况</w:t>
      </w:r>
    </w:p>
    <w:p w14:paraId="7452BE93">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一般公共服务支出512.52万元，占79.4%；社会保障和就业支出70.58万元，占10.9%；卫生健康支出26.98万元，占4.2%；住房保障支出35.41万元，占5.5%。</w:t>
      </w:r>
    </w:p>
    <w:p w14:paraId="597E07D8">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（三）一般公共预算当年拨款具体使用情况</w:t>
      </w:r>
    </w:p>
    <w:p w14:paraId="3EDC9FD7">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1.一般公共服务（201）党委办公厅（室）及相关机构事务（31）行政运行（01）：2026年预算数为392.69万元，主要用于：行政工资福利性支出、商品和服务性支出、对个人和家庭的补助支出。</w:t>
      </w:r>
    </w:p>
    <w:p w14:paraId="003D91FF">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2.一般公共服务（201）党委办公厅（室）及相关机构事务（31）一般行政管理事务（02）：2026年预算数50万元，主要用于：党建调研督导、宣传统战、州直机关“四强”的党支部建设等工作。</w:t>
      </w:r>
    </w:p>
    <w:p w14:paraId="3FD9726A">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3.一般公共服务（201）党委办公厅（室）及相关机构事务（31）一般行政管理事务（05）：2026年预算数15万元，主要用于：纪检、党建品牌创建及州县党建联动工作。</w:t>
      </w:r>
    </w:p>
    <w:p w14:paraId="545B472E">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4.一般公共服务（201）党委办公厅（室）及相关机构事务（31）事业运行（50）：2026年预算数为42.83万元，主要用于：事业工资福利性支出、商品和服务性支出、对个人和家庭的补助支出。</w:t>
      </w:r>
    </w:p>
    <w:p w14:paraId="127B2ED8">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方正仿宋_GBK" w:cs="Times New Roman"/>
          <w:kern w:val="0"/>
          <w:sz w:val="32"/>
          <w:szCs w:val="32"/>
          <w:lang w:val="en-US" w:eastAsia="zh-CN" w:bidi="ar-SA"/>
        </w:rPr>
        <w:t>5</w:t>
      </w:r>
      <w:r>
        <w:rPr>
          <w:rFonts w:hint="default" w:ascii="Times New Roman" w:hAnsi="Times New Roman" w:eastAsia="仿宋_GB2312" w:cs="Times New Roman"/>
          <w:kern w:val="0"/>
          <w:sz w:val="32"/>
          <w:szCs w:val="32"/>
          <w:lang w:val="en-US" w:eastAsia="zh-CN" w:bidi="ar-SA"/>
        </w:rPr>
        <w:t>.社会保障和就业支出（208）</w:t>
      </w:r>
      <w:r>
        <w:rPr>
          <w:rFonts w:hint="default" w:ascii="Times New Roman" w:hAnsi="Times New Roman" w:eastAsia="仿宋" w:cs="Times New Roman"/>
          <w:sz w:val="32"/>
          <w:szCs w:val="32"/>
        </w:rPr>
        <w:t>行政事业单位离退休（05）</w:t>
      </w:r>
      <w:r>
        <w:rPr>
          <w:rFonts w:hint="default" w:ascii="Times New Roman" w:hAnsi="Times New Roman" w:eastAsia="仿宋_GB2312" w:cs="Times New Roman"/>
          <w:kern w:val="0"/>
          <w:sz w:val="32"/>
          <w:szCs w:val="32"/>
          <w:lang w:val="en-US" w:eastAsia="zh-CN" w:bidi="ar-SA"/>
        </w:rPr>
        <w:t>行政机关事业单位基本养老保险缴费支出（05）：2026年预算数47.06万元，</w:t>
      </w:r>
      <w:r>
        <w:rPr>
          <w:rFonts w:hint="default" w:ascii="Times New Roman" w:hAnsi="Times New Roman" w:eastAsia="仿宋" w:cs="Times New Roman"/>
          <w:sz w:val="32"/>
          <w:szCs w:val="32"/>
        </w:rPr>
        <w:t>主要用于</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实施养老保险制度后由单位缴纳的202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年度基本养老保险费支出。</w:t>
      </w:r>
    </w:p>
    <w:p w14:paraId="1B7297C0">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kern w:val="0"/>
          <w:sz w:val="32"/>
          <w:szCs w:val="32"/>
          <w:lang w:val="en-US" w:eastAsia="zh-CN" w:bidi="ar-SA"/>
        </w:rPr>
        <w:t>6.社会保障和就业支出（208）</w:t>
      </w:r>
      <w:r>
        <w:rPr>
          <w:rFonts w:hint="default" w:ascii="Times New Roman" w:hAnsi="Times New Roman" w:eastAsia="仿宋" w:cs="Times New Roman"/>
          <w:sz w:val="32"/>
          <w:szCs w:val="32"/>
        </w:rPr>
        <w:t>行政事业单位离退休（05）</w:t>
      </w:r>
      <w:r>
        <w:rPr>
          <w:rFonts w:hint="default" w:ascii="Times New Roman" w:hAnsi="Times New Roman" w:eastAsia="仿宋_GB2312" w:cs="Times New Roman"/>
          <w:kern w:val="0"/>
          <w:sz w:val="32"/>
          <w:szCs w:val="32"/>
          <w:lang w:val="en-US" w:eastAsia="zh-CN" w:bidi="ar-SA"/>
        </w:rPr>
        <w:t>机关事业单位职业年金缴费支出（06）：2026年预算数23.52万元，</w:t>
      </w:r>
      <w:r>
        <w:rPr>
          <w:rFonts w:hint="default" w:ascii="Times New Roman" w:hAnsi="Times New Roman" w:eastAsia="仿宋" w:cs="Times New Roman"/>
          <w:sz w:val="32"/>
          <w:szCs w:val="32"/>
        </w:rPr>
        <w:t>主要用于</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实施养老保险制度后由单位缴纳的202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年度职业年金缴费支出。</w:t>
      </w:r>
    </w:p>
    <w:p w14:paraId="0BF7343B">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kern w:val="0"/>
          <w:sz w:val="32"/>
          <w:szCs w:val="32"/>
          <w:lang w:val="en-US" w:eastAsia="zh-CN" w:bidi="ar-SA"/>
        </w:rPr>
        <w:t>7.医疗卫生与计划生育支出（210）行政事业单位医疗（11）行政单位医疗（01）：2026年预算数23.24万元，主要用于：2025</w:t>
      </w:r>
      <w:r>
        <w:rPr>
          <w:rFonts w:hint="default" w:ascii="Times New Roman" w:hAnsi="Times New Roman" w:eastAsia="仿宋" w:cs="Times New Roman"/>
          <w:sz w:val="32"/>
          <w:szCs w:val="32"/>
        </w:rPr>
        <w:t>年度的医疗保险缴费支出。</w:t>
      </w:r>
    </w:p>
    <w:p w14:paraId="5FE67489">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8.医疗卫生与计划生育支出（210）行政事业单位医疗（11）事业单位（02）：2026年预算数3.10万元，主要用于：2026年度事业人员医疗缴费支出。</w:t>
      </w:r>
    </w:p>
    <w:p w14:paraId="540E2598">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9.住房保障支出（221）住房改革支出（02）住房公积金（01）：2026年预算数35.4万元，主要用于：2026年度职工住房公积金缴费支出。</w:t>
      </w:r>
    </w:p>
    <w:p w14:paraId="72B458CC">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10.卫生健康支出（210）行政事业单位医疗（11）其他行政事业单位医疗支出（99）：2026年预算数为0.65万元，主要用于2026年度事业人员的补充医疗缴费支出。</w:t>
      </w:r>
    </w:p>
    <w:p w14:paraId="6FCC2D16">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11.一般公共服务（201）党委办公厅（室）及相关机构事务（31）其他党委办公厅（室）及相关机构事务支出（99）：2026年预算数为12万元，主要用于2026年驻村工作相关支出。</w:t>
      </w:r>
    </w:p>
    <w:p w14:paraId="782C6861">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14:paraId="1B2ADB5F">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中共阿坝州委州直属机关工作委员会2026年一般公共预算基本支出568.49万元，其中：人员经费505.41万元，主要包括：基本工资、津贴补贴、奖金、其他社会保障缴费、绩效工资、机关事业单位基本养老保险缴费、职业年金缴费、其他工资福利支出、离休费、奖励金、住房公积金、其他对个人和家庭的补助支出。</w:t>
      </w:r>
    </w:p>
    <w:p w14:paraId="656F33C6">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kern w:val="2"/>
          <w:sz w:val="32"/>
          <w:szCs w:val="32"/>
          <w:lang w:val="en-US" w:eastAsia="zh-CN" w:bidi="ar-SA"/>
        </w:rPr>
        <w:t>公用经费63.08万元，主要包括：办公费、印刷费、手续费、水费、电费、邮电费、差旅费、维修（护）费、租赁费、会议费、培训费、劳务费、工会经费、福利费、其他商品和服务支出。</w:t>
      </w:r>
      <w:r>
        <w:rPr>
          <w:rFonts w:hint="default" w:ascii="Times New Roman" w:hAnsi="Times New Roman" w:eastAsia="方正仿宋_GBK" w:cs="Times New Roman"/>
          <w:kern w:val="2"/>
          <w:sz w:val="32"/>
          <w:szCs w:val="32"/>
        </w:rPr>
        <w:br w:type="textWrapping"/>
      </w:r>
      <w:r>
        <w:rPr>
          <w:rFonts w:hint="default" w:ascii="Times New Roman" w:hAnsi="Times New Roman" w:eastAsia="黑体" w:cs="Times New Roman"/>
          <w:sz w:val="32"/>
          <w:szCs w:val="32"/>
        </w:rPr>
        <w:t xml:space="preserve">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七、“三公”经费财政拨款预算安排情况说明</w:t>
      </w:r>
    </w:p>
    <w:p w14:paraId="3CCE6B6D">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中共阿坝州委州直属机关工作委</w:t>
      </w:r>
      <w:r>
        <w:rPr>
          <w:rFonts w:hint="eastAsia" w:ascii="Times New Roman" w:hAnsi="Times New Roman" w:eastAsia="仿宋_GB2312" w:cs="Times New Roman"/>
          <w:kern w:val="2"/>
          <w:sz w:val="32"/>
          <w:szCs w:val="32"/>
          <w:lang w:val="en-US" w:eastAsia="zh-CN" w:bidi="ar-SA"/>
        </w:rPr>
        <w:t>员会</w:t>
      </w:r>
      <w:r>
        <w:rPr>
          <w:rFonts w:hint="default" w:ascii="Times New Roman" w:hAnsi="Times New Roman" w:eastAsia="仿宋_GB2312" w:cs="Times New Roman"/>
          <w:kern w:val="2"/>
          <w:sz w:val="32"/>
          <w:szCs w:val="32"/>
          <w:lang w:val="en-US" w:eastAsia="zh-CN" w:bidi="ar-SA"/>
        </w:rPr>
        <w:t>2026年“三公”经费财政拨款预算数15.41万元，其中：因公出国（境）经费0万元，公务接待费1.01万元，公务用车购置及运行维护费14.4万元。</w:t>
      </w:r>
    </w:p>
    <w:p w14:paraId="3C7ED1BA">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楷体" w:hAnsi="楷体" w:eastAsia="楷体" w:cs="楷体"/>
          <w:kern w:val="2"/>
          <w:sz w:val="32"/>
          <w:szCs w:val="32"/>
          <w:lang w:val="en-US" w:eastAsia="zh-CN" w:bidi="ar-SA"/>
        </w:rPr>
        <w:t>（一）</w:t>
      </w:r>
      <w:r>
        <w:rPr>
          <w:rFonts w:hint="default" w:ascii="Times New Roman" w:hAnsi="Times New Roman" w:eastAsia="仿宋_GB2312" w:cs="Times New Roman"/>
          <w:kern w:val="2"/>
          <w:sz w:val="32"/>
          <w:szCs w:val="32"/>
          <w:lang w:val="en-US" w:eastAsia="zh-CN" w:bidi="ar-SA"/>
        </w:rPr>
        <w:t>2026年因公出国（境）经费0万元。</w:t>
      </w:r>
    </w:p>
    <w:p w14:paraId="53C21BF0">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楷体" w:hAnsi="楷体" w:eastAsia="楷体" w:cs="楷体"/>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2026年公务接待经费1.01万元。较2025年预算经费增加0.04万元，增长4.1%，主要原因2026年下属事业单位增加公务接待预算。</w:t>
      </w:r>
    </w:p>
    <w:p w14:paraId="4995565B">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楷体" w:hAnsi="楷体" w:eastAsia="楷体" w:cs="楷体"/>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2026年公务用车购置及运行维护费14.4万元</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与2025年预算经费持平。</w:t>
      </w:r>
    </w:p>
    <w:p w14:paraId="37F13193">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八、政府性基金预算支出情况说明</w:t>
      </w:r>
    </w:p>
    <w:p w14:paraId="7A6874EC">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仿宋_GB2312" w:cs="Times New Roman"/>
          <w:kern w:val="2"/>
          <w:sz w:val="32"/>
          <w:szCs w:val="32"/>
          <w:lang w:val="en-US" w:eastAsia="zh-CN" w:bidi="ar-SA"/>
        </w:rPr>
        <w:t>中共阿坝州委州直属机关工作委员会</w:t>
      </w:r>
      <w:r>
        <w:rPr>
          <w:rFonts w:hint="default" w:ascii="Times New Roman" w:hAnsi="Times New Roman" w:eastAsia="方正仿宋_GBK" w:cs="Times New Roman"/>
          <w:kern w:val="2"/>
          <w:sz w:val="32"/>
          <w:szCs w:val="32"/>
        </w:rPr>
        <w:t>2026年政府性基金预算拨款安排的支出</w:t>
      </w:r>
      <w:r>
        <w:rPr>
          <w:rFonts w:hint="default" w:ascii="Times New Roman" w:hAnsi="Times New Roman" w:eastAsia="方正仿宋_GBK" w:cs="Times New Roman"/>
          <w:kern w:val="2"/>
          <w:sz w:val="32"/>
          <w:szCs w:val="32"/>
          <w:lang w:val="en-US" w:eastAsia="zh-CN"/>
        </w:rPr>
        <w:t>0</w:t>
      </w:r>
      <w:r>
        <w:rPr>
          <w:rFonts w:hint="default" w:ascii="Times New Roman" w:hAnsi="Times New Roman" w:eastAsia="方正仿宋_GBK" w:cs="Times New Roman"/>
          <w:kern w:val="2"/>
          <w:sz w:val="32"/>
          <w:szCs w:val="32"/>
        </w:rPr>
        <w:t>万元。</w:t>
      </w:r>
    </w:p>
    <w:p w14:paraId="4973392D">
      <w:pPr>
        <w:keepNext w:val="0"/>
        <w:keepLines w:val="0"/>
        <w:pageBreakBefore w:val="0"/>
        <w:widowControl w:val="0"/>
        <w:numPr>
          <w:ilvl w:val="0"/>
          <w:numId w:val="5"/>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其他重要事项的情况说明</w:t>
      </w:r>
    </w:p>
    <w:p w14:paraId="71ABCAF8">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240" w:lineRule="auto"/>
        <w:ind w:firstLine="640" w:firstLineChars="200"/>
        <w:jc w:val="both"/>
        <w:textAlignment w:val="auto"/>
        <w:rPr>
          <w:rFonts w:hint="default" w:ascii="Times New Roman" w:hAnsi="Times New Roman" w:eastAsia="楷体" w:cs="Times New Roman"/>
          <w:kern w:val="2"/>
          <w:sz w:val="32"/>
          <w:szCs w:val="32"/>
          <w:lang w:eastAsia="zh-CN"/>
        </w:rPr>
      </w:pPr>
      <w:r>
        <w:rPr>
          <w:rFonts w:hint="eastAsia" w:ascii="Times New Roman" w:hAnsi="Times New Roman" w:eastAsia="楷体" w:cs="Times New Roman"/>
          <w:kern w:val="2"/>
          <w:sz w:val="32"/>
          <w:szCs w:val="32"/>
          <w:lang w:eastAsia="zh-CN"/>
        </w:rPr>
        <w:t>（</w:t>
      </w:r>
      <w:r>
        <w:rPr>
          <w:rFonts w:hint="eastAsia" w:ascii="Times New Roman" w:hAnsi="Times New Roman" w:eastAsia="楷体" w:cs="Times New Roman"/>
          <w:kern w:val="2"/>
          <w:sz w:val="32"/>
          <w:szCs w:val="32"/>
          <w:lang w:val="en-US" w:eastAsia="zh-CN"/>
        </w:rPr>
        <w:t>一</w:t>
      </w:r>
      <w:r>
        <w:rPr>
          <w:rFonts w:hint="eastAsia" w:ascii="Times New Roman" w:hAnsi="Times New Roman" w:eastAsia="楷体" w:cs="Times New Roman"/>
          <w:kern w:val="2"/>
          <w:sz w:val="32"/>
          <w:szCs w:val="32"/>
          <w:lang w:eastAsia="zh-CN"/>
        </w:rPr>
        <w:t>）</w:t>
      </w:r>
      <w:r>
        <w:rPr>
          <w:rFonts w:hint="default" w:ascii="Times New Roman" w:hAnsi="Times New Roman" w:eastAsia="楷体" w:cs="Times New Roman"/>
          <w:kern w:val="2"/>
          <w:sz w:val="32"/>
          <w:szCs w:val="32"/>
          <w:lang w:eastAsia="zh-CN"/>
        </w:rPr>
        <w:t>机关运行经费</w:t>
      </w:r>
    </w:p>
    <w:p w14:paraId="4BA434A8">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中共阿坝州委州直属机关工作委员会2026年机关运行经费财政拨款预算为63.08万元，与2025年</w:t>
      </w:r>
      <w:r>
        <w:rPr>
          <w:rFonts w:hint="eastAsia" w:ascii="Times New Roman" w:hAnsi="Times New Roman" w:eastAsia="仿宋_GB2312" w:cs="Times New Roman"/>
          <w:kern w:val="2"/>
          <w:sz w:val="32"/>
          <w:szCs w:val="32"/>
          <w:lang w:val="en-US" w:eastAsia="zh-CN" w:bidi="ar-SA"/>
        </w:rPr>
        <w:t>预算</w:t>
      </w:r>
      <w:r>
        <w:rPr>
          <w:rFonts w:hint="default" w:ascii="Times New Roman" w:hAnsi="Times New Roman" w:eastAsia="仿宋_GB2312" w:cs="Times New Roman"/>
          <w:kern w:val="2"/>
          <w:sz w:val="32"/>
          <w:szCs w:val="32"/>
          <w:lang w:val="en-US" w:eastAsia="zh-CN" w:bidi="ar-SA"/>
        </w:rPr>
        <w:t xml:space="preserve">持平。 </w:t>
      </w:r>
    </w:p>
    <w:p w14:paraId="1746A677">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 w:cs="Times New Roman"/>
          <w:kern w:val="2"/>
          <w:sz w:val="32"/>
          <w:szCs w:val="32"/>
          <w:lang w:eastAsia="zh-CN"/>
        </w:rPr>
        <w:t>（</w:t>
      </w:r>
      <w:r>
        <w:rPr>
          <w:rFonts w:hint="eastAsia" w:ascii="Times New Roman" w:hAnsi="Times New Roman" w:eastAsia="楷体" w:cs="Times New Roman"/>
          <w:kern w:val="2"/>
          <w:sz w:val="32"/>
          <w:szCs w:val="32"/>
          <w:lang w:val="en-US" w:eastAsia="zh-CN"/>
        </w:rPr>
        <w:t>二</w:t>
      </w:r>
      <w:r>
        <w:rPr>
          <w:rFonts w:hint="eastAsia" w:ascii="Times New Roman" w:hAnsi="Times New Roman" w:eastAsia="楷体" w:cs="Times New Roman"/>
          <w:kern w:val="2"/>
          <w:sz w:val="32"/>
          <w:szCs w:val="32"/>
          <w:lang w:eastAsia="zh-CN"/>
        </w:rPr>
        <w:t>）</w:t>
      </w:r>
      <w:r>
        <w:rPr>
          <w:rFonts w:hint="default" w:ascii="Times New Roman" w:hAnsi="Times New Roman" w:eastAsia="楷体" w:cs="Times New Roman"/>
          <w:kern w:val="2"/>
          <w:sz w:val="32"/>
          <w:szCs w:val="32"/>
        </w:rPr>
        <w:t>政府采购情况</w:t>
      </w:r>
      <w:r>
        <w:rPr>
          <w:rFonts w:hint="default" w:ascii="Times New Roman" w:hAnsi="Times New Roman" w:eastAsia="方正仿宋_GBK" w:cs="Times New Roman"/>
          <w:kern w:val="2"/>
          <w:sz w:val="32"/>
          <w:szCs w:val="32"/>
        </w:rPr>
        <w:br w:type="textWrapping"/>
      </w:r>
      <w:r>
        <w:rPr>
          <w:rFonts w:hint="default"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2026年部门（单位）安排政府采购预算0万元</w:t>
      </w:r>
      <w:r>
        <w:rPr>
          <w:rFonts w:hint="eastAsia" w:ascii="Times New Roman" w:hAnsi="Times New Roman" w:eastAsia="仿宋_GB2312" w:cs="Times New Roman"/>
          <w:kern w:val="2"/>
          <w:sz w:val="32"/>
          <w:szCs w:val="32"/>
          <w:lang w:val="en-US" w:eastAsia="zh-CN" w:bidi="ar-SA"/>
        </w:rPr>
        <w:t>。</w:t>
      </w:r>
    </w:p>
    <w:p w14:paraId="714C03A7">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楷体" w:cs="Times New Roman"/>
          <w:kern w:val="2"/>
          <w:sz w:val="32"/>
          <w:szCs w:val="32"/>
        </w:rPr>
      </w:pPr>
      <w:r>
        <w:rPr>
          <w:rFonts w:hint="eastAsia" w:ascii="Times New Roman" w:hAnsi="Times New Roman" w:eastAsia="楷体" w:cs="Times New Roman"/>
          <w:kern w:val="2"/>
          <w:sz w:val="32"/>
          <w:szCs w:val="32"/>
          <w:lang w:eastAsia="zh-CN"/>
        </w:rPr>
        <w:t>（</w:t>
      </w:r>
      <w:r>
        <w:rPr>
          <w:rFonts w:hint="eastAsia" w:ascii="Times New Roman" w:hAnsi="Times New Roman" w:eastAsia="楷体" w:cs="Times New Roman"/>
          <w:kern w:val="2"/>
          <w:sz w:val="32"/>
          <w:szCs w:val="32"/>
          <w:lang w:val="en-US" w:eastAsia="zh-CN"/>
        </w:rPr>
        <w:t>三</w:t>
      </w:r>
      <w:r>
        <w:rPr>
          <w:rFonts w:hint="eastAsia" w:ascii="Times New Roman" w:hAnsi="Times New Roman" w:eastAsia="楷体" w:cs="Times New Roman"/>
          <w:kern w:val="2"/>
          <w:sz w:val="32"/>
          <w:szCs w:val="32"/>
          <w:lang w:eastAsia="zh-CN"/>
        </w:rPr>
        <w:t>）</w:t>
      </w:r>
      <w:r>
        <w:rPr>
          <w:rFonts w:hint="default" w:ascii="Times New Roman" w:hAnsi="Times New Roman" w:eastAsia="楷体" w:cs="Times New Roman"/>
          <w:kern w:val="2"/>
          <w:sz w:val="32"/>
          <w:szCs w:val="32"/>
        </w:rPr>
        <w:t>国有资产占有使用情况</w:t>
      </w:r>
    </w:p>
    <w:p w14:paraId="68ED191D">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截至2025年12月31日，我单位固定资产210.67万元。</w:t>
      </w:r>
    </w:p>
    <w:p w14:paraId="5E19C52F">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楷体" w:cs="Times New Roman"/>
          <w:kern w:val="2"/>
          <w:sz w:val="32"/>
          <w:szCs w:val="32"/>
        </w:rPr>
      </w:pPr>
      <w:r>
        <w:rPr>
          <w:rFonts w:hint="eastAsia" w:ascii="楷体" w:hAnsi="楷体" w:eastAsia="楷体" w:cs="楷体"/>
          <w:kern w:val="2"/>
          <w:sz w:val="32"/>
          <w:szCs w:val="32"/>
          <w:lang w:val="en-US" w:eastAsia="zh-CN" w:bidi="ar-SA"/>
        </w:rPr>
        <w:t>（四）</w:t>
      </w:r>
      <w:r>
        <w:rPr>
          <w:rFonts w:hint="default" w:ascii="Times New Roman" w:hAnsi="Times New Roman" w:eastAsia="楷体" w:cs="Times New Roman"/>
          <w:kern w:val="2"/>
          <w:sz w:val="32"/>
          <w:szCs w:val="32"/>
        </w:rPr>
        <w:t>绩效目标设置情况</w:t>
      </w:r>
    </w:p>
    <w:p w14:paraId="4202053A">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仿宋_GB2312" w:cs="Times New Roman"/>
          <w:kern w:val="2"/>
          <w:sz w:val="32"/>
          <w:szCs w:val="32"/>
          <w:lang w:val="en-US" w:eastAsia="zh-CN" w:bidi="ar-SA"/>
        </w:rPr>
        <w:t>2026年部门（单位）通用项目和专用项目均按要求实行绩效目标管理，涉及</w:t>
      </w:r>
      <w:r>
        <w:rPr>
          <w:rFonts w:hint="eastAsia" w:ascii="Times New Roman" w:hAnsi="Times New Roman" w:eastAsia="仿宋_GB2312" w:cs="Times New Roman"/>
          <w:kern w:val="2"/>
          <w:sz w:val="32"/>
          <w:szCs w:val="32"/>
          <w:lang w:val="en-US" w:eastAsia="zh-CN" w:bidi="ar-SA"/>
        </w:rPr>
        <w:t>一般公共预算财政拨款</w:t>
      </w:r>
      <w:r>
        <w:rPr>
          <w:rFonts w:hint="default" w:ascii="Times New Roman" w:hAnsi="Times New Roman" w:eastAsia="仿宋_GB2312" w:cs="Times New Roman"/>
          <w:kern w:val="2"/>
          <w:sz w:val="32"/>
          <w:szCs w:val="32"/>
          <w:lang w:val="en-US" w:eastAsia="zh-CN" w:bidi="ar-SA"/>
        </w:rPr>
        <w:t>77万元。</w:t>
      </w:r>
    </w:p>
    <w:p w14:paraId="69B50174">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黑体" w:cs="Times New Roman"/>
          <w:sz w:val="32"/>
          <w:szCs w:val="32"/>
        </w:rPr>
        <w:t xml:space="preserve">十、名称解释 </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16"/>
        </w:rPr>
        <w:t xml:space="preserve">　　   </w:t>
      </w:r>
      <w:r>
        <w:rPr>
          <w:rFonts w:hint="default" w:ascii="Times New Roman" w:hAnsi="Times New Roman" w:eastAsia="楷体" w:cs="Times New Roman"/>
          <w:kern w:val="2"/>
          <w:sz w:val="32"/>
          <w:szCs w:val="32"/>
        </w:rPr>
        <w:t>（一）财政拨款收入</w:t>
      </w:r>
      <w:r>
        <w:rPr>
          <w:rFonts w:hint="default" w:ascii="Times New Roman" w:hAnsi="Times New Roman" w:eastAsia="方正仿宋_GBK" w:cs="Times New Roman"/>
          <w:kern w:val="2"/>
          <w:sz w:val="32"/>
          <w:szCs w:val="32"/>
        </w:rPr>
        <w:t>：指由财政拨款形成的部门收入。按现行管理制度，部门预算中反映的财政拨款仅包括</w:t>
      </w:r>
      <w:r>
        <w:rPr>
          <w:rFonts w:hint="eastAsia" w:ascii="Times New Roman" w:hAnsi="Times New Roman" w:eastAsia="方正仿宋_GBK" w:cs="Times New Roman"/>
          <w:kern w:val="2"/>
          <w:sz w:val="32"/>
          <w:szCs w:val="32"/>
          <w:lang w:eastAsia="zh-CN"/>
        </w:rPr>
        <w:t>一般公共预算财政拨款</w:t>
      </w:r>
      <w:r>
        <w:rPr>
          <w:rFonts w:hint="default" w:ascii="Times New Roman" w:hAnsi="Times New Roman" w:eastAsia="方正仿宋_GBK" w:cs="Times New Roman"/>
          <w:kern w:val="2"/>
          <w:sz w:val="32"/>
          <w:szCs w:val="32"/>
        </w:rPr>
        <w:t>和政府性基金预算拨款。</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default" w:ascii="Times New Roman" w:hAnsi="Times New Roman" w:eastAsia="楷体" w:cs="Times New Roman"/>
          <w:kern w:val="2"/>
          <w:sz w:val="32"/>
          <w:szCs w:val="32"/>
        </w:rPr>
        <w:t>（二）事业收入</w:t>
      </w:r>
      <w:r>
        <w:rPr>
          <w:rFonts w:hint="default" w:ascii="Times New Roman" w:hAnsi="Times New Roman" w:eastAsia="方正仿宋_GBK" w:cs="Times New Roman"/>
          <w:kern w:val="2"/>
          <w:sz w:val="32"/>
          <w:szCs w:val="32"/>
        </w:rPr>
        <w:t>：指所属事业单位开展专业业务活动及辅助活动所取得的收入。</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default" w:ascii="Times New Roman" w:hAnsi="Times New Roman" w:eastAsia="楷体" w:cs="Times New Roman"/>
          <w:kern w:val="2"/>
          <w:sz w:val="32"/>
          <w:szCs w:val="32"/>
        </w:rPr>
        <w:t>（三）事业单位经营收入</w:t>
      </w:r>
      <w:r>
        <w:rPr>
          <w:rFonts w:hint="default" w:ascii="Times New Roman" w:hAnsi="Times New Roman" w:eastAsia="方正仿宋_GBK" w:cs="Times New Roman"/>
          <w:kern w:val="2"/>
          <w:sz w:val="32"/>
          <w:szCs w:val="32"/>
        </w:rPr>
        <w:t>：指所属事业单位在专业业务活动及其辅助活动之外开展非独立核算经营活动取得的收入。</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default" w:ascii="Times New Roman" w:hAnsi="Times New Roman" w:eastAsia="楷体" w:cs="Times New Roman"/>
          <w:kern w:val="2"/>
          <w:sz w:val="32"/>
          <w:szCs w:val="32"/>
        </w:rPr>
        <w:t>　（四）其他收入</w:t>
      </w:r>
      <w:r>
        <w:rPr>
          <w:rFonts w:hint="default" w:ascii="Times New Roman" w:hAnsi="Times New Roman" w:eastAsia="方正仿宋_GBK" w:cs="Times New Roman"/>
          <w:kern w:val="2"/>
          <w:sz w:val="32"/>
          <w:szCs w:val="32"/>
        </w:rPr>
        <w:t>：指除上述“财政拨款收入</w:t>
      </w:r>
      <w:r>
        <w:rPr>
          <w:rFonts w:hint="eastAsia"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事业收入</w:t>
      </w:r>
      <w:r>
        <w:rPr>
          <w:rFonts w:hint="eastAsia"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事业单位经营收入”等以外的收入，主要是所属行政事业单位按规定动用的售房收入、存款利息收入等。</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default" w:ascii="Times New Roman" w:hAnsi="Times New Roman" w:eastAsia="楷体" w:cs="Times New Roman"/>
          <w:kern w:val="2"/>
          <w:sz w:val="32"/>
          <w:szCs w:val="32"/>
        </w:rPr>
        <w:t>　（五）用事业基金弥补收支差额</w:t>
      </w:r>
      <w:r>
        <w:rPr>
          <w:rFonts w:hint="default" w:ascii="Times New Roman" w:hAnsi="Times New Roman" w:eastAsia="方正仿宋_GBK" w:cs="Times New Roman"/>
          <w:kern w:val="2"/>
          <w:sz w:val="32"/>
          <w:szCs w:val="32"/>
        </w:rPr>
        <w:t>：指所属事业单位在预计用当年的“财政拨款收入</w:t>
      </w:r>
      <w:r>
        <w:rPr>
          <w:rFonts w:hint="eastAsia"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事业收入</w:t>
      </w:r>
      <w:r>
        <w:rPr>
          <w:rFonts w:hint="eastAsia"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事业单位经营收入</w:t>
      </w:r>
      <w:r>
        <w:rPr>
          <w:rFonts w:hint="eastAsia"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其他收入”不足以安排当年支出的情况下，使用以前年度积累的事业基金弥补本年度收支缺口的资金。</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default" w:ascii="Times New Roman" w:hAnsi="Times New Roman" w:eastAsia="楷体" w:cs="Times New Roman"/>
          <w:kern w:val="2"/>
          <w:sz w:val="32"/>
          <w:szCs w:val="32"/>
        </w:rPr>
        <w:t>　（六）上年结转</w:t>
      </w:r>
      <w:r>
        <w:rPr>
          <w:rFonts w:hint="default" w:ascii="Times New Roman" w:hAnsi="Times New Roman" w:eastAsia="方正仿宋_GBK" w:cs="Times New Roman"/>
          <w:kern w:val="2"/>
          <w:sz w:val="32"/>
          <w:szCs w:val="32"/>
        </w:rPr>
        <w:t>：指所属行政事业单位以前年度尚未完成、结转至本年按原规定用途继续使用的资金和以前年度已完成项目剩余资金经批准用于新用途使用的资金。</w:t>
      </w:r>
    </w:p>
    <w:p w14:paraId="12D6240D">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rPr>
      </w:pP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A0E3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CF2D4">
                          <w:pPr>
                            <w:pStyle w:val="7"/>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FCF2D4">
                    <w:pPr>
                      <w:pStyle w:val="7"/>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270BE">
    <w:pPr>
      <w:pStyle w:val="8"/>
      <w:pBdr>
        <w:bottom w:val="none" w:color="auto" w:sz="0" w:space="0"/>
      </w:pBdr>
      <w:rPr>
        <w:rFonts w:eastAsia="方正仿宋_GB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FADD4"/>
    <w:multiLevelType w:val="singleLevel"/>
    <w:tmpl w:val="A5AFADD4"/>
    <w:lvl w:ilvl="0" w:tentative="0">
      <w:start w:val="3"/>
      <w:numFmt w:val="chineseCounting"/>
      <w:suff w:val="nothing"/>
      <w:lvlText w:val="%1、"/>
      <w:lvlJc w:val="left"/>
      <w:rPr>
        <w:rFonts w:hint="eastAsia"/>
      </w:rPr>
    </w:lvl>
  </w:abstractNum>
  <w:abstractNum w:abstractNumId="1">
    <w:nsid w:val="FAAFCA13"/>
    <w:multiLevelType w:val="singleLevel"/>
    <w:tmpl w:val="FAAFCA13"/>
    <w:lvl w:ilvl="0" w:tentative="0">
      <w:start w:val="2"/>
      <w:numFmt w:val="chineseCounting"/>
      <w:suff w:val="nothing"/>
      <w:lvlText w:val="%1、"/>
      <w:lvlJc w:val="left"/>
      <w:rPr>
        <w:rFonts w:hint="eastAsia"/>
      </w:rPr>
    </w:lvl>
  </w:abstractNum>
  <w:abstractNum w:abstractNumId="2">
    <w:nsid w:val="02001067"/>
    <w:multiLevelType w:val="singleLevel"/>
    <w:tmpl w:val="02001067"/>
    <w:lvl w:ilvl="0" w:tentative="0">
      <w:start w:val="9"/>
      <w:numFmt w:val="chineseCounting"/>
      <w:suff w:val="nothing"/>
      <w:lvlText w:val="%1、"/>
      <w:lvlJc w:val="left"/>
      <w:rPr>
        <w:rFonts w:hint="eastAsia"/>
      </w:rPr>
    </w:lvl>
  </w:abstractNum>
  <w:abstractNum w:abstractNumId="3">
    <w:nsid w:val="3778E193"/>
    <w:multiLevelType w:val="singleLevel"/>
    <w:tmpl w:val="3778E193"/>
    <w:lvl w:ilvl="0" w:tentative="0">
      <w:start w:val="1"/>
      <w:numFmt w:val="chineseCounting"/>
      <w:suff w:val="nothing"/>
      <w:lvlText w:val="（%1）"/>
      <w:lvlJc w:val="left"/>
      <w:rPr>
        <w:rFonts w:hint="eastAsia"/>
      </w:rPr>
    </w:lvl>
  </w:abstractNum>
  <w:abstractNum w:abstractNumId="4">
    <w:nsid w:val="50A95FAC"/>
    <w:multiLevelType w:val="singleLevel"/>
    <w:tmpl w:val="50A95FAC"/>
    <w:lvl w:ilvl="0" w:tentative="0">
      <w:start w:val="1"/>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8D86F1C"/>
    <w:rsid w:val="09187C60"/>
    <w:rsid w:val="0A6A70EE"/>
    <w:rsid w:val="101822F4"/>
    <w:rsid w:val="1E676920"/>
    <w:rsid w:val="200B535A"/>
    <w:rsid w:val="213845A4"/>
    <w:rsid w:val="23B1063E"/>
    <w:rsid w:val="24EA6D2C"/>
    <w:rsid w:val="273E3F07"/>
    <w:rsid w:val="310A799F"/>
    <w:rsid w:val="35FE1D5C"/>
    <w:rsid w:val="4574354D"/>
    <w:rsid w:val="48AC1250"/>
    <w:rsid w:val="4C4E3580"/>
    <w:rsid w:val="55AA6B17"/>
    <w:rsid w:val="582F7DF6"/>
    <w:rsid w:val="5C0F5926"/>
    <w:rsid w:val="5E323000"/>
    <w:rsid w:val="7658367A"/>
    <w:rsid w:val="7AFE4A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rPr>
  </w:style>
  <w:style w:type="paragraph" w:styleId="4">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100" w:beforeLines="0" w:beforeAutospacing="1" w:after="100" w:afterLines="0" w:afterAutospacing="1"/>
      <w:ind w:left="400" w:leftChars="200" w:hanging="200" w:hangingChars="200"/>
    </w:pPr>
    <w:rPr>
      <w:kern w:val="0"/>
      <w:sz w:val="20"/>
      <w:szCs w:val="21"/>
    </w:rPr>
  </w:style>
  <w:style w:type="paragraph" w:styleId="6">
    <w:name w:val="index 5"/>
    <w:basedOn w:val="1"/>
    <w:next w:val="1"/>
    <w:qFormat/>
    <w:uiPriority w:val="0"/>
    <w:pPr>
      <w:ind w:left="168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9bfd6db9-5d9c-4333-b21a-0ba01405f0f4</errorID>
      <errorWord>政治“三力”</errorWord>
      <group>L1_Political</group>
      <groupName>政治性问题</groupName>
      <ability>L2_Keyword</ability>
      <abilityName>固定表述</abilityName>
      <candidateList>
        <item>“政治三力”</item>
      </candidateList>
      <explain>注意检查当前固定表述标点是否使用规范。</explain>
      <paraID>2490B7DC</paraID>
      <start>165</start>
      <end>171</end>
      <status>unmodified</status>
      <modifiedWord/>
      <trackRevisions>false</trackRevisions>
    </reviewItem>
    <reviewItem>
      <errorID>bc6371cd-2266-4ccd-8057-914f6534f37f</errorID>
      <errorWord>坚持为民至上</errorWord>
      <group>L1_Political</group>
      <groupName>政治性问题</groupName>
      <ability>L2_Unpolitical</ability>
      <abilityName>政治敏感错误</abilityName>
      <candidateList>
        <item>坚持人民至上</item>
      </candidateList>
      <explain/>
      <paraID>2490B7DC</paraID>
      <start>350</start>
      <end>356</end>
      <status>unmodified</status>
      <modifiedWord/>
      <trackRevisions>false</trackRevisions>
    </reviewItem>
    <reviewItem>
      <errorID>34e82153-d197-4b3d-893e-8c5801e527f0</errorID>
      <errorWord>。</errorWord>
      <group>L1_Punc</group>
      <groupName>标点问题</groupName>
      <ability>L2_Punc</ability>
      <abilityName>标点符号检查</abilityName>
      <candidateList>
        <item/>
      </candidateList>
      <explain>标题文本后不使用标点符号。</explain>
      <paraID>4995565B</paraID>
      <start>39</start>
      <end>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91ab3-d23a-4191-836a-3a8e0481c799}">
  <ds:schemaRefs/>
</ds:datastoreItem>
</file>

<file path=docProps/app.xml><?xml version="1.0" encoding="utf-8"?>
<Properties xmlns="http://schemas.openxmlformats.org/officeDocument/2006/extended-properties" xmlns:vt="http://schemas.openxmlformats.org/officeDocument/2006/docPropsVTypes">
  <Template>Normal.eit</Template>
  <Pages>10</Pages>
  <Words>3869</Words>
  <Characters>4264</Characters>
  <Lines>124</Lines>
  <Paragraphs>51</Paragraphs>
  <TotalTime>170</TotalTime>
  <ScaleCrop>false</ScaleCrop>
  <LinksUpToDate>false</LinksUpToDate>
  <CharactersWithSpaces>4289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cp:lastModifiedBy>
  <cp:lastPrinted>2026-01-29T09:06:00Z</cp:lastPrinted>
  <dcterms:modified xsi:type="dcterms:W3CDTF">2026-01-29T09:13:33Z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eyJoZGlkIjoiYTk2ZjdiYTdjMDU1ODkwYTg3NjZmNjgwYzQ4YTE1MmUiLCJ1c2VySWQiOiIzNTI0NDAyNjUifQ==</vt:lpwstr>
  </property>
  <property fmtid="{D5CDD505-2E9C-101B-9397-08002B2CF9AE}" pid="4" name="ICV">
    <vt:lpwstr>387428E4C3B74CA49903A1DF7E7558F2_12</vt:lpwstr>
  </property>
</Properties>
</file>