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B3007">
      <w:pPr>
        <w:rPr>
          <w:rFonts w:ascii="黑体" w:hAnsi="黑体" w:eastAsia="黑体"/>
          <w:sz w:val="32"/>
          <w:szCs w:val="32"/>
        </w:rPr>
      </w:pPr>
      <w:r>
        <w:rPr>
          <w:rFonts w:ascii="黑体" w:hAnsi="黑体" w:eastAsia="黑体"/>
          <w:sz w:val="32"/>
          <w:szCs w:val="32"/>
        </w:rPr>
        <w:t>附件</w:t>
      </w:r>
      <w:r>
        <w:rPr>
          <w:rFonts w:hint="eastAsia" w:ascii="黑体" w:hAnsi="黑体" w:eastAsia="黑体"/>
          <w:sz w:val="32"/>
          <w:szCs w:val="32"/>
        </w:rPr>
        <w:t>2</w:t>
      </w:r>
    </w:p>
    <w:p w14:paraId="7597995E"/>
    <w:p w14:paraId="2858B2FB"/>
    <w:p w14:paraId="5B29AD56">
      <w:pPr>
        <w:rPr>
          <w:rFonts w:ascii="黑体" w:hAnsi="黑体" w:eastAsia="黑体"/>
          <w:sz w:val="44"/>
          <w:szCs w:val="44"/>
        </w:rPr>
      </w:pPr>
    </w:p>
    <w:p w14:paraId="3DA94EA0">
      <w:pPr>
        <w:ind w:firstLine="1760" w:firstLineChars="400"/>
        <w:rPr>
          <w:rFonts w:ascii="黑体" w:hAnsi="黑体" w:eastAsia="黑体"/>
          <w:sz w:val="44"/>
          <w:szCs w:val="44"/>
        </w:rPr>
      </w:pPr>
    </w:p>
    <w:p w14:paraId="46BD04E5">
      <w:pPr>
        <w:jc w:val="center"/>
        <w:rPr>
          <w:rFonts w:ascii="黑体" w:hAnsi="黑体" w:eastAsia="黑体"/>
          <w:sz w:val="44"/>
          <w:szCs w:val="44"/>
        </w:rPr>
      </w:pPr>
      <w:r>
        <w:rPr>
          <w:rFonts w:hint="eastAsia" w:ascii="黑体" w:hAnsi="黑体" w:eastAsia="黑体"/>
          <w:sz w:val="44"/>
          <w:szCs w:val="44"/>
        </w:rPr>
        <w:t>阿坝州妇女联合会</w:t>
      </w:r>
    </w:p>
    <w:p w14:paraId="21ADC715">
      <w:pPr>
        <w:jc w:val="center"/>
        <w:rPr>
          <w:rFonts w:ascii="黑体" w:hAnsi="黑体" w:eastAsia="黑体"/>
          <w:sz w:val="44"/>
          <w:szCs w:val="44"/>
        </w:rPr>
      </w:pPr>
      <w:r>
        <w:rPr>
          <w:rFonts w:ascii="黑体" w:hAnsi="黑体" w:eastAsia="黑体"/>
          <w:sz w:val="44"/>
          <w:szCs w:val="44"/>
        </w:rPr>
        <w:t>2</w:t>
      </w:r>
      <w:r>
        <w:rPr>
          <w:rFonts w:hint="eastAsia" w:ascii="黑体" w:hAnsi="黑体" w:eastAsia="黑体"/>
          <w:sz w:val="44"/>
          <w:szCs w:val="44"/>
        </w:rPr>
        <w:t>024年部门预算</w:t>
      </w:r>
    </w:p>
    <w:p w14:paraId="7D3855E6">
      <w:pPr>
        <w:ind w:firstLine="1760" w:firstLineChars="400"/>
        <w:rPr>
          <w:rFonts w:ascii="黑体" w:hAnsi="黑体" w:eastAsia="黑体"/>
          <w:sz w:val="44"/>
          <w:szCs w:val="44"/>
        </w:rPr>
      </w:pPr>
    </w:p>
    <w:p w14:paraId="170558DE">
      <w:pPr>
        <w:ind w:firstLine="1760" w:firstLineChars="400"/>
        <w:rPr>
          <w:rFonts w:ascii="黑体" w:hAnsi="黑体" w:eastAsia="黑体"/>
          <w:sz w:val="44"/>
          <w:szCs w:val="44"/>
        </w:rPr>
      </w:pPr>
    </w:p>
    <w:p w14:paraId="659D46D0">
      <w:pPr>
        <w:ind w:firstLine="1760" w:firstLineChars="400"/>
        <w:rPr>
          <w:rFonts w:ascii="黑体" w:hAnsi="黑体" w:eastAsia="黑体"/>
          <w:sz w:val="44"/>
          <w:szCs w:val="44"/>
        </w:rPr>
      </w:pPr>
    </w:p>
    <w:p w14:paraId="47CAA5BA">
      <w:pPr>
        <w:ind w:firstLine="1760" w:firstLineChars="400"/>
        <w:rPr>
          <w:rFonts w:ascii="黑体" w:hAnsi="黑体" w:eastAsia="黑体"/>
          <w:sz w:val="44"/>
          <w:szCs w:val="44"/>
        </w:rPr>
      </w:pPr>
    </w:p>
    <w:p w14:paraId="4C05E094">
      <w:pPr>
        <w:ind w:firstLine="1760" w:firstLineChars="400"/>
        <w:rPr>
          <w:rFonts w:ascii="黑体" w:hAnsi="黑体" w:eastAsia="黑体"/>
          <w:sz w:val="44"/>
          <w:szCs w:val="44"/>
        </w:rPr>
      </w:pPr>
    </w:p>
    <w:p w14:paraId="7E711FBF">
      <w:pPr>
        <w:ind w:firstLine="1760" w:firstLineChars="400"/>
        <w:rPr>
          <w:rFonts w:ascii="黑体" w:hAnsi="黑体" w:eastAsia="黑体"/>
          <w:sz w:val="44"/>
          <w:szCs w:val="44"/>
        </w:rPr>
      </w:pPr>
    </w:p>
    <w:p w14:paraId="788DF42B">
      <w:pPr>
        <w:ind w:firstLine="1760" w:firstLineChars="400"/>
        <w:rPr>
          <w:rFonts w:ascii="黑体" w:hAnsi="黑体" w:eastAsia="黑体"/>
          <w:sz w:val="44"/>
          <w:szCs w:val="44"/>
        </w:rPr>
      </w:pPr>
    </w:p>
    <w:p w14:paraId="18A00ECB">
      <w:pPr>
        <w:ind w:firstLine="1760" w:firstLineChars="400"/>
        <w:rPr>
          <w:rFonts w:ascii="黑体" w:hAnsi="黑体" w:eastAsia="黑体"/>
          <w:sz w:val="44"/>
          <w:szCs w:val="44"/>
        </w:rPr>
      </w:pPr>
    </w:p>
    <w:p w14:paraId="3001E177">
      <w:pPr>
        <w:ind w:firstLine="1760" w:firstLineChars="400"/>
        <w:rPr>
          <w:rFonts w:ascii="黑体" w:hAnsi="黑体" w:eastAsia="黑体"/>
          <w:sz w:val="44"/>
          <w:szCs w:val="44"/>
        </w:rPr>
      </w:pPr>
    </w:p>
    <w:p w14:paraId="4F1B986C">
      <w:pPr>
        <w:ind w:firstLine="1760" w:firstLineChars="400"/>
        <w:rPr>
          <w:rFonts w:ascii="黑体" w:hAnsi="黑体" w:eastAsia="黑体"/>
          <w:sz w:val="44"/>
          <w:szCs w:val="44"/>
        </w:rPr>
      </w:pPr>
    </w:p>
    <w:p w14:paraId="083AA311">
      <w:pPr>
        <w:ind w:firstLine="1760" w:firstLineChars="400"/>
        <w:rPr>
          <w:rFonts w:ascii="黑体" w:hAnsi="黑体" w:eastAsia="黑体"/>
          <w:sz w:val="44"/>
          <w:szCs w:val="44"/>
        </w:rPr>
      </w:pPr>
    </w:p>
    <w:p w14:paraId="627223AB">
      <w:pPr>
        <w:jc w:val="center"/>
        <w:rPr>
          <w:rFonts w:ascii="楷体" w:hAnsi="楷体" w:eastAsia="楷体"/>
          <w:sz w:val="32"/>
          <w:szCs w:val="32"/>
        </w:rPr>
      </w:pPr>
      <w:r>
        <w:rPr>
          <w:rFonts w:hint="eastAsia" w:ascii="楷体" w:hAnsi="楷体" w:eastAsia="楷体"/>
          <w:sz w:val="32"/>
          <w:szCs w:val="32"/>
        </w:rPr>
        <w:t>2024年1月15日</w:t>
      </w:r>
    </w:p>
    <w:p w14:paraId="1D2CC037">
      <w:pPr>
        <w:ind w:firstLine="1760" w:firstLineChars="400"/>
        <w:rPr>
          <w:rFonts w:ascii="黑体" w:hAnsi="黑体" w:eastAsia="黑体"/>
          <w:sz w:val="44"/>
          <w:szCs w:val="44"/>
        </w:rPr>
      </w:pPr>
    </w:p>
    <w:p w14:paraId="099DD68B">
      <w:pPr>
        <w:ind w:firstLine="1760" w:firstLineChars="400"/>
        <w:rPr>
          <w:rFonts w:ascii="黑体" w:hAnsi="黑体" w:eastAsia="黑体"/>
          <w:sz w:val="44"/>
          <w:szCs w:val="44"/>
        </w:rPr>
      </w:pPr>
    </w:p>
    <w:p w14:paraId="02CA31E6">
      <w:pPr>
        <w:ind w:firstLine="1760" w:firstLineChars="400"/>
        <w:rPr>
          <w:rFonts w:ascii="黑体" w:hAnsi="黑体" w:eastAsia="黑体"/>
          <w:sz w:val="44"/>
          <w:szCs w:val="44"/>
        </w:rPr>
      </w:pPr>
    </w:p>
    <w:p w14:paraId="41C0EC13">
      <w:pPr>
        <w:rPr>
          <w:rFonts w:ascii="黑体" w:hAnsi="黑体" w:eastAsia="黑体"/>
          <w:sz w:val="44"/>
          <w:szCs w:val="44"/>
        </w:rPr>
      </w:pPr>
    </w:p>
    <w:p w14:paraId="7B079F01">
      <w:pPr>
        <w:ind w:firstLine="3120" w:firstLineChars="600"/>
        <w:rPr>
          <w:rFonts w:ascii="黑体" w:hAnsi="黑体" w:eastAsia="黑体"/>
          <w:sz w:val="52"/>
          <w:szCs w:val="52"/>
        </w:rPr>
      </w:pPr>
      <w:r>
        <w:rPr>
          <w:rFonts w:hint="eastAsia" w:ascii="黑体" w:hAnsi="黑体" w:eastAsia="黑体"/>
          <w:sz w:val="52"/>
          <w:szCs w:val="52"/>
        </w:rPr>
        <w:t>目录</w:t>
      </w:r>
    </w:p>
    <w:p w14:paraId="086B0D38">
      <w:pPr>
        <w:ind w:firstLine="3080" w:firstLineChars="700"/>
        <w:rPr>
          <w:rFonts w:ascii="黑体" w:hAnsi="黑体" w:eastAsia="黑体"/>
          <w:sz w:val="44"/>
          <w:szCs w:val="44"/>
        </w:rPr>
      </w:pPr>
    </w:p>
    <w:p w14:paraId="3A0C6535">
      <w:pPr>
        <w:pStyle w:val="7"/>
        <w:ind w:firstLine="0" w:firstLineChars="0"/>
        <w:rPr>
          <w:rFonts w:ascii="黑体" w:hAnsi="黑体" w:eastAsia="黑体"/>
          <w:sz w:val="32"/>
          <w:szCs w:val="32"/>
        </w:rPr>
      </w:pPr>
      <w:r>
        <w:rPr>
          <w:rFonts w:hint="eastAsia" w:ascii="黑体" w:hAnsi="黑体" w:eastAsia="黑体"/>
          <w:sz w:val="32"/>
          <w:szCs w:val="32"/>
        </w:rPr>
        <w:t>一、基本职能及主要工作</w:t>
      </w:r>
    </w:p>
    <w:p w14:paraId="1BE5C393">
      <w:pPr>
        <w:rPr>
          <w:rFonts w:ascii="楷体" w:hAnsi="楷体" w:eastAsia="楷体"/>
          <w:sz w:val="32"/>
          <w:szCs w:val="32"/>
        </w:rPr>
      </w:pPr>
      <w:r>
        <w:rPr>
          <w:rFonts w:hint="eastAsia" w:ascii="楷体" w:hAnsi="楷体" w:eastAsia="楷体"/>
          <w:sz w:val="32"/>
          <w:szCs w:val="32"/>
        </w:rPr>
        <w:t>（一）部门职能简介</w:t>
      </w:r>
    </w:p>
    <w:p w14:paraId="679CCB27">
      <w:pPr>
        <w:rPr>
          <w:rFonts w:ascii="楷体" w:hAnsi="楷体" w:eastAsia="楷体"/>
          <w:sz w:val="32"/>
          <w:szCs w:val="32"/>
        </w:rPr>
      </w:pPr>
      <w:r>
        <w:rPr>
          <w:rFonts w:hint="eastAsia" w:ascii="楷体" w:hAnsi="楷体" w:eastAsia="楷体"/>
          <w:sz w:val="32"/>
          <w:szCs w:val="32"/>
        </w:rPr>
        <w:t>（二）</w:t>
      </w:r>
      <w:r>
        <w:rPr>
          <w:rFonts w:ascii="楷体" w:hAnsi="楷体" w:eastAsia="楷体"/>
          <w:sz w:val="32"/>
          <w:szCs w:val="32"/>
        </w:rPr>
        <w:t>20</w:t>
      </w:r>
      <w:r>
        <w:rPr>
          <w:rFonts w:hint="eastAsia" w:ascii="楷体" w:hAnsi="楷体" w:eastAsia="楷体"/>
          <w:sz w:val="32"/>
          <w:szCs w:val="32"/>
        </w:rPr>
        <w:t>23年重点工作</w:t>
      </w:r>
    </w:p>
    <w:p w14:paraId="6142E0CD">
      <w:pPr>
        <w:rPr>
          <w:rFonts w:ascii="黑体" w:hAnsi="黑体" w:eastAsia="黑体"/>
          <w:sz w:val="32"/>
          <w:szCs w:val="32"/>
        </w:rPr>
      </w:pPr>
      <w:r>
        <w:rPr>
          <w:rFonts w:hint="eastAsia" w:ascii="黑体" w:hAnsi="黑体" w:eastAsia="黑体"/>
          <w:sz w:val="32"/>
          <w:szCs w:val="32"/>
        </w:rPr>
        <w:t>二、部门预算单位构成</w:t>
      </w:r>
    </w:p>
    <w:p w14:paraId="770107B2">
      <w:pPr>
        <w:rPr>
          <w:rFonts w:ascii="黑体" w:hAnsi="黑体" w:eastAsia="黑体"/>
          <w:sz w:val="32"/>
          <w:szCs w:val="32"/>
        </w:rPr>
      </w:pPr>
      <w:r>
        <w:rPr>
          <w:rFonts w:hint="eastAsia" w:ascii="黑体" w:hAnsi="黑体" w:eastAsia="黑体"/>
          <w:sz w:val="32"/>
          <w:szCs w:val="32"/>
        </w:rPr>
        <w:t>三、收支预算情况说明</w:t>
      </w:r>
    </w:p>
    <w:p w14:paraId="28BE4659">
      <w:pPr>
        <w:rPr>
          <w:rFonts w:ascii="楷体" w:hAnsi="楷体" w:eastAsia="楷体"/>
          <w:sz w:val="32"/>
          <w:szCs w:val="32"/>
        </w:rPr>
      </w:pPr>
      <w:r>
        <w:rPr>
          <w:rFonts w:hint="eastAsia" w:ascii="楷体" w:hAnsi="楷体" w:eastAsia="楷体"/>
          <w:sz w:val="32"/>
          <w:szCs w:val="32"/>
        </w:rPr>
        <w:t>（一）收入预算情况</w:t>
      </w:r>
    </w:p>
    <w:p w14:paraId="45284AD5">
      <w:pPr>
        <w:rPr>
          <w:rFonts w:ascii="楷体" w:hAnsi="楷体" w:eastAsia="楷体"/>
          <w:sz w:val="32"/>
          <w:szCs w:val="32"/>
        </w:rPr>
      </w:pPr>
      <w:r>
        <w:rPr>
          <w:rFonts w:hint="eastAsia" w:ascii="楷体" w:hAnsi="楷体" w:eastAsia="楷体"/>
          <w:sz w:val="32"/>
          <w:szCs w:val="32"/>
        </w:rPr>
        <w:t>（二）支出预算情况</w:t>
      </w:r>
    </w:p>
    <w:p w14:paraId="740DCD9A">
      <w:pPr>
        <w:rPr>
          <w:rFonts w:ascii="黑体" w:hAnsi="黑体" w:eastAsia="黑体"/>
          <w:sz w:val="32"/>
          <w:szCs w:val="32"/>
        </w:rPr>
      </w:pPr>
      <w:r>
        <w:rPr>
          <w:rFonts w:hint="eastAsia" w:ascii="黑体" w:hAnsi="黑体" w:eastAsia="黑体"/>
          <w:sz w:val="32"/>
          <w:szCs w:val="32"/>
        </w:rPr>
        <w:t>四、财政拨款收支预算情况说明</w:t>
      </w:r>
    </w:p>
    <w:p w14:paraId="40613F72">
      <w:pPr>
        <w:rPr>
          <w:rFonts w:ascii="黑体" w:hAnsi="黑体" w:eastAsia="黑体"/>
          <w:sz w:val="32"/>
          <w:szCs w:val="32"/>
        </w:rPr>
      </w:pPr>
      <w:r>
        <w:rPr>
          <w:rFonts w:hint="eastAsia" w:ascii="黑体" w:hAnsi="黑体" w:eastAsia="黑体"/>
          <w:sz w:val="32"/>
          <w:szCs w:val="32"/>
        </w:rPr>
        <w:t>五、一般公共预算当年拨款情况说明</w:t>
      </w:r>
    </w:p>
    <w:p w14:paraId="1C755311">
      <w:pPr>
        <w:rPr>
          <w:rFonts w:ascii="黑体" w:hAnsi="黑体" w:eastAsia="黑体"/>
          <w:sz w:val="32"/>
          <w:szCs w:val="32"/>
        </w:rPr>
      </w:pPr>
      <w:r>
        <w:rPr>
          <w:rFonts w:hint="eastAsia" w:ascii="楷体" w:hAnsi="楷体" w:eastAsia="楷体"/>
          <w:sz w:val="32"/>
          <w:szCs w:val="32"/>
        </w:rPr>
        <w:t>（一）一般公共预算当年拨款规模变化情况</w:t>
      </w:r>
      <w:r>
        <w:rPr>
          <w:rFonts w:ascii="楷体" w:hAnsi="楷体" w:eastAsia="楷体"/>
          <w:sz w:val="32"/>
          <w:szCs w:val="32"/>
        </w:rPr>
        <w:br w:type="textWrapping"/>
      </w:r>
      <w:r>
        <w:rPr>
          <w:rFonts w:hint="eastAsia" w:ascii="楷体" w:hAnsi="楷体" w:eastAsia="楷体"/>
          <w:sz w:val="32"/>
          <w:szCs w:val="32"/>
        </w:rPr>
        <w:t>（二）一般公共预算当年拨款结构情况</w:t>
      </w:r>
      <w:r>
        <w:rPr>
          <w:rFonts w:ascii="楷体" w:hAnsi="楷体" w:eastAsia="楷体"/>
          <w:sz w:val="32"/>
          <w:szCs w:val="32"/>
        </w:rPr>
        <w:br w:type="textWrapping"/>
      </w:r>
      <w:r>
        <w:rPr>
          <w:rFonts w:hint="eastAsia" w:ascii="楷体" w:hAnsi="楷体" w:eastAsia="楷体"/>
          <w:sz w:val="32"/>
          <w:szCs w:val="32"/>
        </w:rPr>
        <w:t>（三）一般公共预算当年拨款具体使用情况</w:t>
      </w:r>
      <w:r>
        <w:rPr>
          <w:rFonts w:ascii="??" w:hAnsi="??" w:cs="宋体"/>
          <w:kern w:val="0"/>
          <w:sz w:val="16"/>
          <w:szCs w:val="16"/>
        </w:rPr>
        <w:br w:type="textWrapping"/>
      </w:r>
      <w:r>
        <w:rPr>
          <w:rFonts w:hint="eastAsia" w:ascii="黑体" w:hAnsi="黑体" w:eastAsia="黑体"/>
          <w:sz w:val="32"/>
          <w:szCs w:val="32"/>
        </w:rPr>
        <w:t>六、一般公共预算基本支出情况说明</w:t>
      </w:r>
      <w:r>
        <w:rPr>
          <w:rFonts w:ascii="黑体" w:hAnsi="黑体" w:eastAsia="黑体"/>
          <w:sz w:val="32"/>
          <w:szCs w:val="32"/>
        </w:rPr>
        <w:br w:type="textWrapping"/>
      </w:r>
      <w:r>
        <w:rPr>
          <w:rFonts w:hint="eastAsia" w:ascii="黑体" w:hAnsi="黑体" w:eastAsia="黑体"/>
          <w:sz w:val="32"/>
          <w:szCs w:val="32"/>
        </w:rPr>
        <w:t>七、“三公”经费财政拨款预算安排情况说明</w:t>
      </w:r>
      <w:r>
        <w:rPr>
          <w:rFonts w:ascii="黑体" w:hAnsi="黑体" w:eastAsia="黑体"/>
          <w:sz w:val="32"/>
          <w:szCs w:val="32"/>
        </w:rPr>
        <w:br w:type="textWrapping"/>
      </w:r>
      <w:r>
        <w:rPr>
          <w:rFonts w:hint="eastAsia" w:ascii="黑体" w:hAnsi="黑体" w:eastAsia="黑体"/>
          <w:sz w:val="32"/>
          <w:szCs w:val="32"/>
        </w:rPr>
        <w:t>八、政府性基金预算支出情况说明</w:t>
      </w:r>
    </w:p>
    <w:p w14:paraId="0BC69121">
      <w:pPr>
        <w:rPr>
          <w:rFonts w:ascii="黑体" w:hAnsi="黑体" w:eastAsia="黑体"/>
          <w:sz w:val="32"/>
          <w:szCs w:val="32"/>
        </w:rPr>
      </w:pPr>
      <w:r>
        <w:rPr>
          <w:rFonts w:hint="eastAsia" w:ascii="黑体" w:hAnsi="黑体" w:eastAsia="黑体"/>
          <w:sz w:val="32"/>
          <w:szCs w:val="32"/>
        </w:rPr>
        <w:t>九、国有资本经营预算支出情况说明</w:t>
      </w:r>
    </w:p>
    <w:p w14:paraId="37E60796">
      <w:pPr>
        <w:rPr>
          <w:rFonts w:ascii="黑体" w:hAnsi="黑体" w:eastAsia="黑体"/>
          <w:sz w:val="32"/>
          <w:szCs w:val="32"/>
        </w:rPr>
      </w:pPr>
      <w:r>
        <w:rPr>
          <w:rFonts w:hint="eastAsia" w:ascii="黑体" w:hAnsi="黑体" w:eastAsia="黑体"/>
          <w:sz w:val="32"/>
          <w:szCs w:val="32"/>
        </w:rPr>
        <w:t>十、其他重要事项的情况说明</w:t>
      </w:r>
      <w:r>
        <w:rPr>
          <w:rFonts w:ascii="黑体" w:hAnsi="黑体" w:eastAsia="黑体"/>
          <w:sz w:val="32"/>
          <w:szCs w:val="32"/>
        </w:rPr>
        <w:br w:type="textWrapping"/>
      </w:r>
      <w:r>
        <w:rPr>
          <w:rFonts w:hint="eastAsia" w:ascii="黑体" w:hAnsi="黑体" w:eastAsia="黑体"/>
          <w:sz w:val="32"/>
          <w:szCs w:val="32"/>
        </w:rPr>
        <w:t>十一、名称解释</w:t>
      </w:r>
    </w:p>
    <w:p w14:paraId="444F2619">
      <w:pPr>
        <w:rPr>
          <w:rFonts w:ascii="黑体" w:hAnsi="黑体" w:eastAsia="黑体"/>
          <w:sz w:val="32"/>
          <w:szCs w:val="32"/>
        </w:rPr>
      </w:pPr>
    </w:p>
    <w:p w14:paraId="7A460A5B">
      <w:pPr>
        <w:widowControl/>
        <w:shd w:val="clear" w:color="auto" w:fill="FFFFFF"/>
        <w:spacing w:before="100" w:beforeAutospacing="1" w:after="100" w:afterAutospacing="1" w:line="290" w:lineRule="atLeast"/>
        <w:ind w:right="300"/>
        <w:jc w:val="left"/>
        <w:rPr>
          <w:rFonts w:ascii="??" w:hAnsi="??" w:cs="宋体"/>
          <w:kern w:val="0"/>
          <w:sz w:val="12"/>
          <w:szCs w:val="12"/>
        </w:rPr>
      </w:pPr>
    </w:p>
    <w:p w14:paraId="777A2658">
      <w:pPr>
        <w:pStyle w:val="7"/>
        <w:ind w:firstLine="640"/>
        <w:rPr>
          <w:rFonts w:ascii="黑体" w:hAnsi="黑体" w:eastAsia="黑体"/>
          <w:sz w:val="32"/>
          <w:szCs w:val="32"/>
        </w:rPr>
      </w:pPr>
      <w:r>
        <w:rPr>
          <w:rFonts w:hint="eastAsia" w:ascii="黑体" w:hAnsi="黑体" w:eastAsia="黑体"/>
          <w:sz w:val="32"/>
          <w:szCs w:val="32"/>
        </w:rPr>
        <w:t>一、基本职能及主要工作</w:t>
      </w:r>
    </w:p>
    <w:p w14:paraId="2C5667BB">
      <w:pPr>
        <w:ind w:firstLine="640" w:firstLineChars="200"/>
        <w:rPr>
          <w:rFonts w:ascii="楷体" w:hAnsi="楷体" w:eastAsia="楷体"/>
          <w:sz w:val="32"/>
          <w:szCs w:val="32"/>
        </w:rPr>
      </w:pPr>
      <w:r>
        <w:rPr>
          <w:rFonts w:hint="eastAsia" w:ascii="楷体" w:hAnsi="楷体" w:eastAsia="楷体"/>
          <w:sz w:val="32"/>
          <w:szCs w:val="32"/>
        </w:rPr>
        <w:t>（一）部门职能简介</w:t>
      </w:r>
    </w:p>
    <w:p w14:paraId="1AE18A69">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1.坚持正确的政治方向，团结、教育全州各族各界妇女在思想上、行动上同党中央保持高度一致。</w:t>
      </w:r>
    </w:p>
    <w:p w14:paraId="2403770A">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2.宣传马克思主义妇女观和男女平等基本国策，教育、引导妇女树立正确的世界观、人生观、价值观、弘杨“自尊、自信、自立、自强”精神，积极开展对妇女的科技文化及生产劳动技能教育培训，全面提高妇女素质。</w:t>
      </w:r>
    </w:p>
    <w:p w14:paraId="6F62C90B">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3.代表妇女参与国家和社会事务的民主管理和民主监督；关注并加强研究涉及妇女切身利益的热点、难点问题，及时向州委、州政府反映社情民意，提出对策建议；依法维护妇女儿童的合法权益。</w:t>
      </w:r>
    </w:p>
    <w:p w14:paraId="52095C55">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4.坚持为妇女儿童服务、为基层服务，加强与社会各界的联系，协调推动全社会为妇女儿童办实事，办好事。</w:t>
      </w:r>
    </w:p>
    <w:p w14:paraId="3F2E6A28">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5.指导县妇联依据《 中华全国妇女联合会章程 》和州妇女代表大会的任务，开展妇女儿童工作；联系团体会员并给予工作指导；巩固和扩大各族各界妇女的大团结，促进我州民族团结，社会稳定。</w:t>
      </w:r>
    </w:p>
    <w:p w14:paraId="6ECE2232">
      <w:pPr>
        <w:widowControl/>
        <w:spacing w:line="520" w:lineRule="exact"/>
        <w:ind w:firstLine="640" w:firstLineChars="200"/>
        <w:jc w:val="left"/>
        <w:rPr>
          <w:rFonts w:ascii="仿宋" w:hAnsi="仿宋" w:eastAsia="仿宋" w:cs="华文仿宋"/>
          <w:bCs/>
          <w:kern w:val="0"/>
          <w:sz w:val="32"/>
          <w:szCs w:val="32"/>
        </w:rPr>
      </w:pPr>
      <w:r>
        <w:rPr>
          <w:rFonts w:hint="eastAsia" w:ascii="仿宋" w:hAnsi="仿宋" w:eastAsia="仿宋" w:cs="华文仿宋"/>
          <w:bCs/>
          <w:kern w:val="0"/>
          <w:sz w:val="32"/>
          <w:szCs w:val="32"/>
        </w:rPr>
        <w:t>6.承办州政府妇女儿童工作委员会办公室的工作。</w:t>
      </w:r>
    </w:p>
    <w:p w14:paraId="22731DE0">
      <w:pPr>
        <w:ind w:firstLine="640" w:firstLineChars="200"/>
        <w:rPr>
          <w:rFonts w:ascii="楷体" w:hAnsi="楷体" w:eastAsia="楷体"/>
          <w:sz w:val="32"/>
          <w:szCs w:val="32"/>
        </w:rPr>
      </w:pPr>
      <w:r>
        <w:rPr>
          <w:rFonts w:hint="eastAsia" w:ascii="楷体" w:hAnsi="楷体" w:eastAsia="楷体"/>
          <w:sz w:val="32"/>
          <w:szCs w:val="32"/>
        </w:rPr>
        <w:t>（二）</w:t>
      </w:r>
      <w:r>
        <w:rPr>
          <w:rFonts w:ascii="楷体" w:hAnsi="楷体" w:eastAsia="楷体"/>
          <w:sz w:val="32"/>
          <w:szCs w:val="32"/>
        </w:rPr>
        <w:t>20</w:t>
      </w:r>
      <w:r>
        <w:rPr>
          <w:rFonts w:hint="eastAsia" w:ascii="楷体" w:hAnsi="楷体" w:eastAsia="楷体"/>
          <w:sz w:val="32"/>
          <w:szCs w:val="32"/>
        </w:rPr>
        <w:t>24年重点工作</w:t>
      </w:r>
    </w:p>
    <w:p w14:paraId="4D308996">
      <w:pPr>
        <w:spacing w:line="560" w:lineRule="exact"/>
        <w:ind w:firstLine="643" w:firstLineChars="200"/>
        <w:rPr>
          <w:rFonts w:ascii="仿宋" w:hAnsi="仿宋" w:eastAsia="仿宋" w:cs="华文仿宋"/>
          <w:bCs/>
          <w:kern w:val="0"/>
          <w:sz w:val="32"/>
          <w:szCs w:val="32"/>
        </w:rPr>
      </w:pPr>
      <w:r>
        <w:rPr>
          <w:rFonts w:ascii="仿宋" w:hAnsi="仿宋" w:eastAsia="仿宋" w:cs="华文仿宋"/>
          <w:b/>
          <w:bCs/>
          <w:kern w:val="0"/>
          <w:sz w:val="32"/>
          <w:szCs w:val="32"/>
        </w:rPr>
        <w:t>一是聚焦思想强引领，扛起“心向党”的政治担当。</w:t>
      </w:r>
      <w:r>
        <w:rPr>
          <w:rFonts w:ascii="仿宋" w:hAnsi="仿宋" w:eastAsia="仿宋" w:cs="华文仿宋"/>
          <w:bCs/>
          <w:kern w:val="0"/>
          <w:sz w:val="32"/>
          <w:szCs w:val="32"/>
        </w:rPr>
        <w:t>坚定不移用习近平新时代中国特色社会主义思想凝心铸魂；牢牢把握我国妇女事业的政治属性和妇联组织政治定位，有形有感有效做好新时代妇联统战工作，开展好</w:t>
      </w:r>
      <w:r>
        <w:rPr>
          <w:rFonts w:hint="eastAsia" w:ascii="仿宋" w:hAnsi="仿宋" w:eastAsia="仿宋" w:cs="华文仿宋"/>
          <w:bCs/>
          <w:kern w:val="0"/>
          <w:sz w:val="32"/>
          <w:szCs w:val="32"/>
        </w:rPr>
        <w:t>“妇联好声音·巾帼大宣讲”</w:t>
      </w:r>
      <w:r>
        <w:rPr>
          <w:rFonts w:ascii="仿宋" w:hAnsi="仿宋" w:eastAsia="仿宋" w:cs="华文仿宋"/>
          <w:bCs/>
          <w:kern w:val="0"/>
          <w:sz w:val="32"/>
          <w:szCs w:val="32"/>
        </w:rPr>
        <w:t>，引领各族各界妇女增进对党的政治认同、思想认同、理论认同、情感认同，坚决维护妇女领域政治安全。</w:t>
      </w:r>
    </w:p>
    <w:p w14:paraId="196473A9">
      <w:pPr>
        <w:spacing w:line="560" w:lineRule="exact"/>
        <w:ind w:firstLine="643" w:firstLineChars="200"/>
        <w:rPr>
          <w:rFonts w:ascii="仿宋" w:hAnsi="仿宋" w:eastAsia="仿宋" w:cs="华文仿宋"/>
          <w:bCs/>
          <w:kern w:val="0"/>
          <w:sz w:val="32"/>
          <w:szCs w:val="32"/>
        </w:rPr>
      </w:pPr>
      <w:r>
        <w:rPr>
          <w:rFonts w:ascii="仿宋" w:hAnsi="仿宋" w:eastAsia="仿宋" w:cs="华文仿宋"/>
          <w:b/>
          <w:bCs/>
          <w:kern w:val="0"/>
          <w:sz w:val="32"/>
          <w:szCs w:val="32"/>
        </w:rPr>
        <w:t>二是聚焦发展强实干，扛起“建新功”的使命担当。</w:t>
      </w:r>
      <w:r>
        <w:rPr>
          <w:rFonts w:ascii="仿宋" w:hAnsi="仿宋" w:eastAsia="仿宋" w:cs="华文仿宋"/>
          <w:bCs/>
          <w:kern w:val="0"/>
          <w:sz w:val="32"/>
          <w:szCs w:val="32"/>
        </w:rPr>
        <w:t>聚焦6个欠发达县域托底性帮扶，全面启动实施</w:t>
      </w:r>
      <w:r>
        <w:rPr>
          <w:rFonts w:hint="eastAsia" w:ascii="仿宋" w:hAnsi="仿宋" w:eastAsia="仿宋" w:cs="华文仿宋"/>
          <w:bCs/>
          <w:kern w:val="0"/>
          <w:sz w:val="32"/>
          <w:szCs w:val="32"/>
        </w:rPr>
        <w:t>“巾帼同心·净土共富”</w:t>
      </w:r>
      <w:r>
        <w:rPr>
          <w:rFonts w:ascii="仿宋" w:hAnsi="仿宋" w:eastAsia="仿宋" w:cs="华文仿宋"/>
          <w:bCs/>
          <w:kern w:val="0"/>
          <w:sz w:val="32"/>
          <w:szCs w:val="32"/>
        </w:rPr>
        <w:t>计划，抓实抓细</w:t>
      </w:r>
      <w:r>
        <w:rPr>
          <w:rFonts w:hint="eastAsia" w:ascii="仿宋" w:hAnsi="仿宋" w:eastAsia="仿宋" w:cs="华文仿宋"/>
          <w:bCs/>
          <w:kern w:val="0"/>
          <w:sz w:val="32"/>
          <w:szCs w:val="32"/>
        </w:rPr>
        <w:t>“十个一”行动计划</w:t>
      </w:r>
      <w:r>
        <w:rPr>
          <w:rFonts w:ascii="仿宋" w:hAnsi="仿宋" w:eastAsia="仿宋" w:cs="华文仿宋"/>
          <w:bCs/>
          <w:kern w:val="0"/>
          <w:sz w:val="32"/>
          <w:szCs w:val="32"/>
        </w:rPr>
        <w:t>〔提升建设一批妇女儿童流动服务队；建成一批妇女居家灵活就业基地；建设提升一批妇女儿童阵地；开展一批“五个百名”</w:t>
      </w:r>
      <w:r>
        <w:rPr>
          <w:rFonts w:hint="eastAsia" w:ascii="仿宋" w:hAnsi="仿宋" w:eastAsia="仿宋" w:cs="华文仿宋"/>
          <w:bCs/>
          <w:kern w:val="0"/>
          <w:sz w:val="32"/>
          <w:szCs w:val="32"/>
        </w:rPr>
        <w:t>（即：百名民宿女管家、百名电商女主播、百名巾帼家政带头人、百名巾帼法律明白人、百名优秀女干部）</w:t>
      </w:r>
      <w:r>
        <w:rPr>
          <w:rFonts w:ascii="仿宋" w:hAnsi="仿宋" w:eastAsia="仿宋" w:cs="华文仿宋"/>
          <w:bCs/>
          <w:kern w:val="0"/>
          <w:sz w:val="32"/>
          <w:szCs w:val="32"/>
        </w:rPr>
        <w:t>巾帼赋能培训班；开展一季“花开阿坝•幸福万家”科学家教巡讲和“放眼望未来”困境妇女儿童亲子研学活动；开展一类源头预防宫颈癌关爱行动；成立一支“净土春晖”关爱基金；开展一系列“净土春晖”关爱活动；开展一组“春蕾绽放•雪莲花开”女大学生就业创业指导“微计划”；开展一轮女企业家、巾帼志愿者“牵手”结对帮扶行动〕，全力促进</w:t>
      </w:r>
      <w:bookmarkStart w:id="0" w:name="_GoBack"/>
      <w:bookmarkEnd w:id="0"/>
      <w:r>
        <w:rPr>
          <w:rFonts w:hint="eastAsia" w:ascii="仿宋" w:hAnsi="仿宋" w:eastAsia="仿宋" w:cs="华文仿宋"/>
          <w:bCs/>
          <w:kern w:val="0"/>
          <w:sz w:val="32"/>
          <w:szCs w:val="32"/>
          <w:lang w:eastAsia="zh-CN"/>
        </w:rPr>
        <w:t>巩固拓展脱贫攻坚成果</w:t>
      </w:r>
      <w:r>
        <w:rPr>
          <w:rFonts w:ascii="仿宋" w:hAnsi="仿宋" w:eastAsia="仿宋" w:cs="华文仿宋"/>
          <w:bCs/>
          <w:kern w:val="0"/>
          <w:sz w:val="32"/>
          <w:szCs w:val="32"/>
        </w:rPr>
        <w:t>；大力实施</w:t>
      </w:r>
      <w:r>
        <w:rPr>
          <w:rFonts w:hint="eastAsia" w:ascii="仿宋" w:hAnsi="仿宋" w:eastAsia="仿宋" w:cs="华文仿宋"/>
          <w:bCs/>
          <w:kern w:val="0"/>
          <w:sz w:val="32"/>
          <w:szCs w:val="32"/>
        </w:rPr>
        <w:t>乡村振兴巾帼行动、“就业创业”巾帼行动</w:t>
      </w:r>
      <w:r>
        <w:rPr>
          <w:rFonts w:ascii="仿宋" w:hAnsi="仿宋" w:eastAsia="仿宋" w:cs="华文仿宋"/>
          <w:bCs/>
          <w:kern w:val="0"/>
          <w:sz w:val="32"/>
          <w:szCs w:val="32"/>
        </w:rPr>
        <w:t>，做实擦亮</w:t>
      </w:r>
      <w:r>
        <w:rPr>
          <w:rFonts w:hint="eastAsia" w:ascii="仿宋" w:hAnsi="仿宋" w:eastAsia="仿宋" w:cs="华文仿宋"/>
          <w:bCs/>
          <w:kern w:val="0"/>
          <w:sz w:val="32"/>
          <w:szCs w:val="32"/>
        </w:rPr>
        <w:t>“净土巧手·阿坝女红”</w:t>
      </w:r>
      <w:r>
        <w:rPr>
          <w:rFonts w:ascii="仿宋" w:hAnsi="仿宋" w:eastAsia="仿宋" w:cs="华文仿宋"/>
          <w:bCs/>
          <w:kern w:val="0"/>
          <w:sz w:val="32"/>
          <w:szCs w:val="32"/>
        </w:rPr>
        <w:t>特色手工品牌，坚定不移推动妇女工作高质量发展。</w:t>
      </w:r>
    </w:p>
    <w:p w14:paraId="232C8371">
      <w:pPr>
        <w:spacing w:line="560" w:lineRule="exact"/>
        <w:ind w:firstLine="643" w:firstLineChars="200"/>
        <w:rPr>
          <w:rFonts w:ascii="仿宋" w:hAnsi="仿宋" w:eastAsia="仿宋" w:cs="华文仿宋"/>
          <w:bCs/>
          <w:kern w:val="0"/>
          <w:sz w:val="32"/>
          <w:szCs w:val="32"/>
        </w:rPr>
      </w:pPr>
      <w:r>
        <w:rPr>
          <w:rFonts w:ascii="仿宋" w:hAnsi="仿宋" w:eastAsia="仿宋" w:cs="华文仿宋"/>
          <w:b/>
          <w:bCs/>
          <w:kern w:val="0"/>
          <w:sz w:val="32"/>
          <w:szCs w:val="32"/>
        </w:rPr>
        <w:t>三是聚焦家庭强服务，扛起“树家风”的社会担当。</w:t>
      </w:r>
      <w:r>
        <w:rPr>
          <w:rFonts w:ascii="仿宋" w:hAnsi="仿宋" w:eastAsia="仿宋" w:cs="华文仿宋"/>
          <w:bCs/>
          <w:kern w:val="0"/>
          <w:sz w:val="32"/>
          <w:szCs w:val="32"/>
        </w:rPr>
        <w:t>落实好《家庭教育促进法》，实施</w:t>
      </w:r>
      <w:r>
        <w:rPr>
          <w:rFonts w:hint="eastAsia" w:ascii="仿宋" w:hAnsi="仿宋" w:eastAsia="仿宋" w:cs="华文仿宋"/>
          <w:bCs/>
          <w:kern w:val="0"/>
          <w:sz w:val="32"/>
          <w:szCs w:val="32"/>
        </w:rPr>
        <w:t>“家庭服务巾帼行动”</w:t>
      </w:r>
      <w:r>
        <w:rPr>
          <w:rFonts w:ascii="仿宋" w:hAnsi="仿宋" w:eastAsia="仿宋" w:cs="华文仿宋"/>
          <w:bCs/>
          <w:kern w:val="0"/>
          <w:sz w:val="32"/>
          <w:szCs w:val="32"/>
        </w:rPr>
        <w:t>，开展好</w:t>
      </w:r>
      <w:r>
        <w:rPr>
          <w:rFonts w:hint="eastAsia" w:ascii="仿宋" w:hAnsi="仿宋" w:eastAsia="仿宋" w:cs="华文仿宋"/>
          <w:bCs/>
          <w:kern w:val="0"/>
          <w:sz w:val="32"/>
          <w:szCs w:val="32"/>
        </w:rPr>
        <w:t>“花开阿坝·幸福万家”科学家教巡讲</w:t>
      </w:r>
      <w:r>
        <w:rPr>
          <w:rFonts w:ascii="仿宋" w:hAnsi="仿宋" w:eastAsia="仿宋" w:cs="华文仿宋"/>
          <w:bCs/>
          <w:kern w:val="0"/>
          <w:sz w:val="32"/>
          <w:szCs w:val="32"/>
        </w:rPr>
        <w:t>、婚恋交友等服务；做实巾帼家政劳务对接，做优家政职业培训，做靓“净土阿妹”巾帼家政品牌。持续开展</w:t>
      </w:r>
      <w:r>
        <w:rPr>
          <w:rFonts w:hint="eastAsia" w:ascii="仿宋" w:hAnsi="仿宋" w:eastAsia="仿宋" w:cs="华文仿宋"/>
          <w:bCs/>
          <w:kern w:val="0"/>
          <w:sz w:val="32"/>
          <w:szCs w:val="32"/>
        </w:rPr>
        <w:t>“家庭助廉”好风传家系列活动</w:t>
      </w:r>
      <w:r>
        <w:rPr>
          <w:rFonts w:ascii="仿宋" w:hAnsi="仿宋" w:eastAsia="仿宋" w:cs="华文仿宋"/>
          <w:bCs/>
          <w:kern w:val="0"/>
          <w:sz w:val="32"/>
          <w:szCs w:val="32"/>
        </w:rPr>
        <w:t>，举办</w:t>
      </w:r>
      <w:r>
        <w:rPr>
          <w:rFonts w:hint="eastAsia" w:ascii="仿宋" w:hAnsi="仿宋" w:eastAsia="仿宋" w:cs="华文仿宋"/>
          <w:bCs/>
          <w:kern w:val="0"/>
          <w:sz w:val="32"/>
          <w:szCs w:val="32"/>
        </w:rPr>
        <w:t>清廉家风文化作品展</w:t>
      </w:r>
      <w:r>
        <w:rPr>
          <w:rFonts w:ascii="仿宋" w:hAnsi="仿宋" w:eastAsia="仿宋" w:cs="华文仿宋"/>
          <w:bCs/>
          <w:kern w:val="0"/>
          <w:sz w:val="32"/>
          <w:szCs w:val="32"/>
        </w:rPr>
        <w:t>，以良好家风涵养良好党风政风。</w:t>
      </w:r>
    </w:p>
    <w:p w14:paraId="1F1211C2">
      <w:pPr>
        <w:spacing w:line="560" w:lineRule="exact"/>
        <w:ind w:firstLine="627" w:firstLineChars="200"/>
        <w:rPr>
          <w:rFonts w:ascii="仿宋" w:hAnsi="仿宋" w:eastAsia="仿宋" w:cs="华文仿宋"/>
          <w:bCs/>
          <w:spacing w:val="-4"/>
          <w:kern w:val="0"/>
          <w:sz w:val="32"/>
          <w:szCs w:val="32"/>
        </w:rPr>
      </w:pPr>
      <w:r>
        <w:rPr>
          <w:rFonts w:ascii="仿宋" w:hAnsi="仿宋" w:eastAsia="仿宋" w:cs="华文仿宋"/>
          <w:b/>
          <w:bCs/>
          <w:spacing w:val="-4"/>
          <w:kern w:val="0"/>
          <w:sz w:val="32"/>
          <w:szCs w:val="32"/>
        </w:rPr>
        <w:t>四是聚焦维权强关爱，扛起“娘家人”的责任担当。</w:t>
      </w:r>
      <w:r>
        <w:rPr>
          <w:rFonts w:ascii="仿宋" w:hAnsi="仿宋" w:eastAsia="仿宋" w:cs="华文仿宋"/>
          <w:bCs/>
          <w:spacing w:val="-4"/>
          <w:kern w:val="0"/>
          <w:sz w:val="32"/>
          <w:szCs w:val="32"/>
        </w:rPr>
        <w:t>认真落实妇女儿童维权“五项”机制，结合“两联一进”群众工作全覆盖，开展</w:t>
      </w:r>
      <w:r>
        <w:rPr>
          <w:rFonts w:hint="eastAsia" w:ascii="仿宋" w:hAnsi="仿宋" w:eastAsia="仿宋" w:cs="华文仿宋"/>
          <w:bCs/>
          <w:spacing w:val="-4"/>
          <w:kern w:val="0"/>
          <w:sz w:val="32"/>
          <w:szCs w:val="32"/>
        </w:rPr>
        <w:t>“净土春晖”“儿童寒暑假关爱”等</w:t>
      </w:r>
      <w:r>
        <w:rPr>
          <w:rFonts w:ascii="仿宋" w:hAnsi="仿宋" w:eastAsia="仿宋" w:cs="华文仿宋"/>
          <w:bCs/>
          <w:spacing w:val="-4"/>
          <w:kern w:val="0"/>
          <w:sz w:val="32"/>
          <w:szCs w:val="32"/>
        </w:rPr>
        <w:t>活动；持续深化</w:t>
      </w:r>
      <w:r>
        <w:rPr>
          <w:rFonts w:hint="eastAsia" w:ascii="仿宋" w:hAnsi="仿宋" w:eastAsia="仿宋" w:cs="华文仿宋"/>
          <w:bCs/>
          <w:spacing w:val="-4"/>
          <w:kern w:val="0"/>
          <w:sz w:val="32"/>
          <w:szCs w:val="32"/>
        </w:rPr>
        <w:t>“健康中国·母亲行动”</w:t>
      </w:r>
      <w:r>
        <w:rPr>
          <w:rFonts w:ascii="仿宋" w:hAnsi="仿宋" w:eastAsia="仿宋" w:cs="华文仿宋"/>
          <w:bCs/>
          <w:spacing w:val="-4"/>
          <w:kern w:val="0"/>
          <w:sz w:val="32"/>
          <w:szCs w:val="32"/>
        </w:rPr>
        <w:t>，发动更多适龄妇女接受“两癌”筛查，开展好救助工作；用心用情做好单亲母亲及家庭、大病及残疾妇女、困难觉姆、留守儿童等农牧区特殊群体关爱帮扶，让现代化建设成果更多更公平地惠及妇女儿童。</w:t>
      </w:r>
    </w:p>
    <w:p w14:paraId="018E7DC3">
      <w:pPr>
        <w:spacing w:line="560" w:lineRule="exact"/>
        <w:ind w:firstLine="643" w:firstLineChars="200"/>
        <w:rPr>
          <w:rFonts w:ascii="仿宋" w:hAnsi="仿宋" w:eastAsia="仿宋" w:cs="华文仿宋"/>
          <w:bCs/>
          <w:kern w:val="0"/>
          <w:sz w:val="32"/>
          <w:szCs w:val="32"/>
        </w:rPr>
      </w:pPr>
      <w:r>
        <w:rPr>
          <w:rFonts w:ascii="仿宋" w:hAnsi="仿宋" w:eastAsia="仿宋" w:cs="华文仿宋"/>
          <w:b/>
          <w:bCs/>
          <w:kern w:val="0"/>
          <w:sz w:val="32"/>
          <w:szCs w:val="32"/>
        </w:rPr>
        <w:t>五是聚焦基层强保障，扛起“强三性”的改革担当。</w:t>
      </w:r>
      <w:r>
        <w:rPr>
          <w:rFonts w:ascii="仿宋" w:hAnsi="仿宋" w:eastAsia="仿宋" w:cs="华文仿宋"/>
          <w:bCs/>
          <w:kern w:val="0"/>
          <w:sz w:val="32"/>
          <w:szCs w:val="32"/>
        </w:rPr>
        <w:t>坚持党建带妇建，围绕“强三性”，抓好组织覆盖，积极筹备成立</w:t>
      </w:r>
      <w:r>
        <w:rPr>
          <w:rFonts w:hint="eastAsia" w:ascii="仿宋" w:hAnsi="仿宋" w:eastAsia="仿宋" w:cs="华文仿宋"/>
          <w:bCs/>
          <w:kern w:val="0"/>
          <w:sz w:val="32"/>
          <w:szCs w:val="32"/>
        </w:rPr>
        <w:t>“阿坝州女科技工作者协会”“阿坝州女律师协会”</w:t>
      </w:r>
      <w:r>
        <w:rPr>
          <w:rFonts w:ascii="仿宋" w:hAnsi="仿宋" w:eastAsia="仿宋" w:cs="华文仿宋"/>
          <w:bCs/>
          <w:kern w:val="0"/>
          <w:sz w:val="32"/>
          <w:szCs w:val="32"/>
        </w:rPr>
        <w:t>；拓展“三新”领域妇联组建扩面，建强工作阵地，丰富活动载体，关心关爱妇女儿童身心健康；积极培养高素质干部队伍，不断提高妇联组织引领力、组织力、服务力，当好妇女群众信得过、靠得住、离不开的娘家人。切实发挥各级政府妇儿工委办作用，加强组织协调督促指导，落实好党中央、省委、州委关于妇女儿童事业的决策部署，推动妇女事业与经济社会同步协调发展。</w:t>
      </w:r>
    </w:p>
    <w:p w14:paraId="74640A7D">
      <w:pPr>
        <w:pStyle w:val="7"/>
        <w:numPr>
          <w:ilvl w:val="0"/>
          <w:numId w:val="1"/>
        </w:numPr>
        <w:ind w:firstLineChars="0"/>
        <w:rPr>
          <w:rFonts w:ascii="黑体" w:hAnsi="黑体" w:eastAsia="黑体"/>
          <w:sz w:val="32"/>
          <w:szCs w:val="32"/>
        </w:rPr>
      </w:pPr>
      <w:r>
        <w:rPr>
          <w:rFonts w:hint="eastAsia" w:ascii="黑体" w:hAnsi="黑体" w:eastAsia="黑体"/>
          <w:sz w:val="32"/>
          <w:szCs w:val="32"/>
        </w:rPr>
        <w:t>部门预算单位构成</w:t>
      </w:r>
    </w:p>
    <w:p w14:paraId="76EBFAFE">
      <w:pPr>
        <w:spacing w:line="520" w:lineRule="exact"/>
        <w:ind w:firstLine="707" w:firstLineChars="221"/>
        <w:rPr>
          <w:rFonts w:ascii="仿宋" w:hAnsi="仿宋" w:eastAsia="仿宋" w:cs="仿宋"/>
          <w:sz w:val="32"/>
          <w:szCs w:val="32"/>
        </w:rPr>
      </w:pPr>
      <w:r>
        <w:rPr>
          <w:rFonts w:hint="eastAsia" w:ascii="仿宋" w:hAnsi="仿宋" w:eastAsia="仿宋" w:cs="仿宋"/>
          <w:sz w:val="32"/>
          <w:szCs w:val="32"/>
        </w:rPr>
        <w:t>阿坝州妇联属一级预算单位，我会设一室三部，即办公室、家儿权益部、组织宣传部、发展联络部。州政府妇儿工委办设在我会。总编制14名，其中：行政编制11名，工勤人员3名。在职人员总数14名，其中：行政人员11名，工勤人员3名；退休人员5人。</w:t>
      </w:r>
    </w:p>
    <w:p w14:paraId="7E5AD418">
      <w:pPr>
        <w:pStyle w:val="7"/>
        <w:ind w:left="720" w:firstLine="0" w:firstLineChars="0"/>
        <w:rPr>
          <w:rFonts w:ascii="黑体" w:hAnsi="黑体" w:eastAsia="黑体"/>
          <w:sz w:val="32"/>
          <w:szCs w:val="32"/>
        </w:rPr>
      </w:pPr>
      <w:r>
        <w:rPr>
          <w:rFonts w:hint="eastAsia" w:ascii="黑体" w:hAnsi="黑体" w:eastAsia="黑体"/>
          <w:sz w:val="32"/>
          <w:szCs w:val="32"/>
        </w:rPr>
        <w:t>三、收支预算情况说明</w:t>
      </w:r>
    </w:p>
    <w:p w14:paraId="1A0DCB06">
      <w:pPr>
        <w:spacing w:line="520" w:lineRule="exact"/>
        <w:ind w:firstLine="686" w:firstLineChars="220"/>
        <w:rPr>
          <w:rFonts w:ascii="仿宋" w:hAnsi="仿宋" w:eastAsia="仿宋" w:cs="仿宋"/>
          <w:spacing w:val="-4"/>
          <w:sz w:val="32"/>
          <w:szCs w:val="32"/>
        </w:rPr>
      </w:pPr>
      <w:r>
        <w:rPr>
          <w:rFonts w:ascii="仿宋" w:hAnsi="仿宋" w:eastAsia="仿宋" w:cs="仿宋"/>
          <w:spacing w:val="-4"/>
          <w:sz w:val="32"/>
          <w:szCs w:val="32"/>
        </w:rPr>
        <w:t>按照综合预算的原则，</w:t>
      </w:r>
      <w:r>
        <w:rPr>
          <w:rFonts w:hint="eastAsia" w:ascii="仿宋" w:hAnsi="仿宋" w:eastAsia="仿宋" w:cs="仿宋"/>
          <w:spacing w:val="-4"/>
          <w:sz w:val="32"/>
          <w:szCs w:val="32"/>
        </w:rPr>
        <w:t>我会</w:t>
      </w:r>
      <w:r>
        <w:rPr>
          <w:rFonts w:ascii="仿宋" w:hAnsi="仿宋" w:eastAsia="仿宋" w:cs="仿宋"/>
          <w:spacing w:val="-4"/>
          <w:sz w:val="32"/>
          <w:szCs w:val="32"/>
        </w:rPr>
        <w:t>所有收入和支出均纳入部门预算管理。一般公共预算拨款收入</w:t>
      </w:r>
      <w:r>
        <w:rPr>
          <w:rFonts w:hint="eastAsia" w:ascii="仿宋" w:hAnsi="仿宋" w:eastAsia="仿宋" w:cs="仿宋"/>
          <w:spacing w:val="-4"/>
          <w:sz w:val="32"/>
          <w:szCs w:val="32"/>
        </w:rPr>
        <w:t>578.25</w:t>
      </w:r>
      <w:r>
        <w:rPr>
          <w:rFonts w:ascii="仿宋" w:hAnsi="仿宋" w:eastAsia="仿宋" w:cs="仿宋"/>
          <w:spacing w:val="-4"/>
          <w:sz w:val="32"/>
          <w:szCs w:val="32"/>
        </w:rPr>
        <w:t>万元，支出包括：一般公共服务支出</w:t>
      </w:r>
      <w:r>
        <w:rPr>
          <w:rFonts w:hint="eastAsia" w:ascii="仿宋" w:hAnsi="仿宋" w:eastAsia="仿宋" w:cs="仿宋"/>
          <w:spacing w:val="-4"/>
          <w:sz w:val="32"/>
          <w:szCs w:val="32"/>
        </w:rPr>
        <w:t>475.33</w:t>
      </w:r>
      <w:r>
        <w:rPr>
          <w:rFonts w:ascii="仿宋" w:hAnsi="仿宋" w:eastAsia="仿宋" w:cs="仿宋"/>
          <w:spacing w:val="-4"/>
          <w:sz w:val="32"/>
          <w:szCs w:val="32"/>
        </w:rPr>
        <w:t>万元，社会保障和就业支出</w:t>
      </w:r>
      <w:r>
        <w:rPr>
          <w:rFonts w:hint="eastAsia" w:ascii="仿宋" w:hAnsi="仿宋" w:eastAsia="仿宋" w:cs="仿宋"/>
          <w:spacing w:val="-4"/>
          <w:sz w:val="32"/>
          <w:szCs w:val="32"/>
        </w:rPr>
        <w:t>55.53</w:t>
      </w:r>
      <w:r>
        <w:rPr>
          <w:rFonts w:ascii="仿宋" w:hAnsi="仿宋" w:eastAsia="仿宋" w:cs="仿宋"/>
          <w:spacing w:val="-4"/>
          <w:sz w:val="32"/>
          <w:szCs w:val="32"/>
        </w:rPr>
        <w:t>万元，医疗卫生与计划生育支出</w:t>
      </w:r>
      <w:r>
        <w:rPr>
          <w:rFonts w:hint="eastAsia" w:ascii="仿宋" w:hAnsi="仿宋" w:eastAsia="仿宋" w:cs="仿宋"/>
          <w:spacing w:val="-4"/>
          <w:sz w:val="32"/>
          <w:szCs w:val="32"/>
        </w:rPr>
        <w:t>20.31</w:t>
      </w:r>
      <w:r>
        <w:rPr>
          <w:rFonts w:ascii="仿宋" w:hAnsi="仿宋" w:eastAsia="仿宋" w:cs="仿宋"/>
          <w:spacing w:val="-4"/>
          <w:sz w:val="32"/>
          <w:szCs w:val="32"/>
        </w:rPr>
        <w:t>万元，住房保障支出</w:t>
      </w:r>
      <w:r>
        <w:rPr>
          <w:rFonts w:hint="eastAsia" w:ascii="仿宋" w:hAnsi="仿宋" w:eastAsia="仿宋" w:cs="仿宋"/>
          <w:spacing w:val="-4"/>
          <w:sz w:val="32"/>
          <w:szCs w:val="32"/>
        </w:rPr>
        <w:t>27.08</w:t>
      </w:r>
      <w:r>
        <w:rPr>
          <w:rFonts w:ascii="仿宋" w:hAnsi="仿宋" w:eastAsia="仿宋" w:cs="仿宋"/>
          <w:spacing w:val="-4"/>
          <w:sz w:val="32"/>
          <w:szCs w:val="32"/>
        </w:rPr>
        <w:t>万元。</w:t>
      </w:r>
      <w:r>
        <w:rPr>
          <w:rFonts w:hint="eastAsia" w:ascii="仿宋" w:hAnsi="仿宋" w:eastAsia="仿宋" w:cs="仿宋"/>
          <w:spacing w:val="-4"/>
          <w:sz w:val="32"/>
          <w:szCs w:val="32"/>
        </w:rPr>
        <w:t>2024</w:t>
      </w:r>
      <w:r>
        <w:rPr>
          <w:rFonts w:ascii="仿宋" w:hAnsi="仿宋" w:eastAsia="仿宋" w:cs="仿宋"/>
          <w:spacing w:val="-4"/>
          <w:sz w:val="32"/>
          <w:szCs w:val="32"/>
        </w:rPr>
        <w:t>年收支总预算</w:t>
      </w:r>
      <w:r>
        <w:rPr>
          <w:rFonts w:hint="eastAsia" w:ascii="仿宋" w:hAnsi="仿宋" w:eastAsia="仿宋" w:cs="仿宋"/>
          <w:spacing w:val="-4"/>
          <w:sz w:val="32"/>
          <w:szCs w:val="32"/>
        </w:rPr>
        <w:t>578.25</w:t>
      </w:r>
      <w:r>
        <w:rPr>
          <w:rFonts w:ascii="仿宋" w:hAnsi="仿宋" w:eastAsia="仿宋" w:cs="仿宋"/>
          <w:spacing w:val="-4"/>
          <w:sz w:val="32"/>
          <w:szCs w:val="32"/>
        </w:rPr>
        <w:t>万元,</w:t>
      </w:r>
      <w:r>
        <w:rPr>
          <w:rFonts w:hint="eastAsia" w:ascii="仿宋" w:hAnsi="仿宋" w:eastAsia="仿宋" w:cs="仿宋"/>
          <w:spacing w:val="-4"/>
          <w:sz w:val="32"/>
          <w:szCs w:val="32"/>
        </w:rPr>
        <w:t>总预算比2023年增加0.1万元。原因分析：一是2024年人员增加导致人员经费、和公用经费增加35.39万元；二是2024年州政府第二综合办公楼年度管理由其他单位负责导致项目经费减少35.29万元。</w:t>
      </w:r>
    </w:p>
    <w:p w14:paraId="2133E6EF">
      <w:pPr>
        <w:spacing w:line="520" w:lineRule="exact"/>
        <w:ind w:firstLine="707" w:firstLineChars="220"/>
        <w:rPr>
          <w:rFonts w:ascii="楷体_GB2312" w:hAnsi="仿宋" w:eastAsia="楷体_GB2312" w:cs="仿宋"/>
          <w:b/>
          <w:sz w:val="32"/>
          <w:szCs w:val="32"/>
        </w:rPr>
      </w:pPr>
      <w:r>
        <w:rPr>
          <w:rFonts w:hint="eastAsia" w:ascii="楷体_GB2312" w:hAnsi="仿宋" w:eastAsia="楷体_GB2312" w:cs="仿宋"/>
          <w:b/>
          <w:sz w:val="32"/>
          <w:szCs w:val="32"/>
        </w:rPr>
        <w:t>（一）收入预算情况</w:t>
      </w:r>
    </w:p>
    <w:p w14:paraId="4BE3FD7E">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州妇联</w:t>
      </w:r>
      <w:r>
        <w:rPr>
          <w:rFonts w:ascii="仿宋" w:hAnsi="仿宋" w:eastAsia="仿宋" w:cs="仿宋"/>
          <w:sz w:val="32"/>
          <w:szCs w:val="32"/>
        </w:rPr>
        <w:t>20</w:t>
      </w:r>
      <w:r>
        <w:rPr>
          <w:rFonts w:hint="eastAsia" w:ascii="仿宋" w:hAnsi="仿宋" w:eastAsia="仿宋" w:cs="仿宋"/>
          <w:sz w:val="32"/>
          <w:szCs w:val="32"/>
        </w:rPr>
        <w:t>24</w:t>
      </w:r>
      <w:r>
        <w:rPr>
          <w:rFonts w:ascii="仿宋" w:hAnsi="仿宋" w:eastAsia="仿宋" w:cs="仿宋"/>
          <w:sz w:val="32"/>
          <w:szCs w:val="32"/>
        </w:rPr>
        <w:t>年收入预算</w:t>
      </w:r>
      <w:r>
        <w:rPr>
          <w:rFonts w:hint="eastAsia" w:ascii="仿宋" w:hAnsi="仿宋" w:eastAsia="仿宋" w:cs="仿宋"/>
          <w:sz w:val="32"/>
          <w:szCs w:val="32"/>
        </w:rPr>
        <w:t>578.25</w:t>
      </w:r>
      <w:r>
        <w:rPr>
          <w:rFonts w:ascii="仿宋" w:hAnsi="仿宋" w:eastAsia="仿宋" w:cs="仿宋"/>
          <w:sz w:val="32"/>
          <w:szCs w:val="32"/>
        </w:rPr>
        <w:t>万元，占</w:t>
      </w:r>
      <w:r>
        <w:rPr>
          <w:rFonts w:hint="eastAsia" w:ascii="仿宋" w:hAnsi="仿宋" w:eastAsia="仿宋" w:cs="仿宋"/>
          <w:sz w:val="32"/>
          <w:szCs w:val="32"/>
        </w:rPr>
        <w:t>100</w:t>
      </w:r>
      <w:r>
        <w:rPr>
          <w:rFonts w:ascii="仿宋" w:hAnsi="仿宋" w:eastAsia="仿宋" w:cs="仿宋"/>
          <w:sz w:val="32"/>
          <w:szCs w:val="32"/>
        </w:rPr>
        <w:t>%；一般公共预算拨款收入</w:t>
      </w:r>
      <w:r>
        <w:rPr>
          <w:rFonts w:hint="eastAsia" w:ascii="仿宋" w:hAnsi="仿宋" w:eastAsia="仿宋" w:cs="仿宋"/>
          <w:sz w:val="32"/>
          <w:szCs w:val="32"/>
        </w:rPr>
        <w:t>578.25</w:t>
      </w:r>
      <w:r>
        <w:rPr>
          <w:rFonts w:ascii="仿宋" w:hAnsi="仿宋" w:eastAsia="仿宋" w:cs="仿宋"/>
          <w:sz w:val="32"/>
          <w:szCs w:val="32"/>
        </w:rPr>
        <w:t>万元，占</w:t>
      </w:r>
      <w:r>
        <w:rPr>
          <w:rFonts w:hint="eastAsia" w:ascii="仿宋" w:hAnsi="仿宋" w:eastAsia="仿宋" w:cs="仿宋"/>
          <w:sz w:val="32"/>
          <w:szCs w:val="32"/>
        </w:rPr>
        <w:t>100</w:t>
      </w:r>
      <w:r>
        <w:rPr>
          <w:rFonts w:ascii="仿宋" w:hAnsi="仿宋" w:eastAsia="仿宋" w:cs="仿宋"/>
          <w:sz w:val="32"/>
          <w:szCs w:val="32"/>
        </w:rPr>
        <w:t>%。</w:t>
      </w:r>
    </w:p>
    <w:p w14:paraId="0A334F07">
      <w:pPr>
        <w:spacing w:line="520" w:lineRule="exact"/>
        <w:ind w:firstLine="707" w:firstLineChars="220"/>
        <w:rPr>
          <w:rFonts w:ascii="楷体_GB2312" w:hAnsi="仿宋" w:eastAsia="楷体_GB2312" w:cs="仿宋"/>
          <w:b/>
          <w:sz w:val="32"/>
          <w:szCs w:val="32"/>
        </w:rPr>
      </w:pPr>
      <w:r>
        <w:rPr>
          <w:rFonts w:ascii="楷体_GB2312" w:hAnsi="仿宋" w:eastAsia="楷体_GB2312" w:cs="仿宋"/>
          <w:b/>
          <w:sz w:val="32"/>
          <w:szCs w:val="32"/>
        </w:rPr>
        <w:t>（二）支出预算情况</w:t>
      </w:r>
    </w:p>
    <w:p w14:paraId="4376720F">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州妇联</w:t>
      </w:r>
      <w:r>
        <w:rPr>
          <w:rFonts w:ascii="仿宋" w:hAnsi="仿宋" w:eastAsia="仿宋" w:cs="仿宋"/>
          <w:sz w:val="32"/>
          <w:szCs w:val="32"/>
        </w:rPr>
        <w:t>20</w:t>
      </w:r>
      <w:r>
        <w:rPr>
          <w:rFonts w:hint="eastAsia" w:ascii="仿宋" w:hAnsi="仿宋" w:eastAsia="仿宋" w:cs="仿宋"/>
          <w:sz w:val="32"/>
          <w:szCs w:val="32"/>
        </w:rPr>
        <w:t>24</w:t>
      </w:r>
      <w:r>
        <w:rPr>
          <w:rFonts w:ascii="仿宋" w:hAnsi="仿宋" w:eastAsia="仿宋" w:cs="仿宋"/>
          <w:sz w:val="32"/>
          <w:szCs w:val="32"/>
        </w:rPr>
        <w:t>年支出预算</w:t>
      </w:r>
      <w:r>
        <w:rPr>
          <w:rFonts w:hint="eastAsia" w:ascii="仿宋" w:hAnsi="仿宋" w:eastAsia="仿宋" w:cs="仿宋"/>
          <w:sz w:val="32"/>
          <w:szCs w:val="32"/>
        </w:rPr>
        <w:t>578.25</w:t>
      </w:r>
      <w:r>
        <w:rPr>
          <w:rFonts w:ascii="仿宋" w:hAnsi="仿宋" w:eastAsia="仿宋" w:cs="仿宋"/>
          <w:sz w:val="32"/>
          <w:szCs w:val="32"/>
        </w:rPr>
        <w:t>万元，其中：基本支出</w:t>
      </w:r>
      <w:r>
        <w:rPr>
          <w:rFonts w:hint="eastAsia" w:ascii="仿宋" w:hAnsi="仿宋" w:eastAsia="仿宋" w:cs="仿宋"/>
          <w:sz w:val="32"/>
          <w:szCs w:val="32"/>
        </w:rPr>
        <w:t>458.85</w:t>
      </w:r>
      <w:r>
        <w:rPr>
          <w:rFonts w:ascii="仿宋" w:hAnsi="仿宋" w:eastAsia="仿宋" w:cs="仿宋"/>
          <w:sz w:val="32"/>
          <w:szCs w:val="32"/>
        </w:rPr>
        <w:t>万元，占</w:t>
      </w:r>
      <w:r>
        <w:rPr>
          <w:rFonts w:hint="eastAsia" w:ascii="仿宋" w:hAnsi="仿宋" w:eastAsia="仿宋" w:cs="仿宋"/>
          <w:sz w:val="32"/>
          <w:szCs w:val="32"/>
        </w:rPr>
        <w:t>79.35</w:t>
      </w:r>
      <w:r>
        <w:rPr>
          <w:rFonts w:ascii="仿宋" w:hAnsi="仿宋" w:eastAsia="仿宋" w:cs="仿宋"/>
          <w:sz w:val="32"/>
          <w:szCs w:val="32"/>
        </w:rPr>
        <w:t>%；项目支出</w:t>
      </w:r>
      <w:r>
        <w:rPr>
          <w:rFonts w:hint="eastAsia" w:ascii="仿宋" w:hAnsi="仿宋" w:eastAsia="仿宋" w:cs="仿宋"/>
          <w:sz w:val="32"/>
          <w:szCs w:val="32"/>
        </w:rPr>
        <w:t>119.4</w:t>
      </w:r>
      <w:r>
        <w:rPr>
          <w:rFonts w:ascii="仿宋" w:hAnsi="仿宋" w:eastAsia="仿宋" w:cs="仿宋"/>
          <w:sz w:val="32"/>
          <w:szCs w:val="32"/>
        </w:rPr>
        <w:t>万元，占</w:t>
      </w:r>
      <w:r>
        <w:rPr>
          <w:rFonts w:hint="eastAsia" w:ascii="仿宋" w:hAnsi="仿宋" w:eastAsia="仿宋" w:cs="仿宋"/>
          <w:sz w:val="32"/>
          <w:szCs w:val="32"/>
        </w:rPr>
        <w:t>20.65</w:t>
      </w:r>
      <w:r>
        <w:rPr>
          <w:rFonts w:ascii="仿宋" w:hAnsi="仿宋" w:eastAsia="仿宋" w:cs="仿宋"/>
          <w:sz w:val="32"/>
          <w:szCs w:val="32"/>
        </w:rPr>
        <w:t>%。</w:t>
      </w:r>
    </w:p>
    <w:p w14:paraId="39D77C3D">
      <w:pPr>
        <w:spacing w:line="520" w:lineRule="exact"/>
        <w:ind w:firstLine="848" w:firstLineChars="265"/>
        <w:rPr>
          <w:rFonts w:ascii="黑体" w:hAnsi="黑体" w:eastAsia="黑体"/>
          <w:sz w:val="32"/>
          <w:szCs w:val="32"/>
        </w:rPr>
      </w:pPr>
      <w:r>
        <w:rPr>
          <w:rFonts w:hint="eastAsia" w:ascii="黑体" w:hAnsi="黑体" w:eastAsia="黑体"/>
          <w:sz w:val="32"/>
          <w:szCs w:val="32"/>
        </w:rPr>
        <w:t>四、财政拨款收支预算情况说明</w:t>
      </w:r>
    </w:p>
    <w:p w14:paraId="16D5E211">
      <w:pPr>
        <w:spacing w:line="520" w:lineRule="exact"/>
        <w:ind w:firstLine="704" w:firstLineChars="220"/>
        <w:rPr>
          <w:rFonts w:ascii="仿宋" w:hAnsi="仿宋" w:eastAsia="仿宋" w:cs="仿宋"/>
          <w:spacing w:val="-4"/>
          <w:sz w:val="32"/>
          <w:szCs w:val="32"/>
        </w:rPr>
      </w:pPr>
      <w:r>
        <w:rPr>
          <w:rFonts w:hint="eastAsia" w:ascii="仿宋_GB2312" w:eastAsia="仿宋_GB2312" w:cs="仿宋_GB2312"/>
          <w:sz w:val="32"/>
          <w:szCs w:val="32"/>
        </w:rPr>
        <w:t>州妇联</w:t>
      </w:r>
      <w:r>
        <w:rPr>
          <w:rFonts w:hint="eastAsia" w:ascii="仿宋_GB2312" w:eastAsia="仿宋_GB2312"/>
          <w:sz w:val="32"/>
          <w:szCs w:val="32"/>
        </w:rPr>
        <w:t>2024年财政拨款收支总预算578.25万元,</w:t>
      </w:r>
      <w:r>
        <w:rPr>
          <w:rFonts w:hint="eastAsia" w:ascii="仿宋" w:hAnsi="仿宋" w:eastAsia="仿宋" w:cs="仿宋"/>
          <w:spacing w:val="-4"/>
          <w:sz w:val="32"/>
          <w:szCs w:val="32"/>
        </w:rPr>
        <w:t xml:space="preserve"> 总预算比2023年增加0.1万元。原因分析：一是2024年人员增加导致人员经费、和公用经费增加35.39万元；二是2024年州政府第二综合办公楼年度管理由其他单位负责导致项目经费减少35.29万元。</w:t>
      </w:r>
    </w:p>
    <w:p w14:paraId="6CA9D84D">
      <w:pPr>
        <w:spacing w:line="520" w:lineRule="exact"/>
        <w:ind w:firstLine="707" w:firstLineChars="221"/>
        <w:rPr>
          <w:rFonts w:ascii="仿宋" w:hAnsi="仿宋" w:eastAsia="仿宋" w:cs="仿宋"/>
          <w:sz w:val="32"/>
          <w:szCs w:val="32"/>
        </w:rPr>
      </w:pPr>
      <w:r>
        <w:rPr>
          <w:rFonts w:ascii="仿宋" w:hAnsi="仿宋" w:eastAsia="仿宋" w:cs="仿宋"/>
          <w:sz w:val="32"/>
          <w:szCs w:val="32"/>
        </w:rPr>
        <w:t>收入包括：一般公共预算拨款收入</w:t>
      </w:r>
      <w:r>
        <w:rPr>
          <w:rFonts w:hint="eastAsia" w:ascii="仿宋" w:hAnsi="仿宋" w:eastAsia="仿宋" w:cs="仿宋"/>
          <w:sz w:val="32"/>
          <w:szCs w:val="32"/>
        </w:rPr>
        <w:t>578.25</w:t>
      </w:r>
      <w:r>
        <w:rPr>
          <w:rFonts w:ascii="仿宋" w:hAnsi="仿宋" w:eastAsia="仿宋" w:cs="仿宋"/>
          <w:sz w:val="32"/>
          <w:szCs w:val="32"/>
        </w:rPr>
        <w:t>万元</w:t>
      </w:r>
      <w:r>
        <w:rPr>
          <w:rFonts w:hint="eastAsia" w:ascii="仿宋" w:hAnsi="仿宋" w:eastAsia="仿宋" w:cs="仿宋"/>
          <w:sz w:val="32"/>
          <w:szCs w:val="32"/>
        </w:rPr>
        <w:t>，</w:t>
      </w:r>
      <w:r>
        <w:rPr>
          <w:rFonts w:hint="eastAsia" w:ascii="仿宋_GB2312" w:eastAsia="仿宋_GB2312"/>
          <w:sz w:val="32"/>
          <w:szCs w:val="32"/>
        </w:rPr>
        <w:t>与2023年持平。</w:t>
      </w:r>
    </w:p>
    <w:p w14:paraId="47D18624">
      <w:pPr>
        <w:spacing w:line="520" w:lineRule="exact"/>
        <w:ind w:firstLine="704" w:firstLineChars="220"/>
        <w:rPr>
          <w:rFonts w:ascii="仿宋" w:hAnsi="仿宋" w:eastAsia="仿宋" w:cs="仿宋"/>
          <w:sz w:val="32"/>
          <w:szCs w:val="32"/>
        </w:rPr>
      </w:pPr>
      <w:r>
        <w:rPr>
          <w:rFonts w:ascii="仿宋" w:hAnsi="仿宋" w:eastAsia="仿宋" w:cs="仿宋"/>
          <w:sz w:val="32"/>
          <w:szCs w:val="32"/>
        </w:rPr>
        <w:t>支出包括：一般公共服务支出</w:t>
      </w:r>
      <w:r>
        <w:rPr>
          <w:rFonts w:hint="eastAsia" w:ascii="仿宋" w:hAnsi="仿宋" w:eastAsia="仿宋" w:cs="仿宋"/>
          <w:sz w:val="32"/>
          <w:szCs w:val="32"/>
        </w:rPr>
        <w:t>475.33</w:t>
      </w:r>
      <w:r>
        <w:rPr>
          <w:rFonts w:ascii="仿宋" w:hAnsi="仿宋" w:eastAsia="仿宋" w:cs="仿宋"/>
          <w:sz w:val="32"/>
          <w:szCs w:val="32"/>
        </w:rPr>
        <w:t>万元，社会保障和就业支出</w:t>
      </w:r>
      <w:r>
        <w:rPr>
          <w:rFonts w:hint="eastAsia" w:ascii="仿宋" w:hAnsi="仿宋" w:eastAsia="仿宋" w:cs="仿宋"/>
          <w:sz w:val="32"/>
          <w:szCs w:val="32"/>
        </w:rPr>
        <w:t>55.53</w:t>
      </w:r>
      <w:r>
        <w:rPr>
          <w:rFonts w:ascii="仿宋" w:hAnsi="仿宋" w:eastAsia="仿宋" w:cs="仿宋"/>
          <w:sz w:val="32"/>
          <w:szCs w:val="32"/>
        </w:rPr>
        <w:t>万元，</w:t>
      </w:r>
      <w:r>
        <w:rPr>
          <w:rFonts w:hint="eastAsia" w:ascii="仿宋" w:hAnsi="仿宋" w:eastAsia="仿宋" w:cs="仿宋"/>
          <w:sz w:val="32"/>
          <w:szCs w:val="32"/>
        </w:rPr>
        <w:t>卫生健康</w:t>
      </w:r>
      <w:r>
        <w:rPr>
          <w:rFonts w:ascii="仿宋" w:hAnsi="仿宋" w:eastAsia="仿宋" w:cs="仿宋"/>
          <w:sz w:val="32"/>
          <w:szCs w:val="32"/>
        </w:rPr>
        <w:t>支出</w:t>
      </w:r>
      <w:r>
        <w:rPr>
          <w:rFonts w:hint="eastAsia" w:ascii="仿宋" w:hAnsi="仿宋" w:eastAsia="仿宋" w:cs="仿宋"/>
          <w:sz w:val="32"/>
          <w:szCs w:val="32"/>
        </w:rPr>
        <w:t>20.31</w:t>
      </w:r>
      <w:r>
        <w:rPr>
          <w:rFonts w:ascii="仿宋" w:hAnsi="仿宋" w:eastAsia="仿宋" w:cs="仿宋"/>
          <w:sz w:val="32"/>
          <w:szCs w:val="32"/>
        </w:rPr>
        <w:t>万元，住房保障支出</w:t>
      </w:r>
      <w:r>
        <w:rPr>
          <w:rFonts w:hint="eastAsia" w:ascii="仿宋" w:hAnsi="仿宋" w:eastAsia="仿宋" w:cs="仿宋"/>
          <w:sz w:val="32"/>
          <w:szCs w:val="32"/>
        </w:rPr>
        <w:t>27.08</w:t>
      </w:r>
      <w:r>
        <w:rPr>
          <w:rFonts w:ascii="仿宋" w:hAnsi="仿宋" w:eastAsia="仿宋" w:cs="仿宋"/>
          <w:sz w:val="32"/>
          <w:szCs w:val="32"/>
        </w:rPr>
        <w:t>万元。</w:t>
      </w:r>
    </w:p>
    <w:p w14:paraId="77C59B9C">
      <w:pPr>
        <w:ind w:left="638" w:leftChars="304"/>
        <w:rPr>
          <w:rFonts w:ascii="黑体" w:hAnsi="黑体" w:eastAsia="黑体"/>
          <w:sz w:val="32"/>
          <w:szCs w:val="32"/>
        </w:rPr>
      </w:pPr>
      <w:r>
        <w:rPr>
          <w:rFonts w:hint="eastAsia" w:ascii="黑体" w:hAnsi="黑体" w:eastAsia="黑体"/>
          <w:sz w:val="32"/>
          <w:szCs w:val="32"/>
        </w:rPr>
        <w:t>五、一般公共预算当年拨款情况说明</w:t>
      </w:r>
    </w:p>
    <w:p w14:paraId="6C82B601">
      <w:pPr>
        <w:pStyle w:val="8"/>
        <w:spacing w:before="0" w:line="360" w:lineRule="auto"/>
        <w:ind w:firstLine="660"/>
        <w:rPr>
          <w:rFonts w:ascii="楷体_GB2312" w:eastAsia="楷体_GB2312" w:cs="仿宋_GB2312"/>
          <w:b/>
          <w:kern w:val="2"/>
          <w:sz w:val="32"/>
          <w:szCs w:val="32"/>
        </w:rPr>
      </w:pPr>
      <w:r>
        <w:rPr>
          <w:rFonts w:hint="eastAsia" w:ascii="楷体_GB2312" w:eastAsia="楷体_GB2312" w:cs="仿宋_GB2312"/>
          <w:b/>
          <w:kern w:val="2"/>
          <w:sz w:val="32"/>
          <w:szCs w:val="32"/>
        </w:rPr>
        <w:t>（一）一般公共预算当年拨款规模变化情况</w:t>
      </w:r>
    </w:p>
    <w:p w14:paraId="4083962B">
      <w:pPr>
        <w:spacing w:line="520" w:lineRule="exact"/>
        <w:ind w:firstLine="704" w:firstLineChars="220"/>
        <w:rPr>
          <w:rFonts w:ascii="仿宋" w:hAnsi="仿宋" w:eastAsia="仿宋" w:cs="仿宋"/>
          <w:spacing w:val="-4"/>
          <w:sz w:val="32"/>
          <w:szCs w:val="32"/>
        </w:rPr>
      </w:pPr>
      <w:r>
        <w:rPr>
          <w:rFonts w:hint="eastAsia" w:ascii="仿宋" w:hAnsi="仿宋" w:eastAsia="仿宋" w:cs="仿宋"/>
          <w:sz w:val="32"/>
          <w:szCs w:val="32"/>
        </w:rPr>
        <w:t>州妇联2024年一般公共预算当年拨款578.25元，比2023年预算数增加0.1万元，</w:t>
      </w:r>
      <w:r>
        <w:rPr>
          <w:rFonts w:hint="eastAsia" w:ascii="仿宋" w:hAnsi="仿宋" w:eastAsia="仿宋" w:cs="仿宋"/>
          <w:spacing w:val="-4"/>
          <w:sz w:val="32"/>
          <w:szCs w:val="32"/>
        </w:rPr>
        <w:t>原因分析：一是2024年人员增加导致人员经费、和公用经费增加35.39万元；二是2024年州政府第二综合办公楼年度管理由其他单位负责导致项目经费减少35.29万元。</w:t>
      </w:r>
    </w:p>
    <w:p w14:paraId="2D881C50">
      <w:pPr>
        <w:spacing w:line="520" w:lineRule="exact"/>
        <w:ind w:firstLine="707" w:firstLineChars="220"/>
        <w:rPr>
          <w:rFonts w:ascii="方正楷体简体" w:eastAsia="方正楷体简体" w:cs="宋体"/>
          <w:b/>
          <w:sz w:val="32"/>
          <w:szCs w:val="32"/>
        </w:rPr>
      </w:pPr>
      <w:r>
        <w:rPr>
          <w:rFonts w:hint="eastAsia" w:ascii="方正楷体简体" w:eastAsia="方正楷体简体" w:cs="宋体"/>
          <w:b/>
          <w:sz w:val="32"/>
          <w:szCs w:val="32"/>
        </w:rPr>
        <w:t>（二）一般公共预算当年拨款结构情况</w:t>
      </w:r>
    </w:p>
    <w:p w14:paraId="2C4CC7A3">
      <w:pPr>
        <w:pStyle w:val="8"/>
        <w:spacing w:before="0" w:line="360" w:lineRule="auto"/>
        <w:ind w:firstLine="704" w:firstLineChars="220"/>
        <w:rPr>
          <w:rFonts w:cs="宋体"/>
          <w:sz w:val="32"/>
          <w:szCs w:val="32"/>
        </w:rPr>
      </w:pPr>
      <w:r>
        <w:rPr>
          <w:rFonts w:hint="eastAsia" w:cs="宋体"/>
          <w:sz w:val="32"/>
          <w:szCs w:val="32"/>
        </w:rPr>
        <w:t>一般公共服务支出475.33万元，占82%；社会保障和就业支出55.53万元，占10%；卫生健康支出20.31万元，占3%；住房保障支出27.08万元，占5%。</w:t>
      </w:r>
    </w:p>
    <w:p w14:paraId="665E37CF">
      <w:pPr>
        <w:pStyle w:val="8"/>
        <w:spacing w:before="0" w:line="360" w:lineRule="auto"/>
        <w:ind w:firstLine="660"/>
        <w:rPr>
          <w:rFonts w:cs="宋体"/>
          <w:sz w:val="32"/>
          <w:szCs w:val="32"/>
        </w:rPr>
      </w:pPr>
      <w:r>
        <w:rPr>
          <w:rFonts w:hint="eastAsia" w:cs="宋体"/>
          <w:sz w:val="32"/>
          <w:szCs w:val="32"/>
        </w:rPr>
        <w:t>（三）一般公共预算当年拨款具体使用情况</w:t>
      </w:r>
    </w:p>
    <w:p w14:paraId="3E5442EE">
      <w:pPr>
        <w:spacing w:line="520" w:lineRule="exact"/>
        <w:ind w:firstLine="704" w:firstLineChars="220"/>
        <w:rPr>
          <w:rFonts w:ascii="仿宋" w:hAnsi="仿宋" w:eastAsia="仿宋" w:cs="仿宋"/>
          <w:sz w:val="32"/>
          <w:szCs w:val="32"/>
        </w:rPr>
      </w:pPr>
      <w:r>
        <w:rPr>
          <w:rFonts w:hint="eastAsia" w:ascii="仿宋_GB2312" w:hAnsi="仿宋_GB2312" w:eastAsia="仿宋_GB2312" w:cs="宋体"/>
          <w:kern w:val="0"/>
          <w:sz w:val="32"/>
          <w:szCs w:val="32"/>
        </w:rPr>
        <w:t>1．一般公共服务（201）群团事务（29）行政运行（01）</w:t>
      </w:r>
      <w:r>
        <w:rPr>
          <w:rFonts w:hint="eastAsia" w:ascii="仿宋" w:hAnsi="仿宋" w:eastAsia="仿宋" w:cs="仿宋"/>
          <w:sz w:val="32"/>
          <w:szCs w:val="32"/>
        </w:rPr>
        <w:t>2024年预算数为295.64万元，主要用于:工资福利支出、商品服务支出、对个人家庭补助和办公设备购置。</w:t>
      </w:r>
    </w:p>
    <w:p w14:paraId="0DF52E3A">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2．一般公共服务（201）群团事务（29）一般行政管理事务（02），2024年预算数为179.68万元，主要用于商品服务支出、对个人家庭补助以及其他资本性支出。</w:t>
      </w:r>
    </w:p>
    <w:p w14:paraId="38162D90">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3.社会保障和就业支出（208）行政事业单位离退休（05）机关事业单位基本养老保险缴费支出（05），2024年预算数为37.02万元，主要用于单位职工养老保险支出。</w:t>
      </w:r>
    </w:p>
    <w:p w14:paraId="6CEB43A7">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5．社会保障和就业支出（208）行政事业单位离退休（05）机关事业单位职业年金缴费支出（06），2024年预算数为18.51万元，主要用于单位职工职业年金支出。</w:t>
      </w:r>
    </w:p>
    <w:p w14:paraId="234F8BFB">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6.卫生健康支出（210）行政事业单位医疗（11）行政单位医疗（01），2024年预算数为16.2万元，主要用于单位职工医疗保险。</w:t>
      </w:r>
    </w:p>
    <w:p w14:paraId="157052D5">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7.卫生健康支出（210）行政事业单位医疗（11）公务员医疗补助（03），2024年预算数为4.11万元，主要用于单位公各员医疗补助。</w:t>
      </w:r>
    </w:p>
    <w:p w14:paraId="6BCFF1CC">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8.住房保障支出（221）住房改革支出（02）住房公积金（01），2024年预算数为27.08万元，主要用于单位职工住房公积金支出。</w:t>
      </w:r>
    </w:p>
    <w:p w14:paraId="78765A29">
      <w:pPr>
        <w:pStyle w:val="8"/>
        <w:spacing w:before="0" w:line="360" w:lineRule="auto"/>
        <w:ind w:firstLine="660"/>
        <w:rPr>
          <w:rFonts w:ascii="黑体" w:hAnsi="黑体" w:eastAsia="黑体"/>
          <w:sz w:val="32"/>
          <w:szCs w:val="32"/>
        </w:rPr>
      </w:pPr>
      <w:r>
        <w:rPr>
          <w:rFonts w:hint="eastAsia" w:ascii="黑体" w:hAnsi="黑体" w:eastAsia="黑体"/>
          <w:sz w:val="32"/>
          <w:szCs w:val="32"/>
        </w:rPr>
        <w:t>六、一般公共预算基本支出情况说明</w:t>
      </w:r>
    </w:p>
    <w:p w14:paraId="09E9B1FF">
      <w:pPr>
        <w:spacing w:line="520" w:lineRule="exact"/>
        <w:ind w:firstLine="704" w:firstLineChars="220"/>
        <w:rPr>
          <w:rFonts w:ascii="仿宋" w:hAnsi="仿宋" w:eastAsia="仿宋" w:cs="仿宋"/>
          <w:sz w:val="32"/>
          <w:szCs w:val="32"/>
        </w:rPr>
      </w:pPr>
      <w:r>
        <w:rPr>
          <w:rFonts w:hint="eastAsia" w:ascii="仿宋" w:hAnsi="仿宋" w:eastAsia="仿宋" w:cs="仿宋"/>
          <w:sz w:val="32"/>
          <w:szCs w:val="32"/>
        </w:rPr>
        <w:t>州妇联2024</w:t>
      </w:r>
      <w:r>
        <w:rPr>
          <w:rFonts w:ascii="仿宋" w:hAnsi="仿宋" w:eastAsia="仿宋" w:cs="仿宋"/>
          <w:sz w:val="32"/>
          <w:szCs w:val="32"/>
        </w:rPr>
        <w:t>年一般公共预算基本支出</w:t>
      </w:r>
      <w:r>
        <w:rPr>
          <w:rFonts w:hint="eastAsia" w:ascii="仿宋" w:hAnsi="仿宋" w:eastAsia="仿宋" w:cs="仿宋"/>
          <w:sz w:val="32"/>
          <w:szCs w:val="32"/>
        </w:rPr>
        <w:t>598.25</w:t>
      </w:r>
      <w:r>
        <w:rPr>
          <w:rFonts w:ascii="仿宋" w:hAnsi="仿宋" w:eastAsia="仿宋" w:cs="仿宋"/>
          <w:sz w:val="32"/>
          <w:szCs w:val="32"/>
        </w:rPr>
        <w:t>万元，其中：人员经费</w:t>
      </w:r>
      <w:r>
        <w:rPr>
          <w:rFonts w:hint="eastAsia" w:ascii="仿宋" w:hAnsi="仿宋" w:eastAsia="仿宋" w:cs="仿宋"/>
          <w:sz w:val="32"/>
          <w:szCs w:val="32"/>
        </w:rPr>
        <w:t>386.6</w:t>
      </w:r>
      <w:r>
        <w:rPr>
          <w:rFonts w:ascii="仿宋" w:hAnsi="仿宋" w:eastAsia="仿宋" w:cs="仿宋"/>
          <w:sz w:val="32"/>
          <w:szCs w:val="32"/>
        </w:rPr>
        <w:t>万元，主要包括：基本工资为</w:t>
      </w:r>
      <w:r>
        <w:rPr>
          <w:rFonts w:hint="eastAsia" w:ascii="仿宋" w:hAnsi="仿宋" w:eastAsia="仿宋" w:cs="仿宋"/>
          <w:sz w:val="32"/>
          <w:szCs w:val="32"/>
        </w:rPr>
        <w:t>79.13</w:t>
      </w:r>
      <w:r>
        <w:rPr>
          <w:rFonts w:ascii="仿宋" w:hAnsi="仿宋" w:eastAsia="仿宋" w:cs="仿宋"/>
          <w:sz w:val="32"/>
          <w:szCs w:val="32"/>
        </w:rPr>
        <w:t>万元、津贴补贴为</w:t>
      </w:r>
      <w:r>
        <w:rPr>
          <w:rFonts w:hint="eastAsia" w:ascii="仿宋" w:hAnsi="仿宋" w:eastAsia="仿宋" w:cs="仿宋"/>
          <w:sz w:val="32"/>
          <w:szCs w:val="32"/>
        </w:rPr>
        <w:t>147.33</w:t>
      </w:r>
      <w:r>
        <w:rPr>
          <w:rFonts w:ascii="仿宋" w:hAnsi="仿宋" w:eastAsia="仿宋" w:cs="仿宋"/>
          <w:sz w:val="32"/>
          <w:szCs w:val="32"/>
        </w:rPr>
        <w:t>万元、奖金为</w:t>
      </w:r>
      <w:r>
        <w:rPr>
          <w:rFonts w:hint="eastAsia" w:ascii="仿宋" w:hAnsi="仿宋" w:eastAsia="仿宋" w:cs="仿宋"/>
          <w:sz w:val="32"/>
          <w:szCs w:val="32"/>
        </w:rPr>
        <w:t>6.59</w:t>
      </w:r>
      <w:r>
        <w:rPr>
          <w:rFonts w:ascii="仿宋" w:hAnsi="仿宋" w:eastAsia="仿宋" w:cs="仿宋"/>
          <w:sz w:val="32"/>
          <w:szCs w:val="32"/>
        </w:rPr>
        <w:t>万元、其他社会保障缴费</w:t>
      </w:r>
      <w:r>
        <w:rPr>
          <w:rFonts w:hint="eastAsia" w:ascii="仿宋" w:hAnsi="仿宋" w:eastAsia="仿宋" w:cs="仿宋"/>
          <w:sz w:val="32"/>
          <w:szCs w:val="32"/>
        </w:rPr>
        <w:t>4.42</w:t>
      </w:r>
      <w:r>
        <w:rPr>
          <w:rFonts w:ascii="仿宋" w:hAnsi="仿宋" w:eastAsia="仿宋" w:cs="仿宋"/>
          <w:sz w:val="32"/>
          <w:szCs w:val="32"/>
        </w:rPr>
        <w:t>万元、机关事业单位基本养老保险缴费为</w:t>
      </w:r>
      <w:r>
        <w:rPr>
          <w:rFonts w:hint="eastAsia" w:ascii="仿宋" w:hAnsi="仿宋" w:eastAsia="仿宋" w:cs="仿宋"/>
          <w:sz w:val="32"/>
          <w:szCs w:val="32"/>
        </w:rPr>
        <w:t>37.02</w:t>
      </w:r>
      <w:r>
        <w:rPr>
          <w:rFonts w:ascii="仿宋" w:hAnsi="仿宋" w:eastAsia="仿宋" w:cs="仿宋"/>
          <w:sz w:val="32"/>
          <w:szCs w:val="32"/>
        </w:rPr>
        <w:t>万元、职业年金缴费为</w:t>
      </w:r>
      <w:r>
        <w:rPr>
          <w:rFonts w:hint="eastAsia" w:ascii="仿宋" w:hAnsi="仿宋" w:eastAsia="仿宋" w:cs="仿宋"/>
          <w:sz w:val="32"/>
          <w:szCs w:val="32"/>
        </w:rPr>
        <w:t>18.51</w:t>
      </w:r>
      <w:r>
        <w:rPr>
          <w:rFonts w:ascii="仿宋" w:hAnsi="仿宋" w:eastAsia="仿宋" w:cs="仿宋"/>
          <w:sz w:val="32"/>
          <w:szCs w:val="32"/>
        </w:rPr>
        <w:t>万元、</w:t>
      </w:r>
      <w:r>
        <w:rPr>
          <w:rFonts w:hint="eastAsia" w:ascii="仿宋" w:hAnsi="仿宋" w:eastAsia="仿宋" w:cs="仿宋"/>
          <w:sz w:val="32"/>
          <w:szCs w:val="32"/>
        </w:rPr>
        <w:t>职工基本医疗保险费16.2万元、公务员医疗补助缴费4.11万元、</w:t>
      </w:r>
      <w:r>
        <w:rPr>
          <w:rFonts w:ascii="仿宋" w:hAnsi="仿宋" w:eastAsia="仿宋" w:cs="仿宋"/>
          <w:sz w:val="32"/>
          <w:szCs w:val="32"/>
        </w:rPr>
        <w:t>其他工资福利支出为</w:t>
      </w:r>
      <w:r>
        <w:rPr>
          <w:rFonts w:hint="eastAsia" w:ascii="仿宋" w:hAnsi="仿宋" w:eastAsia="仿宋" w:cs="仿宋"/>
          <w:sz w:val="32"/>
          <w:szCs w:val="32"/>
        </w:rPr>
        <w:t>46.2</w:t>
      </w:r>
      <w:r>
        <w:rPr>
          <w:rFonts w:ascii="仿宋" w:hAnsi="仿宋" w:eastAsia="仿宋" w:cs="仿宋"/>
          <w:sz w:val="32"/>
          <w:szCs w:val="32"/>
        </w:rPr>
        <w:t>万元、住房公积金为</w:t>
      </w:r>
      <w:r>
        <w:rPr>
          <w:rFonts w:hint="eastAsia" w:ascii="仿宋" w:hAnsi="仿宋" w:eastAsia="仿宋" w:cs="仿宋"/>
          <w:sz w:val="32"/>
          <w:szCs w:val="32"/>
        </w:rPr>
        <w:t>27.08</w:t>
      </w:r>
      <w:r>
        <w:rPr>
          <w:rFonts w:ascii="仿宋" w:hAnsi="仿宋" w:eastAsia="仿宋" w:cs="仿宋"/>
          <w:sz w:val="32"/>
          <w:szCs w:val="32"/>
        </w:rPr>
        <w:t>万元</w:t>
      </w:r>
      <w:r>
        <w:rPr>
          <w:rFonts w:hint="eastAsia" w:ascii="仿宋" w:hAnsi="仿宋" w:eastAsia="仿宋" w:cs="仿宋"/>
          <w:sz w:val="32"/>
          <w:szCs w:val="32"/>
        </w:rPr>
        <w:t>、退休职工和遗嘱人员生活补助15.78万元。</w:t>
      </w:r>
    </w:p>
    <w:p w14:paraId="2D03EA49">
      <w:pPr>
        <w:spacing w:line="520" w:lineRule="exact"/>
        <w:ind w:firstLine="704" w:firstLineChars="220"/>
        <w:rPr>
          <w:rFonts w:ascii="仿宋" w:hAnsi="仿宋" w:eastAsia="仿宋" w:cs="仿宋"/>
          <w:sz w:val="32"/>
          <w:szCs w:val="32"/>
        </w:rPr>
      </w:pPr>
      <w:r>
        <w:rPr>
          <w:rFonts w:ascii="仿宋" w:hAnsi="仿宋" w:eastAsia="仿宋" w:cs="仿宋"/>
          <w:sz w:val="32"/>
          <w:szCs w:val="32"/>
        </w:rPr>
        <w:t>公用经费</w:t>
      </w:r>
      <w:r>
        <w:rPr>
          <w:rFonts w:hint="eastAsia" w:ascii="仿宋" w:hAnsi="仿宋" w:eastAsia="仿宋" w:cs="仿宋"/>
          <w:sz w:val="32"/>
          <w:szCs w:val="32"/>
        </w:rPr>
        <w:t>56.32</w:t>
      </w:r>
      <w:r>
        <w:rPr>
          <w:rFonts w:ascii="仿宋" w:hAnsi="仿宋" w:eastAsia="仿宋" w:cs="仿宋"/>
          <w:sz w:val="32"/>
          <w:szCs w:val="32"/>
        </w:rPr>
        <w:t>万元，主要包括：办公费</w:t>
      </w:r>
      <w:r>
        <w:rPr>
          <w:rFonts w:hint="eastAsia" w:ascii="仿宋" w:hAnsi="仿宋" w:eastAsia="仿宋" w:cs="仿宋"/>
          <w:sz w:val="32"/>
          <w:szCs w:val="32"/>
        </w:rPr>
        <w:t>为1.51万元</w:t>
      </w:r>
      <w:r>
        <w:rPr>
          <w:rFonts w:ascii="仿宋" w:hAnsi="仿宋" w:eastAsia="仿宋" w:cs="仿宋"/>
          <w:sz w:val="32"/>
          <w:szCs w:val="32"/>
        </w:rPr>
        <w:t>、</w:t>
      </w:r>
      <w:r>
        <w:rPr>
          <w:rFonts w:hint="eastAsia" w:ascii="仿宋" w:hAnsi="仿宋" w:eastAsia="仿宋" w:cs="仿宋"/>
          <w:sz w:val="32"/>
          <w:szCs w:val="32"/>
        </w:rPr>
        <w:t>水</w:t>
      </w:r>
      <w:r>
        <w:rPr>
          <w:rFonts w:ascii="仿宋" w:hAnsi="仿宋" w:eastAsia="仿宋" w:cs="仿宋"/>
          <w:sz w:val="32"/>
          <w:szCs w:val="32"/>
        </w:rPr>
        <w:t>电费</w:t>
      </w:r>
      <w:r>
        <w:rPr>
          <w:rFonts w:hint="eastAsia" w:ascii="仿宋" w:hAnsi="仿宋" w:eastAsia="仿宋" w:cs="仿宋"/>
          <w:sz w:val="32"/>
          <w:szCs w:val="32"/>
        </w:rPr>
        <w:t>为0.45万元</w:t>
      </w:r>
      <w:r>
        <w:rPr>
          <w:rFonts w:ascii="仿宋" w:hAnsi="仿宋" w:eastAsia="仿宋" w:cs="仿宋"/>
          <w:sz w:val="32"/>
          <w:szCs w:val="32"/>
        </w:rPr>
        <w:t>、邮电费</w:t>
      </w:r>
      <w:r>
        <w:rPr>
          <w:rFonts w:hint="eastAsia" w:ascii="仿宋" w:hAnsi="仿宋" w:eastAsia="仿宋" w:cs="仿宋"/>
          <w:sz w:val="32"/>
          <w:szCs w:val="32"/>
        </w:rPr>
        <w:t>为4.99万元</w:t>
      </w:r>
      <w:r>
        <w:rPr>
          <w:rFonts w:ascii="仿宋" w:hAnsi="仿宋" w:eastAsia="仿宋" w:cs="仿宋"/>
          <w:sz w:val="32"/>
          <w:szCs w:val="32"/>
        </w:rPr>
        <w:t>、</w:t>
      </w:r>
      <w:r>
        <w:rPr>
          <w:rFonts w:hint="eastAsia" w:ascii="仿宋" w:hAnsi="仿宋" w:eastAsia="仿宋" w:cs="仿宋"/>
          <w:sz w:val="32"/>
          <w:szCs w:val="32"/>
        </w:rPr>
        <w:t>取暖费0.6万元，</w:t>
      </w:r>
      <w:r>
        <w:rPr>
          <w:rFonts w:ascii="仿宋" w:hAnsi="仿宋" w:eastAsia="仿宋" w:cs="仿宋"/>
          <w:sz w:val="32"/>
          <w:szCs w:val="32"/>
        </w:rPr>
        <w:t>差旅费</w:t>
      </w:r>
      <w:r>
        <w:rPr>
          <w:rFonts w:hint="eastAsia" w:ascii="仿宋" w:hAnsi="仿宋" w:eastAsia="仿宋" w:cs="仿宋"/>
          <w:sz w:val="32"/>
          <w:szCs w:val="32"/>
        </w:rPr>
        <w:t>为</w:t>
      </w:r>
      <w:r>
        <w:rPr>
          <w:rFonts w:ascii="仿宋" w:hAnsi="仿宋" w:eastAsia="仿宋" w:cs="仿宋"/>
          <w:sz w:val="32"/>
          <w:szCs w:val="32"/>
        </w:rPr>
        <w:t>13.41</w:t>
      </w:r>
      <w:r>
        <w:rPr>
          <w:rFonts w:hint="eastAsia" w:ascii="仿宋" w:hAnsi="仿宋" w:eastAsia="仿宋" w:cs="仿宋"/>
          <w:sz w:val="32"/>
          <w:szCs w:val="32"/>
        </w:rPr>
        <w:t>万元</w:t>
      </w:r>
      <w:r>
        <w:rPr>
          <w:rFonts w:ascii="仿宋" w:hAnsi="仿宋" w:eastAsia="仿宋" w:cs="仿宋"/>
          <w:sz w:val="32"/>
          <w:szCs w:val="32"/>
        </w:rPr>
        <w:t>、维修（护）费</w:t>
      </w:r>
      <w:r>
        <w:rPr>
          <w:rFonts w:hint="eastAsia" w:ascii="仿宋" w:hAnsi="仿宋" w:eastAsia="仿宋" w:cs="仿宋"/>
          <w:sz w:val="32"/>
          <w:szCs w:val="32"/>
        </w:rPr>
        <w:t>为0.16万元</w:t>
      </w:r>
      <w:r>
        <w:rPr>
          <w:rFonts w:ascii="仿宋" w:hAnsi="仿宋" w:eastAsia="仿宋" w:cs="仿宋"/>
          <w:sz w:val="32"/>
          <w:szCs w:val="32"/>
        </w:rPr>
        <w:t>、培训费</w:t>
      </w:r>
      <w:r>
        <w:rPr>
          <w:rFonts w:hint="eastAsia" w:ascii="仿宋" w:hAnsi="仿宋" w:eastAsia="仿宋" w:cs="仿宋"/>
          <w:sz w:val="32"/>
          <w:szCs w:val="32"/>
        </w:rPr>
        <w:t>为3.05万元</w:t>
      </w:r>
      <w:r>
        <w:rPr>
          <w:rFonts w:ascii="仿宋" w:hAnsi="仿宋" w:eastAsia="仿宋" w:cs="仿宋"/>
          <w:sz w:val="32"/>
          <w:szCs w:val="32"/>
        </w:rPr>
        <w:t>、</w:t>
      </w:r>
      <w:r>
        <w:rPr>
          <w:rFonts w:hint="eastAsia" w:ascii="仿宋" w:hAnsi="仿宋" w:eastAsia="仿宋" w:cs="仿宋"/>
          <w:sz w:val="32"/>
          <w:szCs w:val="32"/>
        </w:rPr>
        <w:t>公务接待费0.81万元、</w:t>
      </w:r>
      <w:r>
        <w:rPr>
          <w:rFonts w:ascii="仿宋" w:hAnsi="仿宋" w:eastAsia="仿宋" w:cs="仿宋"/>
          <w:sz w:val="32"/>
          <w:szCs w:val="32"/>
        </w:rPr>
        <w:t>福利费</w:t>
      </w:r>
      <w:r>
        <w:rPr>
          <w:rFonts w:hint="eastAsia" w:ascii="仿宋" w:hAnsi="仿宋" w:eastAsia="仿宋" w:cs="仿宋"/>
          <w:sz w:val="32"/>
          <w:szCs w:val="32"/>
        </w:rPr>
        <w:t>为4.98万元</w:t>
      </w:r>
      <w:r>
        <w:rPr>
          <w:rFonts w:ascii="仿宋" w:hAnsi="仿宋" w:eastAsia="仿宋" w:cs="仿宋"/>
          <w:sz w:val="32"/>
          <w:szCs w:val="32"/>
        </w:rPr>
        <w:t>、</w:t>
      </w:r>
      <w:r>
        <w:rPr>
          <w:rFonts w:hint="eastAsia" w:ascii="仿宋" w:hAnsi="仿宋" w:eastAsia="仿宋" w:cs="仿宋"/>
          <w:sz w:val="32"/>
          <w:szCs w:val="32"/>
        </w:rPr>
        <w:t>公务用车运行维护费为11.52万元</w:t>
      </w:r>
      <w:r>
        <w:rPr>
          <w:rFonts w:ascii="仿宋" w:hAnsi="仿宋" w:eastAsia="仿宋" w:cs="仿宋"/>
          <w:sz w:val="32"/>
          <w:szCs w:val="32"/>
        </w:rPr>
        <w:t>、其他商品和服务支出</w:t>
      </w:r>
      <w:r>
        <w:rPr>
          <w:rFonts w:hint="eastAsia" w:ascii="仿宋" w:hAnsi="仿宋" w:eastAsia="仿宋" w:cs="仿宋"/>
          <w:sz w:val="32"/>
          <w:szCs w:val="32"/>
        </w:rPr>
        <w:t>为14.84万元</w:t>
      </w:r>
      <w:r>
        <w:rPr>
          <w:rFonts w:ascii="仿宋" w:hAnsi="仿宋" w:eastAsia="仿宋" w:cs="仿宋"/>
          <w:sz w:val="32"/>
          <w:szCs w:val="32"/>
        </w:rPr>
        <w:t>。</w:t>
      </w:r>
    </w:p>
    <w:p w14:paraId="792D0774">
      <w:pPr>
        <w:pStyle w:val="8"/>
        <w:spacing w:before="0" w:line="360" w:lineRule="auto"/>
        <w:ind w:firstLine="707" w:firstLineChars="221"/>
        <w:rPr>
          <w:rFonts w:ascii="黑体" w:hAnsi="黑体" w:eastAsia="黑体"/>
          <w:sz w:val="32"/>
          <w:szCs w:val="32"/>
        </w:rPr>
      </w:pPr>
      <w:r>
        <w:rPr>
          <w:rFonts w:hint="eastAsia" w:ascii="黑体" w:hAnsi="黑体" w:eastAsia="黑体"/>
          <w:sz w:val="32"/>
          <w:szCs w:val="32"/>
        </w:rPr>
        <w:t xml:space="preserve"> 七、“三公”经费财政拨款预算安排情况说明</w:t>
      </w:r>
    </w:p>
    <w:p w14:paraId="54D26A2E">
      <w:pPr>
        <w:pStyle w:val="8"/>
        <w:spacing w:before="0" w:line="360" w:lineRule="auto"/>
        <w:ind w:firstLine="640" w:firstLineChars="200"/>
        <w:rPr>
          <w:rFonts w:cs="仿宋_GB2312"/>
          <w:kern w:val="2"/>
          <w:sz w:val="32"/>
          <w:szCs w:val="32"/>
        </w:rPr>
      </w:pPr>
      <w:r>
        <w:rPr>
          <w:rFonts w:hint="eastAsia" w:cs="仿宋_GB2312"/>
          <w:kern w:val="2"/>
          <w:sz w:val="32"/>
          <w:szCs w:val="32"/>
        </w:rPr>
        <w:t>州妇联2024年“三公”经费财政拨款预算数23.83万元，其中：因公出国（境）经费0万元，公务接待费0.81万元，公务用车购置及运行维护费23.02万元，其中2024年安排公务用车购置费预算为0万元，公务用车运行维护费23.02万元。</w:t>
      </w:r>
    </w:p>
    <w:p w14:paraId="1A402048">
      <w:pPr>
        <w:pStyle w:val="8"/>
        <w:spacing w:before="0" w:line="360" w:lineRule="auto"/>
        <w:ind w:firstLine="640" w:firstLineChars="200"/>
        <w:rPr>
          <w:rFonts w:cs="仿宋_GB2312"/>
          <w:kern w:val="2"/>
          <w:sz w:val="32"/>
          <w:szCs w:val="32"/>
        </w:rPr>
      </w:pPr>
      <w:r>
        <w:rPr>
          <w:rFonts w:hint="eastAsia" w:cs="仿宋_GB2312"/>
          <w:kern w:val="2"/>
          <w:sz w:val="32"/>
          <w:szCs w:val="32"/>
        </w:rPr>
        <w:t>（一）2024年因公出国（境）经费0万元，与2023年持平。</w:t>
      </w:r>
    </w:p>
    <w:p w14:paraId="7809B14D">
      <w:pPr>
        <w:pStyle w:val="8"/>
        <w:spacing w:before="0" w:line="360" w:lineRule="auto"/>
        <w:ind w:firstLine="640" w:firstLineChars="200"/>
        <w:rPr>
          <w:rFonts w:cs="仿宋_GB2312"/>
          <w:kern w:val="2"/>
          <w:sz w:val="32"/>
          <w:szCs w:val="32"/>
        </w:rPr>
      </w:pPr>
      <w:r>
        <w:rPr>
          <w:rFonts w:hint="eastAsia" w:cs="仿宋_GB2312"/>
          <w:kern w:val="2"/>
          <w:sz w:val="32"/>
          <w:szCs w:val="32"/>
        </w:rPr>
        <w:t>（二）2024年公务接待经费0.81万元。较2023年预算经费减少0.5万元，</w:t>
      </w:r>
      <w:r>
        <w:rPr>
          <w:rFonts w:hint="eastAsia" w:hAnsi="ˎ̥" w:cs="宋体"/>
          <w:sz w:val="32"/>
          <w:szCs w:val="32"/>
        </w:rPr>
        <w:t>下降</w:t>
      </w:r>
      <w:r>
        <w:rPr>
          <w:rFonts w:hint="eastAsia" w:cs="仿宋_GB2312"/>
          <w:kern w:val="2"/>
          <w:sz w:val="32"/>
          <w:szCs w:val="32"/>
        </w:rPr>
        <w:t>6%，主要原因压减三公经费。</w:t>
      </w:r>
    </w:p>
    <w:p w14:paraId="612A0679">
      <w:pPr>
        <w:pStyle w:val="8"/>
        <w:spacing w:before="0" w:line="360" w:lineRule="auto"/>
        <w:ind w:firstLine="640" w:firstLineChars="200"/>
        <w:rPr>
          <w:rFonts w:cs="仿宋_GB2312"/>
          <w:kern w:val="2"/>
          <w:sz w:val="32"/>
          <w:szCs w:val="32"/>
        </w:rPr>
      </w:pPr>
      <w:r>
        <w:rPr>
          <w:rFonts w:hint="eastAsia" w:cs="仿宋_GB2312"/>
          <w:kern w:val="2"/>
          <w:sz w:val="32"/>
          <w:szCs w:val="32"/>
        </w:rPr>
        <w:t>（三）2024年公务用车购置及运行维护费23.02万元。较2023年预算经费</w:t>
      </w:r>
      <w:r>
        <w:rPr>
          <w:rFonts w:hint="eastAsia" w:hAnsi="ˎ̥" w:cs="宋体"/>
          <w:sz w:val="32"/>
          <w:szCs w:val="32"/>
        </w:rPr>
        <w:t>持平。</w:t>
      </w:r>
    </w:p>
    <w:p w14:paraId="0B67C1E2">
      <w:pPr>
        <w:pStyle w:val="8"/>
        <w:spacing w:before="0" w:line="360" w:lineRule="auto"/>
        <w:ind w:firstLine="640" w:firstLineChars="200"/>
        <w:rPr>
          <w:rFonts w:ascii="黑体" w:hAnsi="黑体" w:eastAsia="黑体"/>
          <w:sz w:val="32"/>
          <w:szCs w:val="32"/>
        </w:rPr>
      </w:pPr>
      <w:r>
        <w:rPr>
          <w:rFonts w:hint="eastAsia" w:ascii="黑体" w:hAnsi="黑体" w:eastAsia="黑体"/>
          <w:sz w:val="32"/>
          <w:szCs w:val="32"/>
        </w:rPr>
        <w:t>八、政府性基金</w:t>
      </w:r>
      <w:r>
        <w:rPr>
          <w:rFonts w:hint="eastAsia" w:ascii="黑体" w:hAnsi="黑体" w:eastAsia="黑体" w:cs="仿宋_GB2312"/>
          <w:kern w:val="2"/>
          <w:sz w:val="32"/>
          <w:szCs w:val="32"/>
        </w:rPr>
        <w:t>预算</w:t>
      </w:r>
      <w:r>
        <w:rPr>
          <w:rFonts w:hint="eastAsia" w:ascii="黑体" w:hAnsi="黑体" w:eastAsia="黑体"/>
          <w:sz w:val="32"/>
          <w:szCs w:val="32"/>
        </w:rPr>
        <w:t>支出情况说明</w:t>
      </w:r>
    </w:p>
    <w:p w14:paraId="1631A35D">
      <w:pPr>
        <w:pStyle w:val="8"/>
        <w:spacing w:before="0" w:line="360" w:lineRule="auto"/>
        <w:ind w:firstLine="640" w:firstLineChars="200"/>
        <w:rPr>
          <w:rFonts w:hint="eastAsia" w:hAnsi="ˎ̥" w:cs="宋体"/>
          <w:sz w:val="32"/>
          <w:szCs w:val="32"/>
        </w:rPr>
      </w:pPr>
      <w:r>
        <w:rPr>
          <w:rFonts w:hint="eastAsia" w:cs="仿宋_GB2312"/>
          <w:kern w:val="2"/>
          <w:sz w:val="32"/>
          <w:szCs w:val="32"/>
        </w:rPr>
        <w:t>州妇联2024年政府性基金预算拨款安排支出0万元。较2024年预算经费</w:t>
      </w:r>
      <w:r>
        <w:rPr>
          <w:rFonts w:hint="eastAsia" w:hAnsi="ˎ̥" w:cs="宋体"/>
          <w:sz w:val="32"/>
          <w:szCs w:val="32"/>
        </w:rPr>
        <w:t>持平</w:t>
      </w:r>
      <w:r>
        <w:rPr>
          <w:rFonts w:hint="eastAsia" w:cs="仿宋_GB2312"/>
          <w:kern w:val="2"/>
          <w:sz w:val="32"/>
          <w:szCs w:val="32"/>
        </w:rPr>
        <w:t>（州妇联不涉及政府性基金预算支出）</w:t>
      </w:r>
      <w:r>
        <w:rPr>
          <w:rFonts w:hint="eastAsia" w:hAnsi="ˎ̥" w:cs="宋体"/>
          <w:sz w:val="32"/>
          <w:szCs w:val="32"/>
        </w:rPr>
        <w:t>。</w:t>
      </w:r>
    </w:p>
    <w:p w14:paraId="35388106">
      <w:pPr>
        <w:pStyle w:val="8"/>
        <w:spacing w:before="0" w:line="360" w:lineRule="auto"/>
        <w:ind w:firstLine="640" w:firstLineChars="200"/>
        <w:rPr>
          <w:rFonts w:ascii="黑体" w:hAnsi="黑体" w:eastAsia="黑体"/>
          <w:sz w:val="32"/>
          <w:szCs w:val="32"/>
        </w:rPr>
      </w:pPr>
      <w:r>
        <w:rPr>
          <w:rFonts w:hint="eastAsia" w:ascii="黑体" w:hAnsi="黑体" w:eastAsia="黑体"/>
          <w:sz w:val="32"/>
          <w:szCs w:val="32"/>
        </w:rPr>
        <w:t>九、国有资本经营预算支出情况说明</w:t>
      </w:r>
    </w:p>
    <w:p w14:paraId="45107D13">
      <w:pPr>
        <w:pStyle w:val="8"/>
        <w:spacing w:before="0" w:line="360" w:lineRule="auto"/>
        <w:ind w:firstLine="640" w:firstLineChars="200"/>
        <w:rPr>
          <w:rFonts w:hint="eastAsia" w:hAnsi="ˎ̥" w:cs="宋体"/>
          <w:sz w:val="32"/>
          <w:szCs w:val="32"/>
        </w:rPr>
      </w:pPr>
      <w:r>
        <w:rPr>
          <w:rFonts w:hint="eastAsia" w:cs="仿宋_GB2312"/>
          <w:kern w:val="2"/>
          <w:sz w:val="32"/>
          <w:szCs w:val="32"/>
        </w:rPr>
        <w:t>州妇联2024年国有资本经营预算拨款安排支出0万元。与2023年预算经费</w:t>
      </w:r>
      <w:r>
        <w:rPr>
          <w:rFonts w:hint="eastAsia" w:hAnsi="ˎ̥" w:cs="宋体"/>
          <w:sz w:val="32"/>
          <w:szCs w:val="32"/>
        </w:rPr>
        <w:t>持平</w:t>
      </w:r>
      <w:r>
        <w:rPr>
          <w:rFonts w:hint="eastAsia" w:cs="仿宋_GB2312"/>
          <w:kern w:val="2"/>
          <w:sz w:val="32"/>
          <w:szCs w:val="32"/>
        </w:rPr>
        <w:t>（州妇联不涉及国有资本经营预算支出）</w:t>
      </w:r>
      <w:r>
        <w:rPr>
          <w:rFonts w:hint="eastAsia" w:hAnsi="ˎ̥" w:cs="宋体"/>
          <w:sz w:val="32"/>
          <w:szCs w:val="32"/>
        </w:rPr>
        <w:t>。</w:t>
      </w:r>
    </w:p>
    <w:p w14:paraId="4AC17483">
      <w:pPr>
        <w:pStyle w:val="8"/>
        <w:spacing w:before="0" w:line="360" w:lineRule="auto"/>
        <w:ind w:firstLine="640" w:firstLineChars="200"/>
        <w:rPr>
          <w:rFonts w:ascii="黑体" w:hAnsi="黑体" w:eastAsia="黑体"/>
          <w:sz w:val="32"/>
          <w:szCs w:val="32"/>
        </w:rPr>
      </w:pPr>
      <w:r>
        <w:rPr>
          <w:rFonts w:hint="eastAsia" w:ascii="黑体" w:hAnsi="黑体" w:eastAsia="黑体"/>
          <w:sz w:val="32"/>
          <w:szCs w:val="32"/>
        </w:rPr>
        <w:t>十、其他重要事项的情况说明</w:t>
      </w:r>
    </w:p>
    <w:p w14:paraId="5D1AEFC7">
      <w:pPr>
        <w:pStyle w:val="8"/>
        <w:spacing w:before="0" w:line="360" w:lineRule="auto"/>
        <w:ind w:firstLine="640" w:firstLineChars="200"/>
        <w:rPr>
          <w:rFonts w:cs="仿宋_GB2312"/>
          <w:kern w:val="2"/>
          <w:sz w:val="32"/>
          <w:szCs w:val="32"/>
        </w:rPr>
      </w:pPr>
      <w:r>
        <w:rPr>
          <w:rFonts w:hint="eastAsia" w:ascii="楷体" w:hAnsi="楷体" w:eastAsia="楷体" w:cs="仿宋_GB2312"/>
          <w:kern w:val="2"/>
          <w:sz w:val="32"/>
          <w:szCs w:val="32"/>
        </w:rPr>
        <w:t>（一）机关运行经费</w:t>
      </w:r>
      <w:r>
        <w:rPr>
          <w:rFonts w:hint="eastAsia" w:cs="仿宋_GB2312"/>
          <w:kern w:val="2"/>
          <w:sz w:val="32"/>
          <w:szCs w:val="32"/>
        </w:rPr>
        <w:br w:type="textWrapping"/>
      </w:r>
      <w:r>
        <w:rPr>
          <w:rFonts w:hint="eastAsia" w:cs="仿宋_GB2312"/>
          <w:kern w:val="2"/>
          <w:sz w:val="32"/>
          <w:szCs w:val="32"/>
        </w:rPr>
        <w:t>　  州妇联2024年机关运行经费财政拨款预算为578.25万元，比2023年预算</w:t>
      </w:r>
      <w:r>
        <w:rPr>
          <w:rFonts w:hint="eastAsia" w:hAnsi="ˎ̥" w:cs="宋体"/>
          <w:sz w:val="32"/>
          <w:szCs w:val="32"/>
        </w:rPr>
        <w:t>增加0.1</w:t>
      </w:r>
      <w:r>
        <w:rPr>
          <w:rFonts w:hint="eastAsia" w:cs="仿宋_GB2312"/>
          <w:kern w:val="2"/>
          <w:sz w:val="32"/>
          <w:szCs w:val="32"/>
        </w:rPr>
        <w:t xml:space="preserve">万元。 </w:t>
      </w:r>
    </w:p>
    <w:p w14:paraId="1EAC8D0D">
      <w:pPr>
        <w:pStyle w:val="8"/>
        <w:spacing w:before="0" w:line="360" w:lineRule="auto"/>
        <w:ind w:firstLine="640" w:firstLineChars="200"/>
        <w:rPr>
          <w:rFonts w:cs="仿宋_GB2312"/>
          <w:kern w:val="2"/>
          <w:sz w:val="32"/>
          <w:szCs w:val="32"/>
        </w:rPr>
      </w:pPr>
      <w:r>
        <w:rPr>
          <w:rFonts w:hint="eastAsia" w:ascii="楷体" w:hAnsi="楷体" w:eastAsia="楷体" w:cs="仿宋_GB2312"/>
          <w:kern w:val="2"/>
          <w:sz w:val="32"/>
          <w:szCs w:val="32"/>
        </w:rPr>
        <w:t>（二）政府采购情况</w:t>
      </w:r>
      <w:r>
        <w:rPr>
          <w:rFonts w:hint="eastAsia" w:cs="仿宋_GB2312"/>
          <w:kern w:val="2"/>
          <w:sz w:val="32"/>
          <w:szCs w:val="32"/>
        </w:rPr>
        <w:br w:type="textWrapping"/>
      </w:r>
      <w:r>
        <w:rPr>
          <w:rFonts w:hint="eastAsia" w:cs="仿宋_GB2312"/>
          <w:kern w:val="2"/>
          <w:sz w:val="32"/>
          <w:szCs w:val="32"/>
        </w:rPr>
        <w:t>　　 2024年部门（单位）安排政府采购预算4.9万元，主要用于安可系统更换和购置会议室空调，比2023年下降13%。</w:t>
      </w:r>
    </w:p>
    <w:p w14:paraId="16815432">
      <w:pPr>
        <w:pStyle w:val="8"/>
        <w:spacing w:before="0" w:line="360" w:lineRule="auto"/>
        <w:ind w:firstLine="640" w:firstLineChars="200"/>
        <w:rPr>
          <w:rFonts w:ascii="楷体" w:hAnsi="楷体" w:eastAsia="楷体" w:cs="仿宋_GB2312"/>
          <w:kern w:val="2"/>
          <w:sz w:val="32"/>
          <w:szCs w:val="32"/>
        </w:rPr>
      </w:pPr>
      <w:r>
        <w:rPr>
          <w:rFonts w:hint="eastAsia" w:ascii="楷体" w:hAnsi="楷体" w:eastAsia="楷体" w:cs="仿宋_GB2312"/>
          <w:kern w:val="2"/>
          <w:sz w:val="32"/>
          <w:szCs w:val="32"/>
        </w:rPr>
        <w:t>（三）国有资产占有使用情况</w:t>
      </w:r>
    </w:p>
    <w:p w14:paraId="224B1252">
      <w:pPr>
        <w:pStyle w:val="8"/>
        <w:spacing w:before="0" w:line="360" w:lineRule="auto"/>
        <w:ind w:firstLine="640" w:firstLineChars="200"/>
        <w:rPr>
          <w:rFonts w:cs="仿宋_GB2312"/>
          <w:kern w:val="2"/>
          <w:sz w:val="32"/>
          <w:szCs w:val="32"/>
        </w:rPr>
      </w:pPr>
      <w:r>
        <w:rPr>
          <w:rFonts w:hint="eastAsia" w:cs="仿宋_GB2312"/>
          <w:kern w:val="2"/>
          <w:sz w:val="32"/>
          <w:szCs w:val="32"/>
        </w:rPr>
        <w:t>截至2023年12月31日，州妇联固定资产187.27万元，累计折旧和累计摊销157.83万元，净资产29.44万元。其中固定资产180.67万元，累计折旧154.17万元，净资产26.5万元，无形资产6.6万元，累计摊销3.65万元，净资产2.95万元。州妇联预算编制公务用车2辆，2024年部门预算安排车辆购置经费0万元。单位价值200万元以上大型设备0台。</w:t>
      </w:r>
    </w:p>
    <w:p w14:paraId="05AB2BC2">
      <w:pPr>
        <w:pStyle w:val="8"/>
        <w:spacing w:before="0" w:line="360" w:lineRule="auto"/>
        <w:ind w:firstLine="640" w:firstLineChars="200"/>
        <w:rPr>
          <w:rFonts w:ascii="楷体" w:hAnsi="楷体" w:eastAsia="楷体" w:cs="仿宋_GB2312"/>
          <w:kern w:val="2"/>
          <w:sz w:val="32"/>
          <w:szCs w:val="32"/>
        </w:rPr>
      </w:pPr>
      <w:r>
        <w:rPr>
          <w:rFonts w:hint="eastAsia" w:ascii="楷体" w:hAnsi="楷体" w:eastAsia="楷体" w:cs="仿宋_GB2312"/>
          <w:kern w:val="2"/>
          <w:sz w:val="32"/>
          <w:szCs w:val="32"/>
        </w:rPr>
        <w:t>（四）绩效目标设置情况</w:t>
      </w:r>
    </w:p>
    <w:p w14:paraId="0BD5FFF1">
      <w:pPr>
        <w:pStyle w:val="8"/>
        <w:spacing w:before="0" w:line="360" w:lineRule="auto"/>
        <w:ind w:firstLine="800" w:firstLineChars="250"/>
        <w:rPr>
          <w:rFonts w:ascii="黑体" w:hAnsi="黑体" w:eastAsia="黑体"/>
          <w:sz w:val="32"/>
          <w:szCs w:val="32"/>
        </w:rPr>
      </w:pPr>
      <w:r>
        <w:rPr>
          <w:rFonts w:hint="eastAsia" w:cs="仿宋_GB2312"/>
          <w:kern w:val="2"/>
          <w:sz w:val="32"/>
          <w:szCs w:val="32"/>
        </w:rPr>
        <w:t>2024年州妇联开展绩效目标管理的项目有8个均属于运转类项目，涉及一般公共预算项目119.4万元。</w:t>
      </w:r>
    </w:p>
    <w:p w14:paraId="3EBE4449">
      <w:pPr>
        <w:pStyle w:val="8"/>
        <w:spacing w:before="0" w:line="360" w:lineRule="auto"/>
        <w:ind w:firstLine="640" w:firstLineChars="200"/>
        <w:rPr>
          <w:rFonts w:cs="仿宋_GB2312"/>
          <w:kern w:val="2"/>
          <w:sz w:val="32"/>
          <w:szCs w:val="32"/>
        </w:rPr>
      </w:pPr>
      <w:r>
        <w:rPr>
          <w:rFonts w:hint="eastAsia" w:ascii="黑体" w:hAnsi="黑体" w:eastAsia="黑体"/>
          <w:sz w:val="32"/>
          <w:szCs w:val="32"/>
        </w:rPr>
        <w:t xml:space="preserve">十一、名称解释 </w:t>
      </w:r>
      <w:r>
        <w:rPr>
          <w:rFonts w:hint="eastAsia" w:cs="仿宋_GB2312"/>
          <w:sz w:val="32"/>
          <w:szCs w:val="32"/>
        </w:rPr>
        <w:br w:type="textWrapping"/>
      </w:r>
      <w:r>
        <w:rPr>
          <w:rFonts w:hint="eastAsia" w:ascii="??" w:hAnsi="??" w:eastAsia="宋体" w:cs="宋体"/>
          <w:sz w:val="16"/>
        </w:rPr>
        <w:t xml:space="preserve">　　   </w:t>
      </w:r>
      <w:r>
        <w:rPr>
          <w:rFonts w:hint="eastAsia" w:ascii="楷体" w:hAnsi="楷体" w:eastAsia="楷体" w:cs="仿宋_GB2312"/>
          <w:kern w:val="2"/>
          <w:sz w:val="32"/>
          <w:szCs w:val="32"/>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r>
        <w:rPr>
          <w:rFonts w:cs="仿宋_GB2312"/>
          <w:kern w:val="2"/>
          <w:sz w:val="32"/>
          <w:szCs w:val="32"/>
        </w:rPr>
        <w:br w:type="textWrapping"/>
      </w:r>
      <w:r>
        <w:rPr>
          <w:rFonts w:hint="eastAsia" w:cs="仿宋_GB2312"/>
          <w:kern w:val="2"/>
          <w:sz w:val="32"/>
          <w:szCs w:val="32"/>
        </w:rPr>
        <w:t>　　</w:t>
      </w:r>
      <w:r>
        <w:rPr>
          <w:rFonts w:hint="eastAsia" w:ascii="楷体" w:hAnsi="楷体" w:eastAsia="楷体" w:cs="仿宋_GB2312"/>
          <w:kern w:val="2"/>
          <w:sz w:val="32"/>
          <w:szCs w:val="32"/>
        </w:rPr>
        <w:t>（二）事业收入</w:t>
      </w:r>
      <w:r>
        <w:rPr>
          <w:rFonts w:hint="eastAsia" w:cs="仿宋_GB2312"/>
          <w:kern w:val="2"/>
          <w:sz w:val="32"/>
          <w:szCs w:val="32"/>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hAnsi="楷体" w:eastAsia="楷体" w:cs="仿宋_GB2312"/>
          <w:kern w:val="2"/>
          <w:sz w:val="32"/>
          <w:szCs w:val="32"/>
        </w:rPr>
        <w:t>（三）</w:t>
      </w:r>
      <w:r>
        <w:rPr>
          <w:rFonts w:hint="eastAsia" w:ascii="楷体" w:hAnsi="楷体" w:eastAsia="楷体" w:cs="仿宋_GB2312"/>
          <w:spacing w:val="-6"/>
          <w:kern w:val="2"/>
          <w:sz w:val="32"/>
          <w:szCs w:val="32"/>
        </w:rPr>
        <w:t>事业单位经营收入</w:t>
      </w:r>
      <w:r>
        <w:rPr>
          <w:rFonts w:hint="eastAsia" w:cs="仿宋_GB2312"/>
          <w:spacing w:val="-6"/>
          <w:kern w:val="2"/>
          <w:sz w:val="32"/>
          <w:szCs w:val="32"/>
        </w:rPr>
        <w:t>：指所属事业单位在专业业务活动及其辅助活动之外开展非独立核算经营活动取得的收入。</w:t>
      </w:r>
      <w:r>
        <w:rPr>
          <w:rFonts w:cs="仿宋_GB2312"/>
          <w:spacing w:val="-6"/>
          <w:kern w:val="2"/>
          <w:sz w:val="32"/>
          <w:szCs w:val="32"/>
        </w:rPr>
        <w:br w:type="textWrapping"/>
      </w:r>
      <w:r>
        <w:rPr>
          <w:rFonts w:hint="eastAsia" w:cs="仿宋_GB2312"/>
          <w:kern w:val="2"/>
          <w:sz w:val="32"/>
          <w:szCs w:val="32"/>
        </w:rPr>
        <w:t>　</w:t>
      </w:r>
      <w:r>
        <w:rPr>
          <w:rFonts w:hint="eastAsia" w:ascii="楷体" w:hAnsi="楷体" w:eastAsia="楷体" w:cs="仿宋_GB2312"/>
          <w:kern w:val="2"/>
          <w:sz w:val="32"/>
          <w:szCs w:val="32"/>
        </w:rPr>
        <w:t>　（四）其他收入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r>
        <w:rPr>
          <w:rFonts w:cs="仿宋_GB2312"/>
          <w:kern w:val="2"/>
          <w:sz w:val="32"/>
          <w:szCs w:val="32"/>
        </w:rPr>
        <w:br w:type="textWrapping"/>
      </w:r>
      <w:r>
        <w:rPr>
          <w:rFonts w:hint="eastAsia" w:cs="仿宋_GB2312"/>
          <w:kern w:val="2"/>
          <w:sz w:val="32"/>
          <w:szCs w:val="32"/>
        </w:rPr>
        <w:t>　</w:t>
      </w:r>
      <w:r>
        <w:rPr>
          <w:rFonts w:hint="eastAsia" w:ascii="楷体" w:hAnsi="楷体" w:eastAsia="楷体" w:cs="仿宋_GB2312"/>
          <w:kern w:val="2"/>
          <w:sz w:val="32"/>
          <w:szCs w:val="32"/>
        </w:rPr>
        <w:t>　（五）用事业基金弥补收支差额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r>
        <w:rPr>
          <w:rFonts w:cs="仿宋_GB2312"/>
          <w:kern w:val="2"/>
          <w:sz w:val="32"/>
          <w:szCs w:val="32"/>
        </w:rPr>
        <w:br w:type="textWrapping"/>
      </w:r>
      <w:r>
        <w:rPr>
          <w:rFonts w:hint="eastAsia" w:cs="仿宋_GB2312"/>
          <w:kern w:val="2"/>
          <w:sz w:val="32"/>
          <w:szCs w:val="32"/>
        </w:rPr>
        <w:t>　</w:t>
      </w:r>
      <w:r>
        <w:rPr>
          <w:rFonts w:hint="eastAsia" w:ascii="楷体" w:hAnsi="楷体" w:eastAsia="楷体" w:cs="仿宋_GB2312"/>
          <w:kern w:val="2"/>
          <w:sz w:val="32"/>
          <w:szCs w:val="32"/>
        </w:rPr>
        <w:t>　（六）上年结转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14:paraId="26939905">
      <w:pPr>
        <w:rPr>
          <w:rFonts w:ascii="仿宋_GB2312" w:hAns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方正楷体简体">
    <w:panose1 w:val="02010601030101010101"/>
    <w:charset w:val="86"/>
    <w:family w:val="script"/>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848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D03D20"/>
    <w:multiLevelType w:val="multilevel"/>
    <w:tmpl w:val="47D03D20"/>
    <w:lvl w:ilvl="0" w:tentative="0">
      <w:start w:val="2"/>
      <w:numFmt w:val="japaneseCounting"/>
      <w:lvlText w:val="%1、"/>
      <w:lvlJc w:val="left"/>
      <w:pPr>
        <w:ind w:left="1288" w:hanging="720"/>
      </w:pPr>
      <w:rPr>
        <w:rFonts w:hint="default"/>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AE4629A"/>
    <w:rsid w:val="00000BD8"/>
    <w:rsid w:val="000451C2"/>
    <w:rsid w:val="0006464F"/>
    <w:rsid w:val="0006682F"/>
    <w:rsid w:val="000A7343"/>
    <w:rsid w:val="000C04CB"/>
    <w:rsid w:val="000D3E11"/>
    <w:rsid w:val="001634E3"/>
    <w:rsid w:val="0016449D"/>
    <w:rsid w:val="001910FF"/>
    <w:rsid w:val="00193DB0"/>
    <w:rsid w:val="001B1BFD"/>
    <w:rsid w:val="001C3F02"/>
    <w:rsid w:val="001D0CC8"/>
    <w:rsid w:val="00242435"/>
    <w:rsid w:val="0027677C"/>
    <w:rsid w:val="0030031F"/>
    <w:rsid w:val="003834AF"/>
    <w:rsid w:val="00431485"/>
    <w:rsid w:val="004379C5"/>
    <w:rsid w:val="00476B63"/>
    <w:rsid w:val="004D051D"/>
    <w:rsid w:val="0054124B"/>
    <w:rsid w:val="00600422"/>
    <w:rsid w:val="00723B73"/>
    <w:rsid w:val="00793C02"/>
    <w:rsid w:val="00793FEE"/>
    <w:rsid w:val="00803F7A"/>
    <w:rsid w:val="00842DA9"/>
    <w:rsid w:val="00887775"/>
    <w:rsid w:val="00923A98"/>
    <w:rsid w:val="00960A97"/>
    <w:rsid w:val="009B707A"/>
    <w:rsid w:val="009E27FB"/>
    <w:rsid w:val="009E28CE"/>
    <w:rsid w:val="00AB1EDB"/>
    <w:rsid w:val="00AB4C2F"/>
    <w:rsid w:val="00AF38DA"/>
    <w:rsid w:val="00B3601C"/>
    <w:rsid w:val="00B634B3"/>
    <w:rsid w:val="00BB134E"/>
    <w:rsid w:val="00C04281"/>
    <w:rsid w:val="00CD35F7"/>
    <w:rsid w:val="00D264D1"/>
    <w:rsid w:val="00DB29FD"/>
    <w:rsid w:val="00DC2448"/>
    <w:rsid w:val="00E00802"/>
    <w:rsid w:val="00E81838"/>
    <w:rsid w:val="00EC11E8"/>
    <w:rsid w:val="00EF1BD0"/>
    <w:rsid w:val="00FC59D7"/>
    <w:rsid w:val="00FD4814"/>
    <w:rsid w:val="00FF5A0C"/>
    <w:rsid w:val="03AE29B3"/>
    <w:rsid w:val="07674A16"/>
    <w:rsid w:val="13197D31"/>
    <w:rsid w:val="164003A4"/>
    <w:rsid w:val="16C5583A"/>
    <w:rsid w:val="177904B8"/>
    <w:rsid w:val="1B0406D7"/>
    <w:rsid w:val="20361CB8"/>
    <w:rsid w:val="29566940"/>
    <w:rsid w:val="32BF7DF5"/>
    <w:rsid w:val="48EB0A3F"/>
    <w:rsid w:val="61693C9D"/>
    <w:rsid w:val="64CC0F4B"/>
    <w:rsid w:val="7744758C"/>
    <w:rsid w:val="7AE4629A"/>
    <w:rsid w:val="7EE32C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uiPriority w:val="0"/>
    <w:pPr>
      <w:ind w:left="100" w:leftChars="25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99"/>
    <w:pPr>
      <w:ind w:firstLine="420" w:firstLineChars="200"/>
    </w:pPr>
  </w:style>
  <w:style w:type="paragraph" w:customStyle="1" w:styleId="8">
    <w:name w:val="正文文本1"/>
    <w:basedOn w:val="1"/>
    <w:qFormat/>
    <w:uiPriority w:val="0"/>
    <w:pPr>
      <w:spacing w:before="93"/>
    </w:pPr>
    <w:rPr>
      <w:rFonts w:ascii="仿宋_GB2312" w:hAnsi="仿宋_GB2312" w:eastAsia="仿宋_GB2312"/>
      <w:kern w:val="0"/>
      <w:sz w:val="30"/>
      <w:szCs w:val="20"/>
    </w:rPr>
  </w:style>
  <w:style w:type="character" w:customStyle="1" w:styleId="9">
    <w:name w:val="日期 Char"/>
    <w:basedOn w:val="6"/>
    <w:link w:val="2"/>
    <w:uiPriority w:val="0"/>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XiTongTianDi.Com</Company>
  <Pages>11</Pages>
  <Words>4442</Words>
  <Characters>4970</Characters>
  <Lines>36</Lines>
  <Paragraphs>10</Paragraphs>
  <TotalTime>35</TotalTime>
  <ScaleCrop>false</ScaleCrop>
  <LinksUpToDate>false</LinksUpToDate>
  <CharactersWithSpaces>4997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2024-01-15T04:18:00Z</dcterms:created>
  <dc:creator>疯丫头。。</dc:creator>
  <cp:lastModifiedBy>一个笨蛋</cp:lastModifiedBy>
  <cp:lastPrinted>2024-01-15T03:56:00Z</cp:lastPrinted>
  <dcterms:modified xsi:type="dcterms:W3CDTF">2026-08-31T08:36:26Z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eyJoZGlkIjoiYjllZGNkZWEzYjg0NDNmNTQ5MjkzNjk0ODlhNmVkYzAiLCJ1c2VySWQiOiI0MTAxMDQ4MDkifQ==</vt:lpwstr>
  </property>
  <property fmtid="{D5CDD505-2E9C-101B-9397-08002B2CF9AE}" pid="4" name="ICV">
    <vt:lpwstr>F127569C92984B73B5F1927597603AF2_12</vt:lpwstr>
  </property>
</Properties>
</file>