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autoSpaceDE/>
        <w:autoSpaceDN/>
        <w:bidi w:val="0"/>
        <w:adjustRightInd/>
        <w:snapToGrid/>
        <w:spacing w:line="560" w:lineRule="exact"/>
        <w:textAlignment w:val="auto"/>
      </w:pPr>
    </w:p>
    <w:p>
      <w:pPr>
        <w:keepNext w:val="0"/>
        <w:keepLines w:val="0"/>
        <w:pageBreakBefore w:val="0"/>
        <w:kinsoku/>
        <w:wordWrap/>
        <w:autoSpaceDE/>
        <w:autoSpaceDN/>
        <w:bidi w:val="0"/>
        <w:adjustRightInd/>
        <w:snapToGrid/>
        <w:spacing w:line="560" w:lineRule="exact"/>
        <w:textAlignment w:val="auto"/>
      </w:pPr>
    </w:p>
    <w:p>
      <w:pPr>
        <w:keepNext w:val="0"/>
        <w:keepLines w:val="0"/>
        <w:pageBreakBefore w:val="0"/>
        <w:kinsoku/>
        <w:wordWrap/>
        <w:autoSpaceDE/>
        <w:autoSpaceDN/>
        <w:bidi w:val="0"/>
        <w:adjustRightInd/>
        <w:snapToGrid/>
        <w:spacing w:line="560" w:lineRule="exact"/>
        <w:textAlignment w:val="auto"/>
      </w:pPr>
    </w:p>
    <w:p>
      <w:pPr>
        <w:keepNext w:val="0"/>
        <w:keepLines w:val="0"/>
        <w:pageBreakBefore w:val="0"/>
        <w:kinsoku/>
        <w:wordWrap/>
        <w:autoSpaceDE/>
        <w:autoSpaceDN/>
        <w:bidi w:val="0"/>
        <w:adjustRightInd/>
        <w:snapToGrid/>
        <w:spacing w:line="560" w:lineRule="exact"/>
        <w:ind w:firstLine="1050" w:firstLineChars="500"/>
        <w:textAlignment w:val="auto"/>
      </w:pPr>
    </w:p>
    <w:p>
      <w:pPr>
        <w:keepNext w:val="0"/>
        <w:keepLines w:val="0"/>
        <w:pageBreakBefore w:val="0"/>
        <w:kinsoku/>
        <w:wordWrap/>
        <w:autoSpaceDE/>
        <w:autoSpaceDN/>
        <w:bidi w:val="0"/>
        <w:adjustRightInd/>
        <w:snapToGrid/>
        <w:spacing w:line="560" w:lineRule="exact"/>
        <w:ind w:firstLine="1050" w:firstLineChars="500"/>
        <w:textAlignment w:val="auto"/>
      </w:pPr>
    </w:p>
    <w:p>
      <w:pPr>
        <w:keepNext w:val="0"/>
        <w:keepLines w:val="0"/>
        <w:pageBreakBefore w:val="0"/>
        <w:kinsoku/>
        <w:wordWrap/>
        <w:autoSpaceDE/>
        <w:autoSpaceDN/>
        <w:bidi w:val="0"/>
        <w:adjustRightInd/>
        <w:snapToGrid/>
        <w:spacing w:line="560" w:lineRule="exact"/>
        <w:ind w:firstLine="1760" w:firstLineChars="400"/>
        <w:textAlignment w:val="auto"/>
        <w:rPr>
          <w:rFonts w:ascii="黑体" w:eastAsia="黑体"/>
          <w:sz w:val="44"/>
          <w:szCs w:val="44"/>
        </w:rPr>
      </w:pPr>
    </w:p>
    <w:p>
      <w:pPr>
        <w:keepNext w:val="0"/>
        <w:keepLines w:val="0"/>
        <w:pageBreakBefore w:val="0"/>
        <w:kinsoku/>
        <w:wordWrap/>
        <w:autoSpaceDE/>
        <w:autoSpaceDN/>
        <w:bidi w:val="0"/>
        <w:adjustRightInd/>
        <w:snapToGrid/>
        <w:spacing w:line="560" w:lineRule="exact"/>
        <w:ind w:firstLine="1760" w:firstLineChars="400"/>
        <w:textAlignment w:val="auto"/>
        <w:rPr>
          <w:rFonts w:ascii="黑体" w:eastAsia="黑体"/>
          <w:sz w:val="44"/>
          <w:szCs w:val="44"/>
        </w:rPr>
      </w:pPr>
    </w:p>
    <w:p>
      <w:pPr>
        <w:keepNext w:val="0"/>
        <w:keepLines w:val="0"/>
        <w:pageBreakBefore w:val="0"/>
        <w:kinsoku/>
        <w:wordWrap/>
        <w:autoSpaceDE/>
        <w:autoSpaceDN/>
        <w:bidi w:val="0"/>
        <w:adjustRightInd/>
        <w:snapToGrid/>
        <w:spacing w:line="560" w:lineRule="exact"/>
        <w:jc w:val="center"/>
        <w:textAlignment w:val="auto"/>
        <w:rPr>
          <w:rFonts w:ascii="黑体" w:eastAsia="黑体"/>
          <w:sz w:val="44"/>
          <w:szCs w:val="44"/>
        </w:rPr>
      </w:pPr>
      <w:r>
        <w:rPr>
          <w:rFonts w:hint="eastAsia" w:ascii="黑体" w:eastAsia="黑体"/>
          <w:sz w:val="44"/>
          <w:szCs w:val="44"/>
          <w:lang w:eastAsia="zh-CN"/>
        </w:rPr>
        <w:t>中共阿坝州委巡察工作领导小组办公室</w:t>
      </w:r>
      <w:r>
        <w:rPr>
          <w:rFonts w:ascii="黑体" w:eastAsia="黑体"/>
          <w:sz w:val="44"/>
          <w:szCs w:val="44"/>
        </w:rPr>
        <w:t>2</w:t>
      </w:r>
      <w:r>
        <w:rPr>
          <w:rFonts w:hint="eastAsia" w:ascii="黑体" w:eastAsia="黑体"/>
          <w:sz w:val="44"/>
          <w:szCs w:val="44"/>
        </w:rPr>
        <w:t>02</w:t>
      </w:r>
      <w:r>
        <w:rPr>
          <w:rFonts w:hint="eastAsia" w:ascii="黑体" w:eastAsia="黑体"/>
          <w:sz w:val="44"/>
          <w:szCs w:val="44"/>
          <w:lang w:val="en-US" w:eastAsia="zh-CN"/>
        </w:rPr>
        <w:t>5</w:t>
      </w:r>
      <w:r>
        <w:rPr>
          <w:rFonts w:hint="eastAsia" w:ascii="黑体" w:eastAsia="黑体"/>
          <w:sz w:val="44"/>
          <w:szCs w:val="44"/>
        </w:rPr>
        <w:t>年部门预算</w:t>
      </w:r>
    </w:p>
    <w:p>
      <w:pPr>
        <w:keepNext w:val="0"/>
        <w:keepLines w:val="0"/>
        <w:pageBreakBefore w:val="0"/>
        <w:kinsoku/>
        <w:wordWrap/>
        <w:autoSpaceDE/>
        <w:autoSpaceDN/>
        <w:bidi w:val="0"/>
        <w:adjustRightInd/>
        <w:snapToGrid/>
        <w:spacing w:line="560" w:lineRule="exact"/>
        <w:ind w:firstLine="1760" w:firstLineChars="400"/>
        <w:textAlignment w:val="auto"/>
        <w:rPr>
          <w:rFonts w:ascii="黑体" w:eastAsia="黑体"/>
          <w:sz w:val="44"/>
          <w:szCs w:val="44"/>
        </w:rPr>
      </w:pPr>
    </w:p>
    <w:p>
      <w:pPr>
        <w:keepNext w:val="0"/>
        <w:keepLines w:val="0"/>
        <w:pageBreakBefore w:val="0"/>
        <w:kinsoku/>
        <w:wordWrap/>
        <w:autoSpaceDE/>
        <w:autoSpaceDN/>
        <w:bidi w:val="0"/>
        <w:adjustRightInd/>
        <w:snapToGrid/>
        <w:spacing w:line="560" w:lineRule="exact"/>
        <w:ind w:firstLine="1760" w:firstLineChars="400"/>
        <w:textAlignment w:val="auto"/>
        <w:rPr>
          <w:rFonts w:ascii="黑体" w:eastAsia="黑体"/>
          <w:sz w:val="44"/>
          <w:szCs w:val="44"/>
        </w:rPr>
      </w:pPr>
    </w:p>
    <w:p>
      <w:pPr>
        <w:keepNext w:val="0"/>
        <w:keepLines w:val="0"/>
        <w:pageBreakBefore w:val="0"/>
        <w:kinsoku/>
        <w:wordWrap/>
        <w:autoSpaceDE/>
        <w:autoSpaceDN/>
        <w:bidi w:val="0"/>
        <w:adjustRightInd/>
        <w:snapToGrid/>
        <w:spacing w:line="560" w:lineRule="exact"/>
        <w:ind w:firstLine="1760" w:firstLineChars="400"/>
        <w:textAlignment w:val="auto"/>
        <w:rPr>
          <w:rFonts w:ascii="黑体" w:eastAsia="黑体"/>
          <w:sz w:val="44"/>
          <w:szCs w:val="44"/>
        </w:rPr>
      </w:pPr>
    </w:p>
    <w:p>
      <w:pPr>
        <w:keepNext w:val="0"/>
        <w:keepLines w:val="0"/>
        <w:pageBreakBefore w:val="0"/>
        <w:kinsoku/>
        <w:wordWrap/>
        <w:autoSpaceDE/>
        <w:autoSpaceDN/>
        <w:bidi w:val="0"/>
        <w:adjustRightInd/>
        <w:snapToGrid/>
        <w:spacing w:line="560" w:lineRule="exact"/>
        <w:ind w:firstLine="1760" w:firstLineChars="400"/>
        <w:textAlignment w:val="auto"/>
        <w:rPr>
          <w:rFonts w:ascii="黑体" w:eastAsia="黑体"/>
          <w:sz w:val="44"/>
          <w:szCs w:val="44"/>
        </w:rPr>
      </w:pPr>
    </w:p>
    <w:p>
      <w:pPr>
        <w:keepNext w:val="0"/>
        <w:keepLines w:val="0"/>
        <w:pageBreakBefore w:val="0"/>
        <w:kinsoku/>
        <w:wordWrap/>
        <w:autoSpaceDE/>
        <w:autoSpaceDN/>
        <w:bidi w:val="0"/>
        <w:adjustRightInd/>
        <w:snapToGrid/>
        <w:spacing w:line="560" w:lineRule="exact"/>
        <w:ind w:firstLine="1760" w:firstLineChars="400"/>
        <w:textAlignment w:val="auto"/>
        <w:rPr>
          <w:rFonts w:ascii="黑体" w:eastAsia="黑体"/>
          <w:sz w:val="44"/>
          <w:szCs w:val="44"/>
        </w:rPr>
      </w:pPr>
    </w:p>
    <w:p>
      <w:pPr>
        <w:keepNext w:val="0"/>
        <w:keepLines w:val="0"/>
        <w:pageBreakBefore w:val="0"/>
        <w:kinsoku/>
        <w:wordWrap/>
        <w:autoSpaceDE/>
        <w:autoSpaceDN/>
        <w:bidi w:val="0"/>
        <w:adjustRightInd/>
        <w:snapToGrid/>
        <w:spacing w:line="560" w:lineRule="exact"/>
        <w:ind w:firstLine="1760" w:firstLineChars="400"/>
        <w:textAlignment w:val="auto"/>
        <w:rPr>
          <w:rFonts w:ascii="黑体" w:eastAsia="黑体"/>
          <w:sz w:val="44"/>
          <w:szCs w:val="44"/>
        </w:rPr>
      </w:pPr>
    </w:p>
    <w:p>
      <w:pPr>
        <w:keepNext w:val="0"/>
        <w:keepLines w:val="0"/>
        <w:pageBreakBefore w:val="0"/>
        <w:kinsoku/>
        <w:wordWrap/>
        <w:autoSpaceDE/>
        <w:autoSpaceDN/>
        <w:bidi w:val="0"/>
        <w:adjustRightInd/>
        <w:snapToGrid/>
        <w:spacing w:line="560" w:lineRule="exact"/>
        <w:ind w:firstLine="1760" w:firstLineChars="400"/>
        <w:textAlignment w:val="auto"/>
        <w:rPr>
          <w:rFonts w:ascii="黑体" w:eastAsia="黑体"/>
          <w:sz w:val="44"/>
          <w:szCs w:val="44"/>
        </w:rPr>
      </w:pPr>
    </w:p>
    <w:p>
      <w:pPr>
        <w:keepNext w:val="0"/>
        <w:keepLines w:val="0"/>
        <w:pageBreakBefore w:val="0"/>
        <w:kinsoku/>
        <w:wordWrap/>
        <w:autoSpaceDE/>
        <w:autoSpaceDN/>
        <w:bidi w:val="0"/>
        <w:adjustRightInd/>
        <w:snapToGrid/>
        <w:spacing w:line="560" w:lineRule="exact"/>
        <w:ind w:firstLine="1760" w:firstLineChars="400"/>
        <w:textAlignment w:val="auto"/>
        <w:rPr>
          <w:rFonts w:ascii="黑体" w:eastAsia="黑体"/>
          <w:sz w:val="44"/>
          <w:szCs w:val="44"/>
        </w:rPr>
      </w:pPr>
    </w:p>
    <w:p>
      <w:pPr>
        <w:keepNext w:val="0"/>
        <w:keepLines w:val="0"/>
        <w:pageBreakBefore w:val="0"/>
        <w:kinsoku/>
        <w:wordWrap/>
        <w:autoSpaceDE/>
        <w:autoSpaceDN/>
        <w:bidi w:val="0"/>
        <w:adjustRightInd/>
        <w:snapToGrid/>
        <w:spacing w:line="560" w:lineRule="exact"/>
        <w:ind w:firstLine="1760" w:firstLineChars="400"/>
        <w:textAlignment w:val="auto"/>
        <w:rPr>
          <w:rFonts w:ascii="黑体" w:eastAsia="黑体"/>
          <w:sz w:val="44"/>
          <w:szCs w:val="44"/>
        </w:rPr>
      </w:pPr>
    </w:p>
    <w:p>
      <w:pPr>
        <w:keepNext w:val="0"/>
        <w:keepLines w:val="0"/>
        <w:pageBreakBefore w:val="0"/>
        <w:kinsoku/>
        <w:wordWrap/>
        <w:autoSpaceDE/>
        <w:autoSpaceDN/>
        <w:bidi w:val="0"/>
        <w:adjustRightInd/>
        <w:snapToGrid/>
        <w:spacing w:line="560" w:lineRule="exact"/>
        <w:ind w:firstLine="1760" w:firstLineChars="400"/>
        <w:textAlignment w:val="auto"/>
        <w:rPr>
          <w:rFonts w:ascii="黑体" w:eastAsia="黑体"/>
          <w:sz w:val="44"/>
          <w:szCs w:val="44"/>
        </w:rPr>
      </w:pPr>
    </w:p>
    <w:p>
      <w:pPr>
        <w:keepNext w:val="0"/>
        <w:keepLines w:val="0"/>
        <w:pageBreakBefore w:val="0"/>
        <w:kinsoku/>
        <w:wordWrap/>
        <w:autoSpaceDE/>
        <w:autoSpaceDN/>
        <w:bidi w:val="0"/>
        <w:adjustRightInd/>
        <w:snapToGrid/>
        <w:spacing w:line="560" w:lineRule="exact"/>
        <w:ind w:firstLine="1760" w:firstLineChars="400"/>
        <w:textAlignment w:val="auto"/>
        <w:rPr>
          <w:rFonts w:ascii="黑体" w:eastAsia="黑体"/>
          <w:sz w:val="44"/>
          <w:szCs w:val="44"/>
        </w:rPr>
      </w:pPr>
    </w:p>
    <w:p>
      <w:pPr>
        <w:keepNext w:val="0"/>
        <w:keepLines w:val="0"/>
        <w:pageBreakBefore w:val="0"/>
        <w:kinsoku/>
        <w:wordWrap/>
        <w:autoSpaceDE/>
        <w:autoSpaceDN/>
        <w:bidi w:val="0"/>
        <w:adjustRightInd/>
        <w:snapToGrid/>
        <w:spacing w:line="560" w:lineRule="exact"/>
        <w:ind w:firstLine="1760" w:firstLineChars="400"/>
        <w:textAlignment w:val="auto"/>
        <w:rPr>
          <w:rFonts w:ascii="黑体" w:eastAsia="黑体"/>
          <w:sz w:val="44"/>
          <w:szCs w:val="44"/>
        </w:rPr>
      </w:pPr>
    </w:p>
    <w:p>
      <w:pPr>
        <w:keepNext w:val="0"/>
        <w:keepLines w:val="0"/>
        <w:pageBreakBefore w:val="0"/>
        <w:kinsoku/>
        <w:wordWrap/>
        <w:autoSpaceDE/>
        <w:autoSpaceDN/>
        <w:bidi w:val="0"/>
        <w:adjustRightInd/>
        <w:snapToGrid/>
        <w:spacing w:line="560" w:lineRule="exact"/>
        <w:ind w:firstLine="1760" w:firstLineChars="400"/>
        <w:textAlignment w:val="auto"/>
        <w:rPr>
          <w:rFonts w:ascii="黑体" w:eastAsia="黑体"/>
          <w:sz w:val="44"/>
          <w:szCs w:val="44"/>
        </w:rPr>
      </w:pPr>
    </w:p>
    <w:p>
      <w:pPr>
        <w:keepNext w:val="0"/>
        <w:keepLines w:val="0"/>
        <w:pageBreakBefore w:val="0"/>
        <w:kinsoku/>
        <w:wordWrap/>
        <w:autoSpaceDE/>
        <w:autoSpaceDN/>
        <w:bidi w:val="0"/>
        <w:adjustRightInd/>
        <w:snapToGrid/>
        <w:spacing w:line="560" w:lineRule="exact"/>
        <w:ind w:firstLine="1760" w:firstLineChars="400"/>
        <w:textAlignment w:val="auto"/>
        <w:rPr>
          <w:rFonts w:ascii="黑体" w:eastAsia="黑体"/>
          <w:sz w:val="44"/>
          <w:szCs w:val="44"/>
        </w:rPr>
      </w:pPr>
    </w:p>
    <w:p>
      <w:pPr>
        <w:keepNext w:val="0"/>
        <w:keepLines w:val="0"/>
        <w:pageBreakBefore w:val="0"/>
        <w:kinsoku/>
        <w:wordWrap/>
        <w:autoSpaceDE/>
        <w:autoSpaceDN/>
        <w:bidi w:val="0"/>
        <w:adjustRightInd/>
        <w:snapToGrid/>
        <w:spacing w:line="560" w:lineRule="exact"/>
        <w:textAlignment w:val="auto"/>
        <w:rPr>
          <w:rFonts w:ascii="黑体" w:eastAsia="黑体"/>
          <w:sz w:val="44"/>
          <w:szCs w:val="44"/>
        </w:rPr>
      </w:pPr>
    </w:p>
    <w:p>
      <w:pPr>
        <w:keepNext w:val="0"/>
        <w:keepLines w:val="0"/>
        <w:pageBreakBefore w:val="0"/>
        <w:kinsoku/>
        <w:wordWrap/>
        <w:autoSpaceDE/>
        <w:autoSpaceDN/>
        <w:bidi w:val="0"/>
        <w:adjustRightInd/>
        <w:snapToGrid/>
        <w:spacing w:line="560" w:lineRule="exact"/>
        <w:ind w:firstLine="3120" w:firstLineChars="600"/>
        <w:textAlignment w:val="auto"/>
        <w:rPr>
          <w:rFonts w:ascii="黑体" w:eastAsia="黑体"/>
          <w:sz w:val="52"/>
          <w:szCs w:val="52"/>
        </w:rPr>
      </w:pPr>
      <w:r>
        <w:rPr>
          <w:rFonts w:hint="eastAsia" w:ascii="黑体" w:eastAsia="黑体"/>
          <w:sz w:val="52"/>
          <w:szCs w:val="52"/>
        </w:rPr>
        <w:t>目录</w:t>
      </w:r>
    </w:p>
    <w:p>
      <w:pPr>
        <w:keepNext w:val="0"/>
        <w:keepLines w:val="0"/>
        <w:pageBreakBefore w:val="0"/>
        <w:kinsoku/>
        <w:wordWrap/>
        <w:autoSpaceDE/>
        <w:autoSpaceDN/>
        <w:bidi w:val="0"/>
        <w:adjustRightInd/>
        <w:snapToGrid/>
        <w:spacing w:line="560" w:lineRule="exact"/>
        <w:ind w:firstLine="3080" w:firstLineChars="700"/>
        <w:textAlignment w:val="auto"/>
        <w:rPr>
          <w:rFonts w:ascii="黑体" w:eastAsia="黑体"/>
          <w:sz w:val="44"/>
          <w:szCs w:val="44"/>
        </w:rPr>
      </w:pPr>
    </w:p>
    <w:p>
      <w:pPr>
        <w:pStyle w:val="9"/>
        <w:keepNext w:val="0"/>
        <w:keepLines w:val="0"/>
        <w:pageBreakBefore w:val="0"/>
        <w:kinsoku/>
        <w:wordWrap/>
        <w:autoSpaceDE/>
        <w:autoSpaceDN/>
        <w:bidi w:val="0"/>
        <w:adjustRightInd/>
        <w:snapToGrid/>
        <w:spacing w:line="560" w:lineRule="exact"/>
        <w:ind w:firstLine="0" w:firstLineChars="0"/>
        <w:textAlignment w:val="auto"/>
        <w:rPr>
          <w:rFonts w:ascii="黑体" w:eastAsia="黑体"/>
          <w:sz w:val="32"/>
          <w:szCs w:val="32"/>
        </w:rPr>
      </w:pPr>
      <w:r>
        <w:rPr>
          <w:rFonts w:hint="eastAsia" w:ascii="黑体" w:eastAsia="黑体"/>
          <w:sz w:val="32"/>
          <w:szCs w:val="32"/>
        </w:rPr>
        <w:t>一、基本职能及主要工作</w:t>
      </w:r>
    </w:p>
    <w:p>
      <w:pPr>
        <w:keepNext w:val="0"/>
        <w:keepLines w:val="0"/>
        <w:pageBreakBefore w:val="0"/>
        <w:kinsoku/>
        <w:wordWrap/>
        <w:autoSpaceDE/>
        <w:autoSpaceDN/>
        <w:bidi w:val="0"/>
        <w:adjustRightInd/>
        <w:snapToGrid/>
        <w:spacing w:line="560" w:lineRule="exact"/>
        <w:textAlignment w:val="auto"/>
        <w:rPr>
          <w:rFonts w:ascii="楷体" w:eastAsia="楷体"/>
          <w:sz w:val="32"/>
          <w:szCs w:val="32"/>
        </w:rPr>
      </w:pPr>
      <w:r>
        <w:rPr>
          <w:rFonts w:hint="eastAsia" w:ascii="楷体" w:eastAsia="楷体"/>
          <w:sz w:val="32"/>
          <w:szCs w:val="32"/>
        </w:rPr>
        <w:t>（一）部门职能简介</w:t>
      </w:r>
    </w:p>
    <w:p>
      <w:pPr>
        <w:keepNext w:val="0"/>
        <w:keepLines w:val="0"/>
        <w:pageBreakBefore w:val="0"/>
        <w:kinsoku/>
        <w:wordWrap/>
        <w:autoSpaceDE/>
        <w:autoSpaceDN/>
        <w:bidi w:val="0"/>
        <w:adjustRightInd/>
        <w:snapToGrid/>
        <w:spacing w:line="560" w:lineRule="exact"/>
        <w:textAlignment w:val="auto"/>
        <w:rPr>
          <w:rFonts w:ascii="楷体" w:eastAsia="楷体"/>
          <w:sz w:val="32"/>
          <w:szCs w:val="32"/>
        </w:rPr>
      </w:pPr>
      <w:r>
        <w:rPr>
          <w:rFonts w:hint="eastAsia" w:ascii="楷体" w:eastAsia="楷体"/>
          <w:sz w:val="32"/>
          <w:szCs w:val="32"/>
        </w:rPr>
        <w:t>（二）</w:t>
      </w:r>
      <w:r>
        <w:rPr>
          <w:rFonts w:ascii="楷体" w:eastAsia="楷体"/>
          <w:sz w:val="32"/>
          <w:szCs w:val="32"/>
        </w:rPr>
        <w:t>20</w:t>
      </w:r>
      <w:r>
        <w:rPr>
          <w:rFonts w:hint="eastAsia" w:ascii="楷体" w:eastAsia="楷体"/>
          <w:sz w:val="32"/>
          <w:szCs w:val="32"/>
        </w:rPr>
        <w:t>2</w:t>
      </w:r>
      <w:r>
        <w:rPr>
          <w:rFonts w:hint="eastAsia" w:ascii="楷体" w:eastAsia="楷体"/>
          <w:sz w:val="32"/>
          <w:szCs w:val="32"/>
          <w:lang w:val="en-US" w:eastAsia="zh-CN"/>
        </w:rPr>
        <w:t>5</w:t>
      </w:r>
      <w:r>
        <w:rPr>
          <w:rFonts w:hint="eastAsia" w:ascii="楷体" w:eastAsia="楷体"/>
          <w:sz w:val="32"/>
          <w:szCs w:val="32"/>
        </w:rPr>
        <w:t>年重点工作</w:t>
      </w:r>
    </w:p>
    <w:p>
      <w:pPr>
        <w:keepNext w:val="0"/>
        <w:keepLines w:val="0"/>
        <w:pageBreakBefore w:val="0"/>
        <w:kinsoku/>
        <w:wordWrap/>
        <w:autoSpaceDE/>
        <w:autoSpaceDN/>
        <w:bidi w:val="0"/>
        <w:adjustRightInd/>
        <w:snapToGrid/>
        <w:spacing w:line="560" w:lineRule="exact"/>
        <w:textAlignment w:val="auto"/>
        <w:rPr>
          <w:rFonts w:ascii="黑体" w:eastAsia="黑体"/>
          <w:sz w:val="32"/>
          <w:szCs w:val="32"/>
        </w:rPr>
      </w:pPr>
      <w:r>
        <w:rPr>
          <w:rFonts w:hint="eastAsia" w:ascii="黑体" w:eastAsia="黑体"/>
          <w:sz w:val="32"/>
          <w:szCs w:val="32"/>
        </w:rPr>
        <w:t>二、部门预算单位构成</w:t>
      </w:r>
    </w:p>
    <w:p>
      <w:pPr>
        <w:keepNext w:val="0"/>
        <w:keepLines w:val="0"/>
        <w:pageBreakBefore w:val="0"/>
        <w:kinsoku/>
        <w:wordWrap/>
        <w:autoSpaceDE/>
        <w:autoSpaceDN/>
        <w:bidi w:val="0"/>
        <w:adjustRightInd/>
        <w:snapToGrid/>
        <w:spacing w:line="560" w:lineRule="exact"/>
        <w:textAlignment w:val="auto"/>
        <w:rPr>
          <w:rFonts w:ascii="黑体" w:eastAsia="黑体"/>
          <w:sz w:val="32"/>
          <w:szCs w:val="32"/>
        </w:rPr>
      </w:pPr>
      <w:r>
        <w:rPr>
          <w:rFonts w:hint="eastAsia" w:ascii="黑体" w:eastAsia="黑体"/>
          <w:sz w:val="32"/>
          <w:szCs w:val="32"/>
        </w:rPr>
        <w:t>三、收支预算情况说明</w:t>
      </w:r>
    </w:p>
    <w:p>
      <w:pPr>
        <w:keepNext w:val="0"/>
        <w:keepLines w:val="0"/>
        <w:pageBreakBefore w:val="0"/>
        <w:kinsoku/>
        <w:wordWrap/>
        <w:autoSpaceDE/>
        <w:autoSpaceDN/>
        <w:bidi w:val="0"/>
        <w:adjustRightInd/>
        <w:snapToGrid/>
        <w:spacing w:line="560" w:lineRule="exact"/>
        <w:textAlignment w:val="auto"/>
        <w:rPr>
          <w:rFonts w:ascii="楷体" w:eastAsia="楷体"/>
          <w:sz w:val="32"/>
          <w:szCs w:val="32"/>
        </w:rPr>
      </w:pPr>
      <w:r>
        <w:rPr>
          <w:rFonts w:hint="eastAsia" w:ascii="楷体" w:eastAsia="楷体"/>
          <w:sz w:val="32"/>
          <w:szCs w:val="32"/>
        </w:rPr>
        <w:t>（一）收入预算情况</w:t>
      </w:r>
    </w:p>
    <w:p>
      <w:pPr>
        <w:keepNext w:val="0"/>
        <w:keepLines w:val="0"/>
        <w:pageBreakBefore w:val="0"/>
        <w:kinsoku/>
        <w:wordWrap/>
        <w:autoSpaceDE/>
        <w:autoSpaceDN/>
        <w:bidi w:val="0"/>
        <w:adjustRightInd/>
        <w:snapToGrid/>
        <w:spacing w:line="560" w:lineRule="exact"/>
        <w:textAlignment w:val="auto"/>
        <w:rPr>
          <w:rFonts w:ascii="楷体" w:eastAsia="楷体"/>
          <w:sz w:val="32"/>
          <w:szCs w:val="32"/>
        </w:rPr>
      </w:pPr>
      <w:r>
        <w:rPr>
          <w:rFonts w:hint="eastAsia" w:ascii="楷体" w:eastAsia="楷体"/>
          <w:sz w:val="32"/>
          <w:szCs w:val="32"/>
        </w:rPr>
        <w:t>（二）支出预算情况</w:t>
      </w:r>
    </w:p>
    <w:p>
      <w:pPr>
        <w:keepNext w:val="0"/>
        <w:keepLines w:val="0"/>
        <w:pageBreakBefore w:val="0"/>
        <w:kinsoku/>
        <w:wordWrap/>
        <w:autoSpaceDE/>
        <w:autoSpaceDN/>
        <w:bidi w:val="0"/>
        <w:adjustRightInd/>
        <w:snapToGrid/>
        <w:spacing w:line="560" w:lineRule="exact"/>
        <w:textAlignment w:val="auto"/>
        <w:rPr>
          <w:rFonts w:ascii="黑体" w:eastAsia="黑体"/>
          <w:sz w:val="32"/>
          <w:szCs w:val="32"/>
        </w:rPr>
      </w:pPr>
      <w:r>
        <w:rPr>
          <w:rFonts w:hint="eastAsia" w:ascii="黑体" w:eastAsia="黑体"/>
          <w:sz w:val="32"/>
          <w:szCs w:val="32"/>
        </w:rPr>
        <w:t>四、财政拨款收支预算情况说明</w:t>
      </w:r>
    </w:p>
    <w:p>
      <w:pPr>
        <w:keepNext w:val="0"/>
        <w:keepLines w:val="0"/>
        <w:pageBreakBefore w:val="0"/>
        <w:kinsoku/>
        <w:wordWrap/>
        <w:autoSpaceDE/>
        <w:autoSpaceDN/>
        <w:bidi w:val="0"/>
        <w:adjustRightInd/>
        <w:snapToGrid/>
        <w:spacing w:line="560" w:lineRule="exact"/>
        <w:textAlignment w:val="auto"/>
        <w:rPr>
          <w:rFonts w:ascii="黑体" w:eastAsia="黑体"/>
          <w:sz w:val="32"/>
          <w:szCs w:val="32"/>
        </w:rPr>
      </w:pPr>
      <w:r>
        <w:rPr>
          <w:rFonts w:hint="eastAsia" w:ascii="黑体" w:eastAsia="黑体"/>
          <w:sz w:val="32"/>
          <w:szCs w:val="32"/>
        </w:rPr>
        <w:t>五、一般公共预算当年拨款情况说明</w:t>
      </w:r>
    </w:p>
    <w:p>
      <w:pPr>
        <w:keepNext w:val="0"/>
        <w:keepLines w:val="0"/>
        <w:pageBreakBefore w:val="0"/>
        <w:kinsoku/>
        <w:wordWrap/>
        <w:autoSpaceDE/>
        <w:autoSpaceDN/>
        <w:bidi w:val="0"/>
        <w:adjustRightInd/>
        <w:snapToGrid/>
        <w:spacing w:line="560" w:lineRule="exact"/>
        <w:textAlignment w:val="auto"/>
        <w:rPr>
          <w:rFonts w:ascii="黑体" w:eastAsia="黑体"/>
          <w:sz w:val="32"/>
          <w:szCs w:val="32"/>
        </w:rPr>
      </w:pPr>
      <w:r>
        <w:rPr>
          <w:rFonts w:hint="eastAsia" w:ascii="楷体" w:eastAsia="楷体"/>
          <w:sz w:val="32"/>
          <w:szCs w:val="32"/>
        </w:rPr>
        <w:t>（一）一般公共预算当年拨款规模变化情况</w:t>
      </w:r>
      <w:r>
        <w:rPr>
          <w:rFonts w:ascii="楷体" w:eastAsia="楷体"/>
          <w:sz w:val="32"/>
          <w:szCs w:val="32"/>
        </w:rPr>
        <w:br w:type="textWrapping"/>
      </w:r>
      <w:r>
        <w:rPr>
          <w:rFonts w:hint="eastAsia" w:ascii="楷体" w:eastAsia="楷体"/>
          <w:sz w:val="32"/>
          <w:szCs w:val="32"/>
        </w:rPr>
        <w:t>（二）一般公共预算当年拨款结构情况</w:t>
      </w:r>
      <w:r>
        <w:rPr>
          <w:rFonts w:ascii="楷体" w:eastAsia="楷体"/>
          <w:sz w:val="32"/>
          <w:szCs w:val="32"/>
        </w:rPr>
        <w:br w:type="textWrapping"/>
      </w:r>
      <w:r>
        <w:rPr>
          <w:rFonts w:hint="eastAsia" w:ascii="楷体" w:eastAsia="楷体"/>
          <w:sz w:val="32"/>
          <w:szCs w:val="32"/>
        </w:rPr>
        <w:t>（三）一般公共预算当年拨款具体使用情况</w:t>
      </w:r>
      <w:r>
        <w:rPr>
          <w:rFonts w:ascii="??" w:hAnsi="??" w:cs="宋体"/>
          <w:kern w:val="0"/>
          <w:sz w:val="16"/>
          <w:szCs w:val="16"/>
        </w:rPr>
        <w:br w:type="textWrapping"/>
      </w:r>
      <w:r>
        <w:rPr>
          <w:rFonts w:hint="eastAsia" w:ascii="黑体" w:eastAsia="黑体"/>
          <w:sz w:val="32"/>
          <w:szCs w:val="32"/>
        </w:rPr>
        <w:t>六、一般公共预算基本支出情况说明</w:t>
      </w:r>
      <w:r>
        <w:rPr>
          <w:rFonts w:ascii="黑体" w:eastAsia="黑体"/>
          <w:sz w:val="32"/>
          <w:szCs w:val="32"/>
        </w:rPr>
        <w:br w:type="textWrapping"/>
      </w:r>
      <w:r>
        <w:rPr>
          <w:rFonts w:hint="eastAsia" w:ascii="黑体" w:eastAsia="黑体"/>
          <w:sz w:val="32"/>
          <w:szCs w:val="32"/>
        </w:rPr>
        <w:t>七、“三公”经费财政拨款预算安排情况说明</w:t>
      </w:r>
      <w:r>
        <w:rPr>
          <w:rFonts w:ascii="黑体" w:eastAsia="黑体"/>
          <w:sz w:val="32"/>
          <w:szCs w:val="32"/>
        </w:rPr>
        <w:br w:type="textWrapping"/>
      </w:r>
      <w:r>
        <w:rPr>
          <w:rFonts w:hint="eastAsia" w:ascii="黑体" w:eastAsia="黑体"/>
          <w:sz w:val="32"/>
          <w:szCs w:val="32"/>
        </w:rPr>
        <w:t>八、政府性基金预算支出情况说明</w:t>
      </w:r>
      <w:r>
        <w:rPr>
          <w:rFonts w:ascii="黑体" w:eastAsia="黑体"/>
          <w:sz w:val="32"/>
          <w:szCs w:val="32"/>
        </w:rPr>
        <w:br w:type="textWrapping"/>
      </w:r>
      <w:r>
        <w:rPr>
          <w:rFonts w:hint="eastAsia" w:ascii="黑体" w:eastAsia="黑体"/>
          <w:sz w:val="32"/>
          <w:szCs w:val="32"/>
        </w:rPr>
        <w:t>九、其他重要事项的情况说明</w:t>
      </w:r>
      <w:r>
        <w:rPr>
          <w:rFonts w:ascii="黑体" w:eastAsia="黑体"/>
          <w:sz w:val="32"/>
          <w:szCs w:val="32"/>
        </w:rPr>
        <w:br w:type="textWrapping"/>
      </w:r>
      <w:r>
        <w:rPr>
          <w:rFonts w:hint="eastAsia" w:ascii="黑体" w:eastAsia="黑体"/>
          <w:sz w:val="32"/>
          <w:szCs w:val="32"/>
        </w:rPr>
        <w:t>十、名称解释</w:t>
      </w:r>
    </w:p>
    <w:p>
      <w:pPr>
        <w:keepNext w:val="0"/>
        <w:keepLines w:val="0"/>
        <w:pageBreakBefore w:val="0"/>
        <w:kinsoku/>
        <w:wordWrap/>
        <w:autoSpaceDE/>
        <w:autoSpaceDN/>
        <w:bidi w:val="0"/>
        <w:adjustRightInd/>
        <w:snapToGrid/>
        <w:spacing w:line="560" w:lineRule="exact"/>
        <w:textAlignment w:val="auto"/>
        <w:rPr>
          <w:rFonts w:ascii="黑体" w:eastAsia="黑体"/>
          <w:sz w:val="32"/>
          <w:szCs w:val="32"/>
        </w:rPr>
      </w:pPr>
    </w:p>
    <w:p>
      <w:pPr>
        <w:keepNext w:val="0"/>
        <w:keepLines w:val="0"/>
        <w:pageBreakBefore w:val="0"/>
        <w:widowControl/>
        <w:shd w:val="clear" w:color="auto" w:fill="FFFFFF"/>
        <w:kinsoku/>
        <w:wordWrap/>
        <w:autoSpaceDE/>
        <w:autoSpaceDN/>
        <w:bidi w:val="0"/>
        <w:adjustRightInd/>
        <w:snapToGrid/>
        <w:spacing w:before="100" w:beforeAutospacing="1" w:after="100" w:afterAutospacing="1" w:line="560" w:lineRule="exact"/>
        <w:ind w:right="300"/>
        <w:jc w:val="left"/>
        <w:textAlignment w:val="auto"/>
        <w:rPr>
          <w:rFonts w:ascii="??" w:hAnsi="??" w:cs="宋体"/>
          <w:kern w:val="0"/>
          <w:sz w:val="12"/>
          <w:szCs w:val="12"/>
        </w:rPr>
      </w:pPr>
    </w:p>
    <w:p>
      <w:pPr>
        <w:pStyle w:val="9"/>
        <w:keepNext w:val="0"/>
        <w:keepLines w:val="0"/>
        <w:pageBreakBefore w:val="0"/>
        <w:kinsoku/>
        <w:wordWrap/>
        <w:autoSpaceDE/>
        <w:autoSpaceDN/>
        <w:bidi w:val="0"/>
        <w:adjustRightInd/>
        <w:snapToGrid/>
        <w:spacing w:line="560" w:lineRule="exact"/>
        <w:textAlignment w:val="auto"/>
        <w:rPr>
          <w:rFonts w:ascii="黑体" w:eastAsia="黑体"/>
          <w:sz w:val="32"/>
          <w:szCs w:val="32"/>
        </w:rPr>
      </w:pPr>
      <w:r>
        <w:rPr>
          <w:rFonts w:hint="eastAsia" w:ascii="黑体" w:eastAsia="黑体"/>
          <w:sz w:val="32"/>
          <w:szCs w:val="32"/>
        </w:rPr>
        <w:t>一、基本职能及主要工作</w:t>
      </w:r>
    </w:p>
    <w:p>
      <w:pPr>
        <w:keepNext w:val="0"/>
        <w:keepLines w:val="0"/>
        <w:pageBreakBefore w:val="0"/>
        <w:kinsoku/>
        <w:wordWrap/>
        <w:autoSpaceDE/>
        <w:autoSpaceDN/>
        <w:bidi w:val="0"/>
        <w:adjustRightInd/>
        <w:snapToGrid/>
        <w:spacing w:line="560" w:lineRule="exact"/>
        <w:ind w:firstLine="640" w:firstLineChars="200"/>
        <w:textAlignment w:val="auto"/>
        <w:rPr>
          <w:rFonts w:ascii="楷体" w:eastAsia="楷体"/>
          <w:sz w:val="32"/>
          <w:szCs w:val="32"/>
        </w:rPr>
      </w:pPr>
      <w:r>
        <w:rPr>
          <w:rFonts w:hint="eastAsia" w:ascii="楷体" w:eastAsia="楷体"/>
          <w:sz w:val="32"/>
          <w:szCs w:val="32"/>
        </w:rPr>
        <w:t>（一）部门职能简介</w:t>
      </w:r>
    </w:p>
    <w:p>
      <w:pPr>
        <w:keepNext w:val="0"/>
        <w:keepLines w:val="0"/>
        <w:pageBreakBefore w:val="0"/>
        <w:kinsoku/>
        <w:wordWrap/>
        <w:overflowPunct w:val="0"/>
        <w:topLinePunct/>
        <w:autoSpaceDE/>
        <w:autoSpaceDN/>
        <w:bidi w:val="0"/>
        <w:adjustRightInd/>
        <w:snapToGrid/>
        <w:spacing w:line="560" w:lineRule="exact"/>
        <w:ind w:firstLine="640" w:firstLineChars="200"/>
        <w:textAlignment w:val="auto"/>
        <w:rPr>
          <w:rFonts w:hint="eastAsia" w:ascii="楷体" w:eastAsia="楷体"/>
          <w:sz w:val="32"/>
          <w:szCs w:val="32"/>
        </w:rPr>
      </w:pPr>
      <w:r>
        <w:rPr>
          <w:rFonts w:hint="eastAsia" w:eastAsia="仿宋_GB2312"/>
          <w:sz w:val="32"/>
          <w:szCs w:val="32"/>
        </w:rPr>
        <w:t>州委巡察工作领导小组办公室（以下简称州委巡察办）工作职责：向省委巡视工作领导小组办公室报送巡察工作规划、年度计划、年度巡察工作总结、</w:t>
      </w:r>
      <w:r>
        <w:rPr>
          <w:rFonts w:hint="eastAsia" w:eastAsia="仿宋_GB2312"/>
          <w:spacing w:val="-20"/>
          <w:sz w:val="32"/>
          <w:szCs w:val="32"/>
        </w:rPr>
        <w:t>重要情况和信息；</w:t>
      </w:r>
      <w:r>
        <w:rPr>
          <w:rFonts w:hint="eastAsia" w:eastAsia="仿宋_GB2312"/>
          <w:sz w:val="32"/>
          <w:szCs w:val="32"/>
        </w:rPr>
        <w:t>向州委巡察工作领导小组报告工作情况，传达贯彻州委巡察工作领导小组的决策和部署；统筹、协调、指导巡察组开展工作；承担政策研究、制度建设等工作；对州委和州委巡察工作领导小组决定的事项进行督办；配合州纪委、州委组织部等部门对巡察工作人员进行培训、考核、监督和管理；健全与纪检、政法、组织、审计、信访等机关和部门的联系机制，负责与其进行沟通衔接；办理州委巡察工作领导小组和上级巡视工作领导小组办公室交办的其他事项。</w:t>
      </w:r>
    </w:p>
    <w:p>
      <w:pPr>
        <w:keepNext w:val="0"/>
        <w:keepLines w:val="0"/>
        <w:pageBreakBefore w:val="0"/>
        <w:kinsoku/>
        <w:wordWrap/>
        <w:autoSpaceDE/>
        <w:autoSpaceDN/>
        <w:bidi w:val="0"/>
        <w:adjustRightInd/>
        <w:snapToGrid/>
        <w:spacing w:line="560" w:lineRule="exact"/>
        <w:ind w:firstLine="640" w:firstLineChars="200"/>
        <w:textAlignment w:val="auto"/>
        <w:rPr>
          <w:rFonts w:ascii="楷体" w:eastAsia="楷体"/>
          <w:sz w:val="32"/>
          <w:szCs w:val="32"/>
        </w:rPr>
      </w:pPr>
      <w:r>
        <w:rPr>
          <w:rFonts w:hint="eastAsia" w:ascii="楷体" w:eastAsia="楷体"/>
          <w:sz w:val="32"/>
          <w:szCs w:val="32"/>
        </w:rPr>
        <w:t>（二）</w:t>
      </w:r>
      <w:r>
        <w:rPr>
          <w:rFonts w:ascii="楷体" w:eastAsia="楷体"/>
          <w:sz w:val="32"/>
          <w:szCs w:val="32"/>
        </w:rPr>
        <w:t>20</w:t>
      </w:r>
      <w:r>
        <w:rPr>
          <w:rFonts w:hint="eastAsia" w:ascii="楷体" w:eastAsia="楷体"/>
          <w:sz w:val="32"/>
          <w:szCs w:val="32"/>
        </w:rPr>
        <w:t>2</w:t>
      </w:r>
      <w:r>
        <w:rPr>
          <w:rFonts w:hint="eastAsia" w:ascii="楷体" w:eastAsia="楷体"/>
          <w:sz w:val="32"/>
          <w:szCs w:val="32"/>
          <w:lang w:val="en-US" w:eastAsia="zh-CN"/>
        </w:rPr>
        <w:t>5</w:t>
      </w:r>
      <w:r>
        <w:rPr>
          <w:rFonts w:hint="eastAsia" w:ascii="楷体" w:eastAsia="楷体"/>
          <w:sz w:val="32"/>
          <w:szCs w:val="32"/>
        </w:rPr>
        <w:t>年重点工作</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仿宋_GB2312" w:eastAsia="仿宋_GB2312"/>
          <w:sz w:val="32"/>
          <w:szCs w:val="32"/>
          <w:lang w:val="en-US" w:eastAsia="zh-CN"/>
        </w:rPr>
      </w:pPr>
      <w:r>
        <w:rPr>
          <w:rFonts w:hint="eastAsia" w:ascii="仿宋_GB2312" w:eastAsia="仿宋_GB2312"/>
          <w:b/>
          <w:bCs/>
          <w:sz w:val="32"/>
          <w:szCs w:val="32"/>
          <w:lang w:val="en-US" w:eastAsia="zh-CN"/>
        </w:rPr>
        <w:t>一是</w:t>
      </w:r>
      <w:r>
        <w:rPr>
          <w:rFonts w:hint="eastAsia" w:ascii="仿宋_GB2312" w:eastAsia="仿宋_GB2312"/>
          <w:sz w:val="32"/>
          <w:szCs w:val="32"/>
          <w:lang w:val="en-US" w:eastAsia="zh-CN"/>
        </w:rPr>
        <w:t>2025年计划</w:t>
      </w:r>
      <w:r>
        <w:rPr>
          <w:rFonts w:hint="eastAsia" w:ascii="仿宋_GB2312" w:eastAsia="仿宋_GB2312"/>
          <w:sz w:val="32"/>
          <w:szCs w:val="32"/>
          <w:lang w:eastAsia="zh-CN"/>
        </w:rPr>
        <w:t>安排两轮常规监察</w:t>
      </w:r>
      <w:r>
        <w:rPr>
          <w:rFonts w:hint="eastAsia" w:eastAsia="仿宋_GB2312"/>
          <w:sz w:val="32"/>
          <w:szCs w:val="32"/>
        </w:rPr>
        <w:t>。</w:t>
      </w:r>
      <w:r>
        <w:rPr>
          <w:rFonts w:hint="eastAsia" w:ascii="仿宋_GB2312" w:eastAsia="仿宋_GB2312"/>
          <w:sz w:val="32"/>
          <w:szCs w:val="32"/>
          <w:lang w:val="en-US" w:eastAsia="zh-CN"/>
        </w:rPr>
        <w:t>高质量推进巡察全覆盖任务,力争州本级达到85%,</w:t>
      </w:r>
      <w:r>
        <w:rPr>
          <w:rFonts w:ascii="Times New Roman" w:hAnsi="Times New Roman" w:eastAsia="仿宋_GB2312"/>
          <w:color w:val="000000"/>
          <w:sz w:val="32"/>
          <w:szCs w:val="32"/>
        </w:rPr>
        <w:t>县（市</w:t>
      </w:r>
      <w:r>
        <w:rPr>
          <w:rFonts w:hint="eastAsia" w:ascii="Times New Roman" w:hAnsi="Times New Roman" w:eastAsia="仿宋_GB2312"/>
          <w:color w:val="000000"/>
          <w:sz w:val="32"/>
          <w:szCs w:val="32"/>
          <w:lang w:val="en-US" w:eastAsia="zh-CN"/>
        </w:rPr>
        <w:t>)</w:t>
      </w:r>
      <w:bookmarkStart w:id="0" w:name="_GoBack"/>
      <w:bookmarkEnd w:id="0"/>
      <w:r>
        <w:rPr>
          <w:rFonts w:hint="eastAsia" w:ascii="仿宋_GB2312" w:eastAsia="仿宋_GB2312"/>
          <w:sz w:val="32"/>
          <w:szCs w:val="32"/>
          <w:lang w:val="en-US" w:eastAsia="zh-CN"/>
        </w:rPr>
        <w:t>达到90%</w:t>
      </w:r>
      <w:r>
        <w:rPr>
          <w:rFonts w:hint="eastAsia" w:eastAsia="仿宋_GB2312"/>
          <w:sz w:val="32"/>
          <w:szCs w:val="32"/>
        </w:rPr>
        <w:t>。</w:t>
      </w:r>
      <w:r>
        <w:rPr>
          <w:rFonts w:hint="eastAsia" w:ascii="Times New Roman" w:hAnsi="Times New Roman" w:eastAsia="仿宋_GB2312"/>
          <w:b/>
          <w:color w:val="000000"/>
          <w:sz w:val="32"/>
          <w:szCs w:val="32"/>
          <w:lang w:eastAsia="zh-CN"/>
        </w:rPr>
        <w:t>二</w:t>
      </w:r>
      <w:r>
        <w:rPr>
          <w:rFonts w:hint="eastAsia" w:ascii="Times New Roman" w:hAnsi="Times New Roman" w:eastAsia="仿宋_GB2312"/>
          <w:b/>
          <w:color w:val="000000"/>
          <w:sz w:val="32"/>
          <w:szCs w:val="32"/>
        </w:rPr>
        <w:t>是</w:t>
      </w:r>
      <w:r>
        <w:rPr>
          <w:rFonts w:ascii="Times New Roman" w:hAnsi="Times New Roman" w:eastAsia="仿宋_GB2312"/>
          <w:color w:val="000000"/>
          <w:sz w:val="32"/>
          <w:szCs w:val="32"/>
        </w:rPr>
        <w:t>认真学习《中央巡视工作条例》《四川省市（州）、县（市、区）党委巡察工作办法》等法规和政策理论，提升巡察人员综合素质。从严要求、从严管理，不断加强队伍建设，积极适应巡察工作发展的新形势。</w:t>
      </w:r>
      <w:r>
        <w:rPr>
          <w:rFonts w:hint="eastAsia" w:ascii="Times New Roman" w:hAnsi="Times New Roman" w:eastAsia="仿宋_GB2312"/>
          <w:color w:val="000000"/>
          <w:sz w:val="32"/>
          <w:szCs w:val="32"/>
          <w:lang w:eastAsia="zh-CN"/>
        </w:rPr>
        <w:t>三</w:t>
      </w:r>
      <w:r>
        <w:rPr>
          <w:rFonts w:hint="eastAsia" w:ascii="Times New Roman" w:hAnsi="Times New Roman" w:eastAsia="仿宋_GB2312"/>
          <w:b/>
          <w:color w:val="000000"/>
          <w:sz w:val="32"/>
          <w:szCs w:val="32"/>
        </w:rPr>
        <w:t>是</w:t>
      </w:r>
      <w:r>
        <w:rPr>
          <w:rFonts w:ascii="Times New Roman" w:hAnsi="Times New Roman" w:eastAsia="仿宋_GB2312"/>
          <w:color w:val="000000"/>
          <w:sz w:val="32"/>
          <w:szCs w:val="32"/>
        </w:rPr>
        <w:t>坚持问题导向，始终把“严”和“实”的要求贯穿于巡察监督的全过程，抓住“关键少数”，紧盯党组织“一把手”和班子成员，全面推进巡前、巡中和巡后监督工作，充分发挥巡察利剑震慑作用。</w:t>
      </w:r>
    </w:p>
    <w:p>
      <w:pPr>
        <w:pStyle w:val="9"/>
        <w:keepNext w:val="0"/>
        <w:keepLines w:val="0"/>
        <w:pageBreakBefore w:val="0"/>
        <w:numPr>
          <w:ilvl w:val="0"/>
          <w:numId w:val="1"/>
        </w:numPr>
        <w:kinsoku/>
        <w:wordWrap/>
        <w:autoSpaceDE/>
        <w:autoSpaceDN/>
        <w:bidi w:val="0"/>
        <w:adjustRightInd/>
        <w:snapToGrid/>
        <w:spacing w:line="560" w:lineRule="exact"/>
        <w:ind w:firstLineChars="0"/>
        <w:textAlignment w:val="auto"/>
        <w:rPr>
          <w:rFonts w:hint="eastAsia" w:ascii="黑体" w:eastAsia="黑体"/>
          <w:sz w:val="32"/>
          <w:szCs w:val="32"/>
        </w:rPr>
      </w:pPr>
      <w:r>
        <w:rPr>
          <w:rFonts w:hint="eastAsia" w:ascii="黑体" w:eastAsia="黑体"/>
          <w:sz w:val="32"/>
          <w:szCs w:val="32"/>
        </w:rPr>
        <w:t>部门预算单位构成</w:t>
      </w:r>
    </w:p>
    <w:p>
      <w:pPr>
        <w:keepNext w:val="0"/>
        <w:keepLines w:val="0"/>
        <w:pageBreakBefore w:val="0"/>
        <w:widowControl w:val="0"/>
        <w:kinsoku/>
        <w:wordWrap/>
        <w:overflowPunct/>
        <w:topLinePunct w:val="0"/>
        <w:autoSpaceDE/>
        <w:autoSpaceDN/>
        <w:bidi w:val="0"/>
        <w:adjustRightInd/>
        <w:snapToGrid/>
        <w:spacing w:line="560" w:lineRule="exact"/>
        <w:ind w:left="420" w:leftChars="200" w:firstLine="640" w:firstLineChars="200"/>
        <w:textAlignment w:val="auto"/>
        <w:rPr>
          <w:rFonts w:hint="eastAsia" w:ascii="黑体" w:eastAsia="黑体"/>
          <w:sz w:val="32"/>
          <w:szCs w:val="32"/>
        </w:rPr>
      </w:pPr>
      <w:r>
        <w:rPr>
          <w:rFonts w:hint="eastAsia" w:ascii="仿宋_GB2312" w:eastAsia="仿宋_GB2312" w:cs="仿宋_GB2312"/>
          <w:sz w:val="32"/>
          <w:szCs w:val="32"/>
          <w:lang w:val="en-US" w:eastAsia="zh-CN"/>
        </w:rPr>
        <w:t>州委巡察办属一级预算单位，无下属二级预算单位，其中：行政单位1个，无参照公务员法管理的事业单位，无其他事业单位。</w:t>
      </w:r>
    </w:p>
    <w:p>
      <w:pPr>
        <w:pStyle w:val="9"/>
        <w:keepNext w:val="0"/>
        <w:keepLines w:val="0"/>
        <w:pageBreakBefore w:val="0"/>
        <w:kinsoku/>
        <w:wordWrap/>
        <w:autoSpaceDE/>
        <w:autoSpaceDN/>
        <w:bidi w:val="0"/>
        <w:adjustRightInd/>
        <w:snapToGrid/>
        <w:spacing w:line="560" w:lineRule="exact"/>
        <w:ind w:left="720" w:firstLine="0" w:firstLineChars="0"/>
        <w:textAlignment w:val="auto"/>
        <w:rPr>
          <w:rFonts w:ascii="黑体" w:eastAsia="黑体"/>
          <w:sz w:val="32"/>
          <w:szCs w:val="32"/>
        </w:rPr>
      </w:pPr>
      <w:r>
        <w:rPr>
          <w:rFonts w:hint="eastAsia" w:ascii="黑体" w:eastAsia="黑体"/>
          <w:sz w:val="32"/>
          <w:szCs w:val="32"/>
        </w:rPr>
        <w:t>三、收支预算情况说明</w:t>
      </w:r>
    </w:p>
    <w:p>
      <w:pPr>
        <w:pStyle w:val="10"/>
        <w:keepNext w:val="0"/>
        <w:keepLines w:val="0"/>
        <w:pageBreakBefore w:val="0"/>
        <w:kinsoku/>
        <w:wordWrap/>
        <w:autoSpaceDE/>
        <w:autoSpaceDN/>
        <w:bidi w:val="0"/>
        <w:adjustRightInd/>
        <w:snapToGrid/>
        <w:spacing w:before="0" w:line="560" w:lineRule="exact"/>
        <w:ind w:firstLine="495"/>
        <w:textAlignment w:val="auto"/>
        <w:rPr>
          <w:rFonts w:hint="eastAsia" w:ascii="楷体" w:eastAsia="楷体"/>
          <w:sz w:val="32"/>
          <w:szCs w:val="32"/>
        </w:rPr>
      </w:pPr>
      <w:r>
        <w:rPr>
          <w:rFonts w:hint="eastAsia" w:hAnsi="Calibri"/>
          <w:kern w:val="2"/>
          <w:sz w:val="32"/>
          <w:szCs w:val="32"/>
        </w:rPr>
        <w:t>按照综合预算的原则，本单位所有收入和支出均纳入部门预算管理。收入包括：一般公共预算拨款收入</w:t>
      </w:r>
      <w:r>
        <w:rPr>
          <w:rFonts w:hint="eastAsia" w:hAnsi="Calibri"/>
          <w:kern w:val="2"/>
          <w:sz w:val="32"/>
          <w:szCs w:val="32"/>
          <w:lang w:val="en-US" w:eastAsia="zh-CN"/>
        </w:rPr>
        <w:t>623.09</w:t>
      </w:r>
      <w:r>
        <w:rPr>
          <w:rFonts w:hint="eastAsia" w:hAnsi="Calibri"/>
          <w:kern w:val="2"/>
          <w:sz w:val="32"/>
          <w:szCs w:val="32"/>
        </w:rPr>
        <w:t>万元，无事业收入、其他收入。支出包括：一般公共服务支出</w:t>
      </w:r>
      <w:r>
        <w:rPr>
          <w:rFonts w:hint="eastAsia" w:hAnsi="Calibri"/>
          <w:kern w:val="2"/>
          <w:sz w:val="32"/>
          <w:szCs w:val="32"/>
          <w:lang w:val="en-US" w:eastAsia="zh-CN"/>
        </w:rPr>
        <w:t>514.71</w:t>
      </w:r>
      <w:r>
        <w:rPr>
          <w:rFonts w:hint="eastAsia" w:hAnsi="Calibri"/>
          <w:kern w:val="2"/>
          <w:sz w:val="32"/>
          <w:szCs w:val="32"/>
        </w:rPr>
        <w:t>万元，社会保障和就业支出</w:t>
      </w:r>
      <w:r>
        <w:rPr>
          <w:rFonts w:hint="eastAsia" w:hAnsi="Calibri"/>
          <w:kern w:val="2"/>
          <w:sz w:val="32"/>
          <w:szCs w:val="32"/>
          <w:lang w:val="en-US" w:eastAsia="zh-CN"/>
        </w:rPr>
        <w:t>59.26</w:t>
      </w:r>
      <w:r>
        <w:rPr>
          <w:rFonts w:hint="eastAsia" w:hAnsi="Calibri"/>
          <w:kern w:val="2"/>
          <w:sz w:val="32"/>
          <w:szCs w:val="32"/>
        </w:rPr>
        <w:t>万元，卫生健康支出</w:t>
      </w:r>
      <w:r>
        <w:rPr>
          <w:rFonts w:hint="eastAsia" w:hAnsi="Calibri"/>
          <w:kern w:val="2"/>
          <w:sz w:val="32"/>
          <w:szCs w:val="32"/>
          <w:lang w:val="en-US" w:eastAsia="zh-CN"/>
        </w:rPr>
        <w:t>20.31</w:t>
      </w:r>
      <w:r>
        <w:rPr>
          <w:rFonts w:hint="eastAsia" w:hAnsi="Calibri"/>
          <w:kern w:val="2"/>
          <w:sz w:val="32"/>
          <w:szCs w:val="32"/>
        </w:rPr>
        <w:t>万元，住房保障支出</w:t>
      </w:r>
      <w:r>
        <w:rPr>
          <w:rFonts w:hint="eastAsia" w:hAnsi="Calibri"/>
          <w:kern w:val="2"/>
          <w:sz w:val="32"/>
          <w:szCs w:val="32"/>
          <w:lang w:val="en-US" w:eastAsia="zh-CN"/>
        </w:rPr>
        <w:t>28.8</w:t>
      </w:r>
      <w:r>
        <w:rPr>
          <w:rFonts w:hint="eastAsia" w:hAnsi="Calibri"/>
          <w:kern w:val="2"/>
          <w:sz w:val="32"/>
          <w:szCs w:val="32"/>
        </w:rPr>
        <w:t>万元，无教育支出、文化体育与传媒支出。单位</w:t>
      </w:r>
      <w:r>
        <w:rPr>
          <w:rFonts w:hint="eastAsia"/>
          <w:kern w:val="2"/>
          <w:sz w:val="32"/>
          <w:szCs w:val="32"/>
          <w:lang w:val="en-US" w:eastAsia="zh-CN"/>
        </w:rPr>
        <w:t>2025</w:t>
      </w:r>
      <w:r>
        <w:rPr>
          <w:rFonts w:hint="eastAsia" w:hAnsi="Calibri"/>
          <w:kern w:val="2"/>
          <w:sz w:val="32"/>
          <w:szCs w:val="32"/>
        </w:rPr>
        <w:t>年收支总预算</w:t>
      </w:r>
      <w:r>
        <w:rPr>
          <w:rFonts w:hint="eastAsia"/>
          <w:kern w:val="2"/>
          <w:sz w:val="32"/>
          <w:szCs w:val="32"/>
          <w:lang w:val="en-US" w:eastAsia="zh-CN"/>
        </w:rPr>
        <w:t>623.09万元，比2024年收支预算数增加10.79万元，其原因主要</w:t>
      </w:r>
      <w:r>
        <w:rPr>
          <w:rFonts w:hint="eastAsia" w:hAnsi="Calibri"/>
          <w:kern w:val="2"/>
          <w:sz w:val="32"/>
          <w:szCs w:val="32"/>
        </w:rPr>
        <w:t>是</w:t>
      </w:r>
      <w:r>
        <w:rPr>
          <w:rFonts w:hint="eastAsia"/>
          <w:kern w:val="2"/>
          <w:sz w:val="32"/>
          <w:szCs w:val="32"/>
          <w:lang w:val="en-US" w:eastAsia="zh-CN"/>
        </w:rPr>
        <w:t>2024</w:t>
      </w:r>
      <w:r>
        <w:rPr>
          <w:rFonts w:hint="eastAsia" w:hAnsi="Calibri"/>
          <w:kern w:val="2"/>
          <w:sz w:val="32"/>
          <w:szCs w:val="32"/>
        </w:rPr>
        <w:t>年</w:t>
      </w:r>
      <w:r>
        <w:rPr>
          <w:rFonts w:hint="eastAsia" w:hAnsi="Calibri"/>
          <w:kern w:val="2"/>
          <w:sz w:val="32"/>
          <w:szCs w:val="32"/>
          <w:lang w:eastAsia="zh-CN"/>
        </w:rPr>
        <w:t>巡视巡察工经费在年底有所追加</w:t>
      </w:r>
      <w:r>
        <w:rPr>
          <w:rFonts w:hint="eastAsia" w:hAnsi="Calibri"/>
          <w:kern w:val="2"/>
          <w:sz w:val="32"/>
          <w:szCs w:val="32"/>
        </w:rPr>
        <w:t>，故</w:t>
      </w:r>
      <w:r>
        <w:rPr>
          <w:rFonts w:hint="eastAsia"/>
          <w:kern w:val="2"/>
          <w:sz w:val="32"/>
          <w:szCs w:val="32"/>
          <w:lang w:val="en-US" w:eastAsia="zh-CN"/>
        </w:rPr>
        <w:t>2025</w:t>
      </w:r>
      <w:r>
        <w:rPr>
          <w:rFonts w:hint="eastAsia" w:hAnsi="Calibri"/>
          <w:kern w:val="2"/>
          <w:sz w:val="32"/>
          <w:szCs w:val="32"/>
        </w:rPr>
        <w:t>年</w:t>
      </w:r>
      <w:r>
        <w:rPr>
          <w:rFonts w:hint="eastAsia" w:hAnsi="Calibri"/>
          <w:kern w:val="2"/>
          <w:sz w:val="32"/>
          <w:szCs w:val="32"/>
          <w:lang w:eastAsia="zh-CN"/>
        </w:rPr>
        <w:t>巡视巡察工作经费</w:t>
      </w:r>
      <w:r>
        <w:rPr>
          <w:rFonts w:hint="eastAsia" w:hAnsi="Calibri"/>
          <w:kern w:val="2"/>
          <w:sz w:val="32"/>
          <w:szCs w:val="32"/>
        </w:rPr>
        <w:t>预算增加较大。</w:t>
      </w:r>
    </w:p>
    <w:p>
      <w:pPr>
        <w:keepNext w:val="0"/>
        <w:keepLines w:val="0"/>
        <w:pageBreakBefore w:val="0"/>
        <w:kinsoku/>
        <w:wordWrap/>
        <w:autoSpaceDE/>
        <w:autoSpaceDN/>
        <w:bidi w:val="0"/>
        <w:adjustRightInd/>
        <w:snapToGrid/>
        <w:spacing w:line="560" w:lineRule="exact"/>
        <w:ind w:firstLine="640" w:firstLineChars="200"/>
        <w:textAlignment w:val="auto"/>
        <w:rPr>
          <w:rFonts w:ascii="楷体" w:eastAsia="楷体"/>
          <w:sz w:val="32"/>
          <w:szCs w:val="32"/>
        </w:rPr>
      </w:pPr>
      <w:r>
        <w:rPr>
          <w:rFonts w:hint="eastAsia" w:ascii="楷体" w:eastAsia="楷体"/>
          <w:sz w:val="32"/>
          <w:szCs w:val="32"/>
        </w:rPr>
        <w:t>（一）收入预算情况</w:t>
      </w:r>
    </w:p>
    <w:p>
      <w:pPr>
        <w:pStyle w:val="10"/>
        <w:keepNext w:val="0"/>
        <w:keepLines w:val="0"/>
        <w:pageBreakBefore w:val="0"/>
        <w:kinsoku/>
        <w:wordWrap/>
        <w:autoSpaceDE/>
        <w:autoSpaceDN/>
        <w:bidi w:val="0"/>
        <w:adjustRightInd/>
        <w:snapToGrid/>
        <w:spacing w:before="0" w:line="560" w:lineRule="exact"/>
        <w:ind w:firstLine="640" w:firstLineChars="200"/>
        <w:textAlignment w:val="auto"/>
        <w:rPr>
          <w:rFonts w:hint="eastAsia" w:ascii="楷体" w:eastAsia="楷体" w:cs="仿宋_GB2312"/>
          <w:sz w:val="32"/>
          <w:szCs w:val="32"/>
        </w:rPr>
      </w:pPr>
      <w:r>
        <w:rPr>
          <w:rFonts w:hint="eastAsia" w:hAnsi="Calibri"/>
          <w:kern w:val="2"/>
          <w:sz w:val="32"/>
          <w:szCs w:val="32"/>
        </w:rPr>
        <w:t>我单位</w:t>
      </w:r>
      <w:r>
        <w:rPr>
          <w:rFonts w:hint="eastAsia"/>
          <w:kern w:val="2"/>
          <w:sz w:val="32"/>
          <w:szCs w:val="32"/>
          <w:lang w:val="en-US" w:eastAsia="zh-CN"/>
        </w:rPr>
        <w:t>2025</w:t>
      </w:r>
      <w:r>
        <w:rPr>
          <w:rFonts w:hint="eastAsia" w:hAnsi="Calibri"/>
          <w:kern w:val="2"/>
          <w:sz w:val="32"/>
          <w:szCs w:val="32"/>
        </w:rPr>
        <w:t>年收入预算</w:t>
      </w:r>
      <w:r>
        <w:rPr>
          <w:rFonts w:hint="eastAsia"/>
          <w:kern w:val="2"/>
          <w:sz w:val="32"/>
          <w:szCs w:val="32"/>
          <w:lang w:val="en-US" w:eastAsia="zh-CN"/>
        </w:rPr>
        <w:t>623.09</w:t>
      </w:r>
      <w:r>
        <w:rPr>
          <w:rFonts w:hint="eastAsia" w:hAnsi="Calibri"/>
          <w:kern w:val="2"/>
          <w:sz w:val="32"/>
          <w:szCs w:val="32"/>
        </w:rPr>
        <w:t>万元，其中：一般公共预算拨款收入</w:t>
      </w:r>
      <w:r>
        <w:rPr>
          <w:rFonts w:hint="eastAsia"/>
          <w:kern w:val="2"/>
          <w:sz w:val="32"/>
          <w:szCs w:val="32"/>
          <w:lang w:val="en-US" w:eastAsia="zh-CN"/>
        </w:rPr>
        <w:t>623.09</w:t>
      </w:r>
      <w:r>
        <w:rPr>
          <w:rFonts w:hint="eastAsia" w:hAnsi="Calibri"/>
          <w:kern w:val="2"/>
          <w:sz w:val="32"/>
          <w:szCs w:val="32"/>
        </w:rPr>
        <w:t>万元，占</w:t>
      </w:r>
      <w:r>
        <w:rPr>
          <w:rFonts w:hAnsi="Calibri"/>
          <w:kern w:val="2"/>
          <w:sz w:val="32"/>
          <w:szCs w:val="32"/>
        </w:rPr>
        <w:t>100%</w:t>
      </w:r>
      <w:r>
        <w:rPr>
          <w:rFonts w:hint="eastAsia" w:hAnsi="Calibri"/>
          <w:kern w:val="2"/>
          <w:sz w:val="32"/>
          <w:szCs w:val="32"/>
        </w:rPr>
        <w:t>；无事业收入、其他收入。</w:t>
      </w:r>
    </w:p>
    <w:p>
      <w:pPr>
        <w:keepNext w:val="0"/>
        <w:keepLines w:val="0"/>
        <w:pageBreakBefore w:val="0"/>
        <w:kinsoku/>
        <w:wordWrap/>
        <w:autoSpaceDE/>
        <w:autoSpaceDN/>
        <w:bidi w:val="0"/>
        <w:adjustRightInd/>
        <w:snapToGrid/>
        <w:spacing w:line="560" w:lineRule="exact"/>
        <w:ind w:firstLine="640" w:firstLineChars="200"/>
        <w:jc w:val="left"/>
        <w:textAlignment w:val="auto"/>
        <w:rPr>
          <w:rFonts w:ascii="楷体" w:eastAsia="楷体"/>
          <w:sz w:val="32"/>
          <w:szCs w:val="32"/>
        </w:rPr>
      </w:pPr>
      <w:r>
        <w:rPr>
          <w:rFonts w:hint="eastAsia" w:ascii="楷体" w:eastAsia="楷体" w:cs="仿宋_GB2312"/>
          <w:sz w:val="32"/>
          <w:szCs w:val="32"/>
        </w:rPr>
        <w:t>（二）支出预算情况</w:t>
      </w:r>
    </w:p>
    <w:p>
      <w:pPr>
        <w:pStyle w:val="10"/>
        <w:keepNext w:val="0"/>
        <w:keepLines w:val="0"/>
        <w:pageBreakBefore w:val="0"/>
        <w:kinsoku/>
        <w:wordWrap/>
        <w:autoSpaceDE/>
        <w:autoSpaceDN/>
        <w:bidi w:val="0"/>
        <w:adjustRightInd/>
        <w:snapToGrid/>
        <w:spacing w:before="0" w:line="560" w:lineRule="exact"/>
        <w:ind w:firstLine="640" w:firstLineChars="200"/>
        <w:textAlignment w:val="auto"/>
        <w:rPr>
          <w:rFonts w:hint="eastAsia"/>
          <w:kern w:val="2"/>
          <w:sz w:val="32"/>
          <w:szCs w:val="32"/>
          <w:lang w:val="en-US" w:eastAsia="zh-CN"/>
        </w:rPr>
      </w:pPr>
      <w:r>
        <w:rPr>
          <w:rFonts w:hint="eastAsia" w:hAnsi="Calibri"/>
          <w:kern w:val="2"/>
          <w:sz w:val="32"/>
          <w:szCs w:val="32"/>
        </w:rPr>
        <w:t>我单位</w:t>
      </w:r>
      <w:r>
        <w:rPr>
          <w:rFonts w:hint="eastAsia"/>
          <w:kern w:val="2"/>
          <w:sz w:val="32"/>
          <w:szCs w:val="32"/>
          <w:lang w:val="en-US" w:eastAsia="zh-CN"/>
        </w:rPr>
        <w:t>2025</w:t>
      </w:r>
      <w:r>
        <w:rPr>
          <w:rFonts w:hint="eastAsia" w:hAnsi="Calibri"/>
          <w:kern w:val="2"/>
          <w:sz w:val="32"/>
          <w:szCs w:val="32"/>
        </w:rPr>
        <w:t>年支出预算</w:t>
      </w:r>
      <w:r>
        <w:rPr>
          <w:rFonts w:hint="eastAsia"/>
          <w:kern w:val="2"/>
          <w:sz w:val="32"/>
          <w:szCs w:val="32"/>
          <w:lang w:val="en-US" w:eastAsia="zh-CN"/>
        </w:rPr>
        <w:t>623.09万元，其中：基本支出427.09万元，占68.54%；项目支出196万元，占31.46%。</w:t>
      </w:r>
    </w:p>
    <w:p>
      <w:pPr>
        <w:pStyle w:val="10"/>
        <w:keepNext w:val="0"/>
        <w:keepLines w:val="0"/>
        <w:pageBreakBefore w:val="0"/>
        <w:kinsoku/>
        <w:wordWrap/>
        <w:autoSpaceDE/>
        <w:autoSpaceDN/>
        <w:bidi w:val="0"/>
        <w:adjustRightInd/>
        <w:snapToGrid/>
        <w:spacing w:before="0" w:line="560" w:lineRule="exact"/>
        <w:ind w:firstLine="640" w:firstLineChars="200"/>
        <w:textAlignment w:val="auto"/>
        <w:rPr>
          <w:rFonts w:hint="eastAsia"/>
          <w:kern w:val="2"/>
          <w:sz w:val="32"/>
          <w:szCs w:val="32"/>
          <w:lang w:val="en-US" w:eastAsia="zh-CN"/>
        </w:rPr>
      </w:pPr>
      <w:r>
        <w:rPr>
          <w:rFonts w:hint="eastAsia"/>
          <w:kern w:val="2"/>
          <w:sz w:val="32"/>
          <w:szCs w:val="32"/>
          <w:lang w:val="en-US" w:eastAsia="zh-CN"/>
        </w:rPr>
        <w:t>四、财政拨款收支预算情况说明</w:t>
      </w:r>
    </w:p>
    <w:p>
      <w:pPr>
        <w:pStyle w:val="10"/>
        <w:keepNext w:val="0"/>
        <w:keepLines w:val="0"/>
        <w:pageBreakBefore w:val="0"/>
        <w:kinsoku/>
        <w:wordWrap/>
        <w:autoSpaceDE/>
        <w:autoSpaceDN/>
        <w:bidi w:val="0"/>
        <w:adjustRightInd/>
        <w:snapToGrid/>
        <w:spacing w:before="0" w:line="560" w:lineRule="exact"/>
        <w:ind w:firstLine="640" w:firstLineChars="200"/>
        <w:textAlignment w:val="auto"/>
        <w:rPr>
          <w:rFonts w:hint="eastAsia" w:hAnsi="Calibri"/>
          <w:kern w:val="2"/>
          <w:sz w:val="32"/>
          <w:szCs w:val="32"/>
        </w:rPr>
      </w:pPr>
      <w:r>
        <w:rPr>
          <w:rFonts w:hint="eastAsia"/>
          <w:kern w:val="2"/>
          <w:sz w:val="32"/>
          <w:szCs w:val="32"/>
          <w:lang w:val="en-US" w:eastAsia="zh-CN"/>
        </w:rPr>
        <w:t>州委巡察办2025年财政拨款收支预算623.09万元比2024年财政拨款收支总预算增加10.79万元</w:t>
      </w:r>
      <w:r>
        <w:rPr>
          <w:rFonts w:hint="eastAsia" w:ascii="仿宋_GB2312" w:eastAsia="仿宋_GB2312"/>
          <w:sz w:val="32"/>
          <w:szCs w:val="32"/>
        </w:rPr>
        <w:t>，主要原因:</w:t>
      </w:r>
      <w:r>
        <w:rPr>
          <w:rFonts w:hint="eastAsia" w:hAnsi="Calibri"/>
          <w:kern w:val="2"/>
          <w:sz w:val="32"/>
          <w:szCs w:val="32"/>
        </w:rPr>
        <w:t>是</w:t>
      </w:r>
      <w:r>
        <w:rPr>
          <w:rFonts w:hint="eastAsia"/>
          <w:kern w:val="2"/>
          <w:sz w:val="32"/>
          <w:szCs w:val="32"/>
          <w:lang w:val="en-US" w:eastAsia="zh-CN"/>
        </w:rPr>
        <w:t>2024</w:t>
      </w:r>
      <w:r>
        <w:rPr>
          <w:rFonts w:hint="eastAsia" w:hAnsi="Calibri"/>
          <w:kern w:val="2"/>
          <w:sz w:val="32"/>
          <w:szCs w:val="32"/>
        </w:rPr>
        <w:t>年</w:t>
      </w:r>
      <w:r>
        <w:rPr>
          <w:rFonts w:hint="eastAsia" w:hAnsi="Calibri"/>
          <w:kern w:val="2"/>
          <w:sz w:val="32"/>
          <w:szCs w:val="32"/>
          <w:lang w:eastAsia="zh-CN"/>
        </w:rPr>
        <w:t>巡视巡察工经费在年底有所追加</w:t>
      </w:r>
      <w:r>
        <w:rPr>
          <w:rFonts w:hint="eastAsia" w:hAnsi="Calibri"/>
          <w:kern w:val="2"/>
          <w:sz w:val="32"/>
          <w:szCs w:val="32"/>
        </w:rPr>
        <w:t>，故</w:t>
      </w:r>
      <w:r>
        <w:rPr>
          <w:rFonts w:hint="eastAsia"/>
          <w:kern w:val="2"/>
          <w:sz w:val="32"/>
          <w:szCs w:val="32"/>
          <w:lang w:val="en-US" w:eastAsia="zh-CN"/>
        </w:rPr>
        <w:t>2025</w:t>
      </w:r>
      <w:r>
        <w:rPr>
          <w:rFonts w:hint="eastAsia" w:hAnsi="Calibri"/>
          <w:kern w:val="2"/>
          <w:sz w:val="32"/>
          <w:szCs w:val="32"/>
        </w:rPr>
        <w:t>年</w:t>
      </w:r>
      <w:r>
        <w:rPr>
          <w:rFonts w:hint="eastAsia" w:hAnsi="Calibri"/>
          <w:kern w:val="2"/>
          <w:sz w:val="32"/>
          <w:szCs w:val="32"/>
          <w:lang w:eastAsia="zh-CN"/>
        </w:rPr>
        <w:t>巡视巡察工作经费</w:t>
      </w:r>
      <w:r>
        <w:rPr>
          <w:rFonts w:hint="eastAsia" w:hAnsi="Calibri"/>
          <w:kern w:val="2"/>
          <w:sz w:val="32"/>
          <w:szCs w:val="32"/>
        </w:rPr>
        <w:t>预算增加较大。</w:t>
      </w:r>
    </w:p>
    <w:p>
      <w:pPr>
        <w:pStyle w:val="10"/>
        <w:keepNext w:val="0"/>
        <w:keepLines w:val="0"/>
        <w:pageBreakBefore w:val="0"/>
        <w:kinsoku/>
        <w:wordWrap/>
        <w:autoSpaceDE/>
        <w:autoSpaceDN/>
        <w:bidi w:val="0"/>
        <w:adjustRightInd/>
        <w:snapToGrid/>
        <w:spacing w:before="0" w:line="560" w:lineRule="exact"/>
        <w:ind w:firstLine="960" w:firstLineChars="300"/>
        <w:textAlignment w:val="auto"/>
        <w:rPr>
          <w:rFonts w:hint="eastAsia" w:hAnsi="Calibri"/>
          <w:kern w:val="2"/>
          <w:sz w:val="32"/>
          <w:szCs w:val="32"/>
        </w:rPr>
      </w:pPr>
      <w:r>
        <w:rPr>
          <w:rFonts w:hint="eastAsia" w:hAnsi="Calibri"/>
          <w:kern w:val="2"/>
          <w:sz w:val="32"/>
          <w:szCs w:val="32"/>
        </w:rPr>
        <w:t>收入包括：收入包括：一般公共预算拨款收入</w:t>
      </w:r>
      <w:r>
        <w:rPr>
          <w:rFonts w:hint="eastAsia" w:hAnsi="Calibri"/>
          <w:kern w:val="2"/>
          <w:sz w:val="32"/>
          <w:szCs w:val="32"/>
          <w:lang w:val="en-US" w:eastAsia="zh-CN"/>
        </w:rPr>
        <w:t>623.09</w:t>
      </w:r>
      <w:r>
        <w:rPr>
          <w:rFonts w:hint="eastAsia" w:hAnsi="Calibri"/>
          <w:kern w:val="2"/>
          <w:sz w:val="32"/>
          <w:szCs w:val="32"/>
        </w:rPr>
        <w:t>万元，无事业收入、其他收入。</w:t>
      </w:r>
    </w:p>
    <w:p>
      <w:pPr>
        <w:pStyle w:val="10"/>
        <w:keepNext w:val="0"/>
        <w:keepLines w:val="0"/>
        <w:pageBreakBefore w:val="0"/>
        <w:kinsoku/>
        <w:wordWrap/>
        <w:autoSpaceDE/>
        <w:autoSpaceDN/>
        <w:bidi w:val="0"/>
        <w:adjustRightInd/>
        <w:snapToGrid/>
        <w:spacing w:before="0" w:line="560" w:lineRule="exact"/>
        <w:ind w:firstLine="960" w:firstLineChars="300"/>
        <w:textAlignment w:val="auto"/>
        <w:rPr>
          <w:rFonts w:hint="eastAsia" w:hAnsi="Calibri"/>
          <w:kern w:val="2"/>
          <w:sz w:val="32"/>
          <w:szCs w:val="32"/>
          <w:lang w:eastAsia="zh-CN"/>
        </w:rPr>
      </w:pPr>
      <w:r>
        <w:rPr>
          <w:rFonts w:hint="eastAsia" w:hAnsi="Calibri"/>
          <w:kern w:val="2"/>
          <w:sz w:val="32"/>
          <w:szCs w:val="32"/>
        </w:rPr>
        <w:t>支出包括：一般公共服务支出</w:t>
      </w:r>
      <w:r>
        <w:rPr>
          <w:rFonts w:hint="eastAsia" w:hAnsi="Calibri"/>
          <w:kern w:val="2"/>
          <w:sz w:val="32"/>
          <w:szCs w:val="32"/>
          <w:lang w:val="en-US" w:eastAsia="zh-CN"/>
        </w:rPr>
        <w:t>514.71</w:t>
      </w:r>
      <w:r>
        <w:rPr>
          <w:rFonts w:hint="eastAsia" w:hAnsi="Calibri"/>
          <w:kern w:val="2"/>
          <w:sz w:val="32"/>
          <w:szCs w:val="32"/>
        </w:rPr>
        <w:t>万元，社会保障和就业支出</w:t>
      </w:r>
      <w:r>
        <w:rPr>
          <w:rFonts w:hint="eastAsia" w:hAnsi="Calibri"/>
          <w:kern w:val="2"/>
          <w:sz w:val="32"/>
          <w:szCs w:val="32"/>
          <w:lang w:val="en-US" w:eastAsia="zh-CN"/>
        </w:rPr>
        <w:t>59.26</w:t>
      </w:r>
      <w:r>
        <w:rPr>
          <w:rFonts w:hint="eastAsia" w:hAnsi="Calibri"/>
          <w:kern w:val="2"/>
          <w:sz w:val="32"/>
          <w:szCs w:val="32"/>
        </w:rPr>
        <w:t>万元，卫生健康支出</w:t>
      </w:r>
      <w:r>
        <w:rPr>
          <w:rFonts w:hint="eastAsia" w:hAnsi="Calibri"/>
          <w:kern w:val="2"/>
          <w:sz w:val="32"/>
          <w:szCs w:val="32"/>
          <w:lang w:val="en-US" w:eastAsia="zh-CN"/>
        </w:rPr>
        <w:t>20.31</w:t>
      </w:r>
      <w:r>
        <w:rPr>
          <w:rFonts w:hint="eastAsia" w:hAnsi="Calibri"/>
          <w:kern w:val="2"/>
          <w:sz w:val="32"/>
          <w:szCs w:val="32"/>
        </w:rPr>
        <w:t>万元，住房保障支出</w:t>
      </w:r>
      <w:r>
        <w:rPr>
          <w:rFonts w:hint="eastAsia" w:hAnsi="Calibri"/>
          <w:kern w:val="2"/>
          <w:sz w:val="32"/>
          <w:szCs w:val="32"/>
          <w:lang w:val="en-US" w:eastAsia="zh-CN"/>
        </w:rPr>
        <w:t>28.8</w:t>
      </w:r>
      <w:r>
        <w:rPr>
          <w:rFonts w:hint="eastAsia" w:hAnsi="Calibri"/>
          <w:kern w:val="2"/>
          <w:sz w:val="32"/>
          <w:szCs w:val="32"/>
        </w:rPr>
        <w:t>万元，无教育支出、文化体育与传媒支出。</w:t>
      </w:r>
    </w:p>
    <w:p>
      <w:pPr>
        <w:keepNext w:val="0"/>
        <w:keepLines w:val="0"/>
        <w:pageBreakBefore w:val="0"/>
        <w:kinsoku/>
        <w:wordWrap/>
        <w:autoSpaceDE/>
        <w:autoSpaceDN/>
        <w:bidi w:val="0"/>
        <w:adjustRightInd/>
        <w:snapToGrid/>
        <w:spacing w:line="560" w:lineRule="exact"/>
        <w:ind w:firstLine="640" w:firstLineChars="200"/>
        <w:textAlignment w:val="auto"/>
        <w:rPr>
          <w:rFonts w:ascii="黑体" w:eastAsia="黑体"/>
          <w:sz w:val="32"/>
          <w:szCs w:val="32"/>
        </w:rPr>
      </w:pPr>
      <w:r>
        <w:rPr>
          <w:rFonts w:hint="eastAsia" w:ascii="黑体" w:eastAsia="黑体"/>
          <w:sz w:val="32"/>
          <w:szCs w:val="32"/>
        </w:rPr>
        <w:t>五、一般公共预算当年拨款情况说明</w:t>
      </w:r>
    </w:p>
    <w:p>
      <w:pPr>
        <w:pStyle w:val="10"/>
        <w:keepNext w:val="0"/>
        <w:keepLines w:val="0"/>
        <w:pageBreakBefore w:val="0"/>
        <w:kinsoku/>
        <w:wordWrap/>
        <w:autoSpaceDE/>
        <w:autoSpaceDN/>
        <w:bidi w:val="0"/>
        <w:adjustRightInd/>
        <w:snapToGrid/>
        <w:spacing w:before="0" w:line="560" w:lineRule="exact"/>
        <w:ind w:firstLine="960" w:firstLineChars="300"/>
        <w:textAlignment w:val="auto"/>
        <w:rPr>
          <w:rFonts w:hint="eastAsia" w:hAnsi="Calibri"/>
          <w:kern w:val="2"/>
          <w:sz w:val="32"/>
          <w:szCs w:val="32"/>
        </w:rPr>
      </w:pPr>
      <w:r>
        <w:rPr>
          <w:rFonts w:hint="eastAsia" w:ascii="楷体" w:eastAsia="楷体" w:cs="仿宋_GB2312"/>
          <w:kern w:val="2"/>
          <w:sz w:val="32"/>
          <w:szCs w:val="32"/>
        </w:rPr>
        <w:t>（一）一般公共预算当年拨款规模变化情况</w:t>
      </w:r>
    </w:p>
    <w:p>
      <w:pPr>
        <w:pStyle w:val="10"/>
        <w:keepNext w:val="0"/>
        <w:keepLines w:val="0"/>
        <w:pageBreakBefore w:val="0"/>
        <w:kinsoku/>
        <w:wordWrap/>
        <w:autoSpaceDE/>
        <w:autoSpaceDN/>
        <w:bidi w:val="0"/>
        <w:adjustRightInd/>
        <w:snapToGrid/>
        <w:spacing w:before="0" w:line="560" w:lineRule="exact"/>
        <w:ind w:firstLine="960" w:firstLineChars="300"/>
        <w:textAlignment w:val="auto"/>
        <w:rPr>
          <w:rFonts w:cs="仿宋_GB2312"/>
          <w:kern w:val="2"/>
          <w:sz w:val="32"/>
          <w:szCs w:val="32"/>
        </w:rPr>
      </w:pPr>
      <w:r>
        <w:rPr>
          <w:rFonts w:hint="eastAsia" w:hAnsi="Calibri"/>
          <w:kern w:val="2"/>
          <w:sz w:val="32"/>
          <w:szCs w:val="32"/>
          <w:lang w:eastAsia="zh-CN"/>
        </w:rPr>
        <w:t>州委巡察办</w:t>
      </w:r>
      <w:r>
        <w:rPr>
          <w:rFonts w:hint="eastAsia" w:hAnsi="Calibri"/>
          <w:kern w:val="2"/>
          <w:sz w:val="32"/>
          <w:szCs w:val="32"/>
          <w:lang w:val="en-US" w:eastAsia="zh-CN"/>
        </w:rPr>
        <w:t>2025年</w:t>
      </w:r>
      <w:r>
        <w:rPr>
          <w:rFonts w:hint="eastAsia" w:hAnsi="Calibri"/>
          <w:kern w:val="2"/>
          <w:sz w:val="32"/>
          <w:szCs w:val="32"/>
        </w:rPr>
        <w:t>一般公共预算</w:t>
      </w:r>
      <w:r>
        <w:rPr>
          <w:rFonts w:hint="eastAsia" w:hAnsi="Calibri"/>
          <w:kern w:val="2"/>
          <w:sz w:val="32"/>
          <w:szCs w:val="32"/>
          <w:lang w:eastAsia="zh-CN"/>
        </w:rPr>
        <w:t>当年</w:t>
      </w:r>
      <w:r>
        <w:rPr>
          <w:rFonts w:hint="eastAsia" w:hAnsi="Calibri"/>
          <w:kern w:val="2"/>
          <w:sz w:val="32"/>
          <w:szCs w:val="32"/>
        </w:rPr>
        <w:t>拨款收入</w:t>
      </w:r>
      <w:r>
        <w:rPr>
          <w:rFonts w:hint="eastAsia" w:hAnsi="Calibri"/>
          <w:kern w:val="2"/>
          <w:sz w:val="32"/>
          <w:szCs w:val="32"/>
          <w:lang w:val="en-US" w:eastAsia="zh-CN"/>
        </w:rPr>
        <w:t>623.09</w:t>
      </w:r>
      <w:r>
        <w:rPr>
          <w:rFonts w:hint="eastAsia" w:hAnsi="Calibri"/>
          <w:kern w:val="2"/>
          <w:sz w:val="32"/>
          <w:szCs w:val="32"/>
        </w:rPr>
        <w:t>万元，</w:t>
      </w:r>
      <w:r>
        <w:rPr>
          <w:rFonts w:hint="eastAsia" w:cs="宋体"/>
          <w:sz w:val="32"/>
          <w:szCs w:val="32"/>
        </w:rPr>
        <w:t>比202</w:t>
      </w:r>
      <w:r>
        <w:rPr>
          <w:rFonts w:hint="eastAsia" w:cs="宋体"/>
          <w:sz w:val="32"/>
          <w:szCs w:val="32"/>
          <w:lang w:val="en-US" w:eastAsia="zh-CN"/>
        </w:rPr>
        <w:t>4</w:t>
      </w:r>
      <w:r>
        <w:rPr>
          <w:rFonts w:hint="eastAsia" w:cs="宋体"/>
          <w:sz w:val="32"/>
          <w:szCs w:val="32"/>
        </w:rPr>
        <w:t>年预算数增加</w:t>
      </w:r>
      <w:r>
        <w:rPr>
          <w:rFonts w:hint="eastAsia"/>
          <w:kern w:val="2"/>
          <w:sz w:val="32"/>
          <w:szCs w:val="32"/>
          <w:lang w:val="en-US" w:eastAsia="zh-CN"/>
        </w:rPr>
        <w:t>10.79</w:t>
      </w:r>
      <w:r>
        <w:rPr>
          <w:rFonts w:hint="eastAsia" w:cs="宋体"/>
          <w:sz w:val="32"/>
          <w:szCs w:val="32"/>
        </w:rPr>
        <w:t>万元，</w:t>
      </w:r>
      <w:r>
        <w:rPr>
          <w:rFonts w:hint="eastAsia" w:ascii="仿宋_GB2312" w:eastAsia="仿宋_GB2312"/>
          <w:sz w:val="32"/>
          <w:szCs w:val="32"/>
        </w:rPr>
        <w:t>主要原因:</w:t>
      </w:r>
      <w:r>
        <w:rPr>
          <w:rFonts w:hint="eastAsia" w:hAnsi="Calibri"/>
          <w:kern w:val="2"/>
          <w:sz w:val="32"/>
          <w:szCs w:val="32"/>
        </w:rPr>
        <w:t>是</w:t>
      </w:r>
      <w:r>
        <w:rPr>
          <w:rFonts w:hint="eastAsia"/>
          <w:kern w:val="2"/>
          <w:sz w:val="32"/>
          <w:szCs w:val="32"/>
          <w:lang w:val="en-US" w:eastAsia="zh-CN"/>
        </w:rPr>
        <w:t>2024</w:t>
      </w:r>
      <w:r>
        <w:rPr>
          <w:rFonts w:hint="eastAsia" w:hAnsi="Calibri"/>
          <w:kern w:val="2"/>
          <w:sz w:val="32"/>
          <w:szCs w:val="32"/>
        </w:rPr>
        <w:t>年</w:t>
      </w:r>
      <w:r>
        <w:rPr>
          <w:rFonts w:hint="eastAsia" w:hAnsi="Calibri"/>
          <w:kern w:val="2"/>
          <w:sz w:val="32"/>
          <w:szCs w:val="32"/>
          <w:lang w:eastAsia="zh-CN"/>
        </w:rPr>
        <w:t>巡视巡察工经费在年底有所追加</w:t>
      </w:r>
      <w:r>
        <w:rPr>
          <w:rFonts w:hint="eastAsia" w:hAnsi="Calibri"/>
          <w:kern w:val="2"/>
          <w:sz w:val="32"/>
          <w:szCs w:val="32"/>
        </w:rPr>
        <w:t>，故</w:t>
      </w:r>
      <w:r>
        <w:rPr>
          <w:rFonts w:hint="eastAsia"/>
          <w:kern w:val="2"/>
          <w:sz w:val="32"/>
          <w:szCs w:val="32"/>
          <w:lang w:val="en-US" w:eastAsia="zh-CN"/>
        </w:rPr>
        <w:t>2025</w:t>
      </w:r>
      <w:r>
        <w:rPr>
          <w:rFonts w:hint="eastAsia" w:hAnsi="Calibri"/>
          <w:kern w:val="2"/>
          <w:sz w:val="32"/>
          <w:szCs w:val="32"/>
        </w:rPr>
        <w:t>年</w:t>
      </w:r>
      <w:r>
        <w:rPr>
          <w:rFonts w:hint="eastAsia" w:hAnsi="Calibri"/>
          <w:kern w:val="2"/>
          <w:sz w:val="32"/>
          <w:szCs w:val="32"/>
          <w:lang w:eastAsia="zh-CN"/>
        </w:rPr>
        <w:t>巡视巡察工作经费</w:t>
      </w:r>
      <w:r>
        <w:rPr>
          <w:rFonts w:hint="eastAsia" w:hAnsi="Calibri"/>
          <w:kern w:val="2"/>
          <w:sz w:val="32"/>
          <w:szCs w:val="32"/>
        </w:rPr>
        <w:t>预算增加较大。</w:t>
      </w:r>
    </w:p>
    <w:p>
      <w:pPr>
        <w:pStyle w:val="10"/>
        <w:keepNext w:val="0"/>
        <w:keepLines w:val="0"/>
        <w:pageBreakBefore w:val="0"/>
        <w:kinsoku/>
        <w:wordWrap/>
        <w:autoSpaceDE/>
        <w:autoSpaceDN/>
        <w:bidi w:val="0"/>
        <w:adjustRightInd/>
        <w:snapToGrid/>
        <w:spacing w:before="0" w:line="560" w:lineRule="exact"/>
        <w:jc w:val="left"/>
        <w:textAlignment w:val="auto"/>
        <w:rPr>
          <w:rFonts w:cs="仿宋_GB2312"/>
          <w:kern w:val="2"/>
          <w:sz w:val="32"/>
          <w:szCs w:val="32"/>
        </w:rPr>
      </w:pPr>
      <w:r>
        <w:rPr>
          <w:rFonts w:hint="eastAsia" w:ascii="楷体" w:eastAsia="楷体" w:cs="宋体"/>
          <w:sz w:val="32"/>
          <w:szCs w:val="32"/>
        </w:rPr>
        <w:t>（二）一般公共预算当年拨款结构情况</w:t>
      </w:r>
    </w:p>
    <w:p>
      <w:pPr>
        <w:pStyle w:val="10"/>
        <w:keepNext w:val="0"/>
        <w:keepLines w:val="0"/>
        <w:pageBreakBefore w:val="0"/>
        <w:kinsoku/>
        <w:wordWrap/>
        <w:autoSpaceDE/>
        <w:autoSpaceDN/>
        <w:bidi w:val="0"/>
        <w:adjustRightInd/>
        <w:snapToGrid/>
        <w:spacing w:before="0" w:line="560" w:lineRule="exact"/>
        <w:ind w:firstLine="640" w:firstLineChars="200"/>
        <w:textAlignment w:val="auto"/>
        <w:rPr>
          <w:rFonts w:hint="eastAsia" w:cs="仿宋_GB2312"/>
          <w:kern w:val="2"/>
          <w:sz w:val="32"/>
          <w:szCs w:val="32"/>
          <w:lang w:val="en-US" w:eastAsia="zh-CN"/>
        </w:rPr>
      </w:pPr>
      <w:r>
        <w:rPr>
          <w:rFonts w:hint="eastAsia" w:hAnsi="Calibri"/>
          <w:kern w:val="2"/>
          <w:sz w:val="32"/>
          <w:szCs w:val="32"/>
        </w:rPr>
        <w:t>一般</w:t>
      </w:r>
      <w:r>
        <w:rPr>
          <w:rFonts w:hint="eastAsia" w:cs="仿宋_GB2312"/>
          <w:kern w:val="2"/>
          <w:sz w:val="32"/>
          <w:szCs w:val="32"/>
          <w:lang w:val="en-US" w:eastAsia="zh-CN"/>
        </w:rPr>
        <w:t>公共服务支出514.71万元，占82.61%，社会保障和就业支出59.26万元，占9.51%，卫生健康支出20.31万元，占3.26%，住房保障支出28.8万元，占4.62%。</w:t>
      </w:r>
    </w:p>
    <w:p>
      <w:pPr>
        <w:pStyle w:val="10"/>
        <w:keepNext w:val="0"/>
        <w:keepLines w:val="0"/>
        <w:pageBreakBefore w:val="0"/>
        <w:kinsoku/>
        <w:wordWrap/>
        <w:autoSpaceDE/>
        <w:autoSpaceDN/>
        <w:bidi w:val="0"/>
        <w:adjustRightInd/>
        <w:snapToGrid/>
        <w:spacing w:before="0" w:line="560" w:lineRule="exact"/>
        <w:ind w:firstLine="640" w:firstLineChars="200"/>
        <w:textAlignment w:val="auto"/>
        <w:rPr>
          <w:rFonts w:hint="eastAsia" w:cs="仿宋_GB2312"/>
          <w:kern w:val="2"/>
          <w:sz w:val="32"/>
          <w:szCs w:val="32"/>
          <w:lang w:val="en-US" w:eastAsia="zh-CN"/>
        </w:rPr>
      </w:pPr>
      <w:r>
        <w:rPr>
          <w:rFonts w:hint="eastAsia" w:cs="仿宋_GB2312"/>
          <w:kern w:val="2"/>
          <w:sz w:val="32"/>
          <w:szCs w:val="32"/>
          <w:lang w:val="en-US" w:eastAsia="zh-CN"/>
        </w:rPr>
        <w:t>（三）一般公共预算当年拨款具体使用情况</w:t>
      </w:r>
    </w:p>
    <w:p>
      <w:pPr>
        <w:pStyle w:val="10"/>
        <w:keepNext w:val="0"/>
        <w:keepLines w:val="0"/>
        <w:pageBreakBefore w:val="0"/>
        <w:kinsoku/>
        <w:wordWrap/>
        <w:autoSpaceDE/>
        <w:autoSpaceDN/>
        <w:bidi w:val="0"/>
        <w:adjustRightInd/>
        <w:snapToGrid/>
        <w:spacing w:before="0" w:line="560" w:lineRule="exact"/>
        <w:ind w:firstLine="640" w:firstLineChars="200"/>
        <w:textAlignment w:val="auto"/>
        <w:rPr>
          <w:rFonts w:hint="eastAsia" w:cs="仿宋_GB2312"/>
          <w:kern w:val="2"/>
          <w:sz w:val="32"/>
          <w:szCs w:val="32"/>
          <w:lang w:val="en-US" w:eastAsia="zh-CN"/>
        </w:rPr>
      </w:pPr>
      <w:r>
        <w:rPr>
          <w:rFonts w:hint="eastAsia" w:cs="仿宋_GB2312"/>
          <w:kern w:val="2"/>
          <w:sz w:val="32"/>
          <w:szCs w:val="32"/>
          <w:lang w:val="en-US" w:eastAsia="zh-CN"/>
        </w:rPr>
        <w:t>一般公共服务支出514.71万元，占82.61%，社会保障和就业支出59.26万元，占9.51%，卫生健康支出20.31万元，占3.26%，住房保障支出28.8万元，占4.62%。</w:t>
      </w:r>
    </w:p>
    <w:p>
      <w:pPr>
        <w:pStyle w:val="10"/>
        <w:keepNext w:val="0"/>
        <w:keepLines w:val="0"/>
        <w:pageBreakBefore w:val="0"/>
        <w:kinsoku/>
        <w:wordWrap/>
        <w:autoSpaceDE/>
        <w:autoSpaceDN/>
        <w:bidi w:val="0"/>
        <w:adjustRightInd/>
        <w:snapToGrid/>
        <w:spacing w:before="0" w:line="560" w:lineRule="exact"/>
        <w:ind w:firstLine="660"/>
        <w:textAlignment w:val="auto"/>
        <w:rPr>
          <w:rFonts w:ascii="黑体" w:eastAsia="黑体"/>
          <w:sz w:val="32"/>
          <w:szCs w:val="32"/>
        </w:rPr>
      </w:pPr>
      <w:r>
        <w:rPr>
          <w:rFonts w:hint="eastAsia" w:ascii="黑体" w:eastAsia="黑体"/>
          <w:sz w:val="32"/>
          <w:szCs w:val="32"/>
        </w:rPr>
        <w:t>六、一般公共预算基本支出情况说明</w:t>
      </w:r>
    </w:p>
    <w:p>
      <w:pPr>
        <w:pStyle w:val="10"/>
        <w:keepNext w:val="0"/>
        <w:keepLines w:val="0"/>
        <w:pageBreakBefore w:val="0"/>
        <w:kinsoku/>
        <w:wordWrap/>
        <w:autoSpaceDE/>
        <w:autoSpaceDN/>
        <w:bidi w:val="0"/>
        <w:adjustRightInd/>
        <w:snapToGrid/>
        <w:spacing w:before="0" w:line="560" w:lineRule="exact"/>
        <w:ind w:firstLine="640" w:firstLineChars="200"/>
        <w:textAlignment w:val="auto"/>
        <w:rPr>
          <w:rFonts w:cs="仿宋_GB2312"/>
          <w:kern w:val="2"/>
          <w:sz w:val="32"/>
          <w:szCs w:val="32"/>
        </w:rPr>
      </w:pPr>
      <w:r>
        <w:rPr>
          <w:rFonts w:hint="eastAsia" w:cs="仿宋_GB2312"/>
          <w:kern w:val="2"/>
          <w:sz w:val="32"/>
          <w:szCs w:val="32"/>
        </w:rPr>
        <w:t>部门（单位）202</w:t>
      </w:r>
      <w:r>
        <w:rPr>
          <w:rFonts w:cs="仿宋_GB2312"/>
          <w:kern w:val="2"/>
          <w:sz w:val="32"/>
          <w:szCs w:val="32"/>
        </w:rPr>
        <w:t>4</w:t>
      </w:r>
      <w:r>
        <w:rPr>
          <w:rFonts w:hint="eastAsia" w:cs="仿宋_GB2312"/>
          <w:kern w:val="2"/>
          <w:sz w:val="32"/>
          <w:szCs w:val="32"/>
        </w:rPr>
        <w:t>年一般公共预算基本支出</w:t>
      </w:r>
      <w:r>
        <w:rPr>
          <w:rFonts w:hint="eastAsia" w:cs="仿宋_GB2312"/>
          <w:kern w:val="2"/>
          <w:sz w:val="32"/>
          <w:szCs w:val="32"/>
          <w:lang w:val="en-US" w:eastAsia="zh-CN"/>
        </w:rPr>
        <w:t>623.09</w:t>
      </w:r>
      <w:r>
        <w:rPr>
          <w:rFonts w:hint="eastAsia" w:cs="仿宋_GB2312"/>
          <w:kern w:val="2"/>
          <w:sz w:val="32"/>
          <w:szCs w:val="32"/>
        </w:rPr>
        <w:t>万元，其中：人员经费</w:t>
      </w:r>
      <w:r>
        <w:rPr>
          <w:rFonts w:hint="eastAsia" w:cs="仿宋_GB2312"/>
          <w:kern w:val="2"/>
          <w:sz w:val="32"/>
          <w:szCs w:val="32"/>
          <w:lang w:val="en-US" w:eastAsia="zh-CN"/>
        </w:rPr>
        <w:t>364.94</w:t>
      </w:r>
      <w:r>
        <w:rPr>
          <w:rFonts w:hint="eastAsia" w:cs="仿宋_GB2312"/>
          <w:kern w:val="2"/>
          <w:sz w:val="32"/>
          <w:szCs w:val="32"/>
        </w:rPr>
        <w:t>万元，主要包括：基本工资、津贴补贴、奖金、其他社会保障缴费、绩效工资、机关事业单位基本养老保险缴费、职业年金缴费、其他工资福利支出、离休费、奖励金、住房公积金、其他对个人和家庭的补助支出。</w:t>
      </w:r>
    </w:p>
    <w:p>
      <w:pPr>
        <w:pStyle w:val="10"/>
        <w:keepNext w:val="0"/>
        <w:keepLines w:val="0"/>
        <w:pageBreakBefore w:val="0"/>
        <w:kinsoku/>
        <w:wordWrap/>
        <w:autoSpaceDE/>
        <w:autoSpaceDN/>
        <w:bidi w:val="0"/>
        <w:adjustRightInd/>
        <w:snapToGrid/>
        <w:spacing w:before="0" w:line="560" w:lineRule="exact"/>
        <w:ind w:firstLine="640" w:firstLineChars="200"/>
        <w:textAlignment w:val="auto"/>
        <w:rPr>
          <w:rFonts w:ascii="黑体" w:eastAsia="黑体"/>
          <w:sz w:val="32"/>
          <w:szCs w:val="32"/>
        </w:rPr>
      </w:pPr>
      <w:r>
        <w:rPr>
          <w:rFonts w:hint="eastAsia" w:cs="仿宋_GB2312"/>
          <w:kern w:val="2"/>
          <w:sz w:val="32"/>
          <w:szCs w:val="32"/>
        </w:rPr>
        <w:t>公用经费</w:t>
      </w:r>
      <w:r>
        <w:rPr>
          <w:rFonts w:hint="eastAsia" w:cs="仿宋_GB2312"/>
          <w:kern w:val="2"/>
          <w:sz w:val="32"/>
          <w:szCs w:val="32"/>
          <w:lang w:val="en-US" w:eastAsia="zh-CN"/>
        </w:rPr>
        <w:t>64.55</w:t>
      </w:r>
      <w:r>
        <w:rPr>
          <w:rFonts w:hint="eastAsia" w:cs="仿宋_GB2312"/>
          <w:kern w:val="2"/>
          <w:sz w:val="32"/>
          <w:szCs w:val="32"/>
        </w:rPr>
        <w:t>万元，主要包括：办公费、印刷费、手续费、水费、电费、邮电费、差旅费、维修（护）费、租赁费、会议费、培训费、劳务费、工会经费、福利费、其他交通工具运行维护费、其他商品和服务支出。</w:t>
      </w:r>
      <w:r>
        <w:rPr>
          <w:rFonts w:hint="eastAsia" w:cs="仿宋_GB2312"/>
          <w:kern w:val="2"/>
          <w:sz w:val="32"/>
          <w:szCs w:val="32"/>
        </w:rPr>
        <w:br w:type="textWrapping"/>
      </w:r>
      <w:r>
        <w:rPr>
          <w:rFonts w:hint="eastAsia" w:ascii="黑体" w:eastAsia="黑体"/>
          <w:sz w:val="32"/>
          <w:szCs w:val="32"/>
        </w:rPr>
        <w:t xml:space="preserve">    七、“三公”经费财政拨款预算安排情况说明</w:t>
      </w:r>
    </w:p>
    <w:p>
      <w:pPr>
        <w:pStyle w:val="10"/>
        <w:keepNext w:val="0"/>
        <w:keepLines w:val="0"/>
        <w:pageBreakBefore w:val="0"/>
        <w:kinsoku/>
        <w:wordWrap/>
        <w:autoSpaceDE/>
        <w:autoSpaceDN/>
        <w:bidi w:val="0"/>
        <w:adjustRightInd/>
        <w:snapToGrid/>
        <w:spacing w:before="0" w:line="560" w:lineRule="exact"/>
        <w:ind w:firstLine="640" w:firstLineChars="200"/>
        <w:textAlignment w:val="auto"/>
        <w:rPr>
          <w:rFonts w:cs="仿宋_GB2312"/>
          <w:kern w:val="2"/>
          <w:sz w:val="32"/>
          <w:szCs w:val="32"/>
        </w:rPr>
      </w:pPr>
      <w:r>
        <w:rPr>
          <w:rFonts w:hint="eastAsia" w:cs="仿宋_GB2312"/>
          <w:kern w:val="2"/>
          <w:sz w:val="32"/>
          <w:szCs w:val="32"/>
          <w:lang w:eastAsia="zh-CN"/>
        </w:rPr>
        <w:t>州委巡察办</w:t>
      </w:r>
      <w:r>
        <w:rPr>
          <w:rFonts w:hint="eastAsia" w:cs="仿宋_GB2312"/>
          <w:kern w:val="2"/>
          <w:sz w:val="32"/>
          <w:szCs w:val="32"/>
        </w:rPr>
        <w:t>202</w:t>
      </w:r>
      <w:r>
        <w:rPr>
          <w:rFonts w:hint="eastAsia" w:cs="仿宋_GB2312"/>
          <w:kern w:val="2"/>
          <w:sz w:val="32"/>
          <w:szCs w:val="32"/>
          <w:lang w:val="en-US" w:eastAsia="zh-CN"/>
        </w:rPr>
        <w:t>5</w:t>
      </w:r>
      <w:r>
        <w:rPr>
          <w:rFonts w:hint="eastAsia" w:cs="仿宋_GB2312"/>
          <w:kern w:val="2"/>
          <w:sz w:val="32"/>
          <w:szCs w:val="32"/>
        </w:rPr>
        <w:t>年“三公”经费财政拨款预算数</w:t>
      </w:r>
      <w:r>
        <w:rPr>
          <w:rFonts w:hint="eastAsia" w:cs="仿宋_GB2312"/>
          <w:kern w:val="2"/>
          <w:sz w:val="32"/>
          <w:szCs w:val="32"/>
          <w:lang w:val="en-US" w:eastAsia="zh-CN"/>
        </w:rPr>
        <w:t>22.66</w:t>
      </w:r>
      <w:r>
        <w:rPr>
          <w:rFonts w:hint="eastAsia" w:cs="仿宋_GB2312"/>
          <w:kern w:val="2"/>
          <w:sz w:val="32"/>
          <w:szCs w:val="32"/>
        </w:rPr>
        <w:t>万元，其中：因公出国（境）经费</w:t>
      </w:r>
      <w:r>
        <w:rPr>
          <w:rFonts w:hint="eastAsia" w:cs="仿宋_GB2312"/>
          <w:kern w:val="2"/>
          <w:sz w:val="32"/>
          <w:szCs w:val="32"/>
          <w:lang w:val="en-US" w:eastAsia="zh-CN"/>
        </w:rPr>
        <w:t>0</w:t>
      </w:r>
      <w:r>
        <w:rPr>
          <w:rFonts w:hint="eastAsia" w:cs="仿宋_GB2312"/>
          <w:kern w:val="2"/>
          <w:sz w:val="32"/>
          <w:szCs w:val="32"/>
        </w:rPr>
        <w:t>万元，公务接待费</w:t>
      </w:r>
      <w:r>
        <w:rPr>
          <w:rFonts w:hint="eastAsia" w:cs="仿宋_GB2312"/>
          <w:kern w:val="2"/>
          <w:sz w:val="32"/>
          <w:szCs w:val="32"/>
          <w:lang w:val="en-US" w:eastAsia="zh-CN"/>
        </w:rPr>
        <w:t>1.01</w:t>
      </w:r>
      <w:r>
        <w:rPr>
          <w:rFonts w:hint="eastAsia" w:cs="仿宋_GB2312"/>
          <w:kern w:val="2"/>
          <w:sz w:val="32"/>
          <w:szCs w:val="32"/>
        </w:rPr>
        <w:t>万元，公务用车购置及运行维护费</w:t>
      </w:r>
      <w:r>
        <w:rPr>
          <w:rFonts w:hint="eastAsia" w:cs="仿宋_GB2312"/>
          <w:kern w:val="2"/>
          <w:sz w:val="32"/>
          <w:szCs w:val="32"/>
          <w:lang w:val="en-US" w:eastAsia="zh-CN"/>
        </w:rPr>
        <w:t>21.6</w:t>
      </w:r>
      <w:r>
        <w:rPr>
          <w:rFonts w:hint="eastAsia" w:cs="仿宋_GB2312"/>
          <w:kern w:val="2"/>
          <w:sz w:val="32"/>
          <w:szCs w:val="32"/>
        </w:rPr>
        <w:t>万元。</w:t>
      </w:r>
    </w:p>
    <w:p>
      <w:pPr>
        <w:pStyle w:val="10"/>
        <w:keepNext w:val="0"/>
        <w:keepLines w:val="0"/>
        <w:pageBreakBefore w:val="0"/>
        <w:kinsoku/>
        <w:wordWrap/>
        <w:autoSpaceDE/>
        <w:autoSpaceDN/>
        <w:bidi w:val="0"/>
        <w:adjustRightInd/>
        <w:snapToGrid/>
        <w:spacing w:before="0" w:line="560" w:lineRule="exact"/>
        <w:ind w:firstLine="640" w:firstLineChars="200"/>
        <w:textAlignment w:val="auto"/>
        <w:rPr>
          <w:rFonts w:cs="仿宋_GB2312"/>
          <w:kern w:val="2"/>
          <w:sz w:val="32"/>
          <w:szCs w:val="32"/>
        </w:rPr>
      </w:pPr>
      <w:r>
        <w:rPr>
          <w:rFonts w:hint="eastAsia" w:cs="仿宋_GB2312"/>
          <w:kern w:val="2"/>
          <w:sz w:val="32"/>
          <w:szCs w:val="32"/>
        </w:rPr>
        <w:t>（一）202</w:t>
      </w:r>
      <w:r>
        <w:rPr>
          <w:rFonts w:hint="eastAsia" w:cs="仿宋_GB2312"/>
          <w:kern w:val="2"/>
          <w:sz w:val="32"/>
          <w:szCs w:val="32"/>
          <w:lang w:val="en-US" w:eastAsia="zh-CN"/>
        </w:rPr>
        <w:t>5</w:t>
      </w:r>
      <w:r>
        <w:rPr>
          <w:rFonts w:hint="eastAsia" w:cs="仿宋_GB2312"/>
          <w:kern w:val="2"/>
          <w:sz w:val="32"/>
          <w:szCs w:val="32"/>
        </w:rPr>
        <w:t>年因公出国（境）经费</w:t>
      </w:r>
      <w:r>
        <w:rPr>
          <w:rFonts w:hint="eastAsia" w:cs="仿宋_GB2312"/>
          <w:kern w:val="2"/>
          <w:sz w:val="32"/>
          <w:szCs w:val="32"/>
          <w:lang w:val="en-US" w:eastAsia="zh-CN"/>
        </w:rPr>
        <w:t>0</w:t>
      </w:r>
      <w:r>
        <w:rPr>
          <w:rFonts w:hint="eastAsia" w:cs="仿宋_GB2312"/>
          <w:kern w:val="2"/>
          <w:sz w:val="32"/>
          <w:szCs w:val="32"/>
        </w:rPr>
        <w:t>万元。</w:t>
      </w:r>
    </w:p>
    <w:p>
      <w:pPr>
        <w:pStyle w:val="10"/>
        <w:keepNext w:val="0"/>
        <w:keepLines w:val="0"/>
        <w:pageBreakBefore w:val="0"/>
        <w:kinsoku/>
        <w:wordWrap/>
        <w:autoSpaceDE/>
        <w:autoSpaceDN/>
        <w:bidi w:val="0"/>
        <w:adjustRightInd/>
        <w:snapToGrid/>
        <w:spacing w:before="0" w:line="560" w:lineRule="exact"/>
        <w:ind w:firstLine="640" w:firstLineChars="200"/>
        <w:textAlignment w:val="auto"/>
        <w:rPr>
          <w:rFonts w:hint="eastAsia" w:cs="仿宋_GB2312"/>
          <w:color w:val="000000"/>
          <w:kern w:val="2"/>
          <w:sz w:val="32"/>
          <w:szCs w:val="32"/>
          <w:lang w:eastAsia="zh-CN"/>
        </w:rPr>
      </w:pPr>
      <w:r>
        <w:rPr>
          <w:rFonts w:hint="eastAsia" w:cs="仿宋_GB2312"/>
          <w:kern w:val="2"/>
          <w:sz w:val="32"/>
          <w:szCs w:val="32"/>
        </w:rPr>
        <w:t>（二）</w:t>
      </w:r>
      <w:r>
        <w:rPr>
          <w:rFonts w:hint="eastAsia" w:cs="仿宋_GB2312"/>
          <w:color w:val="000000"/>
          <w:kern w:val="2"/>
          <w:sz w:val="32"/>
          <w:szCs w:val="32"/>
        </w:rPr>
        <w:t>202</w:t>
      </w:r>
      <w:r>
        <w:rPr>
          <w:rFonts w:hint="eastAsia" w:cs="仿宋_GB2312"/>
          <w:color w:val="000000"/>
          <w:kern w:val="2"/>
          <w:sz w:val="32"/>
          <w:szCs w:val="32"/>
          <w:lang w:val="en-US" w:eastAsia="zh-CN"/>
        </w:rPr>
        <w:t>5</w:t>
      </w:r>
      <w:r>
        <w:rPr>
          <w:rFonts w:hint="eastAsia" w:cs="仿宋_GB2312"/>
          <w:color w:val="000000"/>
          <w:kern w:val="2"/>
          <w:sz w:val="32"/>
          <w:szCs w:val="32"/>
        </w:rPr>
        <w:t>年公务接待经费</w:t>
      </w:r>
      <w:r>
        <w:rPr>
          <w:rFonts w:hint="eastAsia" w:cs="仿宋_GB2312"/>
          <w:kern w:val="2"/>
          <w:sz w:val="32"/>
          <w:szCs w:val="32"/>
          <w:lang w:val="en-US" w:eastAsia="zh-CN"/>
        </w:rPr>
        <w:t>1.01</w:t>
      </w:r>
      <w:r>
        <w:rPr>
          <w:rFonts w:hint="eastAsia" w:cs="仿宋_GB2312"/>
          <w:color w:val="000000"/>
          <w:kern w:val="2"/>
          <w:sz w:val="32"/>
          <w:szCs w:val="32"/>
        </w:rPr>
        <w:t>万元。较202</w:t>
      </w:r>
      <w:r>
        <w:rPr>
          <w:rFonts w:hint="eastAsia" w:cs="仿宋_GB2312"/>
          <w:color w:val="000000"/>
          <w:kern w:val="2"/>
          <w:sz w:val="32"/>
          <w:szCs w:val="32"/>
          <w:lang w:val="en-US" w:eastAsia="zh-CN"/>
        </w:rPr>
        <w:t>4</w:t>
      </w:r>
      <w:r>
        <w:rPr>
          <w:rFonts w:hint="eastAsia" w:cs="仿宋_GB2312"/>
          <w:color w:val="000000"/>
          <w:kern w:val="2"/>
          <w:sz w:val="32"/>
          <w:szCs w:val="32"/>
        </w:rPr>
        <w:t>年预算</w:t>
      </w:r>
      <w:r>
        <w:rPr>
          <w:rFonts w:hint="eastAsia" w:cs="仿宋_GB2312"/>
          <w:color w:val="000000"/>
          <w:kern w:val="2"/>
          <w:sz w:val="32"/>
          <w:szCs w:val="32"/>
          <w:lang w:eastAsia="zh-CN"/>
        </w:rPr>
        <w:t>持平。</w:t>
      </w:r>
    </w:p>
    <w:p>
      <w:pPr>
        <w:pStyle w:val="10"/>
        <w:keepNext w:val="0"/>
        <w:keepLines w:val="0"/>
        <w:pageBreakBefore w:val="0"/>
        <w:kinsoku/>
        <w:wordWrap/>
        <w:autoSpaceDE/>
        <w:autoSpaceDN/>
        <w:bidi w:val="0"/>
        <w:adjustRightInd/>
        <w:snapToGrid/>
        <w:spacing w:before="0" w:line="560" w:lineRule="exact"/>
        <w:ind w:firstLine="640" w:firstLineChars="200"/>
        <w:textAlignment w:val="auto"/>
        <w:rPr>
          <w:rFonts w:hint="eastAsia" w:cs="宋体"/>
          <w:sz w:val="32"/>
          <w:szCs w:val="32"/>
          <w:lang w:eastAsia="zh-CN"/>
        </w:rPr>
      </w:pPr>
      <w:r>
        <w:rPr>
          <w:rFonts w:hint="eastAsia" w:cs="仿宋_GB2312"/>
          <w:color w:val="000000"/>
          <w:kern w:val="2"/>
          <w:sz w:val="32"/>
          <w:szCs w:val="32"/>
        </w:rPr>
        <w:t>（三）202</w:t>
      </w:r>
      <w:r>
        <w:rPr>
          <w:rFonts w:hint="eastAsia" w:cs="仿宋_GB2312"/>
          <w:color w:val="000000"/>
          <w:kern w:val="2"/>
          <w:sz w:val="32"/>
          <w:szCs w:val="32"/>
          <w:lang w:val="en-US" w:eastAsia="zh-CN"/>
        </w:rPr>
        <w:t>5</w:t>
      </w:r>
      <w:r>
        <w:rPr>
          <w:rFonts w:hint="eastAsia" w:cs="仿宋_GB2312"/>
          <w:color w:val="000000"/>
          <w:kern w:val="2"/>
          <w:sz w:val="32"/>
          <w:szCs w:val="32"/>
        </w:rPr>
        <w:t>年公务用车购置及运行维护费</w:t>
      </w:r>
      <w:r>
        <w:rPr>
          <w:rFonts w:hint="eastAsia" w:cs="仿宋_GB2312"/>
          <w:kern w:val="2"/>
          <w:sz w:val="32"/>
          <w:szCs w:val="32"/>
          <w:lang w:val="en-US" w:eastAsia="zh-CN"/>
        </w:rPr>
        <w:t>21.6</w:t>
      </w:r>
      <w:r>
        <w:rPr>
          <w:rFonts w:hint="eastAsia" w:cs="仿宋_GB2312"/>
          <w:color w:val="000000"/>
          <w:kern w:val="2"/>
          <w:sz w:val="32"/>
          <w:szCs w:val="32"/>
        </w:rPr>
        <w:t>万元。较202</w:t>
      </w:r>
      <w:r>
        <w:rPr>
          <w:rFonts w:hint="eastAsia" w:cs="仿宋_GB2312"/>
          <w:color w:val="000000"/>
          <w:kern w:val="2"/>
          <w:sz w:val="32"/>
          <w:szCs w:val="32"/>
          <w:lang w:val="en-US" w:eastAsia="zh-CN"/>
        </w:rPr>
        <w:t>4</w:t>
      </w:r>
      <w:r>
        <w:rPr>
          <w:rFonts w:hint="eastAsia" w:cs="仿宋_GB2312"/>
          <w:color w:val="000000"/>
          <w:kern w:val="2"/>
          <w:sz w:val="32"/>
          <w:szCs w:val="32"/>
        </w:rPr>
        <w:t>年预算经费</w:t>
      </w:r>
      <w:r>
        <w:rPr>
          <w:rFonts w:hint="eastAsia" w:cs="宋体"/>
          <w:sz w:val="32"/>
          <w:szCs w:val="32"/>
          <w:lang w:eastAsia="zh-CN"/>
        </w:rPr>
        <w:t>持平。</w:t>
      </w:r>
    </w:p>
    <w:p>
      <w:pPr>
        <w:pStyle w:val="10"/>
        <w:keepNext w:val="0"/>
        <w:keepLines w:val="0"/>
        <w:pageBreakBefore w:val="0"/>
        <w:kinsoku/>
        <w:wordWrap/>
        <w:autoSpaceDE/>
        <w:autoSpaceDN/>
        <w:bidi w:val="0"/>
        <w:adjustRightInd/>
        <w:snapToGrid/>
        <w:spacing w:before="0" w:line="560" w:lineRule="exact"/>
        <w:ind w:firstLine="640" w:firstLineChars="200"/>
        <w:textAlignment w:val="auto"/>
        <w:rPr>
          <w:rFonts w:ascii="黑体" w:eastAsia="黑体"/>
          <w:sz w:val="32"/>
          <w:szCs w:val="32"/>
        </w:rPr>
      </w:pPr>
      <w:r>
        <w:rPr>
          <w:rFonts w:hint="eastAsia" w:ascii="黑体" w:eastAsia="黑体"/>
          <w:sz w:val="32"/>
          <w:szCs w:val="32"/>
        </w:rPr>
        <w:t>八、政府性基金</w:t>
      </w:r>
      <w:r>
        <w:rPr>
          <w:rFonts w:hint="eastAsia" w:ascii="黑体" w:eastAsia="黑体" w:cs="仿宋_GB2312"/>
          <w:kern w:val="2"/>
          <w:sz w:val="32"/>
          <w:szCs w:val="32"/>
        </w:rPr>
        <w:t>预算</w:t>
      </w:r>
      <w:r>
        <w:rPr>
          <w:rFonts w:hint="eastAsia" w:ascii="黑体" w:eastAsia="黑体"/>
          <w:sz w:val="32"/>
          <w:szCs w:val="32"/>
        </w:rPr>
        <w:t>支出情况说明</w:t>
      </w:r>
    </w:p>
    <w:p>
      <w:pPr>
        <w:pStyle w:val="10"/>
        <w:keepNext w:val="0"/>
        <w:keepLines w:val="0"/>
        <w:pageBreakBefore w:val="0"/>
        <w:kinsoku/>
        <w:wordWrap/>
        <w:autoSpaceDE/>
        <w:autoSpaceDN/>
        <w:bidi w:val="0"/>
        <w:adjustRightInd/>
        <w:snapToGrid/>
        <w:spacing w:before="0" w:line="560" w:lineRule="exact"/>
        <w:ind w:firstLine="640" w:firstLineChars="200"/>
        <w:textAlignment w:val="auto"/>
        <w:rPr>
          <w:rFonts w:hint="eastAsia" w:cs="宋体"/>
          <w:sz w:val="32"/>
          <w:szCs w:val="32"/>
          <w:lang w:eastAsia="zh-CN"/>
        </w:rPr>
      </w:pPr>
      <w:r>
        <w:rPr>
          <w:rFonts w:hint="eastAsia" w:cs="仿宋_GB2312"/>
          <w:kern w:val="2"/>
          <w:sz w:val="32"/>
          <w:szCs w:val="32"/>
          <w:lang w:eastAsia="zh-CN"/>
        </w:rPr>
        <w:t>州委巡察办</w:t>
      </w:r>
      <w:r>
        <w:rPr>
          <w:rFonts w:hint="eastAsia" w:cs="仿宋_GB2312"/>
          <w:kern w:val="2"/>
          <w:sz w:val="32"/>
          <w:szCs w:val="32"/>
        </w:rPr>
        <w:t>202</w:t>
      </w:r>
      <w:r>
        <w:rPr>
          <w:rFonts w:hint="eastAsia" w:cs="仿宋_GB2312"/>
          <w:kern w:val="2"/>
          <w:sz w:val="32"/>
          <w:szCs w:val="32"/>
          <w:lang w:val="en-US" w:eastAsia="zh-CN"/>
        </w:rPr>
        <w:t>5</w:t>
      </w:r>
      <w:r>
        <w:rPr>
          <w:rFonts w:hint="eastAsia" w:cs="仿宋_GB2312"/>
          <w:kern w:val="2"/>
          <w:sz w:val="32"/>
          <w:szCs w:val="32"/>
        </w:rPr>
        <w:t>年政府性基金预算拨款安排的支出</w:t>
      </w:r>
      <w:r>
        <w:rPr>
          <w:rFonts w:hint="eastAsia" w:cs="仿宋_GB2312"/>
          <w:kern w:val="2"/>
          <w:sz w:val="32"/>
          <w:szCs w:val="32"/>
          <w:lang w:val="en-US" w:eastAsia="zh-CN"/>
        </w:rPr>
        <w:t>0</w:t>
      </w:r>
      <w:r>
        <w:rPr>
          <w:rFonts w:hint="eastAsia" w:cs="仿宋_GB2312"/>
          <w:kern w:val="2"/>
          <w:sz w:val="32"/>
          <w:szCs w:val="32"/>
        </w:rPr>
        <w:t>万元。较202</w:t>
      </w:r>
      <w:r>
        <w:rPr>
          <w:rFonts w:hint="eastAsia" w:cs="仿宋_GB2312"/>
          <w:kern w:val="2"/>
          <w:sz w:val="32"/>
          <w:szCs w:val="32"/>
          <w:lang w:val="en-US" w:eastAsia="zh-CN"/>
        </w:rPr>
        <w:t>4</w:t>
      </w:r>
      <w:r>
        <w:rPr>
          <w:rFonts w:hint="eastAsia" w:cs="仿宋_GB2312"/>
          <w:kern w:val="2"/>
          <w:sz w:val="32"/>
          <w:szCs w:val="32"/>
        </w:rPr>
        <w:t>年预算经费</w:t>
      </w:r>
      <w:r>
        <w:rPr>
          <w:rFonts w:hint="eastAsia" w:cs="宋体"/>
          <w:sz w:val="32"/>
          <w:szCs w:val="32"/>
          <w:lang w:eastAsia="zh-CN"/>
        </w:rPr>
        <w:t>一致。</w:t>
      </w:r>
    </w:p>
    <w:p>
      <w:pPr>
        <w:pStyle w:val="10"/>
        <w:keepNext w:val="0"/>
        <w:keepLines w:val="0"/>
        <w:pageBreakBefore w:val="0"/>
        <w:kinsoku/>
        <w:wordWrap/>
        <w:autoSpaceDE/>
        <w:autoSpaceDN/>
        <w:bidi w:val="0"/>
        <w:adjustRightInd/>
        <w:snapToGrid/>
        <w:spacing w:before="0" w:line="560" w:lineRule="exact"/>
        <w:ind w:firstLine="640" w:firstLineChars="200"/>
        <w:textAlignment w:val="auto"/>
        <w:rPr>
          <w:rFonts w:ascii="黑体" w:eastAsia="黑体"/>
          <w:sz w:val="32"/>
          <w:szCs w:val="32"/>
        </w:rPr>
      </w:pPr>
      <w:r>
        <w:rPr>
          <w:rFonts w:hint="eastAsia" w:ascii="黑体" w:eastAsia="黑体"/>
          <w:sz w:val="32"/>
          <w:szCs w:val="32"/>
        </w:rPr>
        <w:t>九、其他重要事项的情况说明</w:t>
      </w:r>
    </w:p>
    <w:p>
      <w:pPr>
        <w:pStyle w:val="10"/>
        <w:keepNext w:val="0"/>
        <w:keepLines w:val="0"/>
        <w:pageBreakBefore w:val="0"/>
        <w:kinsoku/>
        <w:wordWrap/>
        <w:autoSpaceDE/>
        <w:autoSpaceDN/>
        <w:bidi w:val="0"/>
        <w:adjustRightInd/>
        <w:snapToGrid/>
        <w:spacing w:before="0" w:line="560" w:lineRule="exact"/>
        <w:ind w:firstLine="640" w:firstLineChars="200"/>
        <w:textAlignment w:val="auto"/>
        <w:rPr>
          <w:rFonts w:cs="仿宋_GB2312"/>
          <w:color w:val="FF0000"/>
          <w:kern w:val="2"/>
          <w:sz w:val="32"/>
          <w:szCs w:val="32"/>
          <w:highlight w:val="none"/>
        </w:rPr>
      </w:pPr>
      <w:r>
        <w:rPr>
          <w:rFonts w:hint="eastAsia" w:ascii="楷体" w:eastAsia="楷体" w:cs="仿宋_GB2312"/>
          <w:kern w:val="2"/>
          <w:sz w:val="32"/>
          <w:szCs w:val="32"/>
          <w:highlight w:val="none"/>
        </w:rPr>
        <w:t>（一）机关运行经费</w:t>
      </w:r>
      <w:r>
        <w:rPr>
          <w:rFonts w:hint="eastAsia" w:cs="仿宋_GB2312"/>
          <w:kern w:val="2"/>
          <w:sz w:val="32"/>
          <w:szCs w:val="32"/>
          <w:highlight w:val="none"/>
        </w:rPr>
        <w:br w:type="textWrapping"/>
      </w:r>
      <w:r>
        <w:rPr>
          <w:rFonts w:hint="eastAsia" w:cs="仿宋_GB2312"/>
          <w:kern w:val="2"/>
          <w:sz w:val="32"/>
          <w:szCs w:val="32"/>
          <w:highlight w:val="none"/>
        </w:rPr>
        <w:t xml:space="preserve">　 </w:t>
      </w:r>
      <w:r>
        <w:rPr>
          <w:rFonts w:hint="eastAsia" w:cs="仿宋_GB2312"/>
          <w:kern w:val="2"/>
          <w:sz w:val="32"/>
          <w:szCs w:val="32"/>
          <w:highlight w:val="none"/>
          <w:lang w:eastAsia="zh-CN"/>
        </w:rPr>
        <w:t>州委巡察办</w:t>
      </w:r>
      <w:r>
        <w:rPr>
          <w:rFonts w:hint="eastAsia" w:cs="仿宋_GB2312"/>
          <w:kern w:val="2"/>
          <w:sz w:val="32"/>
          <w:szCs w:val="32"/>
          <w:highlight w:val="none"/>
        </w:rPr>
        <w:t>202</w:t>
      </w:r>
      <w:r>
        <w:rPr>
          <w:rFonts w:hint="eastAsia" w:cs="仿宋_GB2312"/>
          <w:kern w:val="2"/>
          <w:sz w:val="32"/>
          <w:szCs w:val="32"/>
          <w:highlight w:val="none"/>
          <w:lang w:val="en-US" w:eastAsia="zh-CN"/>
        </w:rPr>
        <w:t>5</w:t>
      </w:r>
      <w:r>
        <w:rPr>
          <w:rFonts w:hint="eastAsia" w:cs="仿宋_GB2312"/>
          <w:kern w:val="2"/>
          <w:sz w:val="32"/>
          <w:szCs w:val="32"/>
          <w:highlight w:val="none"/>
        </w:rPr>
        <w:t>年机关运行经费财政拨款预算为</w:t>
      </w:r>
      <w:r>
        <w:rPr>
          <w:rFonts w:hint="eastAsia" w:cs="仿宋_GB2312"/>
          <w:kern w:val="2"/>
          <w:sz w:val="32"/>
          <w:szCs w:val="32"/>
          <w:lang w:val="en-US" w:eastAsia="zh-CN"/>
        </w:rPr>
        <w:t>64.55</w:t>
      </w:r>
      <w:r>
        <w:rPr>
          <w:rFonts w:hint="eastAsia" w:cs="仿宋_GB2312"/>
          <w:kern w:val="2"/>
          <w:sz w:val="32"/>
          <w:szCs w:val="32"/>
          <w:highlight w:val="none"/>
        </w:rPr>
        <w:t>万元，比202</w:t>
      </w:r>
      <w:r>
        <w:rPr>
          <w:rFonts w:hint="eastAsia" w:cs="仿宋_GB2312"/>
          <w:kern w:val="2"/>
          <w:sz w:val="32"/>
          <w:szCs w:val="32"/>
          <w:highlight w:val="none"/>
          <w:lang w:val="en-US" w:eastAsia="zh-CN"/>
        </w:rPr>
        <w:t>4</w:t>
      </w:r>
      <w:r>
        <w:rPr>
          <w:rFonts w:hint="eastAsia" w:cs="仿宋_GB2312"/>
          <w:kern w:val="2"/>
          <w:sz w:val="32"/>
          <w:szCs w:val="32"/>
          <w:highlight w:val="none"/>
        </w:rPr>
        <w:t>年预算</w:t>
      </w:r>
      <w:r>
        <w:rPr>
          <w:rFonts w:hint="eastAsia" w:cs="宋体"/>
          <w:sz w:val="32"/>
          <w:szCs w:val="32"/>
          <w:highlight w:val="none"/>
          <w:lang w:eastAsia="zh-CN"/>
        </w:rPr>
        <w:t>减少</w:t>
      </w:r>
      <w:r>
        <w:rPr>
          <w:rFonts w:hint="eastAsia" w:cs="仿宋_GB2312"/>
          <w:kern w:val="2"/>
          <w:sz w:val="32"/>
          <w:szCs w:val="32"/>
          <w:lang w:val="en-US" w:eastAsia="zh-CN"/>
        </w:rPr>
        <w:t>0.99</w:t>
      </w:r>
      <w:r>
        <w:rPr>
          <w:rFonts w:hint="eastAsia" w:cs="仿宋_GB2312"/>
          <w:color w:val="000000"/>
          <w:kern w:val="2"/>
          <w:sz w:val="32"/>
          <w:szCs w:val="32"/>
          <w:highlight w:val="none"/>
        </w:rPr>
        <w:t xml:space="preserve">万元。 </w:t>
      </w:r>
    </w:p>
    <w:p>
      <w:pPr>
        <w:keepNext w:val="0"/>
        <w:keepLines w:val="0"/>
        <w:pageBreakBefore w:val="0"/>
        <w:widowControl/>
        <w:suppressLineNumbers w:val="0"/>
        <w:kinsoku/>
        <w:wordWrap/>
        <w:autoSpaceDE/>
        <w:autoSpaceDN/>
        <w:bidi w:val="0"/>
        <w:adjustRightInd/>
        <w:snapToGrid/>
        <w:spacing w:line="560" w:lineRule="exact"/>
        <w:jc w:val="left"/>
        <w:textAlignment w:val="auto"/>
        <w:rPr>
          <w:rFonts w:hint="eastAsia" w:ascii="仿宋_GB2312" w:hAnsi="Calibri" w:eastAsia="仿宋_GB2312" w:cs="仿宋_GB2312"/>
          <w:color w:val="auto"/>
          <w:kern w:val="2"/>
          <w:sz w:val="32"/>
          <w:szCs w:val="32"/>
          <w:highlight w:val="none"/>
          <w:lang w:val="en-US" w:eastAsia="zh-CN" w:bidi="ar-SA"/>
        </w:rPr>
      </w:pPr>
      <w:r>
        <w:rPr>
          <w:rFonts w:hint="eastAsia" w:ascii="楷体" w:eastAsia="楷体" w:cs="仿宋_GB2312"/>
          <w:kern w:val="2"/>
          <w:sz w:val="32"/>
          <w:szCs w:val="32"/>
          <w:highlight w:val="none"/>
        </w:rPr>
        <w:t>（二）政府采购情况</w:t>
      </w:r>
      <w:r>
        <w:rPr>
          <w:rFonts w:hint="eastAsia" w:cs="仿宋_GB2312"/>
          <w:kern w:val="2"/>
          <w:sz w:val="32"/>
          <w:szCs w:val="32"/>
          <w:highlight w:val="none"/>
        </w:rPr>
        <w:br w:type="textWrapping"/>
      </w:r>
      <w:r>
        <w:rPr>
          <w:rFonts w:hint="eastAsia" w:cs="仿宋_GB2312"/>
          <w:kern w:val="2"/>
          <w:sz w:val="32"/>
          <w:szCs w:val="32"/>
          <w:highlight w:val="none"/>
        </w:rPr>
        <w:t>　</w:t>
      </w:r>
      <w:r>
        <w:rPr>
          <w:rFonts w:hint="eastAsia" w:cs="仿宋_GB2312"/>
          <w:color w:val="000000"/>
          <w:kern w:val="2"/>
          <w:sz w:val="32"/>
          <w:szCs w:val="32"/>
          <w:highlight w:val="none"/>
        </w:rPr>
        <w:t xml:space="preserve">　 </w:t>
      </w:r>
      <w:r>
        <w:rPr>
          <w:rFonts w:hint="eastAsia" w:ascii="仿宋_GB2312" w:hAnsi="Calibri" w:eastAsia="仿宋_GB2312" w:cs="仿宋_GB2312"/>
          <w:kern w:val="2"/>
          <w:sz w:val="32"/>
          <w:szCs w:val="32"/>
          <w:highlight w:val="none"/>
          <w:lang w:val="en-US" w:eastAsia="zh-CN" w:bidi="ar-SA"/>
        </w:rPr>
        <w:t>202</w:t>
      </w:r>
      <w:r>
        <w:rPr>
          <w:rFonts w:hint="eastAsia" w:ascii="仿宋_GB2312" w:eastAsia="仿宋_GB2312" w:cs="仿宋_GB2312"/>
          <w:kern w:val="2"/>
          <w:sz w:val="32"/>
          <w:szCs w:val="32"/>
          <w:highlight w:val="none"/>
          <w:lang w:val="en-US" w:eastAsia="zh-CN" w:bidi="ar-SA"/>
        </w:rPr>
        <w:t>5</w:t>
      </w:r>
      <w:r>
        <w:rPr>
          <w:rFonts w:hint="eastAsia" w:ascii="仿宋_GB2312" w:hAnsi="Calibri" w:eastAsia="仿宋_GB2312" w:cs="仿宋_GB2312"/>
          <w:color w:val="auto"/>
          <w:kern w:val="2"/>
          <w:sz w:val="32"/>
          <w:szCs w:val="32"/>
          <w:highlight w:val="none"/>
          <w:lang w:val="en-US" w:eastAsia="zh-CN" w:bidi="ar-SA"/>
        </w:rPr>
        <w:t>年部门（单位）安排政府采购预算3.6万元，主要用于采购档案室及会议室添置办公设备。</w:t>
      </w:r>
    </w:p>
    <w:p>
      <w:pPr>
        <w:pStyle w:val="10"/>
        <w:keepNext w:val="0"/>
        <w:keepLines w:val="0"/>
        <w:pageBreakBefore w:val="0"/>
        <w:kinsoku/>
        <w:wordWrap/>
        <w:autoSpaceDE/>
        <w:autoSpaceDN/>
        <w:bidi w:val="0"/>
        <w:adjustRightInd/>
        <w:snapToGrid/>
        <w:spacing w:before="0" w:line="560" w:lineRule="exact"/>
        <w:ind w:firstLine="640" w:firstLineChars="200"/>
        <w:textAlignment w:val="auto"/>
        <w:rPr>
          <w:rFonts w:ascii="楷体" w:eastAsia="楷体" w:cs="仿宋_GB2312"/>
          <w:color w:val="auto"/>
          <w:kern w:val="2"/>
          <w:sz w:val="32"/>
          <w:szCs w:val="32"/>
          <w:highlight w:val="none"/>
        </w:rPr>
      </w:pPr>
      <w:r>
        <w:rPr>
          <w:rFonts w:hint="eastAsia" w:ascii="楷体" w:eastAsia="楷体" w:cs="仿宋_GB2312"/>
          <w:color w:val="auto"/>
          <w:kern w:val="2"/>
          <w:sz w:val="32"/>
          <w:szCs w:val="32"/>
          <w:highlight w:val="none"/>
        </w:rPr>
        <w:t>（三）国有资产占有使用情况</w:t>
      </w:r>
    </w:p>
    <w:p>
      <w:pPr>
        <w:pStyle w:val="10"/>
        <w:keepNext w:val="0"/>
        <w:keepLines w:val="0"/>
        <w:pageBreakBefore w:val="0"/>
        <w:kinsoku/>
        <w:wordWrap/>
        <w:autoSpaceDE/>
        <w:autoSpaceDN/>
        <w:bidi w:val="0"/>
        <w:adjustRightInd/>
        <w:snapToGrid/>
        <w:spacing w:before="0" w:line="560" w:lineRule="exact"/>
        <w:ind w:firstLine="640" w:firstLineChars="200"/>
        <w:textAlignment w:val="auto"/>
        <w:rPr>
          <w:rFonts w:cs="仿宋_GB2312"/>
          <w:color w:val="auto"/>
          <w:kern w:val="2"/>
          <w:sz w:val="32"/>
          <w:szCs w:val="32"/>
          <w:highlight w:val="none"/>
        </w:rPr>
      </w:pPr>
      <w:r>
        <w:rPr>
          <w:rFonts w:hint="eastAsia" w:cs="仿宋_GB2312"/>
          <w:color w:val="auto"/>
          <w:kern w:val="2"/>
          <w:sz w:val="32"/>
          <w:szCs w:val="32"/>
          <w:highlight w:val="none"/>
        </w:rPr>
        <w:t>截至202</w:t>
      </w:r>
      <w:r>
        <w:rPr>
          <w:rFonts w:hint="eastAsia" w:cs="仿宋_GB2312"/>
          <w:color w:val="auto"/>
          <w:kern w:val="2"/>
          <w:sz w:val="32"/>
          <w:szCs w:val="32"/>
          <w:highlight w:val="none"/>
          <w:lang w:val="en-US" w:eastAsia="zh-CN"/>
        </w:rPr>
        <w:t>4</w:t>
      </w:r>
      <w:r>
        <w:rPr>
          <w:rFonts w:hint="eastAsia" w:cs="仿宋_GB2312"/>
          <w:color w:val="auto"/>
          <w:kern w:val="2"/>
          <w:sz w:val="32"/>
          <w:szCs w:val="32"/>
          <w:highlight w:val="none"/>
        </w:rPr>
        <w:t>年12月31日，我单位固定资产</w:t>
      </w:r>
      <w:r>
        <w:rPr>
          <w:rFonts w:hint="eastAsia" w:cs="仿宋_GB2312"/>
          <w:color w:val="auto"/>
          <w:kern w:val="2"/>
          <w:sz w:val="32"/>
          <w:szCs w:val="32"/>
          <w:highlight w:val="none"/>
          <w:lang w:eastAsia="zh-CN"/>
        </w:rPr>
        <w:t>原值</w:t>
      </w:r>
      <w:r>
        <w:rPr>
          <w:rFonts w:hint="eastAsia" w:cs="仿宋_GB2312"/>
          <w:kern w:val="2"/>
          <w:sz w:val="32"/>
          <w:szCs w:val="32"/>
          <w:lang w:val="en-US" w:eastAsia="zh-CN"/>
        </w:rPr>
        <w:t>267.33</w:t>
      </w:r>
      <w:r>
        <w:rPr>
          <w:rFonts w:hint="eastAsia" w:cs="仿宋_GB2312"/>
          <w:color w:val="auto"/>
          <w:kern w:val="2"/>
          <w:sz w:val="32"/>
          <w:szCs w:val="32"/>
          <w:highlight w:val="none"/>
        </w:rPr>
        <w:t>万元。</w:t>
      </w:r>
    </w:p>
    <w:p>
      <w:pPr>
        <w:pStyle w:val="10"/>
        <w:keepNext w:val="0"/>
        <w:keepLines w:val="0"/>
        <w:pageBreakBefore w:val="0"/>
        <w:kinsoku/>
        <w:wordWrap/>
        <w:autoSpaceDE/>
        <w:autoSpaceDN/>
        <w:bidi w:val="0"/>
        <w:adjustRightInd/>
        <w:snapToGrid/>
        <w:spacing w:before="0" w:line="560" w:lineRule="exact"/>
        <w:ind w:firstLine="640" w:firstLineChars="200"/>
        <w:textAlignment w:val="auto"/>
        <w:rPr>
          <w:rFonts w:ascii="黑体" w:eastAsia="黑体"/>
          <w:sz w:val="32"/>
          <w:szCs w:val="32"/>
        </w:rPr>
      </w:pPr>
      <w:r>
        <w:rPr>
          <w:rFonts w:hint="eastAsia" w:ascii="楷体" w:eastAsia="楷体" w:cs="仿宋_GB2312"/>
          <w:kern w:val="2"/>
          <w:sz w:val="32"/>
          <w:szCs w:val="32"/>
        </w:rPr>
        <w:t>（四）绩效目标设置情况</w:t>
      </w:r>
      <w:r>
        <w:rPr>
          <w:rFonts w:hint="eastAsia" w:cs="仿宋_GB2312"/>
          <w:kern w:val="2"/>
          <w:sz w:val="32"/>
          <w:szCs w:val="32"/>
        </w:rPr>
        <w:br w:type="textWrapping"/>
      </w:r>
      <w:r>
        <w:rPr>
          <w:rFonts w:hint="eastAsia" w:cs="仿宋_GB2312"/>
          <w:kern w:val="2"/>
          <w:sz w:val="32"/>
          <w:szCs w:val="32"/>
        </w:rPr>
        <w:t>　　202</w:t>
      </w:r>
      <w:r>
        <w:rPr>
          <w:rFonts w:hint="eastAsia" w:cs="仿宋_GB2312"/>
          <w:kern w:val="2"/>
          <w:sz w:val="32"/>
          <w:szCs w:val="32"/>
          <w:lang w:val="en-US" w:eastAsia="zh-CN"/>
        </w:rPr>
        <w:t>5</w:t>
      </w:r>
      <w:r>
        <w:rPr>
          <w:rFonts w:hint="eastAsia" w:cs="仿宋_GB2312"/>
          <w:kern w:val="2"/>
          <w:sz w:val="32"/>
          <w:szCs w:val="32"/>
        </w:rPr>
        <w:t>年</w:t>
      </w:r>
      <w:r>
        <w:rPr>
          <w:rFonts w:hint="eastAsia" w:cs="仿宋_GB2312"/>
          <w:kern w:val="2"/>
          <w:sz w:val="32"/>
          <w:szCs w:val="32"/>
          <w:lang w:eastAsia="zh-CN"/>
        </w:rPr>
        <w:t>州委巡察办</w:t>
      </w:r>
      <w:r>
        <w:rPr>
          <w:rFonts w:hint="eastAsia" w:cs="仿宋_GB2312"/>
          <w:kern w:val="2"/>
          <w:sz w:val="32"/>
          <w:szCs w:val="32"/>
        </w:rPr>
        <w:t>通用项目和专用项目均按要求实行绩效目标管理，涉及一般公共预算当年拨款</w:t>
      </w:r>
      <w:r>
        <w:rPr>
          <w:rFonts w:hint="eastAsia" w:cs="仿宋_GB2312"/>
          <w:kern w:val="2"/>
          <w:sz w:val="32"/>
          <w:szCs w:val="32"/>
          <w:lang w:val="en-US" w:eastAsia="zh-CN"/>
        </w:rPr>
        <w:t>623.09</w:t>
      </w:r>
      <w:r>
        <w:rPr>
          <w:rFonts w:hint="eastAsia" w:cs="仿宋_GB2312"/>
          <w:kern w:val="2"/>
          <w:sz w:val="32"/>
          <w:szCs w:val="32"/>
        </w:rPr>
        <w:t>万元。</w:t>
      </w:r>
    </w:p>
    <w:p>
      <w:pPr>
        <w:pStyle w:val="10"/>
        <w:keepNext w:val="0"/>
        <w:keepLines w:val="0"/>
        <w:pageBreakBefore w:val="0"/>
        <w:kinsoku/>
        <w:wordWrap/>
        <w:autoSpaceDE/>
        <w:autoSpaceDN/>
        <w:bidi w:val="0"/>
        <w:adjustRightInd/>
        <w:snapToGrid/>
        <w:spacing w:before="0" w:line="560" w:lineRule="exact"/>
        <w:ind w:firstLine="640" w:firstLineChars="200"/>
        <w:textAlignment w:val="auto"/>
        <w:rPr>
          <w:rFonts w:cs="仿宋_GB2312"/>
          <w:kern w:val="2"/>
          <w:sz w:val="32"/>
          <w:szCs w:val="32"/>
        </w:rPr>
      </w:pPr>
      <w:r>
        <w:rPr>
          <w:rFonts w:hint="eastAsia" w:ascii="黑体" w:eastAsia="黑体"/>
          <w:sz w:val="32"/>
          <w:szCs w:val="32"/>
        </w:rPr>
        <w:t xml:space="preserve">十、名称解释 </w:t>
      </w:r>
      <w:r>
        <w:rPr>
          <w:rFonts w:hint="eastAsia" w:cs="仿宋_GB2312"/>
          <w:sz w:val="32"/>
          <w:szCs w:val="32"/>
        </w:rPr>
        <w:br w:type="textWrapping"/>
      </w:r>
      <w:r>
        <w:rPr>
          <w:rFonts w:hint="eastAsia" w:ascii="??" w:hAnsi="??" w:eastAsia="宋体" w:cs="宋体"/>
          <w:sz w:val="16"/>
        </w:rPr>
        <w:t xml:space="preserve">　　   </w:t>
      </w:r>
      <w:r>
        <w:rPr>
          <w:rFonts w:hint="eastAsia" w:ascii="楷体" w:eastAsia="楷体" w:cs="仿宋_GB2312"/>
          <w:kern w:val="2"/>
          <w:sz w:val="32"/>
          <w:szCs w:val="32"/>
        </w:rPr>
        <w:t>（一）财政拨款收入</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（二）事业收入</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（三）事业单位经营收入</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（四）其他收入</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（五）用事业基金弥补收支差额</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（六）上年结转</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pPr>
        <w:keepNext w:val="0"/>
        <w:keepLines w:val="0"/>
        <w:pageBreakBefore w:val="0"/>
        <w:kinsoku/>
        <w:wordWrap/>
        <w:autoSpaceDE/>
        <w:autoSpaceDN/>
        <w:bidi w:val="0"/>
        <w:adjustRightInd/>
        <w:snapToGrid/>
        <w:spacing w:line="560" w:lineRule="exact"/>
        <w:textAlignment w:val="auto"/>
        <w:rPr>
          <w:rFonts w:asci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03D20"/>
    <w:multiLevelType w:val="multilevel"/>
    <w:tmpl w:val="47D03D20"/>
    <w:lvl w:ilvl="0" w:tentative="0">
      <w:start w:val="2"/>
      <w:numFmt w:val="japaneseCounting"/>
      <w:lvlText w:val="%1、"/>
      <w:lvlJc w:val="left"/>
      <w:pPr>
        <w:tabs>
          <w:tab w:val="left" w:pos="0"/>
        </w:tabs>
        <w:ind w:left="1360" w:hanging="720"/>
      </w:pPr>
      <w:rPr>
        <w:rFonts w:hint="default"/>
      </w:rPr>
    </w:lvl>
    <w:lvl w:ilvl="1" w:tentative="0">
      <w:start w:val="1"/>
      <w:numFmt w:val="lowerLetter"/>
      <w:lvlText w:val="%2)"/>
      <w:lvlJc w:val="left"/>
      <w:pPr>
        <w:tabs>
          <w:tab w:val="left" w:pos="0"/>
        </w:tabs>
        <w:ind w:left="1480" w:hanging="420"/>
      </w:pPr>
    </w:lvl>
    <w:lvl w:ilvl="2" w:tentative="0">
      <w:start w:val="1"/>
      <w:numFmt w:val="lowerRoman"/>
      <w:lvlText w:val="%3."/>
      <w:lvlJc w:val="right"/>
      <w:pPr>
        <w:tabs>
          <w:tab w:val="left" w:pos="0"/>
        </w:tabs>
        <w:ind w:left="1900" w:hanging="420"/>
      </w:pPr>
    </w:lvl>
    <w:lvl w:ilvl="3" w:tentative="0">
      <w:start w:val="1"/>
      <w:numFmt w:val="decimal"/>
      <w:lvlText w:val="%4."/>
      <w:lvlJc w:val="left"/>
      <w:pPr>
        <w:tabs>
          <w:tab w:val="left" w:pos="0"/>
        </w:tabs>
        <w:ind w:left="2320" w:hanging="420"/>
      </w:pPr>
    </w:lvl>
    <w:lvl w:ilvl="4" w:tentative="0">
      <w:start w:val="1"/>
      <w:numFmt w:val="lowerLetter"/>
      <w:lvlText w:val="%5)"/>
      <w:lvlJc w:val="left"/>
      <w:pPr>
        <w:tabs>
          <w:tab w:val="left" w:pos="0"/>
        </w:tabs>
        <w:ind w:left="2740" w:hanging="420"/>
      </w:pPr>
    </w:lvl>
    <w:lvl w:ilvl="5" w:tentative="0">
      <w:start w:val="1"/>
      <w:numFmt w:val="lowerRoman"/>
      <w:lvlText w:val="%6."/>
      <w:lvlJc w:val="right"/>
      <w:pPr>
        <w:tabs>
          <w:tab w:val="left" w:pos="0"/>
        </w:tabs>
        <w:ind w:left="3160" w:hanging="420"/>
      </w:pPr>
    </w:lvl>
    <w:lvl w:ilvl="6" w:tentative="0">
      <w:start w:val="1"/>
      <w:numFmt w:val="decimal"/>
      <w:lvlText w:val="%7."/>
      <w:lvlJc w:val="left"/>
      <w:pPr>
        <w:tabs>
          <w:tab w:val="left" w:pos="0"/>
        </w:tabs>
        <w:ind w:left="3580" w:hanging="420"/>
      </w:pPr>
    </w:lvl>
    <w:lvl w:ilvl="7" w:tentative="0">
      <w:start w:val="1"/>
      <w:numFmt w:val="lowerLetter"/>
      <w:lvlText w:val="%8)"/>
      <w:lvlJc w:val="left"/>
      <w:pPr>
        <w:tabs>
          <w:tab w:val="left" w:pos="0"/>
        </w:tabs>
        <w:ind w:left="4000" w:hanging="420"/>
      </w:pPr>
    </w:lvl>
    <w:lvl w:ilvl="8" w:tentative="0">
      <w:start w:val="1"/>
      <w:numFmt w:val="lowerRoman"/>
      <w:lvlText w:val="%9."/>
      <w:lvlJc w:val="right"/>
      <w:pPr>
        <w:tabs>
          <w:tab w:val="left" w:pos="0"/>
        </w:tabs>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
  <w:rsids>
    <w:rsidRoot w:val="00000000"/>
    <w:rsid w:val="0BEA8F9A"/>
    <w:rsid w:val="0FBCA8AD"/>
    <w:rsid w:val="1BFF4753"/>
    <w:rsid w:val="1DD78BA6"/>
    <w:rsid w:val="1EEFA8BE"/>
    <w:rsid w:val="1FDF053F"/>
    <w:rsid w:val="26FFE26F"/>
    <w:rsid w:val="286C5BB0"/>
    <w:rsid w:val="29EA0653"/>
    <w:rsid w:val="2EF764E2"/>
    <w:rsid w:val="2F7F1326"/>
    <w:rsid w:val="2FDDD2D6"/>
    <w:rsid w:val="333B2BA0"/>
    <w:rsid w:val="33DFBC4D"/>
    <w:rsid w:val="347DC07E"/>
    <w:rsid w:val="36DF6AEC"/>
    <w:rsid w:val="377C6DAE"/>
    <w:rsid w:val="37BE8DCB"/>
    <w:rsid w:val="37DCB33D"/>
    <w:rsid w:val="37F77E0A"/>
    <w:rsid w:val="37FF1C36"/>
    <w:rsid w:val="37FF8095"/>
    <w:rsid w:val="397E7AAC"/>
    <w:rsid w:val="3A7FE098"/>
    <w:rsid w:val="3BDF5807"/>
    <w:rsid w:val="3CAFBF4E"/>
    <w:rsid w:val="3DCE2801"/>
    <w:rsid w:val="3DD7B153"/>
    <w:rsid w:val="3DFFA365"/>
    <w:rsid w:val="3E774F2C"/>
    <w:rsid w:val="3EDF05DD"/>
    <w:rsid w:val="3EFF0E9C"/>
    <w:rsid w:val="3F2BF171"/>
    <w:rsid w:val="3F5FA090"/>
    <w:rsid w:val="3FC73934"/>
    <w:rsid w:val="3FD27BE0"/>
    <w:rsid w:val="3FDE5739"/>
    <w:rsid w:val="3FDF5819"/>
    <w:rsid w:val="41F7BCEA"/>
    <w:rsid w:val="43FF331E"/>
    <w:rsid w:val="499A3C81"/>
    <w:rsid w:val="4DE56C25"/>
    <w:rsid w:val="4DEB7386"/>
    <w:rsid w:val="4E7AB1B0"/>
    <w:rsid w:val="4EDFE86D"/>
    <w:rsid w:val="4EFE4E49"/>
    <w:rsid w:val="4FC77236"/>
    <w:rsid w:val="4FFD8D6A"/>
    <w:rsid w:val="51B71B9B"/>
    <w:rsid w:val="549F2BFB"/>
    <w:rsid w:val="57EE95D7"/>
    <w:rsid w:val="57FF09E1"/>
    <w:rsid w:val="57FF5FA9"/>
    <w:rsid w:val="5B77A6BB"/>
    <w:rsid w:val="5B9FA4EA"/>
    <w:rsid w:val="5BFB27B2"/>
    <w:rsid w:val="5CFDE159"/>
    <w:rsid w:val="5DF7DEEE"/>
    <w:rsid w:val="5EBECC92"/>
    <w:rsid w:val="5EFFEC51"/>
    <w:rsid w:val="5F63AB55"/>
    <w:rsid w:val="5F776A80"/>
    <w:rsid w:val="5FBB5772"/>
    <w:rsid w:val="5FEE4835"/>
    <w:rsid w:val="633F052E"/>
    <w:rsid w:val="637BED39"/>
    <w:rsid w:val="637E80D8"/>
    <w:rsid w:val="65FA88A8"/>
    <w:rsid w:val="66677497"/>
    <w:rsid w:val="66BE90E9"/>
    <w:rsid w:val="66CFA614"/>
    <w:rsid w:val="66EFE2AB"/>
    <w:rsid w:val="67EBD48C"/>
    <w:rsid w:val="67EE8CC3"/>
    <w:rsid w:val="68DF2761"/>
    <w:rsid w:val="69FF91E5"/>
    <w:rsid w:val="6AFE79E9"/>
    <w:rsid w:val="6B3FF5E9"/>
    <w:rsid w:val="6BBF0292"/>
    <w:rsid w:val="6BE8C58E"/>
    <w:rsid w:val="6CDFA54C"/>
    <w:rsid w:val="6D7B3B75"/>
    <w:rsid w:val="6DED7499"/>
    <w:rsid w:val="6DFFA6B7"/>
    <w:rsid w:val="6F7FDDC5"/>
    <w:rsid w:val="6F87DBDD"/>
    <w:rsid w:val="6FBF100B"/>
    <w:rsid w:val="6FBF5D00"/>
    <w:rsid w:val="6FD9E405"/>
    <w:rsid w:val="6FDFD1E8"/>
    <w:rsid w:val="6FF78721"/>
    <w:rsid w:val="71FB3F51"/>
    <w:rsid w:val="71FF8045"/>
    <w:rsid w:val="723F200B"/>
    <w:rsid w:val="75FAC7DC"/>
    <w:rsid w:val="75FF88F5"/>
    <w:rsid w:val="763E3506"/>
    <w:rsid w:val="76F58C65"/>
    <w:rsid w:val="76FE697A"/>
    <w:rsid w:val="77FB2348"/>
    <w:rsid w:val="77FB3724"/>
    <w:rsid w:val="797FB899"/>
    <w:rsid w:val="79FE4B7E"/>
    <w:rsid w:val="79FF9B5A"/>
    <w:rsid w:val="7A9FEC2E"/>
    <w:rsid w:val="7ADB3438"/>
    <w:rsid w:val="7AF70E43"/>
    <w:rsid w:val="7AFDC9C6"/>
    <w:rsid w:val="7BDFCBB2"/>
    <w:rsid w:val="7BFE6DC7"/>
    <w:rsid w:val="7CBEE1D5"/>
    <w:rsid w:val="7CBF9853"/>
    <w:rsid w:val="7D673355"/>
    <w:rsid w:val="7D777493"/>
    <w:rsid w:val="7D7DD8BB"/>
    <w:rsid w:val="7D9DBF46"/>
    <w:rsid w:val="7DDD8BE0"/>
    <w:rsid w:val="7DDF3D80"/>
    <w:rsid w:val="7DEEAC4D"/>
    <w:rsid w:val="7DF4D389"/>
    <w:rsid w:val="7E3C7B75"/>
    <w:rsid w:val="7E9B0F97"/>
    <w:rsid w:val="7E9DE313"/>
    <w:rsid w:val="7E9E0411"/>
    <w:rsid w:val="7E9F4520"/>
    <w:rsid w:val="7ECF250D"/>
    <w:rsid w:val="7EF1B8E9"/>
    <w:rsid w:val="7EF9379B"/>
    <w:rsid w:val="7F3F17CE"/>
    <w:rsid w:val="7F7E9620"/>
    <w:rsid w:val="7F7F472A"/>
    <w:rsid w:val="7F7F7327"/>
    <w:rsid w:val="7FBA34D3"/>
    <w:rsid w:val="7FBF5233"/>
    <w:rsid w:val="7FCC8DA6"/>
    <w:rsid w:val="7FD49DD3"/>
    <w:rsid w:val="7FD93443"/>
    <w:rsid w:val="7FDB8ADC"/>
    <w:rsid w:val="7FDDC294"/>
    <w:rsid w:val="7FE9081E"/>
    <w:rsid w:val="7FEDC5A7"/>
    <w:rsid w:val="7FEF48D7"/>
    <w:rsid w:val="7FEFD776"/>
    <w:rsid w:val="7FF780AD"/>
    <w:rsid w:val="7FFB51B7"/>
    <w:rsid w:val="7FFDCCB3"/>
    <w:rsid w:val="7FFF21B3"/>
    <w:rsid w:val="7FFF9A7D"/>
    <w:rsid w:val="7FFFCAD6"/>
    <w:rsid w:val="8754906F"/>
    <w:rsid w:val="8DD5B2B3"/>
    <w:rsid w:val="8FDF07E7"/>
    <w:rsid w:val="9B9FF3A5"/>
    <w:rsid w:val="9BE33335"/>
    <w:rsid w:val="9BF7DD18"/>
    <w:rsid w:val="9D7E779C"/>
    <w:rsid w:val="9EFB23D2"/>
    <w:rsid w:val="9EFF9C8E"/>
    <w:rsid w:val="9F7FAE1A"/>
    <w:rsid w:val="9FFBEAC2"/>
    <w:rsid w:val="9FFD1A32"/>
    <w:rsid w:val="9FFF56E1"/>
    <w:rsid w:val="9FFFEB8C"/>
    <w:rsid w:val="A57DC733"/>
    <w:rsid w:val="A5CFDC60"/>
    <w:rsid w:val="A5DE91CD"/>
    <w:rsid w:val="A5FABE4C"/>
    <w:rsid w:val="ABBBF043"/>
    <w:rsid w:val="ADDAF676"/>
    <w:rsid w:val="AED5044E"/>
    <w:rsid w:val="AF7F04F5"/>
    <w:rsid w:val="B6BFA3EB"/>
    <w:rsid w:val="B76DC1D1"/>
    <w:rsid w:val="B76F013D"/>
    <w:rsid w:val="BA7F0B64"/>
    <w:rsid w:val="BAABF67E"/>
    <w:rsid w:val="BB3BEE6B"/>
    <w:rsid w:val="BB6F60D1"/>
    <w:rsid w:val="BCFFA9D3"/>
    <w:rsid w:val="BD97B131"/>
    <w:rsid w:val="BDE5BD30"/>
    <w:rsid w:val="BEC79C21"/>
    <w:rsid w:val="BEDEF6A6"/>
    <w:rsid w:val="BF332DA2"/>
    <w:rsid w:val="BF3766DE"/>
    <w:rsid w:val="BF7E287C"/>
    <w:rsid w:val="BFDE9335"/>
    <w:rsid w:val="BFF2A18A"/>
    <w:rsid w:val="BFF9CB5B"/>
    <w:rsid w:val="BFFBCEC0"/>
    <w:rsid w:val="BFFFC9CE"/>
    <w:rsid w:val="CBD759F5"/>
    <w:rsid w:val="CBFF73C2"/>
    <w:rsid w:val="CD2704B3"/>
    <w:rsid w:val="CD3D82CF"/>
    <w:rsid w:val="CECA3582"/>
    <w:rsid w:val="CF9347B1"/>
    <w:rsid w:val="D1B530B3"/>
    <w:rsid w:val="D3F7D802"/>
    <w:rsid w:val="D57B8F5F"/>
    <w:rsid w:val="D6BFE363"/>
    <w:rsid w:val="D77DFA0F"/>
    <w:rsid w:val="D7DEB7C9"/>
    <w:rsid w:val="DAFA607A"/>
    <w:rsid w:val="DB1F3F38"/>
    <w:rsid w:val="DBBEFF58"/>
    <w:rsid w:val="DBDB0612"/>
    <w:rsid w:val="DBDF1564"/>
    <w:rsid w:val="DD6F97CA"/>
    <w:rsid w:val="DDDEED5C"/>
    <w:rsid w:val="DDE9B5F8"/>
    <w:rsid w:val="DDFC4540"/>
    <w:rsid w:val="DDFE637B"/>
    <w:rsid w:val="DDFF7A13"/>
    <w:rsid w:val="DE21ECE9"/>
    <w:rsid w:val="DE6F305F"/>
    <w:rsid w:val="DEEFCA5C"/>
    <w:rsid w:val="DEFB2D1E"/>
    <w:rsid w:val="DEFE2048"/>
    <w:rsid w:val="DEFF3945"/>
    <w:rsid w:val="DEFF68F3"/>
    <w:rsid w:val="DF37E7EF"/>
    <w:rsid w:val="DF7A4AAB"/>
    <w:rsid w:val="DF7D3A63"/>
    <w:rsid w:val="DFBC31E5"/>
    <w:rsid w:val="DFEB9AD4"/>
    <w:rsid w:val="DFFBE046"/>
    <w:rsid w:val="DFFEC3BB"/>
    <w:rsid w:val="DFFF14CA"/>
    <w:rsid w:val="E34F760C"/>
    <w:rsid w:val="E35FB973"/>
    <w:rsid w:val="E5FEECFC"/>
    <w:rsid w:val="E67782E9"/>
    <w:rsid w:val="E9BBF259"/>
    <w:rsid w:val="EAF3D19C"/>
    <w:rsid w:val="EBEC4286"/>
    <w:rsid w:val="EBF55301"/>
    <w:rsid w:val="EBFEC4BC"/>
    <w:rsid w:val="EE751C2A"/>
    <w:rsid w:val="EEEDAAA0"/>
    <w:rsid w:val="EF1BB495"/>
    <w:rsid w:val="EF1F6B47"/>
    <w:rsid w:val="EF778D70"/>
    <w:rsid w:val="EFAF1D08"/>
    <w:rsid w:val="EFBF1A9F"/>
    <w:rsid w:val="EFBF4A1E"/>
    <w:rsid w:val="EFEF4676"/>
    <w:rsid w:val="EFF55C03"/>
    <w:rsid w:val="EFF56FF9"/>
    <w:rsid w:val="EFFB0743"/>
    <w:rsid w:val="EFFEC77D"/>
    <w:rsid w:val="EFFF933B"/>
    <w:rsid w:val="F1DB9499"/>
    <w:rsid w:val="F2AE71FE"/>
    <w:rsid w:val="F2BFE280"/>
    <w:rsid w:val="F33F18E4"/>
    <w:rsid w:val="F35F96AF"/>
    <w:rsid w:val="F3F34F48"/>
    <w:rsid w:val="F3FDD312"/>
    <w:rsid w:val="F4E1B231"/>
    <w:rsid w:val="F565AEB0"/>
    <w:rsid w:val="F5F7F732"/>
    <w:rsid w:val="F6D659F8"/>
    <w:rsid w:val="F6F7E699"/>
    <w:rsid w:val="F75EAE98"/>
    <w:rsid w:val="F77DABA8"/>
    <w:rsid w:val="F77FD131"/>
    <w:rsid w:val="F7838DD0"/>
    <w:rsid w:val="F7BEE172"/>
    <w:rsid w:val="F7C74949"/>
    <w:rsid w:val="F7DF392F"/>
    <w:rsid w:val="F7EFCD5F"/>
    <w:rsid w:val="F7F5AAE0"/>
    <w:rsid w:val="F7FFCCB9"/>
    <w:rsid w:val="F83F7ABB"/>
    <w:rsid w:val="F85F4CA2"/>
    <w:rsid w:val="F96DD9DA"/>
    <w:rsid w:val="F97963D3"/>
    <w:rsid w:val="F995A252"/>
    <w:rsid w:val="F9A7DB81"/>
    <w:rsid w:val="F9EF5D0A"/>
    <w:rsid w:val="F9FE4F23"/>
    <w:rsid w:val="FAAFF133"/>
    <w:rsid w:val="FAFE1895"/>
    <w:rsid w:val="FB19F8E1"/>
    <w:rsid w:val="FB5EEF08"/>
    <w:rsid w:val="FB6BA7CC"/>
    <w:rsid w:val="FB7A905D"/>
    <w:rsid w:val="FB7F4C7B"/>
    <w:rsid w:val="FBAF4C05"/>
    <w:rsid w:val="FBEAA980"/>
    <w:rsid w:val="FBEE6C76"/>
    <w:rsid w:val="FBF581E1"/>
    <w:rsid w:val="FBFADBA5"/>
    <w:rsid w:val="FBFF0E23"/>
    <w:rsid w:val="FBFF5BE6"/>
    <w:rsid w:val="FBFF7386"/>
    <w:rsid w:val="FC6D3165"/>
    <w:rsid w:val="FC7CED62"/>
    <w:rsid w:val="FD4DD4DE"/>
    <w:rsid w:val="FDB60CD3"/>
    <w:rsid w:val="FDBBD7D1"/>
    <w:rsid w:val="FDBDCD67"/>
    <w:rsid w:val="FDBF8AE3"/>
    <w:rsid w:val="FDD51CD4"/>
    <w:rsid w:val="FDDB1CED"/>
    <w:rsid w:val="FDDBE404"/>
    <w:rsid w:val="FE124BBF"/>
    <w:rsid w:val="FE4D81E7"/>
    <w:rsid w:val="FE78D485"/>
    <w:rsid w:val="FEA6FE46"/>
    <w:rsid w:val="FF2D584B"/>
    <w:rsid w:val="FF378237"/>
    <w:rsid w:val="FF3E65CA"/>
    <w:rsid w:val="FF7F6C21"/>
    <w:rsid w:val="FF7FECB9"/>
    <w:rsid w:val="FF9B07EC"/>
    <w:rsid w:val="FFB5B945"/>
    <w:rsid w:val="FFB71F03"/>
    <w:rsid w:val="FFBAED8F"/>
    <w:rsid w:val="FFBB58A3"/>
    <w:rsid w:val="FFBDA13F"/>
    <w:rsid w:val="FFBE0E45"/>
    <w:rsid w:val="FFD74C02"/>
    <w:rsid w:val="FFDE43A5"/>
    <w:rsid w:val="FFECE256"/>
    <w:rsid w:val="FFEF5F72"/>
    <w:rsid w:val="FFF53217"/>
    <w:rsid w:val="FFF54F50"/>
    <w:rsid w:val="FFF589C2"/>
    <w:rsid w:val="FFF7B3CF"/>
    <w:rsid w:val="FFF7DCF9"/>
    <w:rsid w:val="FFFF152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List Paragraph"/>
    <w:basedOn w:val="1"/>
    <w:qFormat/>
    <w:uiPriority w:val="0"/>
    <w:pPr>
      <w:ind w:firstLine="200" w:firstLineChars="200"/>
    </w:pPr>
  </w:style>
  <w:style w:type="paragraph" w:customStyle="1" w:styleId="10">
    <w:name w:val="正文文本1"/>
    <w:basedOn w:val="1"/>
    <w:qFormat/>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6</Pages>
  <Words>1635</Words>
  <Characters>1739</Characters>
  <Lines>124</Lines>
  <Paragraphs>51</Paragraphs>
  <TotalTime>1</TotalTime>
  <ScaleCrop>false</ScaleCrop>
  <LinksUpToDate>false</LinksUpToDate>
  <CharactersWithSpaces>1800</CharactersWithSpaces>
  <Application>WPS Office_11.8.2.10125_F1E327BC-269C-435d-A152-05C5408002CA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2023-01-01T09:44:00Z</dcterms:created>
  <dc:creator>疯丫头。。</dc:creator>
  <cp:lastModifiedBy>user</cp:lastModifiedBy>
  <cp:lastPrinted>2018-02-01T09:39:00Z</cp:lastPrinted>
  <dcterms:modified xsi:type="dcterms:W3CDTF">2025-03-17T14:57:08Z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F31CBF27DD7845A0BFF4D8C6F59A4843_13</vt:lpwstr>
  </property>
</Properties>
</file>