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tabs>
          <w:tab w:val="left" w:pos="3856"/>
        </w:tabs>
        <w:ind w:firstLine="1050" w:firstLineChars="500"/>
        <w:rPr>
          <w:rFonts w:hint="default" w:ascii="Times New Roman" w:hAnsi="Times New Roman" w:eastAsia="宋体" w:cs="Times New Roman"/>
          <w:lang w:eastAsia="zh-CN"/>
        </w:rPr>
      </w:pPr>
      <w:r>
        <w:rPr>
          <w:rFonts w:hint="default" w:ascii="Times New Roman" w:hAnsi="Times New Roman" w:cs="Times New Roman"/>
          <w:lang w:eastAsia="zh-CN"/>
        </w:rPr>
        <w:tab/>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56"/>
          <w:szCs w:val="56"/>
          <w:lang w:eastAsia="zh-CN"/>
        </w:rPr>
      </w:pPr>
      <w:r>
        <w:rPr>
          <w:rFonts w:hint="default" w:ascii="Times New Roman" w:hAnsi="Times New Roman" w:eastAsia="方正小标宋简体" w:cs="Times New Roman"/>
          <w:sz w:val="56"/>
          <w:szCs w:val="56"/>
          <w:lang w:eastAsia="zh-CN"/>
        </w:rPr>
        <w:t>阿坝州机构编制实名制管理中心</w:t>
      </w:r>
    </w:p>
    <w:p>
      <w:pPr>
        <w:jc w:val="center"/>
        <w:rPr>
          <w:rFonts w:hint="default" w:ascii="Times New Roman" w:hAnsi="Times New Roman" w:eastAsia="方正小标宋简体" w:cs="Times New Roman"/>
          <w:sz w:val="56"/>
          <w:szCs w:val="56"/>
          <w:lang w:eastAsia="zh-CN"/>
        </w:rPr>
      </w:pPr>
      <w:r>
        <w:rPr>
          <w:rFonts w:hint="default" w:ascii="Times New Roman" w:hAnsi="Times New Roman" w:eastAsia="方正小标宋简体" w:cs="Times New Roman"/>
          <w:sz w:val="56"/>
          <w:szCs w:val="56"/>
        </w:rPr>
        <w:t>2024年预算</w:t>
      </w:r>
      <w:r>
        <w:rPr>
          <w:rFonts w:hint="default" w:ascii="Times New Roman" w:hAnsi="Times New Roman" w:eastAsia="方正小标宋简体" w:cs="Times New Roman"/>
          <w:sz w:val="56"/>
          <w:szCs w:val="56"/>
          <w:lang w:eastAsia="zh-CN"/>
        </w:rPr>
        <w:t>公开</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pStyle w:val="2"/>
        <w:rPr>
          <w:rFonts w:hint="default"/>
        </w:rPr>
      </w:pPr>
      <w:bookmarkStart w:id="0" w:name="_GoBack"/>
      <w:bookmarkEnd w:id="0"/>
    </w:p>
    <w:p>
      <w:pPr>
        <w:ind w:firstLine="1760" w:firstLineChars="400"/>
        <w:rPr>
          <w:rFonts w:hint="default" w:ascii="Times New Roman" w:hAnsi="Times New Roman" w:eastAsia="黑体" w:cs="Times New Roman"/>
          <w:sz w:val="44"/>
          <w:szCs w:val="44"/>
        </w:rPr>
      </w:pPr>
    </w:p>
    <w:p>
      <w:pPr>
        <w:pStyle w:val="9"/>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56"/>
          <w:szCs w:val="56"/>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pPr>
        <w:ind w:firstLine="3080" w:firstLineChars="700"/>
        <w:rPr>
          <w:rFonts w:hint="default" w:ascii="Times New Roman" w:hAnsi="Times New Roman" w:eastAsia="黑体" w:cs="Times New Roman"/>
          <w:sz w:val="44"/>
          <w:szCs w:val="44"/>
        </w:rPr>
      </w:pPr>
    </w:p>
    <w:p>
      <w:pPr>
        <w:pStyle w:val="13"/>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rPr>
          <w:rFonts w:hint="eastAsia" w:ascii="Times New Roman" w:hAnsi="Times New Roman" w:eastAsia="楷体" w:cs="Times New Roman"/>
          <w:b/>
          <w:bCs/>
          <w:sz w:val="32"/>
          <w:szCs w:val="32"/>
          <w:lang w:eastAsia="zh-CN"/>
        </w:rPr>
      </w:pPr>
      <w:r>
        <w:rPr>
          <w:rFonts w:hint="default" w:ascii="Times New Roman" w:hAnsi="Times New Roman" w:eastAsia="楷体" w:cs="Times New Roman"/>
          <w:sz w:val="32"/>
          <w:szCs w:val="32"/>
        </w:rPr>
        <w:t>（</w:t>
      </w:r>
      <w:r>
        <w:rPr>
          <w:rFonts w:hint="default" w:ascii="Times New Roman" w:hAnsi="Times New Roman" w:eastAsia="楷体" w:cs="Times New Roman"/>
          <w:b/>
          <w:bCs/>
          <w:sz w:val="32"/>
          <w:szCs w:val="32"/>
        </w:rPr>
        <w:t>一）</w:t>
      </w:r>
      <w:r>
        <w:rPr>
          <w:rFonts w:hint="eastAsia" w:ascii="Times New Roman" w:hAnsi="Times New Roman" w:eastAsia="楷体" w:cs="Times New Roman"/>
          <w:b/>
          <w:bCs/>
          <w:sz w:val="32"/>
          <w:szCs w:val="32"/>
          <w:lang w:eastAsia="zh-CN"/>
        </w:rPr>
        <w:t>主要职能</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（二）2024年重点工作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楷体" w:cs="Times New Roman"/>
          <w:b/>
          <w:bCs/>
          <w:sz w:val="32"/>
          <w:szCs w:val="32"/>
        </w:rPr>
        <w:t>（一）一般公共预算当年拨款规模变化情况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（二）一般公共预算当年拨款结构情况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（三）一般公共预算当年拨款具体使用情况</w:t>
      </w:r>
      <w:r>
        <w:rPr>
          <w:rFonts w:hint="default" w:ascii="Times New Roman" w:hAnsi="Times New Roman" w:cs="Times New Roman"/>
          <w:b/>
          <w:bCs/>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pPr>
        <w:pStyle w:val="13"/>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基本职能及主要工作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w:t>
      </w:r>
      <w:r>
        <w:rPr>
          <w:rFonts w:hint="eastAsia" w:ascii="Times New Roman" w:hAnsi="Times New Roman" w:eastAsia="楷体" w:cs="Times New Roman"/>
          <w:b/>
          <w:bCs/>
          <w:sz w:val="32"/>
          <w:szCs w:val="32"/>
          <w:lang w:eastAsia="zh-CN"/>
        </w:rPr>
        <w:t>主要</w:t>
      </w:r>
      <w:r>
        <w:rPr>
          <w:rFonts w:hint="default" w:ascii="Times New Roman" w:hAnsi="Times New Roman" w:eastAsia="楷体" w:cs="Times New Roman"/>
          <w:b/>
          <w:bCs/>
          <w:sz w:val="32"/>
          <w:szCs w:val="32"/>
        </w:rPr>
        <w:t>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阿坝州机构编制实名制管理中心，为州委编办所属正科级公益一类事业单位，其主要职责为负责全州机构编制统计工作，指导县（市）相关工作；负责全州机构编制实名制管理及网络系统运行、维护等工作，指导和协调各县（市）相关工作；负责州级党政群机关事业单位政务和公益中文域名注册登记和网站名称审核工作，指导和监督县（市）相关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（二）2024年重点工作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有序推进办机关信息化建设，做好办机关IPv6改造升级和实名制系统智能建设。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对标新任务新要求，扎实做好全州机构编制统计工作，高效完成统计任务。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以学习贯彻习近平新时代中国特色社会主义思想主题教育为契机，抓好理论学习和业务学习，不断提升理论素养和业务能力水平。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不断深化机构编制实名制管理工作，全面推行“不见面”上下编工作模式。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继续深化中文域名管理和网站挂标清理规范工作，不断提高域名注册和网站挂标覆盖率。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继续深化办机关网站和微信公众号运行维护工作，加强信息审核，强化安全管理。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阿坝州机构编制实名制管理中心</w:t>
      </w:r>
      <w:r>
        <w:rPr>
          <w:rFonts w:hint="default" w:ascii="Times New Roman" w:hAnsi="Times New Roman" w:eastAsia="仿宋" w:cs="Times New Roman"/>
          <w:sz w:val="32"/>
          <w:szCs w:val="32"/>
        </w:rPr>
        <w:t>属</w:t>
      </w:r>
      <w:r>
        <w:rPr>
          <w:rFonts w:hint="default" w:ascii="Times New Roman" w:hAnsi="Times New Roman" w:eastAsia="仿宋" w:cs="Times New Roman"/>
          <w:sz w:val="32"/>
          <w:szCs w:val="32"/>
          <w:lang w:eastAsia="zh-CN"/>
        </w:rPr>
        <w:t>二级预算</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580" w:lineRule="exact"/>
        <w:ind w:left="720" w:firstLine="0" w:firstLine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2024年收入预算190.32万元，其中：上年结转0万元，占0%；一般公共预算拨款收入190.32万元，占100%；事业收入0万元，占0%；其他收入0万元，占0%。</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支出预算情况</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rPr>
      </w:pPr>
      <w:r>
        <w:rPr>
          <w:rFonts w:hint="default" w:ascii="Times New Roman" w:hAnsi="Times New Roman" w:eastAsia="仿宋" w:cs="Times New Roman"/>
          <w:kern w:val="2"/>
          <w:sz w:val="32"/>
          <w:szCs w:val="32"/>
          <w:lang w:val="en-US" w:eastAsia="zh-CN" w:bidi="ar-SA"/>
        </w:rPr>
        <w:t>2024年支出预算190.32万元，其中：基本支出190.32万元，占100%；项目支出0万元，占0%。</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024年财政拨款收支总预算</w:t>
      </w:r>
      <w:r>
        <w:rPr>
          <w:rFonts w:hint="default" w:ascii="Times New Roman" w:hAnsi="Times New Roman" w:eastAsia="仿宋_GB2312" w:cs="Times New Roman"/>
          <w:sz w:val="32"/>
          <w:szCs w:val="32"/>
          <w:lang w:val="en-US" w:eastAsia="zh-CN"/>
        </w:rPr>
        <w:t>190.32</w:t>
      </w:r>
      <w:r>
        <w:rPr>
          <w:rFonts w:hint="default" w:ascii="Times New Roman" w:hAnsi="Times New Roman" w:eastAsia="仿宋_GB2312" w:cs="Times New Roman"/>
          <w:sz w:val="32"/>
          <w:szCs w:val="32"/>
        </w:rPr>
        <w:t>万元,比2023年财政拨款收支总预算增加</w:t>
      </w:r>
      <w:r>
        <w:rPr>
          <w:rFonts w:hint="default" w:ascii="Times New Roman" w:hAnsi="Times New Roman" w:eastAsia="仿宋_GB2312" w:cs="Times New Roman"/>
          <w:sz w:val="32"/>
          <w:szCs w:val="32"/>
          <w:lang w:val="en-US" w:eastAsia="zh-CN"/>
        </w:rPr>
        <w:t>48.74</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sz w:val="32"/>
          <w:szCs w:val="32"/>
          <w:lang w:eastAsia="zh-CN"/>
        </w:rPr>
        <w:t>人员变动，基数调整。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sz w:val="32"/>
          <w:szCs w:val="32"/>
          <w:lang w:eastAsia="zh-CN"/>
        </w:rPr>
        <w:t>本年</w:t>
      </w:r>
      <w:r>
        <w:rPr>
          <w:rFonts w:hint="default" w:ascii="Times New Roman" w:hAnsi="Times New Roman" w:eastAsia="仿宋_GB2312" w:cs="Times New Roman"/>
          <w:sz w:val="32"/>
          <w:szCs w:val="32"/>
          <w:lang w:val="en-US" w:eastAsia="zh-CN"/>
        </w:rPr>
        <w:t>一般公共预算拨款收入190.32万元，上年结转财政拨款资金0万元。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eastAsia="zh-CN"/>
        </w:rPr>
        <w:t>一般公共服务支出</w:t>
      </w:r>
      <w:r>
        <w:rPr>
          <w:rFonts w:hint="default" w:ascii="Times New Roman" w:hAnsi="Times New Roman" w:eastAsia="仿宋_GB2312" w:cs="Times New Roman"/>
          <w:sz w:val="32"/>
          <w:szCs w:val="32"/>
          <w:lang w:val="en-US" w:eastAsia="zh-CN"/>
        </w:rPr>
        <w:t>135.24万元，社会保障和就业支出26.85万元，卫生健康支出11.75万元，住房保障支出16.48万元。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eastAsia="仿宋_GB2312" w:cs="Times New Roman"/>
          <w:sz w:val="32"/>
          <w:szCs w:val="32"/>
        </w:rPr>
        <w:t>2024年一般公共预算当年拨款</w:t>
      </w:r>
      <w:r>
        <w:rPr>
          <w:rFonts w:hint="default" w:ascii="Times New Roman" w:hAnsi="Times New Roman" w:eastAsia="仿宋_GB2312" w:cs="Times New Roman"/>
          <w:sz w:val="32"/>
          <w:szCs w:val="32"/>
          <w:lang w:val="en-US" w:eastAsia="zh-CN"/>
        </w:rPr>
        <w:t>190.32</w:t>
      </w:r>
      <w:r>
        <w:rPr>
          <w:rFonts w:hint="default" w:ascii="Times New Roman" w:hAnsi="Times New Roman" w:eastAsia="仿宋_GB2312" w:cs="Times New Roman"/>
          <w:sz w:val="32"/>
          <w:szCs w:val="32"/>
        </w:rPr>
        <w:t>万元，比2023年预算数增加</w:t>
      </w:r>
      <w:r>
        <w:rPr>
          <w:rFonts w:hint="default" w:ascii="Times New Roman" w:hAnsi="Times New Roman" w:eastAsia="仿宋_GB2312" w:cs="Times New Roman"/>
          <w:sz w:val="32"/>
          <w:szCs w:val="32"/>
          <w:lang w:val="en-US" w:eastAsia="zh-CN"/>
        </w:rPr>
        <w:t>48.74</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sz w:val="32"/>
          <w:szCs w:val="32"/>
          <w:lang w:eastAsia="zh-CN"/>
        </w:rPr>
        <w:t>人员变动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基数调整</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一般公共预算当年拨款结构情况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default" w:ascii="Times New Roman" w:hAnsi="Times New Roman" w:eastAsia="仿宋_GB2312" w:cs="Times New Roman"/>
          <w:sz w:val="32"/>
          <w:szCs w:val="32"/>
          <w:lang w:val="en-US" w:eastAsia="zh-CN"/>
        </w:rPr>
        <w:t>135.24万元，占71.06%；社会保障和就业支出26.85万元，占14.1%；卫生健康支出11.75万元，占6.17%；住房保障支出16.48万元，占8.67%。</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default" w:ascii="Times New Roman" w:hAnsi="Times New Roman" w:eastAsia="仿宋_GB2312" w:cs="Times New Roman"/>
          <w:sz w:val="32"/>
          <w:szCs w:val="32"/>
          <w:lang w:val="en-US" w:eastAsia="zh-CN"/>
        </w:rPr>
        <w:t>135.24万元，社会保障和就业支出26.85万元，卫生健康支出11.75万元，住房保障支出16.48万元。</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2024年一般公共预算基本支出</w:t>
      </w:r>
      <w:r>
        <w:rPr>
          <w:rFonts w:hint="default" w:ascii="Times New Roman" w:hAnsi="Times New Roman" w:cs="Times New Roman"/>
          <w:kern w:val="2"/>
          <w:sz w:val="32"/>
          <w:szCs w:val="32"/>
          <w:lang w:val="en-US" w:eastAsia="zh-CN"/>
        </w:rPr>
        <w:t>190.32</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167.2</w:t>
      </w:r>
      <w:r>
        <w:rPr>
          <w:rFonts w:hint="eastAsia" w:ascii="Times New Roman" w:hAnsi="Times New Roman" w:cs="Times New Roman"/>
          <w:kern w:val="2"/>
          <w:sz w:val="32"/>
          <w:szCs w:val="32"/>
          <w:lang w:val="en-US" w:eastAsia="zh-CN"/>
        </w:rPr>
        <w:t>3</w:t>
      </w:r>
      <w:r>
        <w:rPr>
          <w:rFonts w:hint="default" w:ascii="Times New Roman" w:hAnsi="Times New Roman" w:cs="Times New Roman"/>
          <w:kern w:val="2"/>
          <w:sz w:val="32"/>
          <w:szCs w:val="32"/>
        </w:rPr>
        <w:t>万元，主要包括：基本工资</w:t>
      </w:r>
      <w:r>
        <w:rPr>
          <w:rFonts w:hint="default" w:ascii="Times New Roman" w:hAnsi="Times New Roman" w:cs="Times New Roman"/>
          <w:kern w:val="2"/>
          <w:sz w:val="32"/>
          <w:szCs w:val="32"/>
          <w:lang w:val="en-US" w:eastAsia="zh-CN"/>
        </w:rPr>
        <w:t>32.59万元</w:t>
      </w:r>
      <w:r>
        <w:rPr>
          <w:rFonts w:hint="default" w:ascii="Times New Roman" w:hAnsi="Times New Roman" w:cs="Times New Roman"/>
          <w:kern w:val="2"/>
          <w:sz w:val="32"/>
          <w:szCs w:val="32"/>
        </w:rPr>
        <w:t>、津贴补贴</w:t>
      </w:r>
      <w:r>
        <w:rPr>
          <w:rFonts w:hint="default" w:ascii="Times New Roman" w:hAnsi="Times New Roman" w:cs="Times New Roman"/>
          <w:kern w:val="2"/>
          <w:sz w:val="32"/>
          <w:szCs w:val="32"/>
          <w:lang w:val="en-US" w:eastAsia="zh-CN"/>
        </w:rPr>
        <w:t>15.21万元</w:t>
      </w:r>
      <w:r>
        <w:rPr>
          <w:rFonts w:hint="default" w:ascii="Times New Roman" w:hAnsi="Times New Roman" w:cs="Times New Roman"/>
          <w:kern w:val="2"/>
          <w:sz w:val="32"/>
          <w:szCs w:val="32"/>
        </w:rPr>
        <w:t>、其他社会保障缴费</w:t>
      </w:r>
      <w:r>
        <w:rPr>
          <w:rFonts w:hint="default" w:ascii="Times New Roman" w:hAnsi="Times New Roman" w:cs="Times New Roman"/>
          <w:kern w:val="2"/>
          <w:sz w:val="32"/>
          <w:szCs w:val="32"/>
          <w:lang w:val="en-US" w:eastAsia="zh-CN"/>
        </w:rPr>
        <w:t>4.59万元</w:t>
      </w:r>
      <w:r>
        <w:rPr>
          <w:rFonts w:hint="default" w:ascii="Times New Roman" w:hAnsi="Times New Roman" w:cs="Times New Roman"/>
          <w:kern w:val="2"/>
          <w:sz w:val="32"/>
          <w:szCs w:val="32"/>
        </w:rPr>
        <w:t>、绩效工资</w:t>
      </w:r>
      <w:r>
        <w:rPr>
          <w:rFonts w:hint="default" w:ascii="Times New Roman" w:hAnsi="Times New Roman" w:cs="Times New Roman"/>
          <w:kern w:val="2"/>
          <w:sz w:val="32"/>
          <w:szCs w:val="32"/>
          <w:lang w:val="en-US" w:eastAsia="zh-CN"/>
        </w:rPr>
        <w:t>61.69万元</w:t>
      </w:r>
      <w:r>
        <w:rPr>
          <w:rFonts w:hint="default" w:ascii="Times New Roman" w:hAnsi="Times New Roman" w:cs="Times New Roman"/>
          <w:kern w:val="2"/>
          <w:sz w:val="32"/>
          <w:szCs w:val="32"/>
        </w:rPr>
        <w:t>、机关事业单位基本养老保险缴费</w:t>
      </w:r>
      <w:r>
        <w:rPr>
          <w:rFonts w:hint="default" w:ascii="Times New Roman" w:hAnsi="Times New Roman" w:cs="Times New Roman"/>
          <w:kern w:val="2"/>
          <w:sz w:val="32"/>
          <w:szCs w:val="32"/>
          <w:lang w:val="en-US" w:eastAsia="zh-CN"/>
        </w:rPr>
        <w:t>17.9万元</w:t>
      </w:r>
      <w:r>
        <w:rPr>
          <w:rFonts w:hint="default" w:ascii="Times New Roman" w:hAnsi="Times New Roman" w:cs="Times New Roman"/>
          <w:kern w:val="2"/>
          <w:sz w:val="32"/>
          <w:szCs w:val="32"/>
        </w:rPr>
        <w:t>、职业年金缴费</w:t>
      </w:r>
      <w:r>
        <w:rPr>
          <w:rFonts w:hint="default" w:ascii="Times New Roman" w:hAnsi="Times New Roman" w:cs="Times New Roman"/>
          <w:kern w:val="2"/>
          <w:sz w:val="32"/>
          <w:szCs w:val="32"/>
          <w:lang w:val="en-US" w:eastAsia="zh-CN"/>
        </w:rPr>
        <w:t>8.95万元</w:t>
      </w:r>
      <w:r>
        <w:rPr>
          <w:rFonts w:hint="default" w:ascii="Times New Roman" w:hAnsi="Times New Roman" w:cs="Times New Roman"/>
          <w:kern w:val="2"/>
          <w:sz w:val="32"/>
          <w:szCs w:val="32"/>
        </w:rPr>
        <w:t>、住房公积金</w:t>
      </w:r>
      <w:r>
        <w:rPr>
          <w:rFonts w:hint="default" w:ascii="Times New Roman" w:hAnsi="Times New Roman" w:cs="Times New Roman"/>
          <w:kern w:val="2"/>
          <w:sz w:val="32"/>
          <w:szCs w:val="32"/>
          <w:lang w:val="en-US" w:eastAsia="zh-CN"/>
        </w:rPr>
        <w:t>16.48万元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职工基本医疗保险缴费</w:t>
      </w:r>
      <w:r>
        <w:rPr>
          <w:rFonts w:hint="default" w:ascii="Times New Roman" w:hAnsi="Times New Roman" w:cs="Times New Roman"/>
          <w:kern w:val="2"/>
          <w:sz w:val="32"/>
          <w:szCs w:val="32"/>
          <w:lang w:val="en-US" w:eastAsia="zh-CN"/>
        </w:rPr>
        <w:t>9.8万元、对个人和家庭的补助0.01万元</w:t>
      </w:r>
      <w:r>
        <w:rPr>
          <w:rFonts w:hint="default" w:ascii="Times New Roman" w:hAnsi="Times New Roman" w:cs="Times New Roman"/>
          <w:kern w:val="2"/>
          <w:sz w:val="32"/>
          <w:szCs w:val="32"/>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23.09</w:t>
      </w:r>
      <w:r>
        <w:rPr>
          <w:rFonts w:hint="default" w:ascii="Times New Roman" w:hAnsi="Times New Roman" w:cs="Times New Roman"/>
          <w:kern w:val="2"/>
          <w:sz w:val="32"/>
          <w:szCs w:val="32"/>
        </w:rPr>
        <w:t>万元，主要包括：办公费</w:t>
      </w:r>
      <w:r>
        <w:rPr>
          <w:rFonts w:hint="default" w:ascii="Times New Roman" w:hAnsi="Times New Roman" w:cs="Times New Roman"/>
          <w:kern w:val="2"/>
          <w:sz w:val="32"/>
          <w:szCs w:val="32"/>
          <w:lang w:val="en-US" w:eastAsia="zh-CN"/>
        </w:rPr>
        <w:t>0.97万元</w:t>
      </w:r>
      <w:r>
        <w:rPr>
          <w:rFonts w:hint="default" w:ascii="Times New Roman" w:hAnsi="Times New Roman" w:cs="Times New Roman"/>
          <w:kern w:val="2"/>
          <w:sz w:val="32"/>
          <w:szCs w:val="32"/>
        </w:rPr>
        <w:t>、水费</w:t>
      </w:r>
      <w:r>
        <w:rPr>
          <w:rFonts w:hint="default" w:ascii="Times New Roman" w:hAnsi="Times New Roman" w:cs="Times New Roman"/>
          <w:kern w:val="2"/>
          <w:sz w:val="32"/>
          <w:szCs w:val="32"/>
          <w:lang w:val="en-US" w:eastAsia="zh-CN"/>
        </w:rPr>
        <w:t>0.29万元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取暖</w:t>
      </w:r>
      <w:r>
        <w:rPr>
          <w:rFonts w:hint="default" w:ascii="Times New Roman" w:hAnsi="Times New Roman" w:cs="Times New Roman"/>
          <w:kern w:val="2"/>
          <w:sz w:val="32"/>
          <w:szCs w:val="32"/>
        </w:rPr>
        <w:t>费</w:t>
      </w:r>
      <w:r>
        <w:rPr>
          <w:rFonts w:hint="default" w:ascii="Times New Roman" w:hAnsi="Times New Roman" w:cs="Times New Roman"/>
          <w:kern w:val="2"/>
          <w:sz w:val="32"/>
          <w:szCs w:val="32"/>
          <w:lang w:val="en-US" w:eastAsia="zh-CN"/>
        </w:rPr>
        <w:t>0.39万元</w:t>
      </w:r>
      <w:r>
        <w:rPr>
          <w:rFonts w:hint="default" w:ascii="Times New Roman" w:hAnsi="Times New Roman" w:cs="Times New Roman"/>
          <w:kern w:val="2"/>
          <w:sz w:val="32"/>
          <w:szCs w:val="32"/>
        </w:rPr>
        <w:t>、邮电费</w:t>
      </w:r>
      <w:r>
        <w:rPr>
          <w:rFonts w:hint="default" w:ascii="Times New Roman" w:hAnsi="Times New Roman" w:cs="Times New Roman"/>
          <w:kern w:val="2"/>
          <w:sz w:val="32"/>
          <w:szCs w:val="32"/>
          <w:lang w:val="en-US" w:eastAsia="zh-CN"/>
        </w:rPr>
        <w:t>0.85万元</w:t>
      </w:r>
      <w:r>
        <w:rPr>
          <w:rFonts w:hint="default" w:ascii="Times New Roman" w:hAnsi="Times New Roman" w:cs="Times New Roman"/>
          <w:kern w:val="2"/>
          <w:sz w:val="32"/>
          <w:szCs w:val="32"/>
        </w:rPr>
        <w:t>、差旅费</w:t>
      </w:r>
      <w:r>
        <w:rPr>
          <w:rFonts w:hint="default" w:ascii="Times New Roman" w:hAnsi="Times New Roman" w:cs="Times New Roman"/>
          <w:kern w:val="2"/>
          <w:sz w:val="32"/>
          <w:szCs w:val="32"/>
          <w:lang w:val="en-US" w:eastAsia="zh-CN"/>
        </w:rPr>
        <w:t>8.62万元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公务接待</w:t>
      </w:r>
      <w:r>
        <w:rPr>
          <w:rFonts w:hint="default" w:ascii="Times New Roman" w:hAnsi="Times New Roman" w:cs="Times New Roman"/>
          <w:kern w:val="2"/>
          <w:sz w:val="32"/>
          <w:szCs w:val="32"/>
        </w:rPr>
        <w:t>费</w:t>
      </w:r>
      <w:r>
        <w:rPr>
          <w:rFonts w:hint="default" w:ascii="Times New Roman" w:hAnsi="Times New Roman" w:cs="Times New Roman"/>
          <w:kern w:val="2"/>
          <w:sz w:val="32"/>
          <w:szCs w:val="32"/>
          <w:lang w:val="en-US" w:eastAsia="zh-CN"/>
        </w:rPr>
        <w:t>0.31万元</w:t>
      </w:r>
      <w:r>
        <w:rPr>
          <w:rFonts w:hint="default" w:ascii="Times New Roman" w:hAnsi="Times New Roman" w:cs="Times New Roman"/>
          <w:kern w:val="2"/>
          <w:sz w:val="32"/>
          <w:szCs w:val="32"/>
        </w:rPr>
        <w:t>、培训费</w:t>
      </w:r>
      <w:r>
        <w:rPr>
          <w:rFonts w:hint="default" w:ascii="Times New Roman" w:hAnsi="Times New Roman" w:cs="Times New Roman"/>
          <w:kern w:val="2"/>
          <w:sz w:val="32"/>
          <w:szCs w:val="32"/>
          <w:lang w:val="en-US" w:eastAsia="zh-CN"/>
        </w:rPr>
        <w:t>1.85万元</w:t>
      </w:r>
      <w:r>
        <w:rPr>
          <w:rFonts w:hint="default" w:ascii="Times New Roman" w:hAnsi="Times New Roman" w:cs="Times New Roman"/>
          <w:kern w:val="2"/>
          <w:sz w:val="32"/>
          <w:szCs w:val="32"/>
        </w:rPr>
        <w:t>、福利费</w:t>
      </w:r>
      <w:r>
        <w:rPr>
          <w:rFonts w:hint="default" w:ascii="Times New Roman" w:hAnsi="Times New Roman" w:cs="Times New Roman"/>
          <w:kern w:val="2"/>
          <w:sz w:val="32"/>
          <w:szCs w:val="32"/>
          <w:lang w:val="en-US" w:eastAsia="zh-CN"/>
        </w:rPr>
        <w:t>2.2万元</w:t>
      </w:r>
      <w:r>
        <w:rPr>
          <w:rFonts w:hint="default" w:ascii="Times New Roman" w:hAnsi="Times New Roman" w:cs="Times New Roman"/>
          <w:kern w:val="2"/>
          <w:sz w:val="32"/>
          <w:szCs w:val="32"/>
        </w:rPr>
        <w:t>、其他商品和服务支出</w:t>
      </w:r>
      <w:r>
        <w:rPr>
          <w:rFonts w:hint="default" w:ascii="Times New Roman" w:hAnsi="Times New Roman" w:cs="Times New Roman"/>
          <w:kern w:val="2"/>
          <w:sz w:val="32"/>
          <w:szCs w:val="32"/>
          <w:lang w:val="en-US" w:eastAsia="zh-CN"/>
        </w:rPr>
        <w:t>7.61万元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2024年“三公”经费财政拨款预算数</w:t>
      </w:r>
      <w:r>
        <w:rPr>
          <w:rFonts w:hint="default" w:ascii="Times New Roman" w:hAnsi="Times New Roman" w:cs="Times New Roman"/>
          <w:kern w:val="2"/>
          <w:sz w:val="32"/>
          <w:szCs w:val="32"/>
          <w:lang w:val="en-US" w:eastAsia="zh-CN"/>
        </w:rPr>
        <w:t>0.31</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0.31</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b/>
          <w:bCs/>
          <w:kern w:val="2"/>
          <w:sz w:val="32"/>
          <w:szCs w:val="32"/>
        </w:rPr>
      </w:pPr>
      <w:r>
        <w:rPr>
          <w:rFonts w:hint="default" w:ascii="Times New Roman" w:hAnsi="Times New Roman" w:cs="Times New Roman"/>
          <w:b/>
          <w:bCs/>
          <w:kern w:val="2"/>
          <w:sz w:val="32"/>
          <w:szCs w:val="32"/>
        </w:rPr>
        <w:t>（一）2024年</w:t>
      </w:r>
      <w:r>
        <w:rPr>
          <w:rFonts w:hint="default" w:ascii="Times New Roman" w:hAnsi="Times New Roman" w:cs="Times New Roman"/>
          <w:b/>
          <w:bCs/>
          <w:kern w:val="2"/>
          <w:sz w:val="32"/>
          <w:szCs w:val="32"/>
          <w:lang w:eastAsia="zh-CN"/>
        </w:rPr>
        <w:t>未安排</w:t>
      </w:r>
      <w:r>
        <w:rPr>
          <w:rFonts w:hint="default" w:ascii="Times New Roman" w:hAnsi="Times New Roman" w:cs="Times New Roman"/>
          <w:b/>
          <w:bCs/>
          <w:kern w:val="2"/>
          <w:sz w:val="32"/>
          <w:szCs w:val="32"/>
        </w:rPr>
        <w:t>因公出国（境）经费。</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cs="Times New Roman"/>
          <w:b/>
          <w:bCs/>
          <w:kern w:val="2"/>
          <w:sz w:val="32"/>
          <w:szCs w:val="32"/>
        </w:rPr>
        <w:t>（二）</w:t>
      </w:r>
      <w:r>
        <w:rPr>
          <w:rFonts w:hint="default" w:ascii="Times New Roman" w:hAnsi="Times New Roman" w:cs="Times New Roman"/>
          <w:b/>
          <w:bCs/>
          <w:color w:val="000000"/>
          <w:kern w:val="2"/>
          <w:sz w:val="32"/>
          <w:szCs w:val="32"/>
        </w:rPr>
        <w:t>2024年公务接待经费</w:t>
      </w:r>
      <w:r>
        <w:rPr>
          <w:rFonts w:hint="default" w:ascii="Times New Roman" w:hAnsi="Times New Roman" w:cs="Times New Roman"/>
          <w:b/>
          <w:bCs/>
          <w:color w:val="000000"/>
          <w:kern w:val="2"/>
          <w:sz w:val="32"/>
          <w:szCs w:val="32"/>
          <w:lang w:val="en-US" w:eastAsia="zh-CN"/>
        </w:rPr>
        <w:t>0.31</w:t>
      </w:r>
      <w:r>
        <w:rPr>
          <w:rFonts w:hint="default" w:ascii="Times New Roman" w:hAnsi="Times New Roman" w:cs="Times New Roman"/>
          <w:b/>
          <w:bCs/>
          <w:color w:val="000000"/>
          <w:kern w:val="2"/>
          <w:sz w:val="32"/>
          <w:szCs w:val="32"/>
        </w:rPr>
        <w:t>万元。</w:t>
      </w:r>
      <w:r>
        <w:rPr>
          <w:rFonts w:hint="default" w:ascii="Times New Roman" w:hAnsi="Times New Roman" w:cs="Times New Roman"/>
          <w:color w:val="000000"/>
          <w:kern w:val="2"/>
          <w:sz w:val="32"/>
          <w:szCs w:val="32"/>
        </w:rPr>
        <w:t>较2023年预算经费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lang w:val="en-US" w:eastAsia="zh-CN"/>
        </w:rPr>
        <w:t>0.07</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，主要原因：人员变动，基数调整。</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b/>
          <w:bCs/>
          <w:color w:val="000000"/>
          <w:kern w:val="2"/>
          <w:sz w:val="32"/>
          <w:szCs w:val="32"/>
        </w:rPr>
      </w:pPr>
      <w:r>
        <w:rPr>
          <w:rFonts w:hint="default" w:ascii="Times New Roman" w:hAnsi="Times New Roman" w:cs="Times New Roman"/>
          <w:b/>
          <w:bCs/>
          <w:color w:val="000000"/>
          <w:kern w:val="2"/>
          <w:sz w:val="32"/>
          <w:szCs w:val="32"/>
        </w:rPr>
        <w:t>（三）2024年</w:t>
      </w:r>
      <w:r>
        <w:rPr>
          <w:rFonts w:hint="default" w:ascii="Times New Roman" w:hAnsi="Times New Roman" w:cs="Times New Roman"/>
          <w:b/>
          <w:bCs/>
          <w:color w:val="000000"/>
          <w:kern w:val="2"/>
          <w:sz w:val="32"/>
          <w:szCs w:val="32"/>
          <w:lang w:eastAsia="zh-CN"/>
        </w:rPr>
        <w:t>无</w:t>
      </w:r>
      <w:r>
        <w:rPr>
          <w:rFonts w:hint="default" w:ascii="Times New Roman" w:hAnsi="Times New Roman" w:cs="Times New Roman"/>
          <w:b/>
          <w:bCs/>
          <w:color w:val="000000"/>
          <w:kern w:val="2"/>
          <w:sz w:val="32"/>
          <w:szCs w:val="32"/>
        </w:rPr>
        <w:t>公务用车购置及运行维护费</w:t>
      </w:r>
      <w:r>
        <w:rPr>
          <w:rFonts w:hint="default" w:ascii="Times New Roman" w:hAnsi="Times New Roman" w:cs="Times New Roman"/>
          <w:b/>
          <w:bCs/>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无</w:t>
      </w:r>
      <w:r>
        <w:rPr>
          <w:rFonts w:hint="default" w:ascii="Times New Roman" w:hAnsi="Times New Roman" w:cs="Times New Roman"/>
          <w:kern w:val="2"/>
          <w:sz w:val="32"/>
          <w:szCs w:val="32"/>
        </w:rPr>
        <w:t>政府性基金预算。</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color w:val="000000"/>
          <w:kern w:val="2"/>
          <w:sz w:val="32"/>
          <w:szCs w:val="32"/>
          <w:lang w:eastAsia="zh-CN"/>
        </w:rPr>
      </w:pPr>
      <w:r>
        <w:rPr>
          <w:rFonts w:hint="default" w:ascii="Times New Roman" w:hAnsi="Times New Roman" w:eastAsia="楷体_GB2312" w:cs="Times New Roman"/>
          <w:b/>
          <w:bCs/>
          <w:kern w:val="2"/>
          <w:sz w:val="32"/>
          <w:szCs w:val="32"/>
          <w:lang w:eastAsia="zh-CN"/>
        </w:rPr>
        <w:t>（一）机关运行经费</w:t>
      </w:r>
      <w:r>
        <w:rPr>
          <w:rFonts w:hint="default" w:ascii="Times New Roman" w:hAnsi="Times New Roman" w:eastAsia="楷体_GB2312" w:cs="Times New Roman"/>
          <w:b/>
          <w:bCs/>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kern w:val="2"/>
          <w:sz w:val="32"/>
          <w:szCs w:val="32"/>
          <w:lang w:val="en-US" w:eastAsia="zh-CN"/>
        </w:rPr>
        <w:t>2</w:t>
      </w:r>
      <w:r>
        <w:rPr>
          <w:rFonts w:hint="default" w:ascii="Times New Roman" w:hAnsi="Times New Roman" w:cs="Times New Roman"/>
          <w:kern w:val="2"/>
          <w:sz w:val="32"/>
          <w:szCs w:val="32"/>
        </w:rPr>
        <w:t>024年机关运行经费财政拨款预算为</w:t>
      </w:r>
      <w:r>
        <w:rPr>
          <w:rFonts w:hint="default" w:ascii="Times New Roman" w:hAnsi="Times New Roman" w:cs="Times New Roman"/>
          <w:kern w:val="2"/>
          <w:sz w:val="32"/>
          <w:szCs w:val="32"/>
          <w:lang w:val="en-US" w:eastAsia="zh-CN"/>
        </w:rPr>
        <w:t>190.32</w:t>
      </w:r>
      <w:r>
        <w:rPr>
          <w:rFonts w:hint="default" w:ascii="Times New Roman" w:hAnsi="Times New Roman" w:cs="Times New Roman"/>
          <w:kern w:val="2"/>
          <w:sz w:val="32"/>
          <w:szCs w:val="32"/>
        </w:rPr>
        <w:t>万元，比2023年预算</w:t>
      </w:r>
      <w:r>
        <w:rPr>
          <w:rFonts w:hint="default" w:ascii="Times New Roman" w:hAnsi="Times New Roman" w:cs="Times New Roman"/>
          <w:sz w:val="32"/>
          <w:szCs w:val="32"/>
        </w:rPr>
        <w:t>增</w:t>
      </w:r>
      <w:r>
        <w:rPr>
          <w:rFonts w:hint="default" w:ascii="Times New Roman" w:hAnsi="Times New Roman" w:cs="Times New Roman"/>
          <w:sz w:val="32"/>
          <w:szCs w:val="32"/>
          <w:lang w:eastAsia="zh-CN"/>
        </w:rPr>
        <w:t>加</w:t>
      </w:r>
      <w:r>
        <w:rPr>
          <w:rFonts w:hint="default" w:ascii="Times New Roman" w:hAnsi="Times New Roman" w:cs="Times New Roman"/>
          <w:sz w:val="32"/>
          <w:szCs w:val="32"/>
          <w:lang w:val="en-US" w:eastAsia="zh-CN"/>
        </w:rPr>
        <w:t>48.74</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color w:val="000000"/>
          <w:kern w:val="2"/>
          <w:sz w:val="32"/>
          <w:szCs w:val="32"/>
          <w:lang w:eastAsia="zh-CN"/>
        </w:rPr>
      </w:pPr>
      <w:r>
        <w:rPr>
          <w:rFonts w:hint="default" w:ascii="Times New Roman" w:hAnsi="Times New Roman" w:eastAsia="楷体_GB2312" w:cs="Times New Roman"/>
          <w:b/>
          <w:bCs/>
          <w:kern w:val="2"/>
          <w:sz w:val="32"/>
          <w:szCs w:val="32"/>
          <w:lang w:eastAsia="zh-CN"/>
        </w:rPr>
        <w:t>（二）政府采购情况</w:t>
      </w:r>
      <w:r>
        <w:rPr>
          <w:rFonts w:hint="default" w:ascii="Times New Roman" w:hAnsi="Times New Roman" w:eastAsia="楷体_GB2312" w:cs="Times New Roman"/>
          <w:b/>
          <w:bCs/>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2024年</w:t>
      </w:r>
      <w:r>
        <w:rPr>
          <w:rFonts w:hint="default" w:ascii="Times New Roman" w:hAnsi="Times New Roman" w:cs="Times New Roman"/>
          <w:kern w:val="2"/>
          <w:sz w:val="32"/>
          <w:szCs w:val="32"/>
          <w:lang w:eastAsia="zh-CN"/>
        </w:rPr>
        <w:t>未</w:t>
      </w:r>
      <w:r>
        <w:rPr>
          <w:rFonts w:hint="default" w:ascii="Times New Roman" w:hAnsi="Times New Roman" w:cs="Times New Roman"/>
          <w:color w:val="000000"/>
          <w:kern w:val="2"/>
          <w:sz w:val="32"/>
          <w:szCs w:val="32"/>
        </w:rPr>
        <w:t>安排政府采购预算</w:t>
      </w:r>
      <w:r>
        <w:rPr>
          <w:rFonts w:hint="default" w:ascii="Times New Roman" w:hAnsi="Times New Roman" w:cs="Times New Roman"/>
          <w:color w:val="000000"/>
          <w:kern w:val="2"/>
          <w:sz w:val="32"/>
          <w:szCs w:val="32"/>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left="640" w:leftChars="0"/>
        <w:jc w:val="left"/>
        <w:textAlignment w:val="auto"/>
        <w:rPr>
          <w:rFonts w:hint="default" w:ascii="Times New Roman" w:hAnsi="Times New Roman" w:eastAsia="楷体_GB2312" w:cs="Times New Roman"/>
          <w:b/>
          <w:bCs/>
          <w:kern w:val="2"/>
          <w:sz w:val="32"/>
          <w:szCs w:val="32"/>
          <w:lang w:eastAsia="zh-CN"/>
        </w:rPr>
      </w:pPr>
      <w:r>
        <w:rPr>
          <w:rFonts w:hint="default" w:ascii="Times New Roman" w:hAnsi="Times New Roman" w:eastAsia="楷体_GB2312" w:cs="Times New Roman"/>
          <w:b/>
          <w:bCs/>
          <w:kern w:val="2"/>
          <w:sz w:val="32"/>
          <w:szCs w:val="32"/>
          <w:lang w:eastAsia="zh-CN"/>
        </w:rPr>
        <w:t>（三）国有资产占有使用情况</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960" w:firstLineChars="3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2023</w:t>
      </w:r>
      <w:r>
        <w:rPr>
          <w:rFonts w:hint="default" w:ascii="Times New Roman" w:hAnsi="Times New Roman" w:cs="Times New Roman"/>
          <w:kern w:val="2"/>
          <w:sz w:val="32"/>
          <w:szCs w:val="32"/>
          <w:lang w:eastAsia="zh-CN"/>
        </w:rPr>
        <w:t>年末</w:t>
      </w:r>
      <w:r>
        <w:rPr>
          <w:rFonts w:hint="default" w:ascii="Times New Roman" w:hAnsi="Times New Roman" w:cs="Times New Roman"/>
          <w:kern w:val="2"/>
          <w:sz w:val="32"/>
          <w:szCs w:val="32"/>
        </w:rPr>
        <w:t>固定资产</w:t>
      </w:r>
      <w:r>
        <w:rPr>
          <w:rFonts w:hint="default" w:ascii="Times New Roman" w:hAnsi="Times New Roman" w:cs="Times New Roman"/>
          <w:kern w:val="2"/>
          <w:sz w:val="32"/>
          <w:szCs w:val="32"/>
          <w:lang w:eastAsia="zh-CN"/>
        </w:rPr>
        <w:t>总额为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left="640" w:leftChars="0"/>
        <w:jc w:val="left"/>
        <w:textAlignment w:val="auto"/>
        <w:rPr>
          <w:rFonts w:hint="default" w:ascii="Times New Roman" w:hAnsi="Times New Roman" w:eastAsia="楷体_GB2312" w:cs="Times New Roman"/>
          <w:b/>
          <w:bCs/>
          <w:kern w:val="2"/>
          <w:sz w:val="32"/>
          <w:szCs w:val="32"/>
        </w:rPr>
      </w:pPr>
      <w:r>
        <w:rPr>
          <w:rFonts w:hint="eastAsia" w:ascii="Times New Roman" w:hAnsi="Times New Roman" w:eastAsia="楷体_GB2312" w:cs="Times New Roman"/>
          <w:b/>
          <w:bCs/>
          <w:kern w:val="2"/>
          <w:sz w:val="32"/>
          <w:szCs w:val="32"/>
          <w:lang w:eastAsia="zh-CN"/>
        </w:rPr>
        <w:t>（四）</w:t>
      </w:r>
      <w:r>
        <w:rPr>
          <w:rFonts w:hint="default" w:ascii="Times New Roman" w:hAnsi="Times New Roman" w:eastAsia="楷体_GB2312" w:cs="Times New Roman"/>
          <w:b/>
          <w:bCs/>
          <w:kern w:val="2"/>
          <w:sz w:val="32"/>
          <w:szCs w:val="32"/>
        </w:rPr>
        <w:t>绩效目标设置情况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2024年</w:t>
      </w:r>
      <w:r>
        <w:rPr>
          <w:rFonts w:hint="default" w:ascii="Times New Roman" w:hAnsi="Times New Roman" w:cs="Times New Roman"/>
          <w:kern w:val="2"/>
          <w:sz w:val="32"/>
          <w:szCs w:val="32"/>
          <w:lang w:eastAsia="zh-CN"/>
        </w:rPr>
        <w:t>各个</w:t>
      </w:r>
      <w:r>
        <w:rPr>
          <w:rFonts w:hint="default" w:ascii="Times New Roman" w:hAnsi="Times New Roman" w:cs="Times New Roman"/>
          <w:kern w:val="2"/>
          <w:sz w:val="32"/>
          <w:szCs w:val="32"/>
        </w:rPr>
        <w:t>项目均按要求实行绩效目标管理</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涉及一般公共预算当年拨款</w:t>
      </w:r>
      <w:r>
        <w:rPr>
          <w:rFonts w:hint="default" w:ascii="Times New Roman" w:hAnsi="Times New Roman" w:cs="Times New Roman"/>
          <w:kern w:val="2"/>
          <w:sz w:val="32"/>
          <w:szCs w:val="32"/>
          <w:lang w:val="en-US" w:eastAsia="zh-CN"/>
        </w:rPr>
        <w:t>190.32</w:t>
      </w:r>
      <w:r>
        <w:rPr>
          <w:rFonts w:hint="default" w:ascii="Times New Roman" w:hAnsi="Times New Roman" w:cs="Times New Roman"/>
          <w:kern w:val="2"/>
          <w:sz w:val="32"/>
          <w:szCs w:val="32"/>
        </w:rPr>
        <w:t>万元。</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640" w:leftChars="0"/>
        <w:jc w:val="left"/>
        <w:textAlignment w:val="auto"/>
        <w:rPr>
          <w:rFonts w:hint="default" w:ascii="Times New Roman" w:hAnsi="Times New Roman" w:cs="Times New Roman"/>
          <w:kern w:val="2"/>
          <w:sz w:val="32"/>
          <w:szCs w:val="32"/>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jc w:val="left"/>
        <w:textAlignment w:val="auto"/>
        <w:rPr>
          <w:rFonts w:hint="default" w:ascii="Times New Roman" w:hAnsi="Times New Roman" w:cs="Times New Roman"/>
          <w:kern w:val="2"/>
          <w:sz w:val="32"/>
          <w:szCs w:val="32"/>
        </w:rPr>
      </w:pP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headerReference r:id="rId3" w:type="default"/>
      <w:footerReference r:id="rId4" w:type="default"/>
      <w:pgSz w:w="11906" w:h="16838"/>
      <w:pgMar w:top="2098" w:right="1587"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5DBD"/>
    <w:multiLevelType w:val="singleLevel"/>
    <w:tmpl w:val="DBBD5DBD"/>
    <w:lvl w:ilvl="0" w:tentative="0">
      <w:start w:val="4"/>
      <w:numFmt w:val="chineseCounting"/>
      <w:suff w:val="nothing"/>
      <w:lvlText w:val="%1、"/>
      <w:lvlJc w:val="left"/>
      <w:rPr>
        <w:rFonts w:hint="eastAsia"/>
      </w:rPr>
    </w:lvl>
  </w:abstractNum>
  <w:abstractNum w:abstractNumId="1">
    <w:nsid w:val="EFEF89BE"/>
    <w:multiLevelType w:val="singleLevel"/>
    <w:tmpl w:val="EFEF89BE"/>
    <w:lvl w:ilvl="0" w:tentative="0">
      <w:start w:val="2"/>
      <w:numFmt w:val="chineseCounting"/>
      <w:suff w:val="nothing"/>
      <w:lvlText w:val="（%1）"/>
      <w:lvlJc w:val="left"/>
      <w:pPr>
        <w:ind w:left="640" w:leftChars="0" w:firstLine="0" w:firstLineChars="0"/>
      </w:pPr>
      <w:rPr>
        <w:rFonts w:hint="eastAsia"/>
      </w:rPr>
    </w:lvl>
  </w:abstractNum>
  <w:abstractNum w:abstractNumId="2">
    <w:nsid w:val="3BDF3D4C"/>
    <w:multiLevelType w:val="singleLevel"/>
    <w:tmpl w:val="3BDF3D4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57F56C4"/>
    <w:rsid w:val="15F6093B"/>
    <w:rsid w:val="17F766E9"/>
    <w:rsid w:val="1B9755E5"/>
    <w:rsid w:val="1D6F409D"/>
    <w:rsid w:val="1EFBE506"/>
    <w:rsid w:val="23F7674A"/>
    <w:rsid w:val="25FF0965"/>
    <w:rsid w:val="27C81733"/>
    <w:rsid w:val="27DE3EBD"/>
    <w:rsid w:val="2A7FB1D4"/>
    <w:rsid w:val="2AFE2EA5"/>
    <w:rsid w:val="2CDCCD19"/>
    <w:rsid w:val="2F1FFDBC"/>
    <w:rsid w:val="2F3F576A"/>
    <w:rsid w:val="2F6EBA0D"/>
    <w:rsid w:val="2F8FFDA4"/>
    <w:rsid w:val="2F9FB4CF"/>
    <w:rsid w:val="2FDED056"/>
    <w:rsid w:val="35E74E84"/>
    <w:rsid w:val="35FB1879"/>
    <w:rsid w:val="365DA843"/>
    <w:rsid w:val="36D59E39"/>
    <w:rsid w:val="37F7D3D9"/>
    <w:rsid w:val="3AFF5925"/>
    <w:rsid w:val="3BB77E22"/>
    <w:rsid w:val="3BED13F2"/>
    <w:rsid w:val="3BFF372E"/>
    <w:rsid w:val="3C9AD3B9"/>
    <w:rsid w:val="3ECC11AD"/>
    <w:rsid w:val="3FDF0B2E"/>
    <w:rsid w:val="3FDFB6A3"/>
    <w:rsid w:val="3FEF6003"/>
    <w:rsid w:val="3FF3EB6B"/>
    <w:rsid w:val="3FFB20A4"/>
    <w:rsid w:val="477B751C"/>
    <w:rsid w:val="48F7FBC3"/>
    <w:rsid w:val="4BBBC8B2"/>
    <w:rsid w:val="4E7FD064"/>
    <w:rsid w:val="4FFBE0B3"/>
    <w:rsid w:val="4FFF714A"/>
    <w:rsid w:val="53E7684A"/>
    <w:rsid w:val="54BE7CC9"/>
    <w:rsid w:val="56C94351"/>
    <w:rsid w:val="577DD526"/>
    <w:rsid w:val="5A7CBE61"/>
    <w:rsid w:val="5AFAA920"/>
    <w:rsid w:val="5B7B8D0E"/>
    <w:rsid w:val="5B9F16AE"/>
    <w:rsid w:val="5BF6E3EE"/>
    <w:rsid w:val="5CEBC7A5"/>
    <w:rsid w:val="5D7DCFEA"/>
    <w:rsid w:val="5D7F2F83"/>
    <w:rsid w:val="5DC6B4FE"/>
    <w:rsid w:val="5DEFF983"/>
    <w:rsid w:val="5E6F0EAE"/>
    <w:rsid w:val="5F3F53BB"/>
    <w:rsid w:val="5FBE2324"/>
    <w:rsid w:val="5FDBF2CB"/>
    <w:rsid w:val="5FEBD17A"/>
    <w:rsid w:val="5FFA8ED4"/>
    <w:rsid w:val="5FFB7BBF"/>
    <w:rsid w:val="5FFF8778"/>
    <w:rsid w:val="5FFFE914"/>
    <w:rsid w:val="62DFCBC4"/>
    <w:rsid w:val="63B5995E"/>
    <w:rsid w:val="6555AD62"/>
    <w:rsid w:val="66F3D153"/>
    <w:rsid w:val="69FC6133"/>
    <w:rsid w:val="6ABF8809"/>
    <w:rsid w:val="6BFFBEEE"/>
    <w:rsid w:val="6C255E87"/>
    <w:rsid w:val="6DFCCB2E"/>
    <w:rsid w:val="6EEE9153"/>
    <w:rsid w:val="6EFF2C89"/>
    <w:rsid w:val="6F3F34AF"/>
    <w:rsid w:val="6FBD518E"/>
    <w:rsid w:val="6FE7D632"/>
    <w:rsid w:val="6FF658D7"/>
    <w:rsid w:val="6FFD9E07"/>
    <w:rsid w:val="72CF1D94"/>
    <w:rsid w:val="72D2BCEF"/>
    <w:rsid w:val="72FF1DB7"/>
    <w:rsid w:val="734B2478"/>
    <w:rsid w:val="73BF3697"/>
    <w:rsid w:val="73FFFCFE"/>
    <w:rsid w:val="74BFE7B0"/>
    <w:rsid w:val="75770339"/>
    <w:rsid w:val="77B7F7AF"/>
    <w:rsid w:val="77BF8018"/>
    <w:rsid w:val="77C7DEFD"/>
    <w:rsid w:val="77F9E445"/>
    <w:rsid w:val="77FB79F8"/>
    <w:rsid w:val="77FBC2CB"/>
    <w:rsid w:val="77FFB642"/>
    <w:rsid w:val="77FFE32D"/>
    <w:rsid w:val="78D9E738"/>
    <w:rsid w:val="79FF4880"/>
    <w:rsid w:val="7ABF4227"/>
    <w:rsid w:val="7BBC522F"/>
    <w:rsid w:val="7BEBC509"/>
    <w:rsid w:val="7BEFB9E6"/>
    <w:rsid w:val="7C9BE634"/>
    <w:rsid w:val="7CE79F7A"/>
    <w:rsid w:val="7D6FA07B"/>
    <w:rsid w:val="7DB7A0D7"/>
    <w:rsid w:val="7DBD6B32"/>
    <w:rsid w:val="7DEB07F4"/>
    <w:rsid w:val="7DEF9A76"/>
    <w:rsid w:val="7EBB1D78"/>
    <w:rsid w:val="7EBB47A9"/>
    <w:rsid w:val="7EE9CA01"/>
    <w:rsid w:val="7EF750CE"/>
    <w:rsid w:val="7EF8E7EF"/>
    <w:rsid w:val="7EFE422F"/>
    <w:rsid w:val="7F0D7279"/>
    <w:rsid w:val="7F3D6D97"/>
    <w:rsid w:val="7F4FB2D5"/>
    <w:rsid w:val="7F670DA1"/>
    <w:rsid w:val="7F734E51"/>
    <w:rsid w:val="7F7E4A17"/>
    <w:rsid w:val="7F7F36D6"/>
    <w:rsid w:val="7F8FEB55"/>
    <w:rsid w:val="7F9BBC3D"/>
    <w:rsid w:val="7FC3A5B8"/>
    <w:rsid w:val="7FEFB120"/>
    <w:rsid w:val="7FF543A5"/>
    <w:rsid w:val="7FF60D5A"/>
    <w:rsid w:val="7FF7561F"/>
    <w:rsid w:val="7FF9D1DE"/>
    <w:rsid w:val="7FFC3A3C"/>
    <w:rsid w:val="7FFEDB80"/>
    <w:rsid w:val="7FFEFEAF"/>
    <w:rsid w:val="7FFF27EF"/>
    <w:rsid w:val="86F3D210"/>
    <w:rsid w:val="8965B702"/>
    <w:rsid w:val="8D0D6F39"/>
    <w:rsid w:val="93FD26E0"/>
    <w:rsid w:val="9A7F9EFD"/>
    <w:rsid w:val="9AD3B591"/>
    <w:rsid w:val="9BAF4AA0"/>
    <w:rsid w:val="A92F836E"/>
    <w:rsid w:val="ABFABA7E"/>
    <w:rsid w:val="ADFF3FB9"/>
    <w:rsid w:val="AE8DA6F9"/>
    <w:rsid w:val="AFAF5BA8"/>
    <w:rsid w:val="B47BDE9E"/>
    <w:rsid w:val="B5B8BCDE"/>
    <w:rsid w:val="B6FE9D98"/>
    <w:rsid w:val="B7F68C14"/>
    <w:rsid w:val="B7FF0318"/>
    <w:rsid w:val="BBFFEB5A"/>
    <w:rsid w:val="BE79D70D"/>
    <w:rsid w:val="BF6EA3C3"/>
    <w:rsid w:val="BF7966EB"/>
    <w:rsid w:val="BF7EBF8C"/>
    <w:rsid w:val="BF7FE893"/>
    <w:rsid w:val="BFB250EE"/>
    <w:rsid w:val="BFCEB7C7"/>
    <w:rsid w:val="BFF492D0"/>
    <w:rsid w:val="C16FA841"/>
    <w:rsid w:val="C75E9E8A"/>
    <w:rsid w:val="C7FB0B4B"/>
    <w:rsid w:val="C93E5DF0"/>
    <w:rsid w:val="CBF30009"/>
    <w:rsid w:val="CBFF2A7B"/>
    <w:rsid w:val="CFB7B3AE"/>
    <w:rsid w:val="CFF47584"/>
    <w:rsid w:val="CFFEB209"/>
    <w:rsid w:val="CFFFD896"/>
    <w:rsid w:val="D36FFC87"/>
    <w:rsid w:val="D53E0933"/>
    <w:rsid w:val="D7DF3FEA"/>
    <w:rsid w:val="D7FF5F7C"/>
    <w:rsid w:val="DD0D6F20"/>
    <w:rsid w:val="DDD50796"/>
    <w:rsid w:val="DDEFB9E9"/>
    <w:rsid w:val="DF3B01D0"/>
    <w:rsid w:val="DF3DCA49"/>
    <w:rsid w:val="DF6BD1B2"/>
    <w:rsid w:val="DF7FF80C"/>
    <w:rsid w:val="DFAECC19"/>
    <w:rsid w:val="DFCCDF9C"/>
    <w:rsid w:val="DFE509A2"/>
    <w:rsid w:val="DFEF25E2"/>
    <w:rsid w:val="DFF560B6"/>
    <w:rsid w:val="DFF645DC"/>
    <w:rsid w:val="DFFE374E"/>
    <w:rsid w:val="DFFF5B38"/>
    <w:rsid w:val="DFFFC0ED"/>
    <w:rsid w:val="E3FB70C4"/>
    <w:rsid w:val="E3FEE3D6"/>
    <w:rsid w:val="E5EF66D2"/>
    <w:rsid w:val="E5FF7B1E"/>
    <w:rsid w:val="E6EB6CC8"/>
    <w:rsid w:val="E6FFF6CD"/>
    <w:rsid w:val="E72F216C"/>
    <w:rsid w:val="E7BB1428"/>
    <w:rsid w:val="E7ED08C6"/>
    <w:rsid w:val="E7F6881D"/>
    <w:rsid w:val="E7F933C0"/>
    <w:rsid w:val="E7FE140A"/>
    <w:rsid w:val="E88ECB5E"/>
    <w:rsid w:val="E91E2A3B"/>
    <w:rsid w:val="E9FF72C3"/>
    <w:rsid w:val="E9FFDB71"/>
    <w:rsid w:val="EBF25935"/>
    <w:rsid w:val="ECFDFEB9"/>
    <w:rsid w:val="ED7F4B46"/>
    <w:rsid w:val="EDB267EF"/>
    <w:rsid w:val="EDBB6518"/>
    <w:rsid w:val="EDED72AD"/>
    <w:rsid w:val="EE77227D"/>
    <w:rsid w:val="EF7D5CFA"/>
    <w:rsid w:val="EFCF2ACB"/>
    <w:rsid w:val="EFE649C7"/>
    <w:rsid w:val="EFFF1CC0"/>
    <w:rsid w:val="EFFF9744"/>
    <w:rsid w:val="F1F9B906"/>
    <w:rsid w:val="F1FDF439"/>
    <w:rsid w:val="F2FB845F"/>
    <w:rsid w:val="F3444C56"/>
    <w:rsid w:val="F3DB2E85"/>
    <w:rsid w:val="F3EFD5EA"/>
    <w:rsid w:val="F51F5BBF"/>
    <w:rsid w:val="F53B4E98"/>
    <w:rsid w:val="F5FBFDFE"/>
    <w:rsid w:val="F6B325B2"/>
    <w:rsid w:val="F6FD325B"/>
    <w:rsid w:val="F7CF5BE1"/>
    <w:rsid w:val="F7ED66CA"/>
    <w:rsid w:val="F7F35746"/>
    <w:rsid w:val="F7F75446"/>
    <w:rsid w:val="F7FE152E"/>
    <w:rsid w:val="F8BA9319"/>
    <w:rsid w:val="F97BAB47"/>
    <w:rsid w:val="F9DECB1A"/>
    <w:rsid w:val="FA9E443C"/>
    <w:rsid w:val="FB7F0124"/>
    <w:rsid w:val="FBBF2D9E"/>
    <w:rsid w:val="FBDDB2B5"/>
    <w:rsid w:val="FBFFA3DC"/>
    <w:rsid w:val="FCBD3351"/>
    <w:rsid w:val="FCFF336F"/>
    <w:rsid w:val="FD376346"/>
    <w:rsid w:val="FD97B8B5"/>
    <w:rsid w:val="FDB912E0"/>
    <w:rsid w:val="FDFC24DE"/>
    <w:rsid w:val="FDFD8BCB"/>
    <w:rsid w:val="FE14963F"/>
    <w:rsid w:val="FE1FF2FB"/>
    <w:rsid w:val="FE7E02D0"/>
    <w:rsid w:val="FE9642F2"/>
    <w:rsid w:val="FEA6E737"/>
    <w:rsid w:val="FEBBB070"/>
    <w:rsid w:val="FEDF99F2"/>
    <w:rsid w:val="FEE596FC"/>
    <w:rsid w:val="FEE79A89"/>
    <w:rsid w:val="FEF73B6B"/>
    <w:rsid w:val="FF36BEC2"/>
    <w:rsid w:val="FF5C938A"/>
    <w:rsid w:val="FF6D87E1"/>
    <w:rsid w:val="FF7BFE64"/>
    <w:rsid w:val="FF7EE79F"/>
    <w:rsid w:val="FFBE2058"/>
    <w:rsid w:val="FFBF1BE7"/>
    <w:rsid w:val="FFBF9DEB"/>
    <w:rsid w:val="FFBFDA67"/>
    <w:rsid w:val="FFC5B88D"/>
    <w:rsid w:val="FFD5F608"/>
    <w:rsid w:val="FFDB75D4"/>
    <w:rsid w:val="FFDF17E3"/>
    <w:rsid w:val="FFE34065"/>
    <w:rsid w:val="FFEB95EE"/>
    <w:rsid w:val="FFEBE0AC"/>
    <w:rsid w:val="FFF76C00"/>
    <w:rsid w:val="FFF90331"/>
    <w:rsid w:val="FFFBF99A"/>
    <w:rsid w:val="FFFFEF30"/>
    <w:rsid w:val="FFFFF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30" w:beforeLines="30"/>
    </w:pPr>
    <w:rPr>
      <w:rFonts w:ascii="仿宋_GB2312" w:eastAsia="仿宋_GB2312"/>
      <w:kern w:val="0"/>
      <w:sz w:val="30"/>
    </w:rPr>
  </w:style>
  <w:style w:type="paragraph" w:styleId="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customStyle="1" w:styleId="1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0</TotalTime>
  <ScaleCrop>false</ScaleCrop>
  <LinksUpToDate>false</LinksUpToDate>
  <CharactersWithSpaces>1800</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2023-01-01T09:44:00Z</dcterms:created>
  <dc:creator>疯丫头。。</dc:creator>
  <cp:lastModifiedBy>user</cp:lastModifiedBy>
  <cp:lastPrinted>2018-02-01T09:39:00Z</cp:lastPrinted>
  <dcterms:modified xsi:type="dcterms:W3CDTF">2024-01-31T15:00:42Z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