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ascii="黑体" w:eastAsia="黑体"/>
          <w:sz w:val="44"/>
          <w:szCs w:val="44"/>
        </w:rPr>
        <w:t>阿坝州科学技术协会</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ascii="黑体" w:eastAsia="黑体"/>
          <w:sz w:val="44"/>
          <w:szCs w:val="44"/>
        </w:rPr>
        <w:t>4</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left"/>
        <w:rPr>
          <w:rFonts w:ascii="黑体" w:eastAsia="黑体"/>
          <w:sz w:val="44"/>
          <w:szCs w:val="44"/>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7"/>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ascii="楷体" w:eastAsia="楷体"/>
          <w:sz w:val="32"/>
          <w:szCs w:val="32"/>
        </w:rPr>
        <w:t>4</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2"/>
      </w:pPr>
      <w:bookmarkStart w:id="0" w:name="_Toc72613768"/>
      <w:bookmarkStart w:id="1" w:name="_Toc72613748"/>
      <w:r>
        <w:rPr>
          <w:rFonts w:hint="eastAsia"/>
        </w:rPr>
        <w:t>一、基本职能及主要工作</w:t>
      </w:r>
      <w:bookmarkEnd w:id="0"/>
      <w:bookmarkEnd w:id="1"/>
    </w:p>
    <w:p>
      <w:pPr>
        <w:pStyle w:val="3"/>
      </w:pPr>
      <w:bookmarkStart w:id="2" w:name="_Toc72613769"/>
      <w:bookmarkStart w:id="3" w:name="_Toc72613749"/>
      <w:r>
        <w:rPr>
          <w:rFonts w:hint="eastAsia"/>
        </w:rPr>
        <w:t>（一）部门职能简介</w:t>
      </w:r>
      <w:bookmarkEnd w:id="2"/>
      <w:bookmarkEnd w:id="3"/>
    </w:p>
    <w:p>
      <w:pPr>
        <w:pStyle w:val="6"/>
        <w:spacing w:before="0" w:beforeAutospacing="0" w:after="0" w:afterAutospacing="0" w:line="448" w:lineRule="atLeast"/>
        <w:ind w:firstLine="472"/>
        <w:jc w:val="both"/>
        <w:rPr>
          <w:rFonts w:hint="eastAsia" w:ascii="仿宋_GB2312" w:eastAsia="仿宋_GB2312"/>
          <w:color w:val="000000"/>
          <w:sz w:val="32"/>
          <w:szCs w:val="32"/>
        </w:rPr>
      </w:pPr>
      <w:r>
        <w:rPr>
          <w:rFonts w:hint="eastAsia" w:ascii="仿宋_GB2312" w:eastAsia="仿宋_GB2312"/>
          <w:color w:val="000000"/>
          <w:sz w:val="32"/>
          <w:szCs w:val="32"/>
        </w:rPr>
        <w:t>1、开展学术交流，活跃学术思想，促进学科发展，推动决策科学化和民主化。</w:t>
      </w:r>
    </w:p>
    <w:p>
      <w:pPr>
        <w:pStyle w:val="6"/>
        <w:spacing w:before="0" w:beforeAutospacing="0" w:after="0" w:afterAutospacing="0" w:line="448" w:lineRule="atLeast"/>
        <w:ind w:firstLine="472"/>
        <w:jc w:val="both"/>
        <w:rPr>
          <w:rFonts w:hint="eastAsia" w:ascii="仿宋_GB2312" w:eastAsia="仿宋_GB2312"/>
          <w:color w:val="000000"/>
          <w:sz w:val="32"/>
          <w:szCs w:val="32"/>
        </w:rPr>
      </w:pPr>
      <w:r>
        <w:rPr>
          <w:rFonts w:hint="eastAsia" w:ascii="仿宋_GB2312" w:eastAsia="仿宋_GB2312"/>
          <w:color w:val="000000"/>
          <w:sz w:val="32"/>
          <w:szCs w:val="32"/>
        </w:rPr>
        <w:t>2、宏扬科学精神，普及科学知识；科学思想和科学方法，捍卫科学尊严，推广先进技术，开展青少年科学技术教育活动，提高全民族科学文化素质。</w:t>
      </w:r>
    </w:p>
    <w:p>
      <w:pPr>
        <w:pStyle w:val="6"/>
        <w:spacing w:before="0" w:beforeAutospacing="0" w:after="0" w:afterAutospacing="0" w:line="448" w:lineRule="atLeast"/>
        <w:ind w:firstLine="472"/>
        <w:jc w:val="both"/>
        <w:rPr>
          <w:rFonts w:hint="eastAsia" w:ascii="仿宋_GB2312" w:eastAsia="仿宋_GB2312"/>
          <w:color w:val="000000"/>
          <w:sz w:val="32"/>
          <w:szCs w:val="32"/>
        </w:rPr>
      </w:pPr>
      <w:r>
        <w:rPr>
          <w:rFonts w:hint="eastAsia" w:ascii="仿宋_GB2312" w:eastAsia="仿宋_GB2312"/>
          <w:color w:val="000000"/>
          <w:sz w:val="32"/>
          <w:szCs w:val="32"/>
        </w:rPr>
        <w:t>3、反映科技工作者的意见和要求，维护科技工作者的合法权益。组织科技工作者参与科技政策、法规制度，引导科技工作者在全国家和社会事务管理中发挥积极作用。</w:t>
      </w:r>
    </w:p>
    <w:p>
      <w:pPr>
        <w:pStyle w:val="6"/>
        <w:spacing w:before="0" w:beforeAutospacing="0" w:after="0" w:afterAutospacing="0" w:line="448" w:lineRule="atLeast"/>
        <w:ind w:firstLine="472"/>
        <w:jc w:val="both"/>
        <w:rPr>
          <w:rFonts w:hint="eastAsia" w:ascii="仿宋_GB2312" w:eastAsia="仿宋_GB2312"/>
          <w:color w:val="000000"/>
          <w:sz w:val="32"/>
          <w:szCs w:val="32"/>
        </w:rPr>
      </w:pPr>
      <w:r>
        <w:rPr>
          <w:rFonts w:hint="eastAsia" w:ascii="仿宋_GB2312" w:eastAsia="仿宋_GB2312"/>
          <w:color w:val="000000"/>
          <w:sz w:val="32"/>
          <w:szCs w:val="32"/>
        </w:rPr>
        <w:t>4、表彰奖励有突出贡献的优秀科技团体和科技工作者，举荐人才。</w:t>
      </w:r>
    </w:p>
    <w:p>
      <w:pPr>
        <w:pStyle w:val="6"/>
        <w:spacing w:before="0" w:beforeAutospacing="0" w:after="0" w:afterAutospacing="0" w:line="448" w:lineRule="atLeast"/>
        <w:ind w:firstLine="472"/>
        <w:jc w:val="both"/>
        <w:rPr>
          <w:rFonts w:hint="eastAsia" w:ascii="仿宋_GB2312" w:eastAsia="仿宋_GB2312"/>
          <w:color w:val="000000"/>
          <w:sz w:val="32"/>
          <w:szCs w:val="32"/>
        </w:rPr>
      </w:pPr>
      <w:r>
        <w:rPr>
          <w:rFonts w:hint="eastAsia" w:ascii="仿宋_GB2312" w:eastAsia="仿宋_GB2312"/>
          <w:color w:val="000000"/>
          <w:sz w:val="32"/>
          <w:szCs w:val="32"/>
        </w:rPr>
        <w:t>5、开展科学论证、咨询服务，提出政策建议，促进科技成果的转化。</w:t>
      </w:r>
    </w:p>
    <w:p>
      <w:pPr>
        <w:pStyle w:val="6"/>
        <w:spacing w:before="0" w:beforeAutospacing="0" w:after="0" w:afterAutospacing="0" w:line="448" w:lineRule="atLeast"/>
        <w:ind w:firstLine="472"/>
        <w:jc w:val="both"/>
        <w:rPr>
          <w:rFonts w:hint="eastAsia" w:ascii="仿宋_GB2312" w:eastAsia="仿宋_GB2312"/>
          <w:color w:val="000000"/>
          <w:sz w:val="32"/>
          <w:szCs w:val="32"/>
        </w:rPr>
      </w:pPr>
      <w:r>
        <w:rPr>
          <w:rFonts w:hint="eastAsia" w:ascii="仿宋_GB2312" w:eastAsia="仿宋_GB2312"/>
          <w:color w:val="000000"/>
          <w:sz w:val="32"/>
          <w:szCs w:val="32"/>
        </w:rPr>
        <w:t>6、开展同州外民间科技交流与合作，发展同国内蒙古自治区外的科技团体和人员的友好交往，促进对外开放。</w:t>
      </w:r>
    </w:p>
    <w:p>
      <w:pPr>
        <w:pStyle w:val="6"/>
        <w:spacing w:before="0" w:beforeAutospacing="0" w:after="0" w:afterAutospacing="0" w:line="448" w:lineRule="atLeast"/>
        <w:ind w:firstLine="472"/>
        <w:jc w:val="both"/>
        <w:rPr>
          <w:rFonts w:hint="eastAsia" w:ascii="仿宋_GB2312" w:eastAsia="仿宋_GB2312"/>
          <w:color w:val="000000"/>
          <w:sz w:val="32"/>
          <w:szCs w:val="32"/>
        </w:rPr>
      </w:pPr>
      <w:r>
        <w:rPr>
          <w:rFonts w:hint="eastAsia" w:ascii="仿宋_GB2312" w:eastAsia="仿宋_GB2312"/>
          <w:color w:val="000000"/>
          <w:sz w:val="32"/>
          <w:szCs w:val="32"/>
        </w:rPr>
        <w:t>7、和所属州级学会、协会进行管理，对基层科协进行业务指导。</w:t>
      </w:r>
    </w:p>
    <w:p>
      <w:pPr>
        <w:pStyle w:val="6"/>
        <w:spacing w:before="0" w:beforeAutospacing="0" w:after="0" w:afterAutospacing="0" w:line="448" w:lineRule="atLeast"/>
        <w:ind w:firstLine="472"/>
        <w:rPr>
          <w:rFonts w:hint="eastAsia" w:ascii="仿宋_GB2312" w:eastAsia="仿宋_GB2312"/>
          <w:color w:val="000000"/>
          <w:sz w:val="32"/>
          <w:szCs w:val="32"/>
        </w:rPr>
      </w:pPr>
      <w:r>
        <w:rPr>
          <w:rFonts w:hint="eastAsia" w:ascii="仿宋_GB2312" w:eastAsia="仿宋_GB2312"/>
          <w:color w:val="000000"/>
          <w:sz w:val="32"/>
          <w:szCs w:val="32"/>
        </w:rPr>
        <w:t>8、承担州委，州政府和上级科协交办的其它事项</w:t>
      </w:r>
    </w:p>
    <w:p>
      <w:pPr>
        <w:pStyle w:val="3"/>
      </w:pPr>
      <w:bookmarkStart w:id="4" w:name="_Toc72613770"/>
      <w:bookmarkStart w:id="5" w:name="_Toc72613750"/>
      <w:r>
        <w:rPr>
          <w:rFonts w:hint="eastAsia"/>
        </w:rPr>
        <w:t>（二）</w:t>
      </w:r>
      <w:r>
        <w:t>20</w:t>
      </w:r>
      <w:r>
        <w:rPr>
          <w:rFonts w:hint="eastAsia"/>
        </w:rPr>
        <w:t>2</w:t>
      </w:r>
      <w:r>
        <w:t>4</w:t>
      </w:r>
      <w:r>
        <w:rPr>
          <w:rFonts w:hint="eastAsia"/>
        </w:rPr>
        <w:t>年重点工作</w:t>
      </w:r>
      <w:bookmarkEnd w:id="4"/>
      <w:bookmarkEnd w:id="5"/>
    </w:p>
    <w:p>
      <w:pPr>
        <w:shd w:val="clear" w:color="auto" w:fill="FFFFFF"/>
        <w:spacing w:before="0" w:after="0" w:line="520" w:lineRule="exact"/>
        <w:ind w:left="0" w:right="0" w:firstLine="620"/>
        <w:jc w:val="both"/>
        <w:rPr>
          <w:rFonts w:hint="eastAsia" w:ascii="仿宋_GB2312" w:eastAsia="仿宋_GB2312"/>
          <w:bCs/>
          <w:sz w:val="32"/>
          <w:szCs w:val="32"/>
        </w:rPr>
      </w:pPr>
      <w:r>
        <w:rPr>
          <w:rFonts w:hint="eastAsia" w:ascii="仿宋_GB2312" w:eastAsia="仿宋_GB2312"/>
          <w:b/>
          <w:bCs/>
          <w:sz w:val="32"/>
          <w:szCs w:val="32"/>
        </w:rPr>
        <w:t>1.强化政治建设，持续政治引领。</w:t>
      </w:r>
      <w:r>
        <w:rPr>
          <w:rFonts w:hint="eastAsia" w:ascii="仿宋_GB2312" w:eastAsia="仿宋_GB2312"/>
          <w:bCs/>
          <w:sz w:val="32"/>
          <w:szCs w:val="32"/>
          <w:lang w:bidi="ar-SA"/>
        </w:rPr>
        <w:t>在全州科协系统和科技工作者中采取召开全委会、系统会、座谈会、学术交流会等形式广泛宣传中央、省、州重要会议精神，宣传习近平新时代中国特色社会主义思想，团结引领科协系统及广大科技工作者听党话、感党恩、跟党走；以党建引领为抓手，强化政治责任担当，切实加强科协系统自身建设，转变机关工作作风，引领业务工作高质量发展。</w:t>
      </w:r>
    </w:p>
    <w:p>
      <w:pPr>
        <w:spacing w:before="0" w:after="0" w:line="520" w:lineRule="exact"/>
        <w:ind w:left="0" w:right="0" w:firstLine="643" w:firstLineChars="200"/>
        <w:jc w:val="both"/>
        <w:rPr>
          <w:rFonts w:hint="eastAsia" w:ascii="仿宋_GB2312" w:eastAsia="仿宋_GB2312"/>
          <w:bCs/>
          <w:sz w:val="32"/>
          <w:szCs w:val="32"/>
        </w:rPr>
      </w:pPr>
      <w:r>
        <w:rPr>
          <w:rFonts w:hint="eastAsia" w:ascii="仿宋_GB2312" w:eastAsia="仿宋_GB2312"/>
          <w:b/>
          <w:bCs/>
          <w:sz w:val="32"/>
          <w:szCs w:val="32"/>
        </w:rPr>
        <w:t>2.全力推进天府科技云服务工作，服务创新驱动发展。</w:t>
      </w:r>
      <w:r>
        <w:rPr>
          <w:rFonts w:hint="eastAsia" w:ascii="仿宋_GB2312" w:eastAsia="仿宋_GB2312"/>
          <w:bCs/>
          <w:sz w:val="32"/>
          <w:szCs w:val="32"/>
          <w:lang w:bidi="ar-SA"/>
        </w:rPr>
        <w:t>深入调研我州科技现状，挖掘科技疑难杂症，利用“天府科技云平台”“科创会”等科协特色平台发布所能所需，为我州科技攻关、科技成果落地服务。持续推进“天府科技云”科技保姆服务工作，按照“集中人力、集中财力、集中精力”的要求抓强化落实，切实推行“专职保姆”制度，全力做好全员“保姆”服务工作，征集科创项目，筹办好科创会，完成省科协下达的目标任务。</w:t>
      </w:r>
    </w:p>
    <w:p>
      <w:pPr>
        <w:shd w:val="clear" w:color="auto" w:fill="FFFFFF"/>
        <w:spacing w:before="0" w:after="0" w:line="520" w:lineRule="exact"/>
        <w:ind w:left="0" w:right="0" w:firstLine="643" w:firstLineChars="200"/>
        <w:jc w:val="both"/>
        <w:rPr>
          <w:rFonts w:hint="eastAsia" w:ascii="仿宋_GB2312" w:eastAsia="仿宋_GB2312"/>
          <w:bCs/>
          <w:sz w:val="32"/>
          <w:szCs w:val="32"/>
        </w:rPr>
      </w:pPr>
      <w:r>
        <w:rPr>
          <w:rFonts w:hint="eastAsia" w:ascii="仿宋_GB2312" w:eastAsia="仿宋_GB2312"/>
          <w:b/>
          <w:bCs/>
          <w:sz w:val="32"/>
          <w:szCs w:val="32"/>
        </w:rPr>
        <w:t>3.建好科技工作者之家，时刻坚持为科技工作者服务。</w:t>
      </w:r>
      <w:r>
        <w:rPr>
          <w:rFonts w:hint="eastAsia" w:ascii="仿宋_GB2312" w:eastAsia="仿宋_GB2312"/>
          <w:sz w:val="32"/>
          <w:szCs w:val="32"/>
        </w:rPr>
        <w:t>发挥好科协作为桥梁纽带的独特作用，建立有温度、可信赖的科技工作者之家，鼓励广大科技工作者致力于科学研究、科技创新，利用学（协）会、院士（专家）工作站等强化人才支撑，团结引领广大科技工作者为我州经济发展服务，以实际行动推动党的二十大精神落地落实，为高质量建成“一州两区三家园”、全面建设现代化阿坝作出新贡献。</w:t>
      </w:r>
    </w:p>
    <w:p>
      <w:pPr>
        <w:spacing w:before="0" w:after="0" w:line="520" w:lineRule="exact"/>
        <w:ind w:left="0" w:right="0" w:firstLine="643" w:firstLineChars="200"/>
        <w:jc w:val="both"/>
        <w:rPr>
          <w:rFonts w:hint="eastAsia" w:ascii="仿宋_GB2312" w:eastAsia="仿宋_GB2312"/>
          <w:bCs/>
          <w:sz w:val="32"/>
          <w:szCs w:val="32"/>
        </w:rPr>
      </w:pPr>
      <w:r>
        <w:rPr>
          <w:rFonts w:hint="eastAsia" w:ascii="仿宋_GB2312" w:eastAsia="仿宋_GB2312"/>
          <w:b/>
          <w:bCs/>
          <w:sz w:val="32"/>
          <w:szCs w:val="32"/>
        </w:rPr>
        <w:t>4.加大科普宣传力度，全面实施《全民科学素质行动计划纲要》。</w:t>
      </w:r>
      <w:r>
        <w:rPr>
          <w:rFonts w:hint="eastAsia" w:ascii="仿宋_GB2312" w:eastAsia="仿宋_GB2312"/>
          <w:sz w:val="32"/>
          <w:szCs w:val="32"/>
        </w:rPr>
        <w:t>深入实施《全民科学素质行动计划纲要》，加大科普宣传力度，举办好各类科普宣传活动，持续推动全民科学素质提升。</w:t>
      </w:r>
    </w:p>
    <w:p>
      <w:pPr>
        <w:spacing w:before="0" w:after="0" w:line="520" w:lineRule="exact"/>
        <w:ind w:left="0" w:right="0" w:firstLine="643" w:firstLineChars="200"/>
        <w:jc w:val="both"/>
        <w:rPr>
          <w:rFonts w:hint="eastAsia" w:ascii="仿宋_GB2312" w:eastAsia="仿宋_GB2312"/>
          <w:bCs/>
          <w:sz w:val="32"/>
          <w:szCs w:val="32"/>
        </w:rPr>
      </w:pPr>
      <w:r>
        <w:rPr>
          <w:rFonts w:hint="eastAsia" w:ascii="仿宋_GB2312" w:eastAsia="仿宋_GB2312"/>
          <w:b/>
          <w:bCs/>
          <w:sz w:val="32"/>
          <w:szCs w:val="32"/>
        </w:rPr>
        <w:t>5.开展好各类赛事，营造良好的科创氛围。</w:t>
      </w:r>
      <w:r>
        <w:rPr>
          <w:rFonts w:hint="eastAsia" w:ascii="仿宋_GB2312" w:eastAsia="仿宋_GB2312"/>
          <w:sz w:val="32"/>
          <w:szCs w:val="32"/>
        </w:rPr>
        <w:t>持续开展好阿坝州青少年科技创新大赛、乡土人才大赛等，培养我州青少年学科学、用科学、爱科学的热情，鼓励科技工作者致力于科技创新，激发科技工作者创新热情，营造良好的科创氛围。</w:t>
      </w:r>
    </w:p>
    <w:p>
      <w:pPr>
        <w:spacing w:before="0" w:after="0" w:line="520" w:lineRule="exact"/>
        <w:ind w:left="0" w:right="0" w:firstLine="643" w:firstLineChars="200"/>
        <w:jc w:val="both"/>
        <w:rPr>
          <w:rFonts w:hint="eastAsia" w:ascii="仿宋_GB2312" w:eastAsia="仿宋_GB2312"/>
          <w:spacing w:val="0"/>
          <w:w w:val="100"/>
          <w:kern w:val="2"/>
          <w:sz w:val="32"/>
          <w:szCs w:val="32"/>
          <w:lang w:val="en-US" w:eastAsia="zh-CN" w:bidi="ar-SA"/>
        </w:rPr>
      </w:pPr>
      <w:r>
        <w:rPr>
          <w:rFonts w:hint="eastAsia" w:ascii="仿宋_GB2312" w:eastAsia="仿宋_GB2312"/>
          <w:b/>
          <w:bCs/>
          <w:sz w:val="32"/>
          <w:szCs w:val="32"/>
        </w:rPr>
        <w:t>6.用心开展群众工作，服务全州经济社会发展。</w:t>
      </w:r>
      <w:r>
        <w:rPr>
          <w:rFonts w:hint="eastAsia" w:ascii="仿宋_GB2312" w:eastAsia="仿宋_GB2312"/>
          <w:spacing w:val="0"/>
          <w:w w:val="100"/>
          <w:kern w:val="2"/>
          <w:sz w:val="32"/>
          <w:szCs w:val="32"/>
          <w:lang w:val="en-US" w:eastAsia="zh-CN" w:bidi="ar-SA"/>
        </w:rPr>
        <w:t>主动服务乡村振兴，加大协调工作力度，切实解决群众生产生活困难，组织开展各类实用技术培训，积极引入新技术、新品种，促进群众增收致富。加强科普示范建设，提升科普示范项目资金的使用效率。不断提升农技协在农村经济发展中的示范带动效能，继续加强院士（专家）工作站建设，定期组织开展专业技能培训。持续开展“两联一进”，改善干群关系，把党的声音和关怀送到群众和僧侣中。</w:t>
      </w:r>
    </w:p>
    <w:p>
      <w:pPr>
        <w:pStyle w:val="2"/>
      </w:pPr>
      <w:bookmarkStart w:id="6" w:name="_Toc72613751"/>
      <w:bookmarkStart w:id="7" w:name="_Toc72613771"/>
      <w:r>
        <w:t>二、</w:t>
      </w:r>
      <w:r>
        <w:rPr>
          <w:rFonts w:hint="eastAsia"/>
        </w:rPr>
        <w:t>部门预算单位构成</w:t>
      </w:r>
      <w:bookmarkEnd w:id="6"/>
      <w:bookmarkEnd w:id="7"/>
    </w:p>
    <w:p>
      <w:pPr>
        <w:ind w:firstLine="640" w:firstLineChars="200"/>
        <w:rPr>
          <w:rFonts w:ascii="黑体" w:eastAsia="黑体"/>
          <w:sz w:val="32"/>
          <w:szCs w:val="32"/>
        </w:rPr>
      </w:pPr>
      <w:r>
        <w:rPr>
          <w:rFonts w:hint="eastAsia" w:ascii="仿宋_GB2312" w:eastAsia="仿宋_GB2312"/>
          <w:sz w:val="32"/>
          <w:szCs w:val="32"/>
        </w:rPr>
        <w:t>参照公务员法管理的行政单位</w:t>
      </w:r>
      <w:r>
        <w:rPr>
          <w:rFonts w:ascii="仿宋_GB2312" w:eastAsia="仿宋_GB2312"/>
          <w:sz w:val="32"/>
          <w:szCs w:val="32"/>
        </w:rPr>
        <w:t>1</w:t>
      </w:r>
      <w:r>
        <w:rPr>
          <w:rFonts w:hint="eastAsia" w:ascii="仿宋_GB2312" w:eastAsia="仿宋_GB2312"/>
          <w:sz w:val="32"/>
          <w:szCs w:val="32"/>
        </w:rPr>
        <w:t>个，其他事业单位</w:t>
      </w:r>
      <w:r>
        <w:rPr>
          <w:rFonts w:ascii="仿宋_GB2312" w:eastAsia="仿宋_GB2312"/>
          <w:sz w:val="32"/>
          <w:szCs w:val="32"/>
        </w:rPr>
        <w:t>2</w:t>
      </w:r>
      <w:r>
        <w:rPr>
          <w:rFonts w:hint="eastAsia" w:ascii="仿宋_GB2312" w:eastAsia="仿宋_GB2312"/>
          <w:sz w:val="32"/>
          <w:szCs w:val="32"/>
        </w:rPr>
        <w:t>个</w:t>
      </w:r>
    </w:p>
    <w:p>
      <w:pPr>
        <w:pStyle w:val="2"/>
      </w:pPr>
      <w:bookmarkStart w:id="8" w:name="_Toc72613772"/>
      <w:bookmarkStart w:id="9" w:name="_Toc72613752"/>
      <w:r>
        <w:rPr>
          <w:rFonts w:hint="eastAsia"/>
        </w:rPr>
        <w:t>三、收支预算情况说明</w:t>
      </w:r>
      <w:bookmarkEnd w:id="8"/>
      <w:bookmarkEnd w:id="9"/>
    </w:p>
    <w:p>
      <w:pPr>
        <w:pStyle w:val="3"/>
      </w:pPr>
      <w:bookmarkStart w:id="10" w:name="_Toc72613773"/>
      <w:bookmarkStart w:id="11" w:name="_Toc72613753"/>
      <w:r>
        <w:rPr>
          <w:rFonts w:hint="eastAsia"/>
        </w:rPr>
        <w:t>（一）收入预算情况</w:t>
      </w:r>
      <w:bookmarkEnd w:id="10"/>
      <w:bookmarkEnd w:id="11"/>
    </w:p>
    <w:p>
      <w:pPr>
        <w:spacing w:line="56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年收入预算</w:t>
      </w:r>
      <w:r>
        <w:rPr>
          <w:rFonts w:ascii="仿宋_GB2312" w:eastAsia="仿宋_GB2312"/>
          <w:sz w:val="32"/>
          <w:szCs w:val="32"/>
        </w:rPr>
        <w:t>676.68</w:t>
      </w:r>
      <w:r>
        <w:rPr>
          <w:rFonts w:hint="eastAsia" w:ascii="仿宋_GB2312" w:eastAsia="仿宋_GB2312"/>
          <w:sz w:val="32"/>
          <w:szCs w:val="32"/>
        </w:rPr>
        <w:t>万元，其中：一般公共预算拨款收入</w:t>
      </w:r>
      <w:r>
        <w:rPr>
          <w:rFonts w:ascii="仿宋_GB2312" w:eastAsia="仿宋_GB2312"/>
          <w:sz w:val="32"/>
          <w:szCs w:val="32"/>
        </w:rPr>
        <w:t>676.68</w:t>
      </w:r>
      <w:r>
        <w:rPr>
          <w:rFonts w:hint="eastAsia" w:ascii="仿宋_GB2312" w:eastAsia="仿宋_GB2312"/>
          <w:sz w:val="32"/>
          <w:szCs w:val="32"/>
        </w:rPr>
        <w:t>万元，占</w:t>
      </w:r>
      <w:r>
        <w:rPr>
          <w:rFonts w:ascii="仿宋_GB2312" w:eastAsia="仿宋_GB2312"/>
          <w:sz w:val="32"/>
          <w:szCs w:val="32"/>
        </w:rPr>
        <w:t>100%.</w:t>
      </w:r>
    </w:p>
    <w:p>
      <w:pPr>
        <w:pStyle w:val="3"/>
      </w:pPr>
      <w:bookmarkStart w:id="12" w:name="_Toc72613754"/>
      <w:bookmarkStart w:id="13" w:name="_Toc72613774"/>
      <w:r>
        <w:rPr>
          <w:rFonts w:hint="eastAsia"/>
        </w:rPr>
        <w:t>（二）支出预算情况</w:t>
      </w:r>
      <w:bookmarkEnd w:id="12"/>
      <w:bookmarkEnd w:id="13"/>
    </w:p>
    <w:p>
      <w:pPr>
        <w:spacing w:line="56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支出</w:t>
      </w:r>
      <w:r>
        <w:rPr>
          <w:rFonts w:hint="eastAsia" w:ascii="仿宋_GB2312" w:eastAsia="仿宋_GB2312"/>
          <w:sz w:val="32"/>
          <w:szCs w:val="32"/>
        </w:rPr>
        <w:t>预算</w:t>
      </w:r>
      <w:r>
        <w:rPr>
          <w:rFonts w:ascii="仿宋_GB2312" w:eastAsia="仿宋_GB2312"/>
          <w:sz w:val="32"/>
          <w:szCs w:val="32"/>
        </w:rPr>
        <w:t>676.68</w:t>
      </w:r>
      <w:r>
        <w:rPr>
          <w:rFonts w:hint="eastAsia" w:ascii="仿宋_GB2312" w:eastAsia="仿宋_GB2312"/>
          <w:sz w:val="32"/>
          <w:szCs w:val="32"/>
        </w:rPr>
        <w:t>万元，其中：一般公共预算拨款收入</w:t>
      </w:r>
      <w:r>
        <w:rPr>
          <w:rFonts w:ascii="仿宋_GB2312" w:eastAsia="仿宋_GB2312"/>
          <w:sz w:val="32"/>
          <w:szCs w:val="32"/>
        </w:rPr>
        <w:t>676.68</w:t>
      </w:r>
      <w:r>
        <w:rPr>
          <w:rFonts w:hint="eastAsia" w:ascii="仿宋_GB2312" w:eastAsia="仿宋_GB2312"/>
          <w:sz w:val="32"/>
          <w:szCs w:val="32"/>
        </w:rPr>
        <w:t>万元，占</w:t>
      </w:r>
      <w:r>
        <w:rPr>
          <w:rFonts w:ascii="仿宋_GB2312" w:eastAsia="仿宋_GB2312"/>
          <w:sz w:val="32"/>
          <w:szCs w:val="32"/>
        </w:rPr>
        <w:t>100%.</w:t>
      </w:r>
    </w:p>
    <w:p>
      <w:pPr>
        <w:ind w:firstLine="642"/>
        <w:jc w:val="left"/>
        <w:rPr>
          <w:rFonts w:ascii="楷体" w:eastAsia="楷体"/>
          <w:sz w:val="32"/>
          <w:szCs w:val="32"/>
        </w:rPr>
      </w:pPr>
    </w:p>
    <w:p>
      <w:pPr>
        <w:pStyle w:val="2"/>
      </w:pPr>
      <w:bookmarkStart w:id="14" w:name="_Toc72613755"/>
      <w:bookmarkStart w:id="15" w:name="_Toc72613775"/>
      <w:r>
        <w:rPr>
          <w:rFonts w:hint="eastAsia"/>
        </w:rPr>
        <w:t>四、财政拨款收支预算情况说明</w:t>
      </w:r>
      <w:bookmarkEnd w:id="14"/>
      <w:bookmarkEnd w:id="15"/>
    </w:p>
    <w:p>
      <w:pPr>
        <w:ind w:firstLine="640" w:firstLineChars="200"/>
        <w:rPr>
          <w:rFonts w:ascii="仿宋_GB2312" w:eastAsia="仿宋_GB2312"/>
          <w:sz w:val="32"/>
          <w:szCs w:val="32"/>
        </w:rPr>
      </w:pPr>
      <w:r>
        <w:rPr>
          <w:rFonts w:hint="eastAsia" w:ascii="仿宋_GB2312" w:eastAsia="仿宋_GB2312" w:cs="仿宋_GB2312"/>
          <w:sz w:val="32"/>
          <w:szCs w:val="32"/>
        </w:rPr>
        <w:t>部门（单位）</w:t>
      </w: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年财政拨款收支总预算</w:t>
      </w:r>
      <w:r>
        <w:rPr>
          <w:rFonts w:ascii="仿宋_GB2312" w:eastAsia="仿宋_GB2312"/>
          <w:sz w:val="32"/>
          <w:szCs w:val="32"/>
        </w:rPr>
        <w:t>676.68</w:t>
      </w:r>
      <w:r>
        <w:rPr>
          <w:rFonts w:hint="eastAsia" w:ascii="仿宋_GB2312" w:eastAsia="仿宋_GB2312"/>
          <w:sz w:val="32"/>
          <w:szCs w:val="32"/>
        </w:rPr>
        <w:t>万元,比202</w:t>
      </w:r>
      <w:r>
        <w:rPr>
          <w:rFonts w:ascii="仿宋_GB2312" w:eastAsia="仿宋_GB2312"/>
          <w:sz w:val="32"/>
          <w:szCs w:val="32"/>
        </w:rPr>
        <w:t>3</w:t>
      </w:r>
      <w:r>
        <w:rPr>
          <w:rFonts w:hint="eastAsia" w:ascii="仿宋_GB2312" w:eastAsia="仿宋_GB2312"/>
          <w:sz w:val="32"/>
          <w:szCs w:val="32"/>
        </w:rPr>
        <w:t>年财政拨款收支总预算增加</w:t>
      </w:r>
      <w:r>
        <w:rPr>
          <w:rFonts w:ascii="仿宋_GB2312" w:eastAsia="仿宋_GB2312"/>
          <w:sz w:val="32"/>
          <w:szCs w:val="32"/>
        </w:rPr>
        <w:t>43.14</w:t>
      </w:r>
      <w:r>
        <w:rPr>
          <w:rFonts w:hint="eastAsia" w:ascii="仿宋_GB2312" w:eastAsia="仿宋_GB2312"/>
          <w:sz w:val="32"/>
          <w:szCs w:val="32"/>
        </w:rPr>
        <w:t>万元，主要原因:</w:t>
      </w:r>
      <w:r>
        <w:rPr>
          <w:rFonts w:ascii="仿宋_GB2312" w:eastAsia="仿宋_GB2312"/>
          <w:sz w:val="32"/>
          <w:szCs w:val="32"/>
        </w:rPr>
        <w:t>人员工资收入增加，相应人员经费增加。</w:t>
      </w:r>
    </w:p>
    <w:p>
      <w:pPr>
        <w:spacing w:line="540" w:lineRule="exact"/>
        <w:ind w:firstLine="640" w:firstLineChars="200"/>
        <w:rPr>
          <w:rFonts w:ascii="仿宋_GB2312" w:eastAsia="仿宋_GB2312"/>
          <w:sz w:val="32"/>
          <w:szCs w:val="32"/>
        </w:rPr>
      </w:pPr>
      <w:r>
        <w:rPr>
          <w:rFonts w:hint="eastAsia" w:ascii="仿宋_GB2312" w:eastAsia="仿宋_GB2312" w:cs="仿宋_GB2312"/>
          <w:sz w:val="32"/>
          <w:szCs w:val="32"/>
        </w:rPr>
        <w:t>收入包括：</w:t>
      </w:r>
      <w:r>
        <w:rPr>
          <w:rFonts w:hint="eastAsia" w:ascii="仿宋_GB2312" w:eastAsia="仿宋_GB2312"/>
          <w:sz w:val="32"/>
          <w:szCs w:val="32"/>
        </w:rPr>
        <w:t>一般公共预算拨款收入</w:t>
      </w:r>
      <w:r>
        <w:rPr>
          <w:rFonts w:ascii="仿宋_GB2312" w:eastAsia="仿宋_GB2312"/>
          <w:sz w:val="32"/>
          <w:szCs w:val="32"/>
        </w:rPr>
        <w:t>676.68</w:t>
      </w:r>
      <w:r>
        <w:rPr>
          <w:rFonts w:hint="eastAsia" w:ascii="仿宋_GB2312" w:eastAsia="仿宋_GB2312"/>
          <w:sz w:val="32"/>
          <w:szCs w:val="32"/>
        </w:rPr>
        <w:t>万元，占</w:t>
      </w:r>
      <w:r>
        <w:rPr>
          <w:rFonts w:ascii="仿宋_GB2312" w:eastAsia="仿宋_GB2312"/>
          <w:sz w:val="32"/>
          <w:szCs w:val="32"/>
        </w:rPr>
        <w:t>100%。</w:t>
      </w:r>
    </w:p>
    <w:p>
      <w:pPr>
        <w:spacing w:line="540" w:lineRule="exact"/>
        <w:ind w:firstLine="640" w:firstLineChars="200"/>
        <w:rPr>
          <w:rFonts w:ascii="仿宋_GB2312" w:eastAsia="仿宋_GB2312"/>
          <w:sz w:val="32"/>
          <w:szCs w:val="32"/>
        </w:rPr>
      </w:pPr>
      <w:r>
        <w:rPr>
          <w:rFonts w:hint="eastAsia" w:ascii="仿宋_GB2312" w:eastAsia="仿宋_GB2312" w:cs="仿宋_GB2312"/>
          <w:sz w:val="32"/>
          <w:szCs w:val="32"/>
        </w:rPr>
        <w:t>支出包括：</w:t>
      </w:r>
      <w:r>
        <w:rPr>
          <w:rFonts w:ascii="仿宋_GB2312" w:eastAsia="仿宋_GB2312"/>
          <w:sz w:val="32"/>
          <w:szCs w:val="32"/>
        </w:rPr>
        <w:t>支出包括科学技术支出553.49万元，社会保障和就业支出54.19万元，卫生健康支出21.65万元，住房保障支出26.35万元，结转下年21万元。</w:t>
      </w:r>
    </w:p>
    <w:p>
      <w:pPr>
        <w:pStyle w:val="2"/>
      </w:pPr>
      <w:bookmarkStart w:id="16" w:name="_Toc72613776"/>
      <w:bookmarkStart w:id="17" w:name="_Toc72613756"/>
      <w:r>
        <w:rPr>
          <w:rFonts w:hint="eastAsia"/>
        </w:rPr>
        <w:t>五、一般公共预算当年拨款情况说明</w:t>
      </w:r>
      <w:bookmarkEnd w:id="16"/>
      <w:bookmarkEnd w:id="17"/>
    </w:p>
    <w:p>
      <w:pPr>
        <w:pStyle w:val="3"/>
        <w:spacing w:before="260" w:line="415" w:lineRule="auto"/>
      </w:pPr>
      <w:bookmarkStart w:id="18" w:name="_Toc72613757"/>
      <w:bookmarkStart w:id="19" w:name="_Toc72613777"/>
      <w:r>
        <w:rPr>
          <w:rFonts w:hint="eastAsia"/>
        </w:rPr>
        <w:t>（一）一般公共预算当年拨款规模变化情况</w:t>
      </w:r>
      <w:bookmarkEnd w:id="18"/>
      <w:bookmarkEnd w:id="19"/>
    </w:p>
    <w:p>
      <w:pPr>
        <w:pStyle w:val="22"/>
        <w:spacing w:before="0" w:line="360" w:lineRule="auto"/>
        <w:ind w:firstLine="660"/>
        <w:rPr>
          <w:rFonts w:cs="仿宋_GB2312"/>
          <w:kern w:val="2"/>
          <w:sz w:val="32"/>
          <w:szCs w:val="32"/>
        </w:rPr>
      </w:pPr>
      <w:r>
        <w:rPr>
          <w:rFonts w:hint="eastAsia" w:cs="仿宋_GB2312"/>
          <w:kern w:val="2"/>
          <w:sz w:val="32"/>
          <w:szCs w:val="32"/>
        </w:rPr>
        <w:t>部门（单位）</w:t>
      </w:r>
      <w:r>
        <w:rPr>
          <w:rFonts w:hint="eastAsia" w:cs="宋体"/>
          <w:sz w:val="32"/>
          <w:szCs w:val="32"/>
        </w:rPr>
        <w:t>202</w:t>
      </w:r>
      <w:r>
        <w:rPr>
          <w:rFonts w:cs="宋体"/>
          <w:sz w:val="32"/>
          <w:szCs w:val="32"/>
        </w:rPr>
        <w:t>4</w:t>
      </w:r>
      <w:r>
        <w:rPr>
          <w:rFonts w:hint="eastAsia" w:cs="宋体"/>
          <w:sz w:val="32"/>
          <w:szCs w:val="32"/>
        </w:rPr>
        <w:t>年一般公共预算当年拨款</w:t>
      </w:r>
      <w:r>
        <w:rPr>
          <w:rFonts w:cs="宋体"/>
          <w:sz w:val="32"/>
          <w:szCs w:val="32"/>
        </w:rPr>
        <w:t>676.68</w:t>
      </w:r>
      <w:r>
        <w:rPr>
          <w:rFonts w:hint="eastAsia" w:cs="宋体"/>
          <w:sz w:val="32"/>
          <w:szCs w:val="32"/>
        </w:rPr>
        <w:t>万元，比202</w:t>
      </w:r>
      <w:r>
        <w:rPr>
          <w:rFonts w:cs="宋体"/>
          <w:sz w:val="32"/>
          <w:szCs w:val="32"/>
        </w:rPr>
        <w:t>3</w:t>
      </w:r>
      <w:r>
        <w:rPr>
          <w:rFonts w:hint="eastAsia" w:cs="宋体"/>
          <w:sz w:val="32"/>
          <w:szCs w:val="32"/>
        </w:rPr>
        <w:t>年预算数增加</w:t>
      </w:r>
      <w:r>
        <w:rPr>
          <w:rFonts w:cs="宋体"/>
          <w:sz w:val="32"/>
          <w:szCs w:val="32"/>
        </w:rPr>
        <w:t>43.14</w:t>
      </w:r>
      <w:r>
        <w:rPr>
          <w:rFonts w:hint="eastAsia" w:cs="宋体"/>
          <w:sz w:val="32"/>
          <w:szCs w:val="32"/>
        </w:rPr>
        <w:t>万元，主要原因:</w:t>
      </w:r>
      <w:r>
        <w:rPr>
          <w:rFonts w:ascii="仿宋_GB2312" w:eastAsia="仿宋_GB2312"/>
          <w:sz w:val="32"/>
          <w:szCs w:val="32"/>
        </w:rPr>
        <w:t>人员工资收入增加，相应人员经费增加。</w:t>
      </w:r>
      <w:r>
        <w:rPr>
          <w:rFonts w:hint="eastAsia" w:cs="仿宋_GB2312"/>
          <w:kern w:val="2"/>
          <w:sz w:val="32"/>
          <w:szCs w:val="32"/>
        </w:rPr>
        <w:t>　</w:t>
      </w:r>
    </w:p>
    <w:p>
      <w:pPr>
        <w:pStyle w:val="3"/>
        <w:spacing w:before="260" w:line="415" w:lineRule="auto"/>
      </w:pPr>
      <w:bookmarkStart w:id="20" w:name="_Toc72613758"/>
      <w:bookmarkStart w:id="21" w:name="_Toc72613778"/>
      <w:r>
        <w:rPr>
          <w:rFonts w:hint="eastAsia"/>
        </w:rPr>
        <w:t>（二）一般公共预算当年拨款结构情</w:t>
      </w:r>
      <w:r>
        <w:t>况说明</w:t>
      </w:r>
      <w:bookmarkEnd w:id="20"/>
      <w:bookmarkEnd w:id="21"/>
    </w:p>
    <w:p>
      <w:pPr>
        <w:pStyle w:val="22"/>
        <w:spacing w:before="0" w:line="360" w:lineRule="auto"/>
        <w:ind w:firstLine="320" w:firstLineChars="100"/>
        <w:jc w:val="left"/>
        <w:rPr>
          <w:rFonts w:hint="eastAsia" w:cs="宋体"/>
          <w:sz w:val="32"/>
          <w:szCs w:val="32"/>
        </w:rPr>
      </w:pPr>
      <w:r>
        <w:rPr>
          <w:rFonts w:hint="eastAsia" w:cs="宋体"/>
          <w:sz w:val="32"/>
          <w:szCs w:val="32"/>
        </w:rPr>
        <w:t>一般公共预算当年拨款科学技术支</w:t>
      </w:r>
      <w:r>
        <w:rPr>
          <w:rFonts w:cs="宋体"/>
          <w:sz w:val="32"/>
          <w:szCs w:val="32"/>
        </w:rPr>
        <w:t>出553.49</w:t>
      </w:r>
      <w:r>
        <w:rPr>
          <w:rFonts w:hint="eastAsia" w:cs="宋体"/>
          <w:sz w:val="32"/>
          <w:szCs w:val="32"/>
        </w:rPr>
        <w:t>万元，占</w:t>
      </w:r>
      <w:r>
        <w:rPr>
          <w:rFonts w:cs="宋体"/>
          <w:sz w:val="32"/>
          <w:szCs w:val="32"/>
        </w:rPr>
        <w:t>81.79</w:t>
      </w:r>
      <w:r>
        <w:rPr>
          <w:rFonts w:hint="eastAsia" w:cs="宋体"/>
          <w:sz w:val="32"/>
          <w:szCs w:val="32"/>
        </w:rPr>
        <w:t>%；社会保障和就业支</w:t>
      </w:r>
      <w:r>
        <w:rPr>
          <w:rFonts w:cs="宋体"/>
          <w:sz w:val="32"/>
          <w:szCs w:val="32"/>
        </w:rPr>
        <w:t>54.19万元，</w:t>
      </w:r>
      <w:r>
        <w:rPr>
          <w:rFonts w:hint="eastAsia" w:cs="宋体"/>
          <w:sz w:val="32"/>
          <w:szCs w:val="32"/>
        </w:rPr>
        <w:t>占</w:t>
      </w:r>
      <w:r>
        <w:rPr>
          <w:rFonts w:cs="宋体"/>
          <w:sz w:val="32"/>
          <w:szCs w:val="32"/>
        </w:rPr>
        <w:t>8.00</w:t>
      </w:r>
      <w:r>
        <w:rPr>
          <w:rFonts w:hint="eastAsia" w:cs="宋体"/>
          <w:sz w:val="32"/>
          <w:szCs w:val="32"/>
        </w:rPr>
        <w:t>%；</w:t>
      </w:r>
      <w:r>
        <w:rPr>
          <w:rFonts w:cs="宋体"/>
          <w:sz w:val="32"/>
          <w:szCs w:val="32"/>
        </w:rPr>
        <w:t>卫生健康支出21.65万元，</w:t>
      </w:r>
      <w:r>
        <w:rPr>
          <w:rFonts w:hint="eastAsia" w:cs="宋体"/>
          <w:sz w:val="32"/>
          <w:szCs w:val="32"/>
        </w:rPr>
        <w:t>占</w:t>
      </w:r>
      <w:r>
        <w:rPr>
          <w:rFonts w:cs="宋体"/>
          <w:sz w:val="32"/>
          <w:szCs w:val="32"/>
        </w:rPr>
        <w:t>3.20</w:t>
      </w:r>
      <w:r>
        <w:rPr>
          <w:rFonts w:hint="eastAsia" w:cs="宋体"/>
          <w:sz w:val="32"/>
          <w:szCs w:val="32"/>
        </w:rPr>
        <w:t>%；住房保障支出</w:t>
      </w:r>
      <w:r>
        <w:rPr>
          <w:rFonts w:cs="宋体"/>
          <w:sz w:val="32"/>
          <w:szCs w:val="32"/>
        </w:rPr>
        <w:t>26.35</w:t>
      </w:r>
      <w:r>
        <w:rPr>
          <w:rFonts w:hint="eastAsia" w:cs="宋体"/>
          <w:sz w:val="32"/>
          <w:szCs w:val="32"/>
        </w:rPr>
        <w:t>万元，占</w:t>
      </w:r>
      <w:r>
        <w:rPr>
          <w:rFonts w:cs="宋体"/>
          <w:sz w:val="32"/>
          <w:szCs w:val="32"/>
        </w:rPr>
        <w:t>3.89</w:t>
      </w:r>
      <w:r>
        <w:rPr>
          <w:rFonts w:hint="eastAsia" w:cs="宋体"/>
          <w:sz w:val="32"/>
          <w:szCs w:val="32"/>
        </w:rPr>
        <w:t>%；</w:t>
      </w:r>
      <w:r>
        <w:rPr>
          <w:rFonts w:cs="宋体"/>
          <w:sz w:val="32"/>
          <w:szCs w:val="32"/>
        </w:rPr>
        <w:t>结转下年21万元，</w:t>
      </w:r>
      <w:r>
        <w:rPr>
          <w:rFonts w:hint="eastAsia" w:cs="宋体"/>
          <w:sz w:val="32"/>
          <w:szCs w:val="32"/>
        </w:rPr>
        <w:t>占</w:t>
      </w:r>
      <w:r>
        <w:rPr>
          <w:rFonts w:cs="宋体"/>
          <w:sz w:val="32"/>
          <w:szCs w:val="32"/>
        </w:rPr>
        <w:t>3.10</w:t>
      </w:r>
      <w:r>
        <w:rPr>
          <w:rFonts w:hint="eastAsia" w:cs="宋体"/>
          <w:sz w:val="32"/>
          <w:szCs w:val="32"/>
        </w:rPr>
        <w:t>%</w:t>
      </w:r>
      <w:r>
        <w:rPr>
          <w:rFonts w:cs="宋体"/>
          <w:sz w:val="32"/>
          <w:szCs w:val="32"/>
        </w:rPr>
        <w:t>。</w:t>
      </w:r>
    </w:p>
    <w:p>
      <w:pPr>
        <w:pStyle w:val="3"/>
        <w:spacing w:before="260" w:line="415" w:lineRule="auto"/>
      </w:pPr>
      <w:bookmarkStart w:id="22" w:name="_Toc72613779"/>
      <w:bookmarkStart w:id="23" w:name="_Toc72613759"/>
      <w:r>
        <w:rPr>
          <w:rFonts w:hint="eastAsia"/>
        </w:rPr>
        <w:t>（三）一般公共预算当年拨款具体使用情况</w:t>
      </w:r>
      <w:bookmarkEnd w:id="22"/>
      <w:bookmarkEnd w:id="23"/>
    </w:p>
    <w:p>
      <w:pPr>
        <w:pStyle w:val="22"/>
        <w:spacing w:before="0" w:line="360" w:lineRule="auto"/>
        <w:ind w:firstLine="320" w:firstLineChars="100"/>
        <w:jc w:val="left"/>
        <w:rPr>
          <w:rFonts w:hint="eastAsia" w:cs="宋体"/>
          <w:sz w:val="32"/>
          <w:szCs w:val="32"/>
        </w:rPr>
      </w:pPr>
      <w:r>
        <w:rPr>
          <w:rFonts w:hint="eastAsia" w:cs="宋体"/>
          <w:sz w:val="32"/>
          <w:szCs w:val="32"/>
        </w:rPr>
        <w:t>一般公共预算当年拨款</w:t>
      </w:r>
      <w:r>
        <w:rPr>
          <w:rFonts w:cs="宋体"/>
          <w:sz w:val="32"/>
          <w:szCs w:val="32"/>
        </w:rPr>
        <w:t>使用情况</w:t>
      </w:r>
      <w:r>
        <w:rPr>
          <w:rFonts w:hint="eastAsia" w:cs="宋体"/>
          <w:sz w:val="32"/>
          <w:szCs w:val="32"/>
        </w:rPr>
        <w:t>科学技术支</w:t>
      </w:r>
      <w:r>
        <w:rPr>
          <w:rFonts w:cs="宋体"/>
          <w:sz w:val="32"/>
          <w:szCs w:val="32"/>
        </w:rPr>
        <w:t>出553.49</w:t>
      </w:r>
      <w:r>
        <w:rPr>
          <w:rFonts w:hint="eastAsia" w:cs="宋体"/>
          <w:sz w:val="32"/>
          <w:szCs w:val="32"/>
        </w:rPr>
        <w:t>万元，占</w:t>
      </w:r>
      <w:r>
        <w:rPr>
          <w:rFonts w:cs="宋体"/>
          <w:sz w:val="32"/>
          <w:szCs w:val="32"/>
        </w:rPr>
        <w:t>81.79</w:t>
      </w:r>
      <w:r>
        <w:rPr>
          <w:rFonts w:hint="eastAsia" w:cs="宋体"/>
          <w:sz w:val="32"/>
          <w:szCs w:val="32"/>
        </w:rPr>
        <w:t>%；社会保障和就业支</w:t>
      </w:r>
      <w:r>
        <w:rPr>
          <w:rFonts w:cs="宋体"/>
          <w:sz w:val="32"/>
          <w:szCs w:val="32"/>
        </w:rPr>
        <w:t>54.19万元，</w:t>
      </w:r>
      <w:r>
        <w:rPr>
          <w:rFonts w:hint="eastAsia" w:cs="宋体"/>
          <w:sz w:val="32"/>
          <w:szCs w:val="32"/>
        </w:rPr>
        <w:t>占</w:t>
      </w:r>
      <w:r>
        <w:rPr>
          <w:rFonts w:cs="宋体"/>
          <w:sz w:val="32"/>
          <w:szCs w:val="32"/>
        </w:rPr>
        <w:t>8.00</w:t>
      </w:r>
      <w:r>
        <w:rPr>
          <w:rFonts w:hint="eastAsia" w:cs="宋体"/>
          <w:sz w:val="32"/>
          <w:szCs w:val="32"/>
        </w:rPr>
        <w:t>%；</w:t>
      </w:r>
      <w:r>
        <w:rPr>
          <w:rFonts w:cs="宋体"/>
          <w:sz w:val="32"/>
          <w:szCs w:val="32"/>
        </w:rPr>
        <w:t>卫生健康支出21.65万元，</w:t>
      </w:r>
      <w:r>
        <w:rPr>
          <w:rFonts w:hint="eastAsia" w:cs="宋体"/>
          <w:sz w:val="32"/>
          <w:szCs w:val="32"/>
        </w:rPr>
        <w:t>占</w:t>
      </w:r>
      <w:r>
        <w:rPr>
          <w:rFonts w:cs="宋体"/>
          <w:sz w:val="32"/>
          <w:szCs w:val="32"/>
        </w:rPr>
        <w:t>3.20</w:t>
      </w:r>
      <w:r>
        <w:rPr>
          <w:rFonts w:hint="eastAsia" w:cs="宋体"/>
          <w:sz w:val="32"/>
          <w:szCs w:val="32"/>
        </w:rPr>
        <w:t>%；住房保障支出</w:t>
      </w:r>
      <w:r>
        <w:rPr>
          <w:rFonts w:cs="宋体"/>
          <w:sz w:val="32"/>
          <w:szCs w:val="32"/>
        </w:rPr>
        <w:t>26.35</w:t>
      </w:r>
      <w:r>
        <w:rPr>
          <w:rFonts w:hint="eastAsia" w:cs="宋体"/>
          <w:sz w:val="32"/>
          <w:szCs w:val="32"/>
        </w:rPr>
        <w:t>万元，占</w:t>
      </w:r>
      <w:r>
        <w:rPr>
          <w:rFonts w:cs="宋体"/>
          <w:sz w:val="32"/>
          <w:szCs w:val="32"/>
        </w:rPr>
        <w:t>3.89</w:t>
      </w:r>
      <w:r>
        <w:rPr>
          <w:rFonts w:hint="eastAsia" w:cs="宋体"/>
          <w:sz w:val="32"/>
          <w:szCs w:val="32"/>
        </w:rPr>
        <w:t>%；</w:t>
      </w:r>
      <w:r>
        <w:rPr>
          <w:rFonts w:cs="宋体"/>
          <w:sz w:val="32"/>
          <w:szCs w:val="32"/>
        </w:rPr>
        <w:t>结转下年21万元，</w:t>
      </w:r>
      <w:r>
        <w:rPr>
          <w:rFonts w:hint="eastAsia" w:cs="宋体"/>
          <w:sz w:val="32"/>
          <w:szCs w:val="32"/>
        </w:rPr>
        <w:t>占</w:t>
      </w:r>
      <w:r>
        <w:rPr>
          <w:rFonts w:cs="宋体"/>
          <w:sz w:val="32"/>
          <w:szCs w:val="32"/>
        </w:rPr>
        <w:t>3.10</w:t>
      </w:r>
      <w:r>
        <w:rPr>
          <w:rFonts w:hint="eastAsia" w:cs="宋体"/>
          <w:sz w:val="32"/>
          <w:szCs w:val="32"/>
        </w:rPr>
        <w:t>%</w:t>
      </w:r>
      <w:r>
        <w:rPr>
          <w:rFonts w:cs="宋体"/>
          <w:sz w:val="32"/>
          <w:szCs w:val="32"/>
        </w:rPr>
        <w:t>。</w:t>
      </w:r>
    </w:p>
    <w:p>
      <w:pPr>
        <w:pStyle w:val="22"/>
        <w:spacing w:before="0" w:line="360" w:lineRule="auto"/>
        <w:ind w:firstLine="660"/>
        <w:rPr>
          <w:rFonts w:ascii="楷体" w:eastAsia="楷体" w:cs="仿宋_GB2312"/>
          <w:kern w:val="2"/>
          <w:sz w:val="32"/>
          <w:szCs w:val="32"/>
        </w:rPr>
      </w:pPr>
    </w:p>
    <w:p>
      <w:pPr>
        <w:pStyle w:val="2"/>
        <w:spacing w:before="340" w:line="578" w:lineRule="auto"/>
      </w:pPr>
      <w:bookmarkStart w:id="24" w:name="_Toc72613760"/>
      <w:bookmarkStart w:id="25" w:name="_Toc72613780"/>
      <w:r>
        <w:rPr>
          <w:rFonts w:hint="eastAsia"/>
        </w:rPr>
        <w:t>六、一般公共预算基本支出情况说明</w:t>
      </w:r>
      <w:bookmarkEnd w:id="24"/>
      <w:bookmarkEnd w:id="25"/>
    </w:p>
    <w:p>
      <w:pPr>
        <w:pStyle w:val="22"/>
        <w:spacing w:before="0" w:line="360" w:lineRule="auto"/>
        <w:ind w:firstLine="640" w:firstLineChars="200"/>
        <w:rPr>
          <w:rFonts w:cs="仿宋_GB2312"/>
          <w:kern w:val="2"/>
          <w:sz w:val="32"/>
          <w:szCs w:val="32"/>
        </w:rPr>
      </w:pPr>
      <w:r>
        <w:rPr>
          <w:rFonts w:hint="eastAsia" w:cs="仿宋_GB2312"/>
          <w:kern w:val="2"/>
          <w:sz w:val="32"/>
          <w:szCs w:val="32"/>
        </w:rPr>
        <w:t>部门（单位）202</w:t>
      </w:r>
      <w:r>
        <w:rPr>
          <w:rFonts w:cs="仿宋_GB2312"/>
          <w:kern w:val="2"/>
          <w:sz w:val="32"/>
          <w:szCs w:val="32"/>
        </w:rPr>
        <w:t>4</w:t>
      </w:r>
      <w:r>
        <w:rPr>
          <w:rFonts w:hint="eastAsia" w:cs="仿宋_GB2312"/>
          <w:kern w:val="2"/>
          <w:sz w:val="32"/>
          <w:szCs w:val="32"/>
        </w:rPr>
        <w:t>年一般公共预算基本支出</w:t>
      </w:r>
      <w:r>
        <w:rPr>
          <w:rFonts w:cs="仿宋_GB2312"/>
          <w:kern w:val="2"/>
          <w:sz w:val="32"/>
          <w:szCs w:val="32"/>
        </w:rPr>
        <w:t>493.16</w:t>
      </w:r>
      <w:r>
        <w:rPr>
          <w:rFonts w:hint="eastAsia" w:cs="仿宋_GB2312"/>
          <w:kern w:val="2"/>
          <w:sz w:val="32"/>
          <w:szCs w:val="32"/>
        </w:rPr>
        <w:t>万元，其中：人员经费</w:t>
      </w:r>
      <w:r>
        <w:rPr>
          <w:rFonts w:cs="仿宋_GB2312"/>
          <w:kern w:val="2"/>
          <w:sz w:val="32"/>
          <w:szCs w:val="32"/>
        </w:rPr>
        <w:t>396.58</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22"/>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cs="仿宋_GB2312"/>
          <w:kern w:val="2"/>
          <w:sz w:val="32"/>
          <w:szCs w:val="32"/>
        </w:rPr>
        <w:t>96.59</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p>
    <w:p>
      <w:pPr>
        <w:pStyle w:val="22"/>
        <w:spacing w:before="0" w:line="360" w:lineRule="auto"/>
        <w:ind w:left="0"/>
        <w:rPr>
          <w:rFonts w:ascii="黑体" w:eastAsia="黑体"/>
          <w:sz w:val="32"/>
          <w:szCs w:val="32"/>
        </w:rPr>
      </w:pPr>
      <w:r>
        <w:rPr>
          <w:rFonts w:hint="eastAsia"/>
          <w:b/>
          <w:bCs/>
          <w:kern w:val="44"/>
          <w:sz w:val="32"/>
        </w:rPr>
        <w:t>七、“三公”经费财政拨款预算安排情况说明</w:t>
      </w:r>
    </w:p>
    <w:p>
      <w:pPr>
        <w:pStyle w:val="22"/>
        <w:spacing w:before="0" w:line="360" w:lineRule="auto"/>
        <w:ind w:firstLine="640" w:firstLineChars="200"/>
        <w:rPr>
          <w:rFonts w:cs="仿宋_GB2312"/>
          <w:kern w:val="2"/>
          <w:sz w:val="32"/>
          <w:szCs w:val="32"/>
        </w:rPr>
      </w:pPr>
      <w:r>
        <w:rPr>
          <w:rFonts w:hint="eastAsia" w:cs="仿宋_GB2312"/>
          <w:kern w:val="2"/>
          <w:sz w:val="32"/>
          <w:szCs w:val="32"/>
        </w:rPr>
        <w:t>部门（单位）202</w:t>
      </w:r>
      <w:r>
        <w:rPr>
          <w:rFonts w:cs="仿宋_GB2312"/>
          <w:kern w:val="2"/>
          <w:sz w:val="32"/>
          <w:szCs w:val="32"/>
        </w:rPr>
        <w:t>4</w:t>
      </w:r>
      <w:r>
        <w:rPr>
          <w:rFonts w:hint="eastAsia" w:cs="仿宋_GB2312"/>
          <w:kern w:val="2"/>
          <w:sz w:val="32"/>
          <w:szCs w:val="32"/>
        </w:rPr>
        <w:t>年“三公”经费财政拨款预算数</w:t>
      </w:r>
      <w:r>
        <w:rPr>
          <w:rFonts w:cs="仿宋_GB2312"/>
          <w:kern w:val="2"/>
          <w:sz w:val="32"/>
          <w:szCs w:val="32"/>
        </w:rPr>
        <w:t>40.41</w:t>
      </w:r>
      <w:r>
        <w:rPr>
          <w:rFonts w:hint="eastAsia" w:cs="仿宋_GB2312"/>
          <w:kern w:val="2"/>
          <w:sz w:val="32"/>
          <w:szCs w:val="32"/>
        </w:rPr>
        <w:t>万元，其中：因公出国（境）经费</w:t>
      </w:r>
      <w:r>
        <w:rPr>
          <w:rFonts w:cs="仿宋_GB2312"/>
          <w:kern w:val="2"/>
          <w:sz w:val="32"/>
          <w:szCs w:val="32"/>
        </w:rPr>
        <w:t>0</w:t>
      </w:r>
      <w:r>
        <w:rPr>
          <w:rFonts w:hint="eastAsia" w:cs="仿宋_GB2312"/>
          <w:kern w:val="2"/>
          <w:sz w:val="32"/>
          <w:szCs w:val="32"/>
        </w:rPr>
        <w:t>万元，公务接待费</w:t>
      </w:r>
      <w:r>
        <w:rPr>
          <w:rFonts w:cs="仿宋_GB2312"/>
          <w:kern w:val="2"/>
          <w:sz w:val="32"/>
          <w:szCs w:val="32"/>
        </w:rPr>
        <w:t>1.61</w:t>
      </w:r>
      <w:r>
        <w:rPr>
          <w:rFonts w:hint="eastAsia" w:cs="仿宋_GB2312"/>
          <w:kern w:val="2"/>
          <w:sz w:val="32"/>
          <w:szCs w:val="32"/>
        </w:rPr>
        <w:t>万元，公务用车购置及运行维护费</w:t>
      </w:r>
      <w:r>
        <w:rPr>
          <w:rFonts w:cs="仿宋_GB2312"/>
          <w:kern w:val="2"/>
          <w:sz w:val="32"/>
          <w:szCs w:val="32"/>
        </w:rPr>
        <w:t>38.80</w:t>
      </w:r>
      <w:r>
        <w:rPr>
          <w:rFonts w:hint="eastAsia" w:cs="仿宋_GB2312"/>
          <w:kern w:val="2"/>
          <w:sz w:val="32"/>
          <w:szCs w:val="32"/>
        </w:rPr>
        <w:t>万元。</w:t>
      </w:r>
    </w:p>
    <w:p>
      <w:pPr>
        <w:pStyle w:val="22"/>
        <w:spacing w:before="0" w:line="360" w:lineRule="auto"/>
        <w:ind w:firstLine="640" w:firstLineChars="200"/>
        <w:rPr>
          <w:rFonts w:cs="仿宋_GB2312"/>
          <w:kern w:val="2"/>
          <w:sz w:val="32"/>
          <w:szCs w:val="32"/>
        </w:rPr>
      </w:pPr>
      <w:r>
        <w:rPr>
          <w:rFonts w:hint="eastAsia" w:cs="仿宋_GB2312"/>
          <w:kern w:val="2"/>
          <w:sz w:val="32"/>
          <w:szCs w:val="32"/>
        </w:rPr>
        <w:t>（一）202</w:t>
      </w:r>
      <w:r>
        <w:rPr>
          <w:rFonts w:cs="仿宋_GB2312"/>
          <w:kern w:val="2"/>
          <w:sz w:val="32"/>
          <w:szCs w:val="32"/>
        </w:rPr>
        <w:t>4</w:t>
      </w:r>
      <w:r>
        <w:rPr>
          <w:rFonts w:hint="eastAsia" w:cs="仿宋_GB2312"/>
          <w:kern w:val="2"/>
          <w:sz w:val="32"/>
          <w:szCs w:val="32"/>
        </w:rPr>
        <w:t>年因公出国（境）经费</w:t>
      </w:r>
      <w:r>
        <w:rPr>
          <w:rFonts w:cs="仿宋_GB2312"/>
          <w:kern w:val="2"/>
          <w:sz w:val="32"/>
          <w:szCs w:val="32"/>
        </w:rPr>
        <w:t>0</w:t>
      </w:r>
      <w:r>
        <w:rPr>
          <w:rFonts w:hint="eastAsia" w:cs="仿宋_GB2312"/>
          <w:kern w:val="2"/>
          <w:sz w:val="32"/>
          <w:szCs w:val="32"/>
        </w:rPr>
        <w:t>万元。</w:t>
      </w:r>
    </w:p>
    <w:p>
      <w:pPr>
        <w:pStyle w:val="22"/>
        <w:spacing w:before="0" w:line="360" w:lineRule="auto"/>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cs="仿宋_GB2312"/>
          <w:color w:val="000000"/>
          <w:kern w:val="2"/>
          <w:sz w:val="32"/>
          <w:szCs w:val="32"/>
        </w:rPr>
        <w:t>4</w:t>
      </w:r>
      <w:r>
        <w:rPr>
          <w:rFonts w:hint="eastAsia" w:cs="仿宋_GB2312"/>
          <w:color w:val="000000"/>
          <w:kern w:val="2"/>
          <w:sz w:val="32"/>
          <w:szCs w:val="32"/>
        </w:rPr>
        <w:t>年公务接待经费</w:t>
      </w:r>
      <w:r>
        <w:rPr>
          <w:rFonts w:cs="仿宋_GB2312"/>
          <w:color w:val="000000"/>
          <w:kern w:val="2"/>
          <w:sz w:val="32"/>
          <w:szCs w:val="32"/>
        </w:rPr>
        <w:t>1.61</w:t>
      </w:r>
      <w:r>
        <w:rPr>
          <w:rFonts w:hint="eastAsia" w:cs="仿宋_GB2312"/>
          <w:color w:val="000000"/>
          <w:kern w:val="2"/>
          <w:sz w:val="32"/>
          <w:szCs w:val="32"/>
        </w:rPr>
        <w:t>万元。</w:t>
      </w:r>
      <w:r>
        <w:rPr>
          <w:rFonts w:cs="仿宋_GB2312"/>
          <w:color w:val="000000"/>
          <w:kern w:val="2"/>
          <w:sz w:val="32"/>
          <w:szCs w:val="32"/>
        </w:rPr>
        <w:t>与</w:t>
      </w:r>
      <w:r>
        <w:rPr>
          <w:rFonts w:hint="eastAsia" w:cs="仿宋_GB2312"/>
          <w:color w:val="000000"/>
          <w:kern w:val="2"/>
          <w:sz w:val="32"/>
          <w:szCs w:val="32"/>
        </w:rPr>
        <w:t>202</w:t>
      </w:r>
      <w:r>
        <w:rPr>
          <w:rFonts w:cs="仿宋_GB2312"/>
          <w:color w:val="000000"/>
          <w:kern w:val="2"/>
          <w:sz w:val="32"/>
          <w:szCs w:val="32"/>
        </w:rPr>
        <w:t>3</w:t>
      </w:r>
      <w:r>
        <w:rPr>
          <w:rFonts w:hint="eastAsia" w:cs="仿宋_GB2312"/>
          <w:color w:val="000000"/>
          <w:kern w:val="2"/>
          <w:sz w:val="32"/>
          <w:szCs w:val="32"/>
        </w:rPr>
        <w:t>年预算</w:t>
      </w:r>
      <w:r>
        <w:rPr>
          <w:rFonts w:cs="仿宋_GB2312"/>
          <w:color w:val="000000"/>
          <w:kern w:val="2"/>
          <w:sz w:val="32"/>
          <w:szCs w:val="32"/>
        </w:rPr>
        <w:t>基本持平。</w:t>
      </w:r>
    </w:p>
    <w:p>
      <w:pPr>
        <w:pStyle w:val="22"/>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（三）202</w:t>
      </w:r>
      <w:r>
        <w:rPr>
          <w:rFonts w:cs="仿宋_GB2312"/>
          <w:color w:val="000000"/>
          <w:kern w:val="2"/>
          <w:sz w:val="32"/>
          <w:szCs w:val="32"/>
        </w:rPr>
        <w:t>4</w:t>
      </w:r>
      <w:r>
        <w:rPr>
          <w:rFonts w:hint="eastAsia" w:cs="仿宋_GB2312"/>
          <w:color w:val="000000"/>
          <w:kern w:val="2"/>
          <w:sz w:val="32"/>
          <w:szCs w:val="32"/>
        </w:rPr>
        <w:t>年公务用车购置及运行维护费</w:t>
      </w:r>
      <w:r>
        <w:rPr>
          <w:rFonts w:cs="仿宋_GB2312"/>
          <w:color w:val="000000"/>
          <w:kern w:val="2"/>
          <w:sz w:val="32"/>
          <w:szCs w:val="32"/>
        </w:rPr>
        <w:t>38.80</w:t>
      </w:r>
      <w:r>
        <w:rPr>
          <w:rFonts w:hint="eastAsia" w:cs="仿宋_GB2312"/>
          <w:color w:val="000000"/>
          <w:kern w:val="2"/>
          <w:sz w:val="32"/>
          <w:szCs w:val="32"/>
        </w:rPr>
        <w:t>万元。较202</w:t>
      </w:r>
      <w:r>
        <w:rPr>
          <w:rFonts w:cs="仿宋_GB2312"/>
          <w:color w:val="000000"/>
          <w:kern w:val="2"/>
          <w:sz w:val="32"/>
          <w:szCs w:val="32"/>
        </w:rPr>
        <w:t>3</w:t>
      </w:r>
      <w:r>
        <w:rPr>
          <w:rFonts w:hint="eastAsia" w:cs="仿宋_GB2312"/>
          <w:color w:val="000000"/>
          <w:kern w:val="2"/>
          <w:sz w:val="32"/>
          <w:szCs w:val="32"/>
        </w:rPr>
        <w:t>年预算经费减少</w:t>
      </w:r>
      <w:r>
        <w:rPr>
          <w:rFonts w:cs="仿宋_GB2312"/>
          <w:color w:val="000000"/>
          <w:kern w:val="2"/>
          <w:sz w:val="32"/>
          <w:szCs w:val="32"/>
        </w:rPr>
        <w:t>14.4</w:t>
      </w:r>
      <w:r>
        <w:rPr>
          <w:rFonts w:hint="eastAsia" w:cs="仿宋_GB2312"/>
          <w:color w:val="000000"/>
          <w:kern w:val="2"/>
          <w:sz w:val="32"/>
          <w:szCs w:val="32"/>
        </w:rPr>
        <w:t>万元，增长</w:t>
      </w:r>
      <w:r>
        <w:rPr>
          <w:rFonts w:cs="仿宋_GB2312"/>
          <w:color w:val="000000"/>
          <w:kern w:val="2"/>
          <w:sz w:val="32"/>
          <w:szCs w:val="32"/>
        </w:rPr>
        <w:t>26.91</w:t>
      </w:r>
      <w:r>
        <w:rPr>
          <w:rFonts w:hint="eastAsia" w:cs="仿宋_GB2312"/>
          <w:color w:val="000000"/>
          <w:kern w:val="2"/>
          <w:sz w:val="32"/>
          <w:szCs w:val="32"/>
        </w:rPr>
        <w:t>%，主要原因</w:t>
      </w:r>
      <w:r>
        <w:rPr>
          <w:rFonts w:cs="仿宋_GB2312"/>
          <w:color w:val="000000"/>
          <w:kern w:val="2"/>
          <w:sz w:val="32"/>
          <w:szCs w:val="32"/>
        </w:rPr>
        <w:t>本年度减少公务用车一辆</w:t>
      </w:r>
    </w:p>
    <w:p>
      <w:pPr>
        <w:pStyle w:val="2"/>
        <w:spacing w:before="340" w:line="578" w:lineRule="auto"/>
      </w:pPr>
      <w:bookmarkStart w:id="26" w:name="_Toc72613761"/>
      <w:bookmarkStart w:id="27" w:name="_Toc72613781"/>
      <w:r>
        <w:rPr>
          <w:rFonts w:hint="eastAsia"/>
        </w:rPr>
        <w:t>八、政府性基金预算支出情况说明</w:t>
      </w:r>
      <w:bookmarkEnd w:id="26"/>
      <w:bookmarkEnd w:id="27"/>
    </w:p>
    <w:p>
      <w:pPr>
        <w:pStyle w:val="22"/>
        <w:spacing w:before="0" w:line="360" w:lineRule="auto"/>
        <w:ind w:firstLine="640" w:firstLineChars="200"/>
        <w:rPr>
          <w:rFonts w:cs="仿宋_GB2312"/>
          <w:color w:val="000000"/>
          <w:kern w:val="2"/>
          <w:sz w:val="32"/>
          <w:szCs w:val="32"/>
        </w:rPr>
      </w:pPr>
      <w:r>
        <w:rPr>
          <w:rFonts w:cs="仿宋_GB2312"/>
          <w:color w:val="000000"/>
          <w:kern w:val="2"/>
          <w:sz w:val="32"/>
          <w:szCs w:val="32"/>
        </w:rPr>
        <w:t>本单位无</w:t>
      </w:r>
      <w:r>
        <w:rPr>
          <w:rFonts w:hint="eastAsia" w:cs="仿宋_GB2312"/>
          <w:color w:val="000000"/>
          <w:kern w:val="2"/>
          <w:sz w:val="32"/>
          <w:szCs w:val="32"/>
        </w:rPr>
        <w:t>政府性基金预算支出</w:t>
      </w:r>
      <w:r>
        <w:rPr>
          <w:rFonts w:cs="仿宋_GB2312"/>
          <w:color w:val="000000"/>
          <w:kern w:val="2"/>
          <w:sz w:val="32"/>
          <w:szCs w:val="32"/>
        </w:rPr>
        <w:t>。</w:t>
      </w:r>
    </w:p>
    <w:p>
      <w:pPr>
        <w:pStyle w:val="2"/>
        <w:spacing w:before="340" w:line="578" w:lineRule="auto"/>
      </w:pPr>
      <w:bookmarkStart w:id="28" w:name="_Toc72613762"/>
      <w:bookmarkStart w:id="29" w:name="_Toc72613782"/>
      <w:r>
        <w:rPr>
          <w:rFonts w:hint="eastAsia"/>
        </w:rPr>
        <w:t>九、其他重要事项的情况说明</w:t>
      </w:r>
      <w:bookmarkEnd w:id="28"/>
      <w:bookmarkEnd w:id="29"/>
    </w:p>
    <w:p>
      <w:pPr>
        <w:pStyle w:val="22"/>
        <w:spacing w:before="0" w:line="360" w:lineRule="auto"/>
        <w:ind w:firstLine="640" w:firstLineChars="200"/>
        <w:rPr>
          <w:rFonts w:hint="eastAsia" w:cs="仿宋_GB2312"/>
          <w:kern w:val="2"/>
          <w:sz w:val="32"/>
          <w:szCs w:val="32"/>
        </w:rPr>
      </w:pPr>
      <w:bookmarkStart w:id="30" w:name="_Toc72613763"/>
      <w:r>
        <w:rPr>
          <w:rFonts w:hint="eastAsia" w:ascii="仿宋_GB2312" w:eastAsia="仿宋_GB2312" w:cs="仿宋_GB2312"/>
          <w:sz w:val="32"/>
          <w:szCs w:val="32"/>
        </w:rPr>
        <w:t>（一）机关运行经费</w:t>
      </w:r>
      <w:r>
        <w:rPr>
          <w:rStyle w:val="21"/>
          <w:rFonts w:hint="eastAsia"/>
        </w:rPr>
        <w:br w:type="textWrapping"/>
      </w:r>
      <w:bookmarkEnd w:id="30"/>
      <w:r>
        <w:rPr>
          <w:rFonts w:hint="eastAsia" w:cs="仿宋_GB2312"/>
          <w:kern w:val="2"/>
          <w:sz w:val="32"/>
          <w:szCs w:val="32"/>
        </w:rPr>
        <w:t>　  部门（单位）202</w:t>
      </w:r>
      <w:r>
        <w:rPr>
          <w:rFonts w:cs="仿宋_GB2312"/>
          <w:kern w:val="2"/>
          <w:sz w:val="32"/>
          <w:szCs w:val="32"/>
        </w:rPr>
        <w:t>4</w:t>
      </w:r>
      <w:r>
        <w:rPr>
          <w:rFonts w:hint="eastAsia" w:cs="仿宋_GB2312"/>
          <w:kern w:val="2"/>
          <w:sz w:val="32"/>
          <w:szCs w:val="32"/>
        </w:rPr>
        <w:t>年机关运行经费财政拨款预算为</w:t>
      </w:r>
      <w:r>
        <w:rPr>
          <w:rFonts w:cs="仿宋_GB2312"/>
          <w:kern w:val="2"/>
          <w:sz w:val="32"/>
          <w:szCs w:val="32"/>
        </w:rPr>
        <w:t>96.59</w:t>
      </w:r>
      <w:r>
        <w:rPr>
          <w:rFonts w:hint="eastAsia" w:cs="仿宋_GB2312"/>
          <w:kern w:val="2"/>
          <w:sz w:val="32"/>
          <w:szCs w:val="32"/>
        </w:rPr>
        <w:t xml:space="preserve">万元，比2023年预算减少9.37万元，减少8.84%。 </w:t>
      </w:r>
    </w:p>
    <w:p>
      <w:pPr>
        <w:pStyle w:val="22"/>
        <w:spacing w:before="0" w:line="360" w:lineRule="auto"/>
        <w:ind w:firstLine="640" w:firstLineChars="200"/>
        <w:rPr>
          <w:rFonts w:cs="仿宋_GB2312"/>
          <w:kern w:val="2"/>
          <w:sz w:val="32"/>
          <w:szCs w:val="32"/>
        </w:rPr>
      </w:pPr>
      <w:bookmarkStart w:id="31" w:name="_Toc72613764"/>
      <w:r>
        <w:rPr>
          <w:rFonts w:hint="eastAsia" w:ascii="仿宋_GB2312" w:eastAsia="仿宋_GB2312" w:cs="仿宋_GB2312"/>
          <w:sz w:val="32"/>
          <w:szCs w:val="32"/>
        </w:rPr>
        <w:t>（二）政府采购情况</w:t>
      </w:r>
      <w:bookmarkEnd w:id="31"/>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cs="仿宋_GB2312"/>
          <w:color w:val="000000"/>
          <w:kern w:val="2"/>
          <w:sz w:val="32"/>
          <w:szCs w:val="32"/>
        </w:rPr>
        <w:t>4</w:t>
      </w:r>
      <w:r>
        <w:rPr>
          <w:rFonts w:hint="eastAsia" w:cs="仿宋_GB2312"/>
          <w:color w:val="000000"/>
          <w:kern w:val="2"/>
          <w:sz w:val="32"/>
          <w:szCs w:val="32"/>
        </w:rPr>
        <w:t>年</w:t>
      </w:r>
      <w:r>
        <w:rPr>
          <w:rFonts w:hint="eastAsia" w:cs="仿宋_GB2312"/>
          <w:kern w:val="2"/>
          <w:sz w:val="32"/>
          <w:szCs w:val="32"/>
        </w:rPr>
        <w:t>部门（单位）</w:t>
      </w:r>
      <w:r>
        <w:rPr>
          <w:rFonts w:hint="eastAsia" w:cs="仿宋_GB2312"/>
          <w:color w:val="000000"/>
          <w:kern w:val="2"/>
          <w:sz w:val="32"/>
          <w:szCs w:val="32"/>
        </w:rPr>
        <w:t>安排政府采购预算</w:t>
      </w:r>
      <w:r>
        <w:rPr>
          <w:rFonts w:cs="仿宋_GB2312"/>
          <w:color w:val="000000"/>
          <w:kern w:val="2"/>
          <w:sz w:val="32"/>
          <w:szCs w:val="32"/>
        </w:rPr>
        <w:t>46</w:t>
      </w:r>
      <w:r>
        <w:rPr>
          <w:rFonts w:hint="eastAsia" w:cs="仿宋_GB2312"/>
          <w:color w:val="000000"/>
          <w:kern w:val="2"/>
          <w:sz w:val="32"/>
          <w:szCs w:val="32"/>
        </w:rPr>
        <w:t>万元，主要</w:t>
      </w:r>
      <w:r>
        <w:rPr>
          <w:rFonts w:hint="eastAsia" w:cs="仿宋_GB2312"/>
          <w:kern w:val="2"/>
          <w:sz w:val="32"/>
          <w:szCs w:val="32"/>
        </w:rPr>
        <w:t>用于</w:t>
      </w:r>
      <w:r>
        <w:rPr>
          <w:rFonts w:cs="仿宋_GB2312"/>
          <w:kern w:val="2"/>
          <w:sz w:val="32"/>
          <w:szCs w:val="32"/>
        </w:rPr>
        <w:t>科技馆展教及安保人员采购。</w:t>
      </w:r>
    </w:p>
    <w:p>
      <w:pPr>
        <w:ind w:firstLine="640" w:firstLineChars="200"/>
        <w:rPr>
          <w:rFonts w:hint="eastAsia" w:ascii="仿宋_GB2312" w:eastAsia="仿宋_GB2312" w:cs="仿宋_GB2312"/>
          <w:sz w:val="32"/>
          <w:szCs w:val="32"/>
        </w:rPr>
      </w:pPr>
      <w:bookmarkStart w:id="32" w:name="_Toc72613765"/>
      <w:r>
        <w:rPr>
          <w:rFonts w:hint="eastAsia" w:ascii="仿宋_GB2312" w:eastAsia="仿宋_GB2312" w:cs="仿宋_GB2312"/>
          <w:sz w:val="32"/>
          <w:szCs w:val="32"/>
        </w:rPr>
        <w:t>（三）国有资产占有使用情况</w:t>
      </w:r>
      <w:bookmarkEnd w:id="32"/>
    </w:p>
    <w:p>
      <w:pPr>
        <w:pStyle w:val="22"/>
        <w:spacing w:before="0" w:line="360" w:lineRule="auto"/>
        <w:ind w:firstLine="640" w:firstLineChars="200"/>
        <w:rPr>
          <w:rFonts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3</w:t>
      </w:r>
      <w:bookmarkStart w:id="36" w:name="_GoBack"/>
      <w:bookmarkEnd w:id="36"/>
      <w:r>
        <w:rPr>
          <w:rFonts w:hint="eastAsia" w:cs="仿宋_GB2312"/>
          <w:kern w:val="2"/>
          <w:sz w:val="32"/>
          <w:szCs w:val="32"/>
        </w:rPr>
        <w:t>年12月31日，我单位固定资产</w:t>
      </w:r>
      <w:r>
        <w:rPr>
          <w:rFonts w:cs="仿宋_GB2312"/>
          <w:kern w:val="2"/>
          <w:sz w:val="32"/>
          <w:szCs w:val="32"/>
        </w:rPr>
        <w:t>605.68</w:t>
      </w:r>
      <w:r>
        <w:rPr>
          <w:rFonts w:hint="eastAsia" w:cs="仿宋_GB2312"/>
          <w:kern w:val="2"/>
          <w:sz w:val="32"/>
          <w:szCs w:val="32"/>
        </w:rPr>
        <w:t>万元。</w:t>
      </w:r>
    </w:p>
    <w:p>
      <w:pPr>
        <w:pStyle w:val="22"/>
        <w:spacing w:before="0" w:line="360" w:lineRule="auto"/>
        <w:ind w:firstLine="640" w:firstLineChars="200"/>
        <w:rPr>
          <w:rFonts w:ascii="黑体" w:eastAsia="黑体"/>
          <w:sz w:val="32"/>
          <w:szCs w:val="32"/>
        </w:rPr>
      </w:pPr>
      <w:bookmarkStart w:id="33" w:name="_Toc72613766"/>
      <w:r>
        <w:rPr>
          <w:rFonts w:hint="eastAsia" w:ascii="仿宋_GB2312" w:eastAsia="仿宋_GB2312" w:cs="仿宋_GB2312"/>
          <w:sz w:val="32"/>
          <w:szCs w:val="32"/>
        </w:rPr>
        <w:t>（四）绩效目标设置情况</w:t>
      </w:r>
      <w:bookmarkEnd w:id="33"/>
      <w:r>
        <w:rPr>
          <w:rFonts w:hint="eastAsia" w:cs="仿宋_GB2312"/>
          <w:kern w:val="2"/>
          <w:sz w:val="32"/>
          <w:szCs w:val="32"/>
        </w:rPr>
        <w:br w:type="textWrapping"/>
      </w:r>
      <w:r>
        <w:rPr>
          <w:rFonts w:hint="eastAsia" w:cs="仿宋_GB2312"/>
          <w:kern w:val="2"/>
          <w:sz w:val="32"/>
          <w:szCs w:val="32"/>
        </w:rPr>
        <w:t>　　202</w:t>
      </w:r>
      <w:r>
        <w:rPr>
          <w:rFonts w:cs="仿宋_GB2312"/>
          <w:kern w:val="2"/>
          <w:sz w:val="32"/>
          <w:szCs w:val="32"/>
        </w:rPr>
        <w:t>4</w:t>
      </w:r>
      <w:r>
        <w:rPr>
          <w:rFonts w:hint="eastAsia" w:cs="仿宋_GB2312"/>
          <w:kern w:val="2"/>
          <w:sz w:val="32"/>
          <w:szCs w:val="32"/>
        </w:rPr>
        <w:t>年部门（单位）通用项目和专用项目均按要求实行绩效目标管理，涉及一般公共预算当年拨款</w:t>
      </w:r>
      <w:r>
        <w:rPr>
          <w:rFonts w:cs="仿宋_GB2312"/>
          <w:kern w:val="2"/>
          <w:sz w:val="32"/>
          <w:szCs w:val="32"/>
        </w:rPr>
        <w:t>162.52</w:t>
      </w:r>
      <w:r>
        <w:rPr>
          <w:rFonts w:hint="eastAsia" w:cs="仿宋_GB2312"/>
          <w:kern w:val="2"/>
          <w:sz w:val="32"/>
          <w:szCs w:val="32"/>
        </w:rPr>
        <w:t>万元。</w:t>
      </w:r>
    </w:p>
    <w:p>
      <w:pPr>
        <w:pStyle w:val="22"/>
        <w:spacing w:before="0" w:line="360" w:lineRule="auto"/>
        <w:ind w:firstLine="643" w:firstLineChars="200"/>
        <w:rPr>
          <w:rFonts w:cs="仿宋_GB2312"/>
          <w:kern w:val="2"/>
          <w:sz w:val="32"/>
          <w:szCs w:val="32"/>
        </w:rPr>
      </w:pPr>
      <w:bookmarkStart w:id="34" w:name="_Toc72613783"/>
      <w:bookmarkStart w:id="35" w:name="_Toc72613767"/>
      <w:r>
        <w:rPr>
          <w:rStyle w:val="20"/>
          <w:rFonts w:hint="eastAsia"/>
        </w:rPr>
        <w:t xml:space="preserve">十、名称解释 </w:t>
      </w:r>
      <w:bookmarkEnd w:id="34"/>
      <w:bookmarkEnd w:id="35"/>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DMyNDZkNTZlNTNlODUxNDdkYWYwZmYyNzFiODBmMTUifQ=="/>
  </w:docVars>
  <w:rsids>
    <w:rsidRoot w:val="00000000"/>
    <w:rsid w:val="583455D5"/>
    <w:rsid w:val="736D48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autoRedefine/>
    <w:qFormat/>
    <w:uiPriority w:val="0"/>
    <w:pPr>
      <w:keepNext/>
      <w:keepLines/>
      <w:widowControl w:val="0"/>
      <w:spacing w:before="340" w:after="330" w:line="578" w:lineRule="auto"/>
      <w:jc w:val="left"/>
      <w:outlineLvl w:val="0"/>
    </w:pPr>
    <w:rPr>
      <w:b/>
      <w:bCs/>
      <w:kern w:val="44"/>
      <w:sz w:val="32"/>
    </w:rPr>
  </w:style>
  <w:style w:type="paragraph" w:styleId="3">
    <w:name w:val="heading 2"/>
    <w:basedOn w:val="1"/>
    <w:next w:val="1"/>
    <w:link w:val="21"/>
    <w:uiPriority w:val="0"/>
    <w:pPr>
      <w:keepNext/>
      <w:keepLines/>
      <w:widowControl w:val="0"/>
      <w:spacing w:before="260" w:after="260" w:line="415" w:lineRule="auto"/>
      <w:outlineLvl w:val="1"/>
    </w:pPr>
    <w:rPr>
      <w:rFonts w:ascii="Arial" w:hAnsi="Arial" w:eastAsia="楷体"/>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9">
    <w:name w:val="Default Paragraph Font"/>
    <w:uiPriority w:val="0"/>
  </w:style>
  <w:style w:type="table" w:default="1" w:styleId="18">
    <w:name w:val="Normal Table"/>
    <w:semiHidden/>
    <w:uiPriority w:val="0"/>
    <w:tblPr>
      <w:tblCellMar>
        <w:top w:w="0" w:type="dxa"/>
        <w:left w:w="108" w:type="dxa"/>
        <w:bottom w:w="0" w:type="dxa"/>
        <w:right w:w="108" w:type="dxa"/>
      </w:tblCellMar>
    </w:tblPr>
  </w:style>
  <w:style w:type="paragraph" w:styleId="5">
    <w:name w:val="toc 7"/>
    <w:autoRedefine/>
    <w:uiPriority w:val="0"/>
    <w:pPr>
      <w:ind w:left="1050"/>
      <w:jc w:val="left"/>
    </w:pPr>
    <w:rPr>
      <w:rFonts w:ascii="Times New Roman" w:hAnsi="Times New Roman" w:eastAsia="宋体" w:cs="Times New Roman"/>
      <w:sz w:val="20"/>
      <w:lang w:val="en-US" w:eastAsia="zh-CN" w:bidi="ar-SA"/>
    </w:rPr>
  </w:style>
  <w:style w:type="paragraph" w:styleId="6">
    <w:name w:val="Body Text"/>
    <w:basedOn w:val="1"/>
    <w:next w:val="7"/>
    <w:autoRedefine/>
    <w:uiPriority w:val="0"/>
    <w:pPr>
      <w:spacing w:before="100" w:beforeAutospacing="1" w:after="100" w:afterAutospacing="1"/>
    </w:pPr>
    <w:rPr>
      <w:rFonts w:ascii="宋体" w:eastAsia="宋体" w:cs="宋体"/>
      <w:kern w:val="0"/>
      <w:sz w:val="24"/>
      <w:szCs w:val="24"/>
      <w:lang w:val="en-US" w:eastAsia="zh-CN" w:bidi="ar-SA"/>
    </w:rPr>
  </w:style>
  <w:style w:type="paragraph" w:styleId="7">
    <w:name w:val="List Paragraph"/>
    <w:basedOn w:val="1"/>
    <w:uiPriority w:val="0"/>
    <w:pPr>
      <w:ind w:firstLine="200" w:firstLineChars="200"/>
    </w:pPr>
  </w:style>
  <w:style w:type="paragraph" w:styleId="8">
    <w:name w:val="toc 5"/>
    <w:autoRedefine/>
    <w:qFormat/>
    <w:uiPriority w:val="0"/>
    <w:pPr>
      <w:ind w:left="630"/>
      <w:jc w:val="left"/>
    </w:pPr>
    <w:rPr>
      <w:rFonts w:ascii="Times New Roman" w:hAnsi="Times New Roman" w:eastAsia="宋体" w:cs="Times New Roman"/>
      <w:sz w:val="20"/>
      <w:lang w:val="en-US" w:eastAsia="zh-CN" w:bidi="ar-SA"/>
    </w:rPr>
  </w:style>
  <w:style w:type="paragraph" w:styleId="9">
    <w:name w:val="toc 3"/>
    <w:autoRedefine/>
    <w:uiPriority w:val="0"/>
    <w:pPr>
      <w:ind w:left="210"/>
      <w:jc w:val="left"/>
    </w:pPr>
    <w:rPr>
      <w:rFonts w:ascii="Times New Roman" w:hAnsi="Times New Roman" w:eastAsia="宋体" w:cs="Times New Roman"/>
      <w:sz w:val="20"/>
      <w:lang w:val="en-US" w:eastAsia="zh-CN" w:bidi="ar-SA"/>
    </w:rPr>
  </w:style>
  <w:style w:type="paragraph" w:styleId="10">
    <w:name w:val="toc 8"/>
    <w:autoRedefine/>
    <w:qFormat/>
    <w:uiPriority w:val="0"/>
    <w:pPr>
      <w:ind w:left="1260"/>
      <w:jc w:val="left"/>
    </w:pPr>
    <w:rPr>
      <w:rFonts w:ascii="Times New Roman" w:hAnsi="Times New Roman" w:eastAsia="宋体" w:cs="Times New Roman"/>
      <w:sz w:val="20"/>
      <w:lang w:val="en-US" w:eastAsia="zh-CN" w:bidi="ar-SA"/>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toc 1"/>
    <w:autoRedefine/>
    <w:uiPriority w:val="0"/>
    <w:pPr>
      <w:spacing w:before="120"/>
      <w:jc w:val="left"/>
    </w:pPr>
    <w:rPr>
      <w:rFonts w:ascii="Times New Roman" w:hAnsi="Times New Roman" w:eastAsia="宋体" w:cs="Times New Roman"/>
      <w:b/>
      <w:i/>
      <w:sz w:val="24"/>
      <w:lang w:val="en-US" w:eastAsia="zh-CN" w:bidi="ar-SA"/>
    </w:rPr>
  </w:style>
  <w:style w:type="paragraph" w:styleId="14">
    <w:name w:val="toc 4"/>
    <w:autoRedefine/>
    <w:qFormat/>
    <w:uiPriority w:val="0"/>
    <w:pPr>
      <w:ind w:left="420"/>
      <w:jc w:val="left"/>
    </w:pPr>
    <w:rPr>
      <w:rFonts w:ascii="Times New Roman" w:hAnsi="Times New Roman" w:eastAsia="宋体" w:cs="Times New Roman"/>
      <w:sz w:val="20"/>
      <w:lang w:val="en-US" w:eastAsia="zh-CN" w:bidi="ar-SA"/>
    </w:rPr>
  </w:style>
  <w:style w:type="paragraph" w:styleId="15">
    <w:name w:val="toc 6"/>
    <w:autoRedefine/>
    <w:qFormat/>
    <w:uiPriority w:val="0"/>
    <w:pPr>
      <w:ind w:left="840"/>
      <w:jc w:val="left"/>
    </w:pPr>
    <w:rPr>
      <w:rFonts w:ascii="Times New Roman" w:hAnsi="Times New Roman" w:eastAsia="宋体" w:cs="Times New Roman"/>
      <w:sz w:val="20"/>
      <w:lang w:val="en-US" w:eastAsia="zh-CN" w:bidi="ar-SA"/>
    </w:rPr>
  </w:style>
  <w:style w:type="paragraph" w:styleId="16">
    <w:name w:val="toc 2"/>
    <w:autoRedefine/>
    <w:uiPriority w:val="0"/>
    <w:pPr>
      <w:spacing w:before="120"/>
      <w:jc w:val="left"/>
    </w:pPr>
    <w:rPr>
      <w:rFonts w:ascii="Times New Roman" w:hAnsi="Times New Roman" w:eastAsia="宋体" w:cs="Times New Roman"/>
      <w:b/>
      <w:sz w:val="22"/>
      <w:lang w:val="en-US" w:eastAsia="zh-CN" w:bidi="ar-SA"/>
    </w:rPr>
  </w:style>
  <w:style w:type="paragraph" w:styleId="17">
    <w:name w:val="toc 9"/>
    <w:autoRedefine/>
    <w:uiPriority w:val="0"/>
    <w:pPr>
      <w:ind w:left="1470"/>
      <w:jc w:val="left"/>
    </w:pPr>
    <w:rPr>
      <w:rFonts w:ascii="Times New Roman" w:hAnsi="Times New Roman" w:eastAsia="宋体" w:cs="Times New Roman"/>
      <w:sz w:val="20"/>
      <w:lang w:val="en-US" w:eastAsia="zh-CN" w:bidi="ar-SA"/>
    </w:rPr>
  </w:style>
  <w:style w:type="character" w:customStyle="1" w:styleId="20">
    <w:name w:val="heading 1 Char"/>
    <w:basedOn w:val="19"/>
    <w:link w:val="2"/>
    <w:qFormat/>
    <w:uiPriority w:val="0"/>
    <w:rPr>
      <w:rFonts w:ascii="Calibri" w:hAnsi="Calibri" w:eastAsia="宋体" w:cs="Times New Roman"/>
      <w:b/>
      <w:bCs/>
      <w:kern w:val="44"/>
      <w:sz w:val="32"/>
      <w:szCs w:val="22"/>
      <w:lang w:val="en-US" w:eastAsia="zh-CN" w:bidi="ar-SA"/>
    </w:rPr>
  </w:style>
  <w:style w:type="character" w:customStyle="1" w:styleId="21">
    <w:name w:val="heading 2 Char"/>
    <w:basedOn w:val="19"/>
    <w:link w:val="3"/>
    <w:uiPriority w:val="0"/>
    <w:rPr>
      <w:rFonts w:ascii="Arial" w:hAnsi="Arial" w:eastAsia="楷体" w:cs="Times New Roman"/>
      <w:kern w:val="2"/>
      <w:sz w:val="32"/>
      <w:szCs w:val="22"/>
      <w:lang w:val="en-US" w:eastAsia="zh-CN" w:bidi="ar-SA"/>
    </w:rPr>
  </w:style>
  <w:style w:type="paragraph" w:customStyle="1" w:styleId="22">
    <w:name w:val="正文文本1"/>
    <w:basedOn w:val="1"/>
    <w:autoRedefine/>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3138</Words>
  <Characters>3421</Characters>
  <Lines>192</Lines>
  <Paragraphs>65</Paragraphs>
  <TotalTime>50</TotalTime>
  <ScaleCrop>false</ScaleCrop>
  <LinksUpToDate>false</LinksUpToDate>
  <CharactersWithSpaces>3463</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Administrator</cp:lastModifiedBy>
  <cp:lastPrinted>2018-01-30T09:39:00Z</cp:lastPrinted>
  <dcterms:modified xsi:type="dcterms:W3CDTF">2024-02-01T01:49:58Z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9A2F7DC55C44462FAB4BFA5B9EB84513_12</vt:lpwstr>
  </property>
</Properties>
</file>