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96620">
      <w:pPr>
        <w:rPr>
          <w:rFonts w:ascii="黑体" w:eastAsia="黑体"/>
          <w:sz w:val="32"/>
          <w:szCs w:val="32"/>
        </w:rPr>
      </w:pPr>
    </w:p>
    <w:p w14:paraId="3C305840"/>
    <w:p w14:paraId="507942E3"/>
    <w:p w14:paraId="5FF0E173"/>
    <w:p w14:paraId="6CC3B332">
      <w:pPr>
        <w:ind w:firstLine="1050" w:firstLineChars="500"/>
      </w:pPr>
    </w:p>
    <w:p w14:paraId="596AEA70">
      <w:pPr>
        <w:ind w:firstLine="1050" w:firstLineChars="500"/>
      </w:pPr>
    </w:p>
    <w:p w14:paraId="23A7A27D">
      <w:pPr>
        <w:ind w:firstLine="1760" w:firstLineChars="400"/>
        <w:rPr>
          <w:rFonts w:ascii="黑体" w:eastAsia="黑体"/>
          <w:sz w:val="44"/>
          <w:szCs w:val="44"/>
        </w:rPr>
      </w:pPr>
    </w:p>
    <w:p w14:paraId="45A73C20">
      <w:pPr>
        <w:ind w:firstLine="1760" w:firstLineChars="400"/>
        <w:rPr>
          <w:rFonts w:ascii="黑体" w:eastAsia="黑体"/>
          <w:sz w:val="44"/>
          <w:szCs w:val="44"/>
        </w:rPr>
      </w:pPr>
    </w:p>
    <w:p w14:paraId="2AB1B380">
      <w:pPr>
        <w:jc w:val="center"/>
        <w:rPr>
          <w:rFonts w:hint="eastAsia" w:ascii="黑体" w:eastAsia="黑体"/>
          <w:sz w:val="44"/>
          <w:szCs w:val="44"/>
          <w:lang w:val="en-US" w:eastAsia="zh-CN"/>
        </w:rPr>
      </w:pPr>
      <w:r>
        <w:rPr>
          <w:rFonts w:hint="eastAsia" w:ascii="黑体" w:eastAsia="黑体"/>
          <w:sz w:val="44"/>
          <w:szCs w:val="44"/>
          <w:lang w:val="en-US" w:eastAsia="zh-CN"/>
        </w:rPr>
        <w:t>阿坝州民族科普工作队、阿坝州科技馆</w:t>
      </w:r>
    </w:p>
    <w:p w14:paraId="60CFC8E4">
      <w:pPr>
        <w:jc w:val="center"/>
        <w:rPr>
          <w:rFonts w:hint="default" w:ascii="黑体" w:eastAsia="黑体"/>
          <w:sz w:val="44"/>
          <w:szCs w:val="44"/>
          <w:lang w:val="en-US" w:eastAsia="zh-CN"/>
        </w:rPr>
      </w:pPr>
      <w:r>
        <w:rPr>
          <w:rFonts w:hint="eastAsia" w:ascii="黑体" w:eastAsia="黑体"/>
          <w:sz w:val="44"/>
          <w:szCs w:val="44"/>
          <w:lang w:val="en-US" w:eastAsia="zh-CN"/>
        </w:rPr>
        <w:t>单位</w:t>
      </w:r>
      <w:bookmarkStart w:id="0" w:name="_GoBack"/>
      <w:bookmarkEnd w:id="0"/>
      <w:r>
        <w:rPr>
          <w:rFonts w:ascii="黑体" w:eastAsia="黑体"/>
          <w:sz w:val="44"/>
          <w:szCs w:val="44"/>
        </w:rPr>
        <w:t>2025</w:t>
      </w:r>
      <w:r>
        <w:rPr>
          <w:rFonts w:hint="eastAsia" w:ascii="黑体" w:eastAsia="黑体"/>
          <w:sz w:val="44"/>
          <w:szCs w:val="44"/>
        </w:rPr>
        <w:t>年预算</w:t>
      </w:r>
      <w:r>
        <w:rPr>
          <w:rFonts w:hint="eastAsia" w:ascii="黑体" w:eastAsia="黑体"/>
          <w:sz w:val="44"/>
          <w:szCs w:val="44"/>
          <w:lang w:val="en-US" w:eastAsia="zh-CN"/>
        </w:rPr>
        <w:t>公开</w:t>
      </w:r>
    </w:p>
    <w:p w14:paraId="5A3C0018">
      <w:pPr>
        <w:ind w:firstLine="1760" w:firstLineChars="400"/>
        <w:rPr>
          <w:rFonts w:ascii="黑体" w:eastAsia="黑体"/>
          <w:sz w:val="44"/>
          <w:szCs w:val="44"/>
        </w:rPr>
      </w:pPr>
    </w:p>
    <w:p w14:paraId="15B7B382">
      <w:pPr>
        <w:ind w:firstLine="1760" w:firstLineChars="400"/>
        <w:rPr>
          <w:rFonts w:ascii="黑体" w:eastAsia="黑体"/>
          <w:sz w:val="44"/>
          <w:szCs w:val="44"/>
        </w:rPr>
      </w:pPr>
    </w:p>
    <w:p w14:paraId="6FFB8E9D">
      <w:pPr>
        <w:ind w:firstLine="1760" w:firstLineChars="400"/>
        <w:rPr>
          <w:rFonts w:ascii="黑体" w:eastAsia="黑体"/>
          <w:sz w:val="44"/>
          <w:szCs w:val="44"/>
        </w:rPr>
      </w:pPr>
    </w:p>
    <w:p w14:paraId="03833380">
      <w:pPr>
        <w:ind w:firstLine="1760" w:firstLineChars="400"/>
        <w:rPr>
          <w:rFonts w:ascii="黑体" w:eastAsia="黑体"/>
          <w:sz w:val="44"/>
          <w:szCs w:val="44"/>
        </w:rPr>
      </w:pPr>
    </w:p>
    <w:p w14:paraId="04BD5C9F">
      <w:pPr>
        <w:ind w:firstLine="1760" w:firstLineChars="400"/>
        <w:rPr>
          <w:rFonts w:ascii="黑体" w:eastAsia="黑体"/>
          <w:sz w:val="44"/>
          <w:szCs w:val="44"/>
        </w:rPr>
      </w:pPr>
    </w:p>
    <w:p w14:paraId="6FE9BBBD">
      <w:pPr>
        <w:ind w:firstLine="1760" w:firstLineChars="400"/>
        <w:rPr>
          <w:rFonts w:ascii="黑体" w:eastAsia="黑体"/>
          <w:sz w:val="44"/>
          <w:szCs w:val="44"/>
        </w:rPr>
      </w:pPr>
    </w:p>
    <w:p w14:paraId="6BCA472D">
      <w:pPr>
        <w:ind w:firstLine="1760" w:firstLineChars="400"/>
        <w:rPr>
          <w:rFonts w:ascii="黑体" w:eastAsia="黑体"/>
          <w:sz w:val="44"/>
          <w:szCs w:val="44"/>
        </w:rPr>
      </w:pPr>
    </w:p>
    <w:p w14:paraId="637B8298">
      <w:pPr>
        <w:ind w:firstLine="1760" w:firstLineChars="400"/>
        <w:rPr>
          <w:rFonts w:ascii="黑体" w:eastAsia="黑体"/>
          <w:sz w:val="44"/>
          <w:szCs w:val="44"/>
        </w:rPr>
      </w:pPr>
    </w:p>
    <w:p w14:paraId="0A19A091">
      <w:pPr>
        <w:ind w:firstLine="1760" w:firstLineChars="400"/>
        <w:rPr>
          <w:rFonts w:ascii="黑体" w:eastAsia="黑体"/>
          <w:sz w:val="44"/>
          <w:szCs w:val="44"/>
        </w:rPr>
      </w:pPr>
    </w:p>
    <w:p w14:paraId="2997F6A7">
      <w:pPr>
        <w:ind w:firstLine="1760" w:firstLineChars="400"/>
        <w:rPr>
          <w:rFonts w:ascii="黑体" w:eastAsia="黑体"/>
          <w:sz w:val="44"/>
          <w:szCs w:val="44"/>
        </w:rPr>
      </w:pPr>
    </w:p>
    <w:p w14:paraId="3552FD12">
      <w:pPr>
        <w:ind w:firstLine="1760" w:firstLineChars="400"/>
        <w:rPr>
          <w:rFonts w:ascii="黑体" w:eastAsia="黑体"/>
          <w:sz w:val="44"/>
          <w:szCs w:val="44"/>
        </w:rPr>
      </w:pPr>
    </w:p>
    <w:p w14:paraId="6B9919CA">
      <w:pPr>
        <w:ind w:firstLine="1760" w:firstLineChars="400"/>
        <w:rPr>
          <w:rFonts w:ascii="黑体" w:eastAsia="黑体"/>
          <w:sz w:val="44"/>
          <w:szCs w:val="44"/>
        </w:rPr>
      </w:pPr>
    </w:p>
    <w:p w14:paraId="395AE50B">
      <w:pPr>
        <w:ind w:firstLine="1760" w:firstLineChars="400"/>
        <w:rPr>
          <w:rFonts w:ascii="黑体" w:eastAsia="黑体"/>
          <w:sz w:val="44"/>
          <w:szCs w:val="44"/>
        </w:rPr>
      </w:pPr>
    </w:p>
    <w:p w14:paraId="72D91221">
      <w:pPr>
        <w:ind w:firstLine="1760" w:firstLineChars="400"/>
        <w:rPr>
          <w:rFonts w:ascii="黑体" w:eastAsia="黑体"/>
          <w:sz w:val="44"/>
          <w:szCs w:val="44"/>
        </w:rPr>
      </w:pPr>
    </w:p>
    <w:p w14:paraId="12D23463">
      <w:pPr>
        <w:rPr>
          <w:rFonts w:ascii="黑体" w:eastAsia="黑体"/>
          <w:sz w:val="44"/>
          <w:szCs w:val="44"/>
        </w:rPr>
      </w:pPr>
    </w:p>
    <w:p w14:paraId="74D0662A">
      <w:pPr>
        <w:ind w:firstLine="3120" w:firstLineChars="600"/>
        <w:rPr>
          <w:rFonts w:ascii="黑体" w:eastAsia="黑体"/>
          <w:sz w:val="52"/>
          <w:szCs w:val="52"/>
        </w:rPr>
      </w:pPr>
      <w:r>
        <w:rPr>
          <w:rFonts w:hint="eastAsia" w:ascii="黑体" w:eastAsia="黑体"/>
          <w:sz w:val="52"/>
          <w:szCs w:val="52"/>
        </w:rPr>
        <w:t>目录</w:t>
      </w:r>
    </w:p>
    <w:p w14:paraId="2CCB91E0">
      <w:pPr>
        <w:ind w:firstLine="3080" w:firstLineChars="700"/>
        <w:rPr>
          <w:rFonts w:ascii="黑体" w:eastAsia="黑体"/>
          <w:sz w:val="44"/>
          <w:szCs w:val="44"/>
        </w:rPr>
      </w:pPr>
    </w:p>
    <w:p w14:paraId="513BE742">
      <w:pPr>
        <w:pStyle w:val="6"/>
        <w:ind w:firstLine="0" w:firstLineChars="0"/>
        <w:rPr>
          <w:rFonts w:ascii="黑体" w:eastAsia="黑体"/>
          <w:sz w:val="32"/>
          <w:szCs w:val="32"/>
        </w:rPr>
      </w:pPr>
      <w:r>
        <w:rPr>
          <w:rFonts w:hint="eastAsia" w:ascii="黑体" w:eastAsia="黑体"/>
          <w:sz w:val="32"/>
          <w:szCs w:val="32"/>
        </w:rPr>
        <w:t>一、基本职能及主要工作</w:t>
      </w:r>
    </w:p>
    <w:p w14:paraId="6B976A63">
      <w:pPr>
        <w:rPr>
          <w:rFonts w:ascii="楷体" w:eastAsia="楷体"/>
          <w:sz w:val="32"/>
          <w:szCs w:val="32"/>
        </w:rPr>
      </w:pPr>
      <w:r>
        <w:rPr>
          <w:rFonts w:hint="eastAsia" w:ascii="楷体" w:eastAsia="楷体"/>
          <w:sz w:val="32"/>
          <w:szCs w:val="32"/>
        </w:rPr>
        <w:t>（一）部门职能简介</w:t>
      </w:r>
    </w:p>
    <w:p w14:paraId="443AB14B">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67199687">
      <w:pPr>
        <w:rPr>
          <w:rFonts w:ascii="黑体" w:eastAsia="黑体"/>
          <w:sz w:val="32"/>
          <w:szCs w:val="32"/>
        </w:rPr>
      </w:pPr>
      <w:r>
        <w:rPr>
          <w:rFonts w:hint="eastAsia" w:ascii="黑体" w:eastAsia="黑体"/>
          <w:sz w:val="32"/>
          <w:szCs w:val="32"/>
        </w:rPr>
        <w:t>二、部门预算单位构成</w:t>
      </w:r>
    </w:p>
    <w:p w14:paraId="45B995EE">
      <w:pPr>
        <w:rPr>
          <w:rFonts w:ascii="黑体" w:eastAsia="黑体"/>
          <w:sz w:val="32"/>
          <w:szCs w:val="32"/>
        </w:rPr>
      </w:pPr>
      <w:r>
        <w:rPr>
          <w:rFonts w:hint="eastAsia" w:ascii="黑体" w:eastAsia="黑体"/>
          <w:sz w:val="32"/>
          <w:szCs w:val="32"/>
        </w:rPr>
        <w:t>三、收支预算情况说明</w:t>
      </w:r>
    </w:p>
    <w:p w14:paraId="00382E19">
      <w:pPr>
        <w:rPr>
          <w:rFonts w:ascii="楷体" w:eastAsia="楷体"/>
          <w:sz w:val="32"/>
          <w:szCs w:val="32"/>
        </w:rPr>
      </w:pPr>
      <w:r>
        <w:rPr>
          <w:rFonts w:hint="eastAsia" w:ascii="楷体" w:eastAsia="楷体"/>
          <w:sz w:val="32"/>
          <w:szCs w:val="32"/>
        </w:rPr>
        <w:t>（一）收入预算情况</w:t>
      </w:r>
    </w:p>
    <w:p w14:paraId="74A08D2B">
      <w:pPr>
        <w:rPr>
          <w:rFonts w:ascii="楷体" w:eastAsia="楷体"/>
          <w:sz w:val="32"/>
          <w:szCs w:val="32"/>
        </w:rPr>
      </w:pPr>
      <w:r>
        <w:rPr>
          <w:rFonts w:hint="eastAsia" w:ascii="楷体" w:eastAsia="楷体"/>
          <w:sz w:val="32"/>
          <w:szCs w:val="32"/>
        </w:rPr>
        <w:t>（二）支出预算情况</w:t>
      </w:r>
    </w:p>
    <w:p w14:paraId="1ADB3817">
      <w:pPr>
        <w:rPr>
          <w:rFonts w:ascii="黑体" w:eastAsia="黑体"/>
          <w:sz w:val="32"/>
          <w:szCs w:val="32"/>
        </w:rPr>
      </w:pPr>
      <w:r>
        <w:rPr>
          <w:rFonts w:hint="eastAsia" w:ascii="黑体" w:eastAsia="黑体"/>
          <w:sz w:val="32"/>
          <w:szCs w:val="32"/>
        </w:rPr>
        <w:t>四、财政拨款收支预算情况说明</w:t>
      </w:r>
    </w:p>
    <w:p w14:paraId="2E0D4D4B">
      <w:pPr>
        <w:rPr>
          <w:rFonts w:ascii="黑体" w:eastAsia="黑体"/>
          <w:sz w:val="32"/>
          <w:szCs w:val="32"/>
        </w:rPr>
      </w:pPr>
      <w:r>
        <w:rPr>
          <w:rFonts w:hint="eastAsia" w:ascii="黑体" w:eastAsia="黑体"/>
          <w:sz w:val="32"/>
          <w:szCs w:val="32"/>
        </w:rPr>
        <w:t>五、一般公共预算当年拨款情况说明</w:t>
      </w:r>
    </w:p>
    <w:p w14:paraId="279A3600">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60D22CCF">
      <w:pPr>
        <w:rPr>
          <w:rFonts w:ascii="黑体" w:eastAsia="黑体"/>
          <w:sz w:val="32"/>
          <w:szCs w:val="32"/>
        </w:rPr>
      </w:pPr>
    </w:p>
    <w:p w14:paraId="6F4EACD5">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5BAEC87">
      <w:pPr>
        <w:pStyle w:val="6"/>
        <w:rPr>
          <w:rFonts w:ascii="黑体" w:eastAsia="黑体"/>
          <w:sz w:val="32"/>
          <w:szCs w:val="32"/>
        </w:rPr>
      </w:pPr>
      <w:r>
        <w:rPr>
          <w:rFonts w:hint="eastAsia" w:ascii="黑体" w:eastAsia="黑体"/>
          <w:sz w:val="32"/>
          <w:szCs w:val="32"/>
        </w:rPr>
        <w:t>一、基本职能及主要工作</w:t>
      </w:r>
    </w:p>
    <w:p w14:paraId="6A85F1BA">
      <w:pPr>
        <w:ind w:firstLine="640" w:firstLineChars="200"/>
        <w:rPr>
          <w:rFonts w:ascii="楷体" w:eastAsia="楷体"/>
          <w:sz w:val="32"/>
          <w:szCs w:val="32"/>
        </w:rPr>
      </w:pPr>
      <w:r>
        <w:rPr>
          <w:rFonts w:hint="eastAsia" w:ascii="楷体" w:eastAsia="楷体"/>
          <w:sz w:val="32"/>
          <w:szCs w:val="32"/>
        </w:rPr>
        <w:t>（一）部门职能简介</w:t>
      </w:r>
    </w:p>
    <w:p w14:paraId="161B7A00">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发动和组织有关学会、协会、研究会的科技人员，深入基层</w:t>
      </w:r>
      <w:r>
        <w:rPr>
          <w:rFonts w:hint="eastAsia" w:ascii="仿宋_GB2312" w:eastAsia="仿宋_GB2312"/>
          <w:sz w:val="32"/>
          <w:szCs w:val="32"/>
          <w:lang w:eastAsia="zh-CN"/>
        </w:rPr>
        <w:t>、</w:t>
      </w:r>
      <w:r>
        <w:rPr>
          <w:rFonts w:hint="eastAsia" w:ascii="仿宋_GB2312" w:eastAsia="仿宋_GB2312"/>
          <w:sz w:val="32"/>
          <w:szCs w:val="32"/>
        </w:rPr>
        <w:t>通过科普讲座、科技展览和科教电影等形式，传播推广适合当地的实用技术</w:t>
      </w:r>
      <w:r>
        <w:rPr>
          <w:rFonts w:hint="eastAsia" w:ascii="仿宋_GB2312" w:eastAsia="仿宋_GB2312"/>
          <w:sz w:val="32"/>
          <w:szCs w:val="32"/>
          <w:lang w:eastAsia="zh-CN"/>
        </w:rPr>
        <w:t>。</w:t>
      </w:r>
    </w:p>
    <w:p w14:paraId="45B69957">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开展技术培训，大力发展智力</w:t>
      </w:r>
      <w:r>
        <w:rPr>
          <w:rFonts w:hint="eastAsia" w:ascii="仿宋_GB2312" w:eastAsia="仿宋_GB2312"/>
          <w:sz w:val="32"/>
          <w:szCs w:val="32"/>
          <w:lang w:eastAsia="zh-CN"/>
        </w:rPr>
        <w:t>，</w:t>
      </w:r>
      <w:r>
        <w:rPr>
          <w:rFonts w:hint="eastAsia" w:ascii="仿宋_GB2312" w:eastAsia="仿宋_GB2312"/>
          <w:sz w:val="32"/>
          <w:szCs w:val="32"/>
        </w:rPr>
        <w:t>为党政领导决策民主化、科学化服务</w:t>
      </w:r>
      <w:r>
        <w:rPr>
          <w:rFonts w:hint="eastAsia" w:ascii="仿宋_GB2312" w:eastAsia="仿宋_GB2312"/>
          <w:sz w:val="32"/>
          <w:szCs w:val="32"/>
          <w:lang w:eastAsia="zh-CN"/>
        </w:rPr>
        <w:t>。</w:t>
      </w:r>
    </w:p>
    <w:p w14:paraId="21C7FE8D">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利用各地区传统的节假目、文艺、体育和物资交流活动之机，多渠道地开展内容丰富的科普宜传、技术咨询、技术服务，来抵制和反对各种不良社会习俗</w:t>
      </w:r>
      <w:r>
        <w:rPr>
          <w:rFonts w:hint="eastAsia" w:ascii="仿宋_GB2312" w:eastAsia="仿宋_GB2312"/>
          <w:sz w:val="32"/>
          <w:szCs w:val="32"/>
          <w:lang w:eastAsia="zh-CN"/>
        </w:rPr>
        <w:t>。</w:t>
      </w:r>
    </w:p>
    <w:p w14:paraId="4769FFAC">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指导、帮助农村和牧区建立科普网络服务体系</w:t>
      </w:r>
      <w:r>
        <w:rPr>
          <w:rFonts w:hint="eastAsia" w:ascii="仿宋_GB2312" w:eastAsia="仿宋_GB2312"/>
          <w:sz w:val="32"/>
          <w:szCs w:val="32"/>
          <w:lang w:eastAsia="zh-CN"/>
        </w:rPr>
        <w:t>。</w:t>
      </w:r>
    </w:p>
    <w:p w14:paraId="1587106B">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官传党的民族政策、普及律知识、文化生活知识和党的现行政策的宣传有机的结合起来，广大牧民服好务。</w:t>
      </w:r>
    </w:p>
    <w:p w14:paraId="06933E62">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为我州社会公众和广大青少年提供参与科技活动、体验科技创新的良好场所。满足广大青少年的科技需求，激发科学兴趣，启迪科学思维，提高科学素质和创新能力。开展科学展教工作等。</w:t>
      </w:r>
    </w:p>
    <w:p w14:paraId="35BABA98">
      <w:pPr>
        <w:ind w:firstLine="640" w:firstLineChars="200"/>
        <w:rPr>
          <w:rFonts w:hint="eastAsia"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06E8E5DB">
      <w:pPr>
        <w:pStyle w:val="5"/>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1.强化思想政治引领。加强对群众、干部职工的思想政治引领，深入学习习近平总书记系列重要讲话精神，全面领会党中央治国理政新理念新思想新战略，持续深入开展中央、省、州重要会议精神的学习，贯彻落实好州委各项重大决策部署。</w:t>
      </w:r>
    </w:p>
    <w:p w14:paraId="1C889BAF">
      <w:pPr>
        <w:pStyle w:val="5"/>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2.加强自身建设。根据《中国科协章程》规定，组织召开阿坝州科协第八次代表大会，选举产生新一届委员会，确定阿坝州科协未来五年的工作方针和任务。</w:t>
      </w:r>
    </w:p>
    <w:p w14:paraId="05AC5880">
      <w:pPr>
        <w:pStyle w:val="5"/>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3.提升</w:t>
      </w:r>
      <w:r>
        <w:rPr>
          <w:rFonts w:hint="eastAsia" w:ascii="仿宋_GB2312" w:eastAsia="仿宋_GB2312"/>
          <w:color w:val="000000"/>
          <w:sz w:val="32"/>
          <w:szCs w:val="32"/>
          <w:lang w:eastAsia="zh-CN"/>
        </w:rPr>
        <w:t>“</w:t>
      </w:r>
      <w:r>
        <w:rPr>
          <w:rFonts w:hint="default" w:ascii="仿宋_GB2312" w:eastAsia="仿宋_GB2312"/>
          <w:color w:val="000000"/>
          <w:sz w:val="32"/>
          <w:szCs w:val="32"/>
        </w:rPr>
        <w:t>天府科技云</w:t>
      </w:r>
      <w:r>
        <w:rPr>
          <w:rFonts w:hint="eastAsia" w:ascii="仿宋_GB2312" w:eastAsia="仿宋_GB2312"/>
          <w:color w:val="000000"/>
          <w:sz w:val="32"/>
          <w:szCs w:val="32"/>
          <w:lang w:eastAsia="zh-CN"/>
        </w:rPr>
        <w:t>”</w:t>
      </w:r>
      <w:r>
        <w:rPr>
          <w:rFonts w:hint="default" w:ascii="仿宋_GB2312" w:eastAsia="仿宋_GB2312"/>
          <w:color w:val="000000"/>
          <w:sz w:val="32"/>
          <w:szCs w:val="32"/>
        </w:rPr>
        <w:t>服务效能。深化全员常态</w:t>
      </w:r>
      <w:r>
        <w:rPr>
          <w:rFonts w:hint="eastAsia" w:ascii="仿宋_GB2312" w:eastAsia="仿宋_GB2312"/>
          <w:color w:val="000000"/>
          <w:sz w:val="32"/>
          <w:szCs w:val="32"/>
          <w:lang w:eastAsia="zh-CN"/>
        </w:rPr>
        <w:t>“</w:t>
      </w:r>
      <w:r>
        <w:rPr>
          <w:rFonts w:hint="default" w:ascii="仿宋_GB2312" w:eastAsia="仿宋_GB2312"/>
          <w:color w:val="000000"/>
          <w:sz w:val="32"/>
          <w:szCs w:val="32"/>
        </w:rPr>
        <w:t>保姆式</w:t>
      </w:r>
      <w:r>
        <w:rPr>
          <w:rFonts w:hint="eastAsia" w:ascii="仿宋_GB2312" w:eastAsia="仿宋_GB2312"/>
          <w:color w:val="000000"/>
          <w:sz w:val="32"/>
          <w:szCs w:val="32"/>
          <w:lang w:eastAsia="zh-CN"/>
        </w:rPr>
        <w:t>”</w:t>
      </w:r>
      <w:r>
        <w:rPr>
          <w:rFonts w:hint="default" w:ascii="仿宋_GB2312" w:eastAsia="仿宋_GB2312"/>
          <w:color w:val="000000"/>
          <w:sz w:val="32"/>
          <w:szCs w:val="32"/>
        </w:rPr>
        <w:t>服务，引领打造示范科创工作室</w:t>
      </w:r>
      <w:r>
        <w:rPr>
          <w:rFonts w:hint="eastAsia" w:ascii="仿宋_GB2312" w:eastAsia="仿宋_GB2312"/>
          <w:color w:val="000000"/>
          <w:sz w:val="32"/>
          <w:szCs w:val="32"/>
          <w:lang w:eastAsia="zh-CN"/>
        </w:rPr>
        <w:t>和典型案例</w:t>
      </w:r>
      <w:r>
        <w:rPr>
          <w:rFonts w:hint="default" w:ascii="仿宋_GB2312" w:eastAsia="仿宋_GB2312"/>
          <w:color w:val="000000"/>
          <w:sz w:val="32"/>
          <w:szCs w:val="32"/>
        </w:rPr>
        <w:t>，积极筹备第四届</w:t>
      </w:r>
      <w:r>
        <w:rPr>
          <w:rFonts w:hint="eastAsia" w:ascii="仿宋_GB2312" w:eastAsia="仿宋_GB2312"/>
          <w:color w:val="000000"/>
          <w:sz w:val="32"/>
          <w:szCs w:val="32"/>
          <w:lang w:eastAsia="zh-CN"/>
        </w:rPr>
        <w:t>“</w:t>
      </w:r>
      <w:r>
        <w:rPr>
          <w:rFonts w:hint="default" w:ascii="仿宋_GB2312" w:eastAsia="仿宋_GB2312"/>
          <w:color w:val="000000"/>
          <w:sz w:val="32"/>
          <w:szCs w:val="32"/>
        </w:rPr>
        <w:t>天府科技云服务大会</w:t>
      </w:r>
      <w:r>
        <w:rPr>
          <w:rFonts w:hint="eastAsia" w:ascii="仿宋_GB2312" w:eastAsia="仿宋_GB2312"/>
          <w:color w:val="000000"/>
          <w:sz w:val="32"/>
          <w:szCs w:val="32"/>
          <w:lang w:eastAsia="zh-CN"/>
        </w:rPr>
        <w:t>”</w:t>
      </w:r>
      <w:r>
        <w:rPr>
          <w:rFonts w:hint="default" w:ascii="仿宋_GB2312" w:eastAsia="仿宋_GB2312"/>
          <w:color w:val="000000"/>
          <w:sz w:val="32"/>
          <w:szCs w:val="32"/>
        </w:rPr>
        <w:t>，</w:t>
      </w:r>
      <w:r>
        <w:rPr>
          <w:rFonts w:hint="default" w:ascii="仿宋_GB2312" w:eastAsia="仿宋_GB2312"/>
          <w:color w:val="000000"/>
          <w:sz w:val="32"/>
          <w:szCs w:val="32"/>
          <w:lang w:eastAsia="zh-CN"/>
        </w:rPr>
        <w:t>助推天府科技云服务高质量发展</w:t>
      </w:r>
      <w:r>
        <w:rPr>
          <w:rFonts w:hint="default" w:ascii="仿宋_GB2312" w:eastAsia="仿宋_GB2312"/>
          <w:color w:val="000000"/>
          <w:sz w:val="32"/>
          <w:szCs w:val="32"/>
        </w:rPr>
        <w:t>。</w:t>
      </w:r>
    </w:p>
    <w:p w14:paraId="411325F9">
      <w:pPr>
        <w:pStyle w:val="5"/>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4.推进科技工作者之家建设。加强</w:t>
      </w:r>
      <w:r>
        <w:rPr>
          <w:rFonts w:hint="eastAsia" w:ascii="仿宋_GB2312" w:eastAsia="仿宋_GB2312"/>
          <w:color w:val="000000"/>
          <w:sz w:val="32"/>
          <w:szCs w:val="32"/>
          <w:lang w:eastAsia="zh-CN"/>
        </w:rPr>
        <w:t>“</w:t>
      </w:r>
      <w:r>
        <w:rPr>
          <w:rFonts w:hint="default" w:ascii="仿宋_GB2312" w:eastAsia="仿宋_GB2312"/>
          <w:color w:val="000000"/>
          <w:sz w:val="32"/>
          <w:szCs w:val="32"/>
        </w:rPr>
        <w:t>天府科技云科技社团能力提升行动项目</w:t>
      </w:r>
      <w:r>
        <w:rPr>
          <w:rFonts w:hint="eastAsia" w:ascii="仿宋_GB2312" w:eastAsia="仿宋_GB2312"/>
          <w:color w:val="000000"/>
          <w:sz w:val="32"/>
          <w:szCs w:val="32"/>
          <w:lang w:eastAsia="zh-CN"/>
        </w:rPr>
        <w:t>”</w:t>
      </w:r>
      <w:r>
        <w:rPr>
          <w:rFonts w:hint="default" w:ascii="仿宋_GB2312" w:eastAsia="仿宋_GB2312"/>
          <w:color w:val="000000"/>
          <w:sz w:val="32"/>
          <w:szCs w:val="32"/>
        </w:rPr>
        <w:t>建设，扩大项目覆盖面和影响力。做好与科协常委、委员、代表及基层科技工作者的联系，积极开展人才举荐工作。继续加强院士（专家）工作站建设，利用《院士专家建言专刊》，搭建科技工作者向州委州政府</w:t>
      </w:r>
      <w:r>
        <w:rPr>
          <w:rFonts w:hint="eastAsia" w:ascii="仿宋_GB2312" w:eastAsia="仿宋_GB2312"/>
          <w:color w:val="000000"/>
          <w:sz w:val="32"/>
          <w:szCs w:val="32"/>
          <w:lang w:eastAsia="zh-CN"/>
        </w:rPr>
        <w:t>“</w:t>
      </w:r>
      <w:r>
        <w:rPr>
          <w:rFonts w:hint="default" w:ascii="仿宋_GB2312" w:eastAsia="仿宋_GB2312"/>
          <w:color w:val="000000"/>
          <w:sz w:val="32"/>
          <w:szCs w:val="32"/>
        </w:rPr>
        <w:t>建言献策</w:t>
      </w:r>
      <w:r>
        <w:rPr>
          <w:rFonts w:hint="eastAsia" w:ascii="仿宋_GB2312" w:eastAsia="仿宋_GB2312"/>
          <w:color w:val="000000"/>
          <w:sz w:val="32"/>
          <w:szCs w:val="32"/>
          <w:lang w:eastAsia="zh-CN"/>
        </w:rPr>
        <w:t>”</w:t>
      </w:r>
      <w:r>
        <w:rPr>
          <w:rFonts w:hint="default" w:ascii="仿宋_GB2312" w:eastAsia="仿宋_GB2312"/>
          <w:color w:val="000000"/>
          <w:sz w:val="32"/>
          <w:szCs w:val="32"/>
        </w:rPr>
        <w:t>的平台。</w:t>
      </w:r>
    </w:p>
    <w:p w14:paraId="6FB1534D">
      <w:pPr>
        <w:pStyle w:val="5"/>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5.力促全民科学素质提升。加大科普宣传力度，举办好各类科普宣传活动，推进科技馆展教工作，</w:t>
      </w:r>
      <w:r>
        <w:rPr>
          <w:rFonts w:hint="default" w:ascii="仿宋_GB2312" w:eastAsia="仿宋_GB2312"/>
          <w:color w:val="000000"/>
          <w:sz w:val="32"/>
          <w:szCs w:val="32"/>
          <w:lang w:val="en-US" w:eastAsia="zh-CN"/>
        </w:rPr>
        <w:t>举办第三届阿坝州青少年科技创新大赛暨机器人大赛</w:t>
      </w:r>
      <w:r>
        <w:rPr>
          <w:rFonts w:hint="default" w:ascii="仿宋_GB2312" w:eastAsia="仿宋_GB2312"/>
          <w:color w:val="000000"/>
          <w:sz w:val="32"/>
          <w:szCs w:val="32"/>
        </w:rPr>
        <w:t>。</w:t>
      </w:r>
    </w:p>
    <w:p w14:paraId="450823D3">
      <w:pPr>
        <w:pStyle w:val="5"/>
        <w:spacing w:before="0" w:beforeAutospacing="0" w:after="0" w:afterAutospacing="0" w:line="448" w:lineRule="atLeast"/>
        <w:ind w:firstLine="472"/>
        <w:jc w:val="both"/>
        <w:rPr>
          <w:rFonts w:hint="default" w:ascii="仿宋_GB2312" w:eastAsia="仿宋_GB2312"/>
          <w:color w:val="000000"/>
          <w:sz w:val="32"/>
          <w:szCs w:val="32"/>
        </w:rPr>
      </w:pPr>
      <w:r>
        <w:rPr>
          <w:rFonts w:hint="default" w:ascii="仿宋_GB2312" w:eastAsia="仿宋_GB2312"/>
          <w:color w:val="000000"/>
          <w:sz w:val="32"/>
          <w:szCs w:val="32"/>
        </w:rPr>
        <w:t>6.服务全州经济社会发展。加强科普示范建设，提升科普示范项目资金的使用效率。不断提升农技协在农村经济发展中的示范带动效能，定期组织开展专业技能培训。</w:t>
      </w:r>
    </w:p>
    <w:p w14:paraId="43FCDA20">
      <w:pPr>
        <w:ind w:firstLine="640" w:firstLineChars="200"/>
        <w:rPr>
          <w:rFonts w:hint="eastAsia" w:ascii="楷体" w:eastAsia="楷体"/>
          <w:sz w:val="32"/>
          <w:szCs w:val="32"/>
        </w:rPr>
      </w:pPr>
      <w:r>
        <w:rPr>
          <w:rFonts w:hint="default" w:ascii="仿宋_GB2312" w:eastAsia="仿宋_GB2312"/>
          <w:color w:val="000000"/>
          <w:sz w:val="32"/>
          <w:szCs w:val="32"/>
        </w:rPr>
        <w:t>7.用心开展群众工作。认真开展托底帮扶、联心同行、驻村帮扶等工作，主动服务乡村振兴，加大协调工作力度，切实解决群众生产生活困难，组织开展各类实用技术培训，积极引入新技术、新品种，促进群众增收致富。</w:t>
      </w:r>
    </w:p>
    <w:p w14:paraId="695F2CFE">
      <w:pPr>
        <w:pStyle w:val="6"/>
        <w:numPr>
          <w:ilvl w:val="0"/>
          <w:numId w:val="1"/>
        </w:numPr>
        <w:ind w:firstLineChars="0"/>
        <w:rPr>
          <w:rFonts w:ascii="黑体" w:eastAsia="黑体"/>
          <w:sz w:val="32"/>
          <w:szCs w:val="32"/>
        </w:rPr>
      </w:pPr>
      <w:r>
        <w:rPr>
          <w:rFonts w:hint="eastAsia" w:ascii="黑体" w:eastAsia="黑体"/>
          <w:sz w:val="32"/>
          <w:szCs w:val="32"/>
        </w:rPr>
        <w:t>部门预算单位构成</w:t>
      </w:r>
    </w:p>
    <w:p w14:paraId="0ACC8BAE">
      <w:pPr>
        <w:spacing w:line="540" w:lineRule="exact"/>
        <w:ind w:firstLine="640" w:firstLineChars="200"/>
        <w:rPr>
          <w:rFonts w:hint="eastAsia" w:ascii="仿宋_GB2312" w:eastAsia="仿宋_GB2312"/>
          <w:sz w:val="32"/>
          <w:szCs w:val="32"/>
          <w:lang w:eastAsia="zh-CN"/>
        </w:rPr>
      </w:pPr>
      <w:r>
        <w:rPr>
          <w:rFonts w:ascii="仿宋_GB2312" w:eastAsia="仿宋_GB2312"/>
          <w:sz w:val="32"/>
          <w:szCs w:val="32"/>
        </w:rPr>
        <w:t>阿坝州民族科普工作队、阿坝州科技馆</w:t>
      </w:r>
      <w:r>
        <w:rPr>
          <w:rFonts w:hint="eastAsia" w:ascii="仿宋_GB2312" w:eastAsia="仿宋_GB2312"/>
          <w:sz w:val="32"/>
          <w:szCs w:val="32"/>
          <w:lang w:eastAsia="zh-CN"/>
        </w:rPr>
        <w:t>。</w:t>
      </w:r>
    </w:p>
    <w:p w14:paraId="39D9F1BE">
      <w:pPr>
        <w:pStyle w:val="6"/>
        <w:ind w:left="720" w:firstLine="0" w:firstLineChars="0"/>
        <w:rPr>
          <w:rFonts w:ascii="黑体" w:eastAsia="黑体"/>
          <w:sz w:val="32"/>
          <w:szCs w:val="32"/>
        </w:rPr>
      </w:pPr>
      <w:r>
        <w:rPr>
          <w:rFonts w:hint="eastAsia" w:ascii="黑体" w:eastAsia="黑体"/>
          <w:sz w:val="32"/>
          <w:szCs w:val="32"/>
        </w:rPr>
        <w:t>三、收支预算情况说明</w:t>
      </w:r>
    </w:p>
    <w:p w14:paraId="4359B61D">
      <w:pPr>
        <w:ind w:firstLine="640" w:firstLineChars="200"/>
        <w:rPr>
          <w:rFonts w:hint="eastAsia" w:ascii="楷体" w:eastAsia="楷体"/>
          <w:sz w:val="32"/>
          <w:szCs w:val="32"/>
        </w:rPr>
      </w:pPr>
      <w:r>
        <w:rPr>
          <w:rFonts w:hint="eastAsia" w:ascii="楷体" w:eastAsia="楷体"/>
          <w:sz w:val="32"/>
          <w:szCs w:val="32"/>
        </w:rPr>
        <w:t>（一）收入预算情况</w:t>
      </w:r>
    </w:p>
    <w:p w14:paraId="0329FF75">
      <w:pPr>
        <w:spacing w:line="560" w:lineRule="exact"/>
        <w:ind w:firstLine="640" w:firstLineChars="200"/>
        <w:rPr>
          <w:rFonts w:hint="eastAsia" w:ascii="楷体" w:eastAsia="仿宋_GB2312"/>
          <w:sz w:val="32"/>
          <w:szCs w:val="32"/>
          <w:lang w:eastAsia="zh-CN"/>
        </w:rPr>
      </w:pP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年收入预算141.47万元，其中：一般公共预算拨款收入141.47万元，占</w:t>
      </w:r>
      <w:r>
        <w:rPr>
          <w:rFonts w:ascii="仿宋_GB2312" w:eastAsia="仿宋_GB2312"/>
          <w:sz w:val="32"/>
          <w:szCs w:val="32"/>
        </w:rPr>
        <w:t>100%</w:t>
      </w:r>
      <w:r>
        <w:rPr>
          <w:rFonts w:hint="eastAsia" w:ascii="仿宋_GB2312" w:eastAsia="仿宋_GB2312"/>
          <w:sz w:val="32"/>
          <w:szCs w:val="32"/>
          <w:lang w:eastAsia="zh-CN"/>
        </w:rPr>
        <w:t>。</w:t>
      </w:r>
    </w:p>
    <w:p w14:paraId="2F0F7F7A">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128BA970">
      <w:pPr>
        <w:spacing w:line="560" w:lineRule="exact"/>
        <w:ind w:firstLine="640" w:firstLineChars="200"/>
        <w:rPr>
          <w:rFonts w:hint="eastAsia" w:ascii="楷体" w:eastAsia="仿宋_GB2312" w:cs="仿宋_GB2312"/>
          <w:sz w:val="32"/>
          <w:szCs w:val="32"/>
          <w:lang w:eastAsia="zh-CN"/>
        </w:rPr>
      </w:pP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ascii="仿宋_GB2312" w:eastAsia="仿宋_GB2312"/>
          <w:sz w:val="32"/>
          <w:szCs w:val="32"/>
        </w:rPr>
        <w:t>支出</w:t>
      </w:r>
      <w:r>
        <w:rPr>
          <w:rFonts w:hint="eastAsia" w:ascii="仿宋_GB2312" w:eastAsia="仿宋_GB2312"/>
          <w:sz w:val="32"/>
          <w:szCs w:val="32"/>
        </w:rPr>
        <w:t>预算</w:t>
      </w:r>
      <w:r>
        <w:rPr>
          <w:rFonts w:hint="eastAsia" w:ascii="仿宋_GB2312" w:eastAsia="仿宋_GB2312"/>
          <w:sz w:val="32"/>
          <w:szCs w:val="32"/>
          <w:lang w:val="en-US" w:eastAsia="zh-CN"/>
        </w:rPr>
        <w:t>141.47</w:t>
      </w:r>
      <w:r>
        <w:rPr>
          <w:rFonts w:hint="eastAsia" w:ascii="仿宋_GB2312" w:eastAsia="仿宋_GB2312"/>
          <w:sz w:val="32"/>
          <w:szCs w:val="32"/>
        </w:rPr>
        <w:t>万元，其中：一般公共预算拨款收入</w:t>
      </w:r>
      <w:r>
        <w:rPr>
          <w:rFonts w:hint="eastAsia" w:ascii="仿宋_GB2312" w:eastAsia="仿宋_GB2312"/>
          <w:sz w:val="32"/>
          <w:szCs w:val="32"/>
          <w:lang w:val="en-US" w:eastAsia="zh-CN"/>
        </w:rPr>
        <w:t>141.47</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lang w:eastAsia="zh-CN"/>
        </w:rPr>
        <w:t>。</w:t>
      </w:r>
    </w:p>
    <w:p w14:paraId="056FC0D9">
      <w:pPr>
        <w:numPr>
          <w:ilvl w:val="0"/>
          <w:numId w:val="1"/>
        </w:numPr>
        <w:ind w:left="1360" w:leftChars="0" w:hanging="720" w:firstLineChars="0"/>
        <w:rPr>
          <w:rFonts w:hint="eastAsia" w:ascii="黑体" w:eastAsia="黑体"/>
          <w:sz w:val="32"/>
          <w:szCs w:val="32"/>
        </w:rPr>
      </w:pPr>
      <w:r>
        <w:rPr>
          <w:rFonts w:hint="eastAsia" w:ascii="黑体" w:eastAsia="黑体"/>
          <w:sz w:val="32"/>
          <w:szCs w:val="32"/>
        </w:rPr>
        <w:t>财政拨款收支预算情况说明</w:t>
      </w:r>
    </w:p>
    <w:p w14:paraId="78C8EFCF">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rPr>
        <w:t>2025年财政拨款收支总预算</w:t>
      </w:r>
      <w:r>
        <w:rPr>
          <w:rFonts w:hint="eastAsia" w:ascii="仿宋_GB2312" w:eastAsia="仿宋_GB2312"/>
          <w:sz w:val="32"/>
          <w:szCs w:val="32"/>
          <w:lang w:val="en-US" w:eastAsia="zh-CN"/>
        </w:rPr>
        <w:t>141.47</w:t>
      </w:r>
      <w:r>
        <w:rPr>
          <w:rFonts w:hint="eastAsia" w:ascii="仿宋_GB2312" w:eastAsia="仿宋_GB2312"/>
          <w:sz w:val="32"/>
          <w:szCs w:val="32"/>
        </w:rPr>
        <w:t>万元,比2024年财政拨款收支总预算减少</w:t>
      </w:r>
      <w:r>
        <w:rPr>
          <w:rFonts w:hint="eastAsia" w:ascii="仿宋_GB2312" w:eastAsia="仿宋_GB2312"/>
          <w:sz w:val="32"/>
          <w:szCs w:val="32"/>
          <w:lang w:val="en-US" w:eastAsia="zh-CN"/>
        </w:rPr>
        <w:t>48.81</w:t>
      </w:r>
      <w:r>
        <w:rPr>
          <w:rFonts w:hint="eastAsia" w:ascii="仿宋_GB2312" w:eastAsia="仿宋_GB2312"/>
          <w:sz w:val="32"/>
          <w:szCs w:val="32"/>
        </w:rPr>
        <w:t>万元，主要原因:</w:t>
      </w:r>
      <w:r>
        <w:rPr>
          <w:rFonts w:hint="eastAsia" w:ascii="仿宋_GB2312" w:eastAsia="仿宋_GB2312"/>
          <w:sz w:val="32"/>
          <w:szCs w:val="32"/>
          <w:lang w:val="en-US" w:eastAsia="zh-CN"/>
        </w:rPr>
        <w:t>本年度职工减少3人。</w:t>
      </w:r>
    </w:p>
    <w:p w14:paraId="7A45D249">
      <w:pPr>
        <w:spacing w:line="540" w:lineRule="exact"/>
        <w:ind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rPr>
        <w:t>收入包括：</w:t>
      </w:r>
      <w:r>
        <w:rPr>
          <w:rFonts w:hint="eastAsia" w:ascii="仿宋_GB2312" w:eastAsia="仿宋_GB2312" w:cs="仿宋_GB2312"/>
          <w:sz w:val="32"/>
          <w:szCs w:val="32"/>
          <w:lang w:val="en-US" w:eastAsia="zh-CN"/>
        </w:rPr>
        <w:t>一般公共预算收入141.47万元。</w:t>
      </w:r>
    </w:p>
    <w:p w14:paraId="3B9A35E1">
      <w:pPr>
        <w:spacing w:line="540" w:lineRule="exact"/>
        <w:ind w:firstLine="640" w:firstLineChars="200"/>
        <w:rPr>
          <w:rFonts w:hint="eastAsia" w:ascii="仿宋_GB2312" w:eastAsia="仿宋_GB2312"/>
          <w:sz w:val="32"/>
          <w:szCs w:val="32"/>
          <w:lang w:eastAsia="zh-CN"/>
        </w:rPr>
      </w:pPr>
      <w:r>
        <w:rPr>
          <w:rFonts w:hint="eastAsia" w:ascii="仿宋_GB2312" w:eastAsia="仿宋_GB2312" w:cs="仿宋_GB2312"/>
          <w:sz w:val="32"/>
          <w:szCs w:val="32"/>
        </w:rPr>
        <w:t>支出包括：</w:t>
      </w:r>
      <w:r>
        <w:rPr>
          <w:rFonts w:ascii="仿宋_GB2312" w:eastAsia="仿宋_GB2312" w:cs="仿宋_GB2312"/>
          <w:sz w:val="32"/>
          <w:szCs w:val="32"/>
        </w:rPr>
        <w:t>科学技术支出</w:t>
      </w:r>
      <w:r>
        <w:rPr>
          <w:rFonts w:hint="eastAsia" w:ascii="仿宋_GB2312" w:eastAsia="仿宋_GB2312" w:cs="仿宋_GB2312"/>
          <w:sz w:val="32"/>
          <w:szCs w:val="32"/>
        </w:rPr>
        <w:t>102.57</w:t>
      </w:r>
      <w:r>
        <w:rPr>
          <w:rFonts w:ascii="仿宋_GB2312" w:eastAsia="仿宋_GB2312" w:cs="仿宋_GB2312"/>
          <w:sz w:val="32"/>
          <w:szCs w:val="32"/>
        </w:rPr>
        <w:t>万元，社会保障和就业支出</w:t>
      </w:r>
      <w:r>
        <w:rPr>
          <w:rFonts w:hint="eastAsia" w:ascii="仿宋_GB2312" w:eastAsia="仿宋_GB2312" w:cs="仿宋_GB2312"/>
          <w:sz w:val="32"/>
          <w:szCs w:val="32"/>
        </w:rPr>
        <w:t>18.71</w:t>
      </w:r>
      <w:r>
        <w:rPr>
          <w:rFonts w:ascii="仿宋_GB2312" w:eastAsia="仿宋_GB2312" w:cs="仿宋_GB2312"/>
          <w:sz w:val="32"/>
          <w:szCs w:val="32"/>
        </w:rPr>
        <w:t>万元，卫生健康支出</w:t>
      </w:r>
      <w:r>
        <w:rPr>
          <w:rFonts w:hint="eastAsia" w:ascii="仿宋_GB2312" w:eastAsia="仿宋_GB2312" w:cs="仿宋_GB2312"/>
          <w:sz w:val="32"/>
          <w:szCs w:val="32"/>
        </w:rPr>
        <w:t>8.48</w:t>
      </w:r>
      <w:r>
        <w:rPr>
          <w:rFonts w:ascii="仿宋_GB2312" w:eastAsia="仿宋_GB2312" w:cs="仿宋_GB2312"/>
          <w:sz w:val="32"/>
          <w:szCs w:val="32"/>
        </w:rPr>
        <w:t>万元，住房保障支出</w:t>
      </w:r>
      <w:r>
        <w:rPr>
          <w:rFonts w:hint="eastAsia" w:ascii="仿宋_GB2312" w:eastAsia="仿宋_GB2312" w:cs="仿宋_GB2312"/>
          <w:sz w:val="32"/>
          <w:szCs w:val="32"/>
        </w:rPr>
        <w:t>11.72</w:t>
      </w:r>
      <w:r>
        <w:rPr>
          <w:rFonts w:ascii="仿宋_GB2312" w:eastAsia="仿宋_GB2312" w:cs="仿宋_GB2312"/>
          <w:sz w:val="32"/>
          <w:szCs w:val="32"/>
        </w:rPr>
        <w:t>万元。</w:t>
      </w:r>
    </w:p>
    <w:p w14:paraId="7AA9A6F2">
      <w:pPr>
        <w:ind w:firstLine="640" w:firstLineChars="200"/>
        <w:rPr>
          <w:rFonts w:ascii="黑体" w:eastAsia="黑体"/>
          <w:sz w:val="32"/>
          <w:szCs w:val="32"/>
        </w:rPr>
      </w:pPr>
      <w:r>
        <w:rPr>
          <w:rFonts w:hint="eastAsia" w:ascii="黑体" w:eastAsia="黑体"/>
          <w:sz w:val="32"/>
          <w:szCs w:val="32"/>
        </w:rPr>
        <w:t>五、一般公共预算当年拨款情况说明</w:t>
      </w:r>
    </w:p>
    <w:p w14:paraId="7118BC12">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2631B063">
      <w:pPr>
        <w:pStyle w:val="11"/>
        <w:spacing w:before="0" w:line="360" w:lineRule="auto"/>
        <w:ind w:firstLine="660"/>
        <w:rPr>
          <w:rFonts w:cs="仿宋_GB2312"/>
          <w:kern w:val="2"/>
          <w:sz w:val="32"/>
          <w:szCs w:val="32"/>
        </w:rPr>
      </w:pPr>
      <w:r>
        <w:rPr>
          <w:rFonts w:hint="eastAsia" w:cs="宋体"/>
          <w:sz w:val="32"/>
          <w:szCs w:val="32"/>
        </w:rPr>
        <w:t>2025年一般公共预算当年拨款</w:t>
      </w:r>
      <w:r>
        <w:rPr>
          <w:rFonts w:hint="eastAsia" w:ascii="仿宋_GB2312" w:eastAsia="仿宋_GB2312" w:cs="仿宋_GB2312"/>
          <w:sz w:val="32"/>
          <w:szCs w:val="32"/>
          <w:lang w:val="en-US" w:eastAsia="zh-CN"/>
        </w:rPr>
        <w:t>141.47</w:t>
      </w:r>
      <w:r>
        <w:rPr>
          <w:rFonts w:hint="eastAsia" w:cs="宋体"/>
          <w:sz w:val="32"/>
          <w:szCs w:val="32"/>
        </w:rPr>
        <w:t>万元，比2024年预算数</w:t>
      </w:r>
      <w:r>
        <w:rPr>
          <w:rFonts w:hint="eastAsia"/>
          <w:sz w:val="32"/>
          <w:szCs w:val="32"/>
        </w:rPr>
        <w:t>减少</w:t>
      </w:r>
      <w:r>
        <w:rPr>
          <w:rFonts w:hint="eastAsia" w:cs="宋体"/>
          <w:sz w:val="32"/>
          <w:szCs w:val="32"/>
          <w:lang w:val="en-US" w:eastAsia="zh-CN"/>
        </w:rPr>
        <w:t>48.81</w:t>
      </w:r>
      <w:r>
        <w:rPr>
          <w:rFonts w:hint="eastAsia" w:cs="宋体"/>
          <w:sz w:val="32"/>
          <w:szCs w:val="32"/>
        </w:rPr>
        <w:t>万元，主要原因:</w:t>
      </w:r>
      <w:r>
        <w:rPr>
          <w:rFonts w:hint="eastAsia" w:ascii="仿宋_GB2312" w:eastAsia="仿宋_GB2312"/>
          <w:sz w:val="32"/>
          <w:szCs w:val="32"/>
          <w:lang w:val="en-US" w:eastAsia="zh-CN"/>
        </w:rPr>
        <w:t>本年度职工减少3人。</w:t>
      </w:r>
      <w:r>
        <w:rPr>
          <w:rFonts w:hint="eastAsia" w:cs="仿宋_GB2312"/>
          <w:kern w:val="2"/>
          <w:sz w:val="32"/>
          <w:szCs w:val="32"/>
        </w:rPr>
        <w:t>　</w:t>
      </w:r>
    </w:p>
    <w:p w14:paraId="489CE45A">
      <w:pPr>
        <w:pStyle w:val="11"/>
        <w:numPr>
          <w:ilvl w:val="0"/>
          <w:numId w:val="2"/>
        </w:numPr>
        <w:spacing w:before="0" w:line="360" w:lineRule="auto"/>
        <w:ind w:left="640" w:leftChars="0" w:firstLine="0" w:firstLineChars="0"/>
        <w:jc w:val="left"/>
        <w:rPr>
          <w:rFonts w:hint="eastAsia" w:ascii="楷体" w:eastAsia="楷体" w:cs="宋体"/>
          <w:sz w:val="32"/>
          <w:szCs w:val="32"/>
        </w:rPr>
      </w:pPr>
      <w:r>
        <w:rPr>
          <w:rFonts w:hint="eastAsia" w:ascii="楷体" w:eastAsia="楷体" w:cs="宋体"/>
          <w:sz w:val="32"/>
          <w:szCs w:val="32"/>
        </w:rPr>
        <w:t>一般公共预算当年拨款结构情况</w:t>
      </w:r>
    </w:p>
    <w:p w14:paraId="0DA9908A">
      <w:pPr>
        <w:spacing w:line="540" w:lineRule="exact"/>
        <w:ind w:firstLine="640" w:firstLineChars="200"/>
        <w:rPr>
          <w:rFonts w:hint="eastAsia" w:ascii="仿宋_GB2312" w:hAnsi="Calibri" w:eastAsia="仿宋_GB2312" w:cs="宋体"/>
          <w:kern w:val="0"/>
          <w:sz w:val="32"/>
          <w:szCs w:val="32"/>
          <w:lang w:val="en-US" w:eastAsia="zh-CN" w:bidi="ar-SA"/>
        </w:rPr>
      </w:pPr>
      <w:r>
        <w:rPr>
          <w:rFonts w:hint="eastAsia" w:ascii="仿宋_GB2312" w:hAnsi="Calibri" w:eastAsia="仿宋_GB2312" w:cs="宋体"/>
          <w:kern w:val="0"/>
          <w:sz w:val="32"/>
          <w:szCs w:val="32"/>
          <w:lang w:val="en-US" w:eastAsia="zh-CN" w:bidi="ar-SA"/>
        </w:rPr>
        <w:t>一般科学技术支出102.57万元，占</w:t>
      </w:r>
      <w:r>
        <w:rPr>
          <w:rFonts w:hint="eastAsia" w:ascii="仿宋_GB2312" w:eastAsia="仿宋_GB2312" w:cs="宋体"/>
          <w:kern w:val="0"/>
          <w:sz w:val="32"/>
          <w:szCs w:val="32"/>
          <w:lang w:val="en-US" w:eastAsia="zh-CN" w:bidi="ar-SA"/>
        </w:rPr>
        <w:t>72.50</w:t>
      </w:r>
      <w:r>
        <w:rPr>
          <w:rFonts w:hint="eastAsia" w:ascii="仿宋_GB2312" w:hAnsi="Calibri" w:eastAsia="仿宋_GB2312" w:cs="宋体"/>
          <w:kern w:val="0"/>
          <w:sz w:val="32"/>
          <w:szCs w:val="32"/>
          <w:lang w:val="en-US" w:eastAsia="zh-CN" w:bidi="ar-SA"/>
        </w:rPr>
        <w:t>%；社会保障和就业支18.71万元，占</w:t>
      </w:r>
      <w:r>
        <w:rPr>
          <w:rFonts w:hint="eastAsia" w:ascii="仿宋_GB2312" w:eastAsia="仿宋_GB2312" w:cs="宋体"/>
          <w:kern w:val="0"/>
          <w:sz w:val="32"/>
          <w:szCs w:val="32"/>
          <w:lang w:val="en-US" w:eastAsia="zh-CN" w:bidi="ar-SA"/>
        </w:rPr>
        <w:t>13.22</w:t>
      </w:r>
      <w:r>
        <w:rPr>
          <w:rFonts w:hint="eastAsia" w:ascii="仿宋_GB2312" w:hAnsi="Calibri" w:eastAsia="仿宋_GB2312" w:cs="宋体"/>
          <w:kern w:val="0"/>
          <w:sz w:val="32"/>
          <w:szCs w:val="32"/>
          <w:lang w:val="en-US" w:eastAsia="zh-CN" w:bidi="ar-SA"/>
        </w:rPr>
        <w:t>%；卫生健康支出8.48万元，占6.</w:t>
      </w:r>
      <w:r>
        <w:rPr>
          <w:rFonts w:hint="eastAsia" w:ascii="仿宋_GB2312" w:eastAsia="仿宋_GB2312" w:cs="宋体"/>
          <w:kern w:val="0"/>
          <w:sz w:val="32"/>
          <w:szCs w:val="32"/>
          <w:lang w:val="en-US" w:eastAsia="zh-CN" w:bidi="ar-SA"/>
        </w:rPr>
        <w:t>00</w:t>
      </w:r>
      <w:r>
        <w:rPr>
          <w:rFonts w:hint="eastAsia" w:ascii="仿宋_GB2312" w:hAnsi="Calibri" w:eastAsia="仿宋_GB2312" w:cs="宋体"/>
          <w:kern w:val="0"/>
          <w:sz w:val="32"/>
          <w:szCs w:val="32"/>
          <w:lang w:val="en-US" w:eastAsia="zh-CN" w:bidi="ar-SA"/>
        </w:rPr>
        <w:t>%；住房保障支出11.72万元，占</w:t>
      </w:r>
      <w:r>
        <w:rPr>
          <w:rFonts w:hint="eastAsia" w:ascii="仿宋_GB2312" w:eastAsia="仿宋_GB2312" w:cs="宋体"/>
          <w:kern w:val="0"/>
          <w:sz w:val="32"/>
          <w:szCs w:val="32"/>
          <w:lang w:val="en-US" w:eastAsia="zh-CN" w:bidi="ar-SA"/>
        </w:rPr>
        <w:t>8.28</w:t>
      </w:r>
      <w:r>
        <w:rPr>
          <w:rFonts w:hint="eastAsia" w:ascii="仿宋_GB2312" w:hAnsi="Calibri" w:eastAsia="仿宋_GB2312" w:cs="宋体"/>
          <w:kern w:val="0"/>
          <w:sz w:val="32"/>
          <w:szCs w:val="32"/>
          <w:lang w:val="en-US" w:eastAsia="zh-CN" w:bidi="ar-SA"/>
        </w:rPr>
        <w:t>%。</w:t>
      </w:r>
    </w:p>
    <w:p w14:paraId="3DC0652C">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23EB9002">
      <w:pPr>
        <w:pStyle w:val="11"/>
        <w:spacing w:before="0" w:line="360" w:lineRule="auto"/>
        <w:ind w:firstLine="660"/>
        <w:rPr>
          <w:rFonts w:hint="eastAsia" w:ascii="仿宋_GB2312" w:hAnsi="Calibri" w:eastAsia="仿宋_GB2312" w:cs="宋体"/>
          <w:kern w:val="0"/>
          <w:sz w:val="32"/>
          <w:szCs w:val="32"/>
          <w:lang w:val="en-US" w:eastAsia="zh-CN" w:bidi="ar-SA"/>
        </w:rPr>
      </w:pPr>
      <w:r>
        <w:rPr>
          <w:rFonts w:hint="eastAsia" w:ascii="仿宋_GB2312" w:eastAsia="仿宋_GB2312" w:cs="仿宋_GB2312"/>
          <w:sz w:val="32"/>
          <w:szCs w:val="32"/>
        </w:rPr>
        <w:t>一般公共预算当年拨款</w:t>
      </w:r>
      <w:r>
        <w:rPr>
          <w:rFonts w:hint="eastAsia" w:ascii="楷体" w:eastAsia="楷体" w:cs="仿宋_GB2312"/>
          <w:kern w:val="2"/>
          <w:sz w:val="32"/>
          <w:szCs w:val="32"/>
        </w:rPr>
        <w:t>具体使用情况</w:t>
      </w:r>
      <w:r>
        <w:rPr>
          <w:rFonts w:hint="eastAsia" w:ascii="仿宋_GB2312" w:hAnsi="Calibri" w:eastAsia="仿宋_GB2312" w:cs="宋体"/>
          <w:kern w:val="0"/>
          <w:sz w:val="32"/>
          <w:szCs w:val="32"/>
          <w:lang w:val="en-US" w:eastAsia="zh-CN" w:bidi="ar-SA"/>
        </w:rPr>
        <w:t>学技术支出102.57万元，占</w:t>
      </w:r>
      <w:r>
        <w:rPr>
          <w:rFonts w:hint="eastAsia" w:ascii="仿宋_GB2312" w:eastAsia="仿宋_GB2312" w:cs="宋体"/>
          <w:kern w:val="0"/>
          <w:sz w:val="32"/>
          <w:szCs w:val="32"/>
          <w:lang w:val="en-US" w:eastAsia="zh-CN" w:bidi="ar-SA"/>
        </w:rPr>
        <w:t>72.50</w:t>
      </w:r>
      <w:r>
        <w:rPr>
          <w:rFonts w:hint="eastAsia" w:ascii="仿宋_GB2312" w:hAnsi="Calibri" w:eastAsia="仿宋_GB2312" w:cs="宋体"/>
          <w:kern w:val="0"/>
          <w:sz w:val="32"/>
          <w:szCs w:val="32"/>
          <w:lang w:val="en-US" w:eastAsia="zh-CN" w:bidi="ar-SA"/>
        </w:rPr>
        <w:t>%；社会保障和就业支18.71万元，占</w:t>
      </w:r>
      <w:r>
        <w:rPr>
          <w:rFonts w:hint="eastAsia" w:ascii="仿宋_GB2312" w:eastAsia="仿宋_GB2312" w:cs="宋体"/>
          <w:kern w:val="0"/>
          <w:sz w:val="32"/>
          <w:szCs w:val="32"/>
          <w:lang w:val="en-US" w:eastAsia="zh-CN" w:bidi="ar-SA"/>
        </w:rPr>
        <w:t>13.22</w:t>
      </w:r>
      <w:r>
        <w:rPr>
          <w:rFonts w:hint="eastAsia" w:ascii="仿宋_GB2312" w:hAnsi="Calibri" w:eastAsia="仿宋_GB2312" w:cs="宋体"/>
          <w:kern w:val="0"/>
          <w:sz w:val="32"/>
          <w:szCs w:val="32"/>
          <w:lang w:val="en-US" w:eastAsia="zh-CN" w:bidi="ar-SA"/>
        </w:rPr>
        <w:t>%；卫生健康支出8.48万元，占6.</w:t>
      </w:r>
      <w:r>
        <w:rPr>
          <w:rFonts w:hint="eastAsia" w:ascii="仿宋_GB2312" w:eastAsia="仿宋_GB2312" w:cs="宋体"/>
          <w:kern w:val="0"/>
          <w:sz w:val="32"/>
          <w:szCs w:val="32"/>
          <w:lang w:val="en-US" w:eastAsia="zh-CN" w:bidi="ar-SA"/>
        </w:rPr>
        <w:t>00</w:t>
      </w:r>
      <w:r>
        <w:rPr>
          <w:rFonts w:hint="eastAsia" w:ascii="仿宋_GB2312" w:hAnsi="Calibri" w:eastAsia="仿宋_GB2312" w:cs="宋体"/>
          <w:kern w:val="0"/>
          <w:sz w:val="32"/>
          <w:szCs w:val="32"/>
          <w:lang w:val="en-US" w:eastAsia="zh-CN" w:bidi="ar-SA"/>
        </w:rPr>
        <w:t>%；住房保障支出11.72万元，占</w:t>
      </w:r>
      <w:r>
        <w:rPr>
          <w:rFonts w:hint="eastAsia" w:ascii="仿宋_GB2312" w:eastAsia="仿宋_GB2312" w:cs="宋体"/>
          <w:kern w:val="0"/>
          <w:sz w:val="32"/>
          <w:szCs w:val="32"/>
          <w:lang w:val="en-US" w:eastAsia="zh-CN" w:bidi="ar-SA"/>
        </w:rPr>
        <w:t>8.28</w:t>
      </w:r>
      <w:r>
        <w:rPr>
          <w:rFonts w:hint="eastAsia" w:ascii="仿宋_GB2312" w:hAnsi="Calibri" w:eastAsia="仿宋_GB2312" w:cs="宋体"/>
          <w:kern w:val="0"/>
          <w:sz w:val="32"/>
          <w:szCs w:val="32"/>
          <w:lang w:val="en-US" w:eastAsia="zh-CN" w:bidi="ar-SA"/>
        </w:rPr>
        <w:t>%。</w:t>
      </w:r>
    </w:p>
    <w:p w14:paraId="47EDC5A2">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5059FE21">
      <w:pPr>
        <w:pStyle w:val="11"/>
        <w:spacing w:before="0" w:line="360" w:lineRule="auto"/>
        <w:ind w:firstLine="640" w:firstLineChars="200"/>
        <w:rPr>
          <w:rFonts w:cs="仿宋_GB2312"/>
          <w:kern w:val="2"/>
          <w:sz w:val="32"/>
          <w:szCs w:val="32"/>
        </w:rPr>
      </w:pPr>
      <w:r>
        <w:rPr>
          <w:rFonts w:hint="eastAsia" w:cs="仿宋_GB2312"/>
          <w:kern w:val="2"/>
          <w:sz w:val="32"/>
          <w:szCs w:val="32"/>
        </w:rPr>
        <w:t>2025年一般公共预算基本支出</w:t>
      </w:r>
      <w:r>
        <w:rPr>
          <w:rFonts w:hint="eastAsia" w:cs="仿宋_GB2312"/>
          <w:kern w:val="2"/>
          <w:sz w:val="32"/>
          <w:szCs w:val="32"/>
          <w:lang w:val="en-US" w:eastAsia="zh-CN"/>
        </w:rPr>
        <w:t>141.47</w:t>
      </w:r>
      <w:r>
        <w:rPr>
          <w:rFonts w:hint="eastAsia" w:cs="仿宋_GB2312"/>
          <w:kern w:val="2"/>
          <w:sz w:val="32"/>
          <w:szCs w:val="32"/>
        </w:rPr>
        <w:t>万元，其中：人员经费124.14万元，主要包括：基本工资、津贴补贴、奖金、其他社会保障缴费、绩效工资、机关事业单位基本养老保险缴费、职业年金缴费、其他工资福利支出、离休费、奖励金、住房公积金、其他对个人和家庭的补助支出。</w:t>
      </w:r>
    </w:p>
    <w:p w14:paraId="518D011A">
      <w:pPr>
        <w:pStyle w:val="11"/>
        <w:spacing w:before="0" w:line="360" w:lineRule="auto"/>
        <w:ind w:firstLine="640" w:firstLineChars="200"/>
        <w:rPr>
          <w:rFonts w:ascii="黑体" w:eastAsia="黑体"/>
          <w:sz w:val="32"/>
          <w:szCs w:val="32"/>
        </w:rPr>
      </w:pPr>
      <w:r>
        <w:rPr>
          <w:rFonts w:hint="eastAsia" w:cs="仿宋_GB2312"/>
          <w:kern w:val="2"/>
          <w:sz w:val="32"/>
          <w:szCs w:val="32"/>
        </w:rPr>
        <w:t>公用经费17.34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1B39BB1C">
      <w:pPr>
        <w:pStyle w:val="11"/>
        <w:spacing w:before="0" w:line="360" w:lineRule="auto"/>
        <w:ind w:firstLine="640" w:firstLineChars="200"/>
        <w:rPr>
          <w:rFonts w:cs="仿宋_GB2312"/>
          <w:kern w:val="2"/>
          <w:sz w:val="32"/>
          <w:szCs w:val="32"/>
        </w:rPr>
      </w:pPr>
      <w:r>
        <w:rPr>
          <w:rFonts w:hint="eastAsia" w:cs="仿宋_GB2312"/>
          <w:kern w:val="2"/>
          <w:sz w:val="32"/>
          <w:szCs w:val="32"/>
        </w:rPr>
        <w:t>2025年“三公”经费财政拨款预算数0.23万元，其中：因公出国（境）经费</w:t>
      </w:r>
      <w:r>
        <w:rPr>
          <w:rFonts w:hint="eastAsia" w:cs="仿宋_GB2312"/>
          <w:kern w:val="2"/>
          <w:sz w:val="32"/>
          <w:szCs w:val="32"/>
          <w:lang w:val="en-US" w:eastAsia="zh-CN"/>
        </w:rPr>
        <w:t>0</w:t>
      </w:r>
      <w:r>
        <w:rPr>
          <w:rFonts w:hint="eastAsia" w:cs="仿宋_GB2312"/>
          <w:kern w:val="2"/>
          <w:sz w:val="32"/>
          <w:szCs w:val="32"/>
        </w:rPr>
        <w:t>万元，公务接待费0.23万元，公务用车购置及运行维护费</w:t>
      </w:r>
      <w:r>
        <w:rPr>
          <w:rFonts w:hint="eastAsia" w:cs="仿宋_GB2312"/>
          <w:kern w:val="2"/>
          <w:sz w:val="32"/>
          <w:szCs w:val="32"/>
          <w:lang w:val="en-US" w:eastAsia="zh-CN"/>
        </w:rPr>
        <w:t>0</w:t>
      </w:r>
      <w:r>
        <w:rPr>
          <w:rFonts w:hint="eastAsia" w:cs="仿宋_GB2312"/>
          <w:kern w:val="2"/>
          <w:sz w:val="32"/>
          <w:szCs w:val="32"/>
        </w:rPr>
        <w:t>万元。</w:t>
      </w:r>
    </w:p>
    <w:p w14:paraId="011CB074">
      <w:pPr>
        <w:pStyle w:val="11"/>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14:paraId="24BC7F80">
      <w:pPr>
        <w:pStyle w:val="11"/>
        <w:spacing w:before="0" w:line="360" w:lineRule="auto"/>
        <w:ind w:firstLine="660"/>
        <w:rPr>
          <w:rFonts w:cs="仿宋_GB2312"/>
          <w:kern w:val="2"/>
          <w:sz w:val="32"/>
          <w:szCs w:val="32"/>
        </w:rPr>
      </w:pPr>
      <w:r>
        <w:rPr>
          <w:rFonts w:hint="eastAsia" w:cs="仿宋_GB2312"/>
          <w:kern w:val="2"/>
          <w:sz w:val="32"/>
          <w:szCs w:val="32"/>
        </w:rPr>
        <w:t>（二）</w:t>
      </w:r>
      <w:r>
        <w:rPr>
          <w:rFonts w:hint="eastAsia" w:cs="仿宋_GB2312"/>
          <w:color w:val="000000"/>
          <w:kern w:val="2"/>
          <w:sz w:val="32"/>
          <w:szCs w:val="32"/>
        </w:rPr>
        <w:t>2025年公务接待经费0.23万元。较2024年预算经费减少</w:t>
      </w:r>
      <w:r>
        <w:rPr>
          <w:rFonts w:hint="eastAsia" w:cs="仿宋_GB2312"/>
          <w:color w:val="000000"/>
          <w:kern w:val="2"/>
          <w:sz w:val="32"/>
          <w:szCs w:val="32"/>
          <w:lang w:val="en-US" w:eastAsia="zh-CN"/>
        </w:rPr>
        <w:t>0.07</w:t>
      </w:r>
      <w:r>
        <w:rPr>
          <w:rFonts w:hint="eastAsia" w:cs="仿宋_GB2312"/>
          <w:color w:val="000000"/>
          <w:kern w:val="2"/>
          <w:sz w:val="32"/>
          <w:szCs w:val="32"/>
        </w:rPr>
        <w:t>万元，</w:t>
      </w:r>
      <w:r>
        <w:rPr>
          <w:rFonts w:hint="eastAsia" w:cs="宋体"/>
          <w:sz w:val="32"/>
          <w:szCs w:val="32"/>
          <w:lang w:val="en-US" w:eastAsia="zh-CN"/>
        </w:rPr>
        <w:t>降低</w:t>
      </w:r>
      <w:r>
        <w:rPr>
          <w:rFonts w:hint="eastAsia" w:cs="仿宋_GB2312"/>
          <w:color w:val="000000"/>
          <w:kern w:val="2"/>
          <w:sz w:val="32"/>
          <w:szCs w:val="32"/>
          <w:lang w:val="en-US" w:eastAsia="zh-CN"/>
        </w:rPr>
        <w:t>23.33</w:t>
      </w:r>
      <w:r>
        <w:rPr>
          <w:rFonts w:hint="eastAsia" w:cs="仿宋_GB2312"/>
          <w:color w:val="000000"/>
          <w:kern w:val="2"/>
          <w:sz w:val="32"/>
          <w:szCs w:val="32"/>
        </w:rPr>
        <w:t>%，主要原因</w:t>
      </w:r>
      <w:r>
        <w:rPr>
          <w:rFonts w:hint="eastAsia" w:ascii="仿宋_GB2312" w:eastAsia="仿宋_GB2312"/>
          <w:sz w:val="32"/>
          <w:szCs w:val="32"/>
          <w:lang w:val="en-US" w:eastAsia="zh-CN"/>
        </w:rPr>
        <w:t>本年度职工减少3人。</w:t>
      </w:r>
      <w:r>
        <w:rPr>
          <w:rFonts w:hint="eastAsia" w:cs="仿宋_GB2312"/>
          <w:kern w:val="2"/>
          <w:sz w:val="32"/>
          <w:szCs w:val="32"/>
        </w:rPr>
        <w:t>　</w:t>
      </w:r>
    </w:p>
    <w:p w14:paraId="3A5B96F8">
      <w:pPr>
        <w:pStyle w:val="11"/>
        <w:spacing w:before="0" w:line="360" w:lineRule="auto"/>
        <w:ind w:firstLine="640" w:firstLineChars="200"/>
        <w:rPr>
          <w:rFonts w:hint="eastAsia" w:cs="仿宋_GB2312"/>
          <w:color w:val="000000"/>
          <w:kern w:val="2"/>
          <w:sz w:val="32"/>
          <w:szCs w:val="32"/>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万元。</w:t>
      </w:r>
    </w:p>
    <w:p w14:paraId="165B41E1">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64818655">
      <w:pPr>
        <w:pStyle w:val="11"/>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lang w:val="en-US" w:eastAsia="zh-CN"/>
        </w:rPr>
        <w:t>我单位</w:t>
      </w:r>
      <w:r>
        <w:rPr>
          <w:rFonts w:hint="eastAsia" w:cs="仿宋_GB2312"/>
          <w:kern w:val="2"/>
          <w:sz w:val="32"/>
          <w:szCs w:val="32"/>
        </w:rPr>
        <w:t>2025年</w:t>
      </w:r>
      <w:r>
        <w:rPr>
          <w:rFonts w:hint="eastAsia" w:cs="仿宋_GB2312"/>
          <w:kern w:val="2"/>
          <w:sz w:val="32"/>
          <w:szCs w:val="32"/>
          <w:lang w:val="en-US" w:eastAsia="zh-CN"/>
        </w:rPr>
        <w:t>无</w:t>
      </w:r>
      <w:r>
        <w:rPr>
          <w:rFonts w:hint="eastAsia" w:cs="仿宋_GB2312"/>
          <w:kern w:val="2"/>
          <w:sz w:val="32"/>
          <w:szCs w:val="32"/>
        </w:rPr>
        <w:t>政府性基金预算拨款安排的支出</w:t>
      </w:r>
      <w:r>
        <w:rPr>
          <w:rFonts w:hint="eastAsia" w:cs="仿宋_GB2312"/>
          <w:kern w:val="2"/>
          <w:sz w:val="32"/>
          <w:szCs w:val="32"/>
          <w:lang w:eastAsia="zh-CN"/>
        </w:rPr>
        <w:t>。</w:t>
      </w:r>
    </w:p>
    <w:p w14:paraId="408AE2E3">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1B903DBB">
      <w:pPr>
        <w:pStyle w:val="11"/>
        <w:spacing w:before="0" w:line="360" w:lineRule="auto"/>
        <w:ind w:firstLine="640" w:firstLineChars="200"/>
        <w:rPr>
          <w:rFonts w:hint="default" w:eastAsia="仿宋_GB2312" w:cs="仿宋_GB2312"/>
          <w:color w:val="FF0000"/>
          <w:kern w:val="2"/>
          <w:sz w:val="32"/>
          <w:szCs w:val="32"/>
          <w:lang w:val="en-US" w:eastAsia="zh-CN"/>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2025年机关运行经费财政拨款预算为</w:t>
      </w:r>
      <w:r>
        <w:rPr>
          <w:rFonts w:hint="eastAsia" w:cs="仿宋_GB2312"/>
          <w:kern w:val="2"/>
          <w:sz w:val="32"/>
          <w:szCs w:val="32"/>
          <w:lang w:val="en-US" w:eastAsia="zh-CN"/>
        </w:rPr>
        <w:t>0</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lang w:val="en-US" w:eastAsia="zh-CN"/>
        </w:rPr>
        <w:t>我单位为事业单位，无机关运行经费。</w:t>
      </w:r>
    </w:p>
    <w:p w14:paraId="6522E992">
      <w:pPr>
        <w:pStyle w:val="11"/>
        <w:spacing w:before="0" w:line="360" w:lineRule="auto"/>
        <w:ind w:firstLine="640" w:firstLineChars="200"/>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3B196B9C">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2DCEE6F5">
      <w:pPr>
        <w:pStyle w:val="11"/>
        <w:spacing w:before="0" w:line="360" w:lineRule="auto"/>
        <w:ind w:firstLine="640" w:firstLineChars="200"/>
        <w:rPr>
          <w:rFonts w:hint="default" w:eastAsia="仿宋_GB2312" w:cs="仿宋_GB2312"/>
          <w:kern w:val="2"/>
          <w:sz w:val="32"/>
          <w:szCs w:val="32"/>
          <w:lang w:val="en-US" w:eastAsia="zh-CN"/>
        </w:rPr>
      </w:pPr>
      <w:r>
        <w:rPr>
          <w:rFonts w:hint="eastAsia" w:cs="仿宋_GB2312"/>
          <w:kern w:val="2"/>
          <w:sz w:val="32"/>
          <w:szCs w:val="32"/>
        </w:rPr>
        <w:t>截至202</w:t>
      </w:r>
      <w:r>
        <w:rPr>
          <w:rFonts w:hint="eastAsia" w:cs="仿宋_GB2312"/>
          <w:kern w:val="2"/>
          <w:sz w:val="32"/>
          <w:szCs w:val="32"/>
          <w:lang w:val="en-US" w:eastAsia="zh-CN"/>
        </w:rPr>
        <w:t>4</w:t>
      </w:r>
      <w:r>
        <w:rPr>
          <w:rFonts w:hint="eastAsia" w:cs="仿宋_GB2312"/>
          <w:kern w:val="2"/>
          <w:sz w:val="32"/>
          <w:szCs w:val="32"/>
        </w:rPr>
        <w:t>年12月31日，我单位固定资产</w:t>
      </w:r>
      <w:r>
        <w:rPr>
          <w:rFonts w:cs="仿宋_GB2312"/>
          <w:kern w:val="2"/>
          <w:sz w:val="32"/>
          <w:szCs w:val="32"/>
        </w:rPr>
        <w:t>0</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lang w:val="en-US" w:eastAsia="zh-CN"/>
        </w:rPr>
        <w:t>我单位无固定资产。</w:t>
      </w:r>
    </w:p>
    <w:p w14:paraId="05C99EA2">
      <w:pPr>
        <w:pStyle w:val="11"/>
        <w:numPr>
          <w:ilvl w:val="0"/>
          <w:numId w:val="2"/>
        </w:numPr>
        <w:spacing w:before="0" w:line="360" w:lineRule="auto"/>
        <w:ind w:left="640" w:leftChars="0" w:firstLine="0" w:firstLineChars="0"/>
        <w:rPr>
          <w:rFonts w:hint="eastAsia" w:cs="仿宋_GB2312"/>
          <w:kern w:val="2"/>
          <w:sz w:val="32"/>
          <w:szCs w:val="32"/>
        </w:rPr>
      </w:pPr>
      <w:r>
        <w:rPr>
          <w:rFonts w:hint="eastAsia" w:ascii="楷体" w:eastAsia="楷体" w:cs="仿宋_GB2312"/>
          <w:kern w:val="2"/>
          <w:sz w:val="32"/>
          <w:szCs w:val="32"/>
        </w:rPr>
        <w:t>绩效目标设置情况</w:t>
      </w:r>
    </w:p>
    <w:p w14:paraId="32326E51">
      <w:pPr>
        <w:pStyle w:val="11"/>
        <w:numPr>
          <w:ilvl w:val="0"/>
          <w:numId w:val="0"/>
        </w:numPr>
        <w:spacing w:before="0" w:line="360" w:lineRule="auto"/>
        <w:ind w:left="640" w:leftChars="0"/>
        <w:rPr>
          <w:rFonts w:hint="eastAsia"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w:t>
      </w:r>
      <w:r>
        <w:rPr>
          <w:rFonts w:cs="仿宋_GB2312"/>
          <w:kern w:val="2"/>
          <w:sz w:val="32"/>
          <w:szCs w:val="32"/>
        </w:rPr>
        <w:t>我单位无</w:t>
      </w:r>
      <w:r>
        <w:rPr>
          <w:rFonts w:hint="eastAsia" w:cs="仿宋_GB2312"/>
          <w:kern w:val="2"/>
          <w:sz w:val="32"/>
          <w:szCs w:val="32"/>
        </w:rPr>
        <w:t>通用项目和专用项目。</w:t>
      </w:r>
    </w:p>
    <w:p w14:paraId="5F624B52">
      <w:pPr>
        <w:pStyle w:val="11"/>
        <w:numPr>
          <w:ilvl w:val="0"/>
          <w:numId w:val="2"/>
        </w:numPr>
        <w:spacing w:before="0" w:line="360" w:lineRule="auto"/>
        <w:ind w:left="640" w:leftChars="0" w:firstLine="0" w:firstLineChars="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3F0E093">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A059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4C906A75"/>
    <w:multiLevelType w:val="singleLevel"/>
    <w:tmpl w:val="4C906A75"/>
    <w:lvl w:ilvl="0" w:tentative="0">
      <w:start w:val="2"/>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4121B65"/>
    <w:rsid w:val="13214C56"/>
    <w:rsid w:val="25BF3BCD"/>
    <w:rsid w:val="36C922DE"/>
    <w:rsid w:val="37B12A30"/>
    <w:rsid w:val="3E154A23"/>
    <w:rsid w:val="43D153CB"/>
    <w:rsid w:val="44DC5BD8"/>
    <w:rsid w:val="6C9746BD"/>
    <w:rsid w:val="6E1506F3"/>
    <w:rsid w:val="79110844"/>
    <w:rsid w:val="7EFB21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before="100" w:beforeAutospacing="1" w:after="100" w:afterAutospacing="1"/>
    </w:pPr>
    <w:rPr>
      <w:rFonts w:ascii="宋体" w:eastAsia="宋体" w:cs="宋体"/>
      <w:kern w:val="0"/>
      <w:sz w:val="24"/>
      <w:szCs w:val="24"/>
      <w:lang w:val="en-US" w:eastAsia="zh-CN" w:bidi="ar-SA"/>
    </w:rPr>
  </w:style>
  <w:style w:type="paragraph" w:styleId="6">
    <w:name w:val="List Paragraph"/>
    <w:basedOn w:val="1"/>
    <w:qFormat/>
    <w:uiPriority w:val="0"/>
    <w:pPr>
      <w:ind w:firstLine="200" w:firstLine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正文文本1"/>
    <w:basedOn w:val="1"/>
    <w:qFormat/>
    <w:uiPriority w:val="0"/>
    <w:pPr>
      <w:spacing w:before="93"/>
    </w:pPr>
    <w:rPr>
      <w:rFonts w:ascii="仿宋_GB2312" w:eastAsia="仿宋_GB2312"/>
      <w:kern w:val="0"/>
      <w:sz w:val="30"/>
      <w:szCs w:val="20"/>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font71"/>
    <w:uiPriority w:val="0"/>
    <w:rPr>
      <w:rFonts w:ascii="Times New Roman" w:hAnsi="Times New Roman" w:eastAsia="楷体_GB2312" w:cs="Times New Roman"/>
      <w:kern w:val="2"/>
      <w:sz w:val="28"/>
      <w:szCs w:val="24"/>
      <w:lang w:val="en-US" w:eastAsia="zh-CN" w:bidi="ar-SA"/>
    </w:rPr>
  </w:style>
  <w:style w:type="character" w:customStyle="1" w:styleId="14">
    <w:name w:val="grame"/>
    <w:qFormat/>
    <w:uiPriority w:val="0"/>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2676</Words>
  <Characters>2915</Characters>
  <Lines>124</Lines>
  <Paragraphs>51</Paragraphs>
  <TotalTime>1</TotalTime>
  <ScaleCrop>false</ScaleCrop>
  <LinksUpToDate>false</LinksUpToDate>
  <CharactersWithSpaces>2943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2018-01-30T09:39:00Z</cp:lastPrinted>
  <dcterms:modified xsi:type="dcterms:W3CDTF">2025-02-25T03:30:05Z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eyJoZGlkIjoiNThkMmQxNzYxNmFmODgxZDJjZGVjY2ExYjBjMGIyODMifQ==</vt:lpwstr>
  </property>
  <property fmtid="{D5CDD505-2E9C-101B-9397-08002B2CF9AE}" pid="4" name="ICV">
    <vt:lpwstr>6700E7050F914415BB8318735BF8515E_12</vt:lpwstr>
  </property>
</Properties>
</file>