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r>
        <w:rPr>
          <w:rFonts w:hint="eastAsia" w:ascii="黑体" w:eastAsia="黑体"/>
          <w:sz w:val="32"/>
          <w:szCs w:val="32"/>
        </w:rPr>
        <w:t>附件2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default" w:ascii="黑体" w:eastAsia="黑体"/>
          <w:sz w:val="44"/>
          <w:szCs w:val="44"/>
        </w:rPr>
      </w:pPr>
      <w:r>
        <w:rPr>
          <w:rFonts w:hint="default" w:ascii="黑体" w:eastAsia="黑体"/>
          <w:sz w:val="44"/>
          <w:szCs w:val="44"/>
        </w:rPr>
        <w:t>四川省龙日种畜场</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022年部门预算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hint="eastAsia"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仿宋_GB2312" w:eastAsia="仿宋_GB2312"/>
          <w:sz w:val="32"/>
          <w:szCs w:val="32"/>
        </w:rPr>
      </w:pPr>
      <w:r>
        <w:rPr>
          <w:rFonts w:hint="eastAsia" w:ascii="仿宋_GB2312" w:eastAsia="仿宋_GB2312"/>
          <w:sz w:val="32"/>
          <w:szCs w:val="32"/>
        </w:rPr>
        <w:t>（一）部门职能简介</w:t>
      </w:r>
    </w:p>
    <w:p>
      <w:pPr>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22年重点工作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pPr>
        <w:rPr>
          <w:rFonts w:ascii="仿宋_GB2312" w:eastAsia="仿宋_GB2312"/>
          <w:sz w:val="32"/>
          <w:szCs w:val="32"/>
        </w:rPr>
      </w:pPr>
      <w:r>
        <w:rPr>
          <w:rFonts w:hint="eastAsia" w:ascii="仿宋_GB2312" w:eastAsia="仿宋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仿宋_GB2312" w:eastAsia="仿宋_GB2312"/>
          <w:sz w:val="32"/>
          <w:szCs w:val="32"/>
        </w:rPr>
        <w:t>（一）一般公共预算当年拨款规模变化情况</w:t>
      </w:r>
      <w:r>
        <w:rPr>
          <w:rFonts w:ascii="仿宋_GB2312" w:eastAsia="仿宋_GB2312"/>
          <w:sz w:val="32"/>
          <w:szCs w:val="32"/>
        </w:rPr>
        <w:br w:type="textWrapping"/>
      </w:r>
      <w:r>
        <w:rPr>
          <w:rFonts w:hint="eastAsia" w:ascii="仿宋_GB2312" w:eastAsia="仿宋_GB2312"/>
          <w:sz w:val="32"/>
          <w:szCs w:val="32"/>
        </w:rPr>
        <w:t>（二）一般公共预算当年拨款结构情况</w:t>
      </w:r>
      <w:r>
        <w:rPr>
          <w:rFonts w:ascii="仿宋_GB2312" w:eastAsia="仿宋_GB2312"/>
          <w:sz w:val="32"/>
          <w:szCs w:val="32"/>
        </w:rPr>
        <w:br w:type="textWrapping"/>
      </w:r>
      <w:r>
        <w:rPr>
          <w:rFonts w:hint="eastAsia" w:ascii="仿宋_GB2312" w:eastAsia="仿宋_GB2312"/>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numPr>
          <w:ilvl w:val="0"/>
          <w:numId w:val="1"/>
        </w:numPr>
        <w:rPr>
          <w:rFonts w:ascii="仿宋_GB2312" w:eastAsia="仿宋_GB2312"/>
          <w:sz w:val="32"/>
          <w:szCs w:val="32"/>
        </w:rPr>
      </w:pPr>
      <w:r>
        <w:rPr>
          <w:rFonts w:hint="eastAsia" w:ascii="仿宋_GB2312" w:eastAsia="仿宋_GB2312"/>
          <w:sz w:val="32"/>
          <w:szCs w:val="32"/>
        </w:rPr>
        <w:t>部门职能简介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 xml:space="preserve">四川省龙日种畜场的前身为四川省龙日农场，于1954年5月成立，由四川省公安厅劳改局主管；1971年更名为龙日军马场，移交成都军区后勤部主管；1975年移交四川省畜牧局主管，更名为四川省龙日种畜场；2014年四川省畜牧食品局与四川省农业厅进行机构整合，撤销四川省畜牧食品局，主管部门变更为四川省农业厅；2016年12月，四川省龙日种畜场由四川省农业厅整体移交阿坝州人民政府管理，并将科研与社会管理职能分离，由红原人民政府负责社会管理职能。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按照阿编发〔2017〕8号文件规定，四川省龙日种畜场主要职能是承担高原牧区畜牧遗传资源保护和研究，保存麦洼牦牛、西藏羊、河曲马等珍稀遗传资源；承担牦牛、西藏羊、河曲马品种选育、良种扩繁与改良利用，为川西北牧区提供优良种畜；承担优良种畜引进、推广及牦牛、西藏羊、河曲马的科学养殖示范；承担草原植物资源和生物多样性保护、生态恢复及草地生态环境动态监测等研究；负责为川西北牧区草地畜牧业的科研、教学、新技术示范提供平台；指导牧民和科技人员开展高原畜牧业饲养管理、疫病防控等实用技术的培训，推动阿坝州及川西北牧区现代畜牧业发展。</w:t>
      </w:r>
    </w:p>
    <w:p>
      <w:pPr>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22年重点工作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Calibri" w:eastAsia="仿宋_GB2312" w:cs="仿宋_GB2312"/>
          <w:kern w:val="2"/>
          <w:sz w:val="32"/>
          <w:szCs w:val="32"/>
          <w:lang w:val="en-US" w:eastAsia="zh-CN" w:bidi="ar-SA"/>
        </w:rPr>
      </w:pPr>
      <w:r>
        <w:rPr>
          <w:rFonts w:hint="default" w:ascii="仿宋_GB2312" w:eastAsia="仿宋_GB2312" w:cs="仿宋_GB2312"/>
          <w:kern w:val="2"/>
          <w:sz w:val="32"/>
          <w:szCs w:val="32"/>
          <w:lang w:eastAsia="zh-CN" w:bidi="ar-SA"/>
        </w:rPr>
        <w:t>1、</w:t>
      </w:r>
      <w:r>
        <w:rPr>
          <w:rFonts w:hint="default" w:ascii="仿宋_GB2312" w:hAnsi="Calibri" w:eastAsia="仿宋_GB2312" w:cs="仿宋_GB2312"/>
          <w:kern w:val="2"/>
          <w:sz w:val="32"/>
          <w:szCs w:val="32"/>
          <w:lang w:val="en-US" w:eastAsia="zh-CN" w:bidi="ar-SA"/>
        </w:rPr>
        <w:t>提高政治觉悟</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强化廉洁自律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一是持续</w:t>
      </w:r>
      <w:r>
        <w:rPr>
          <w:rFonts w:hint="default" w:ascii="仿宋_GB2312" w:hAnsi="Calibri" w:eastAsia="仿宋_GB2312" w:cs="仿宋_GB2312"/>
          <w:kern w:val="2"/>
          <w:sz w:val="32"/>
          <w:szCs w:val="32"/>
          <w:lang w:val="en-US" w:eastAsia="zh-CN" w:bidi="ar-SA"/>
        </w:rPr>
        <w:t>抓好党性教育。</w:t>
      </w:r>
      <w:r>
        <w:rPr>
          <w:rFonts w:hint="eastAsia" w:ascii="仿宋_GB2312" w:hAnsi="Calibri" w:eastAsia="仿宋_GB2312" w:cs="仿宋_GB2312"/>
          <w:kern w:val="2"/>
          <w:sz w:val="32"/>
          <w:szCs w:val="32"/>
          <w:lang w:val="en-US" w:eastAsia="zh-CN" w:bidi="ar-SA"/>
        </w:rPr>
        <w:t>坚持以习近平新时代中国特色社会主义思想为指导，始终把学习教育作为终身课题，把学习贯彻党的二十大作为一项重要政治任务，持续加强党员干部党史学习教育、理想信念教育、爱国主义教育、形势政策教育、法治教育和民族团结教育，引导全场职工把学习抓在日常、严在经常，建设“学习型”党组织，组建一支高素质、强业务的党员干部队伍。</w:t>
      </w:r>
      <w:r>
        <w:rPr>
          <w:rFonts w:hint="default" w:ascii="仿宋_GB2312" w:hAnsi="Calibri" w:eastAsia="仿宋_GB2312" w:cs="仿宋_GB2312"/>
          <w:kern w:val="2"/>
          <w:sz w:val="32"/>
          <w:szCs w:val="32"/>
          <w:lang w:val="en-US" w:eastAsia="zh-CN" w:bidi="ar-SA"/>
        </w:rPr>
        <w:t>二是</w:t>
      </w:r>
      <w:r>
        <w:rPr>
          <w:rFonts w:hint="eastAsia" w:ascii="仿宋_GB2312" w:hAnsi="Calibri" w:eastAsia="仿宋_GB2312" w:cs="仿宋_GB2312"/>
          <w:kern w:val="2"/>
          <w:sz w:val="32"/>
          <w:szCs w:val="32"/>
          <w:lang w:val="en-US" w:eastAsia="zh-CN" w:bidi="ar-SA"/>
        </w:rPr>
        <w:t>不断</w:t>
      </w:r>
      <w:r>
        <w:rPr>
          <w:rFonts w:hint="default" w:ascii="仿宋_GB2312" w:hAnsi="Calibri" w:eastAsia="仿宋_GB2312" w:cs="仿宋_GB2312"/>
          <w:kern w:val="2"/>
          <w:sz w:val="32"/>
          <w:szCs w:val="32"/>
          <w:lang w:val="en-US" w:eastAsia="zh-CN" w:bidi="ar-SA"/>
        </w:rPr>
        <w:t>创新学习方式。</w:t>
      </w:r>
      <w:r>
        <w:rPr>
          <w:rFonts w:hint="eastAsia" w:ascii="仿宋_GB2312" w:hAnsi="Calibri" w:eastAsia="仿宋_GB2312" w:cs="仿宋_GB2312"/>
          <w:kern w:val="2"/>
          <w:sz w:val="32"/>
          <w:szCs w:val="32"/>
          <w:lang w:val="en-US" w:eastAsia="zh-CN" w:bidi="ar-SA"/>
        </w:rPr>
        <w:t>通过多种形式的廉洁主题活动，以观看警示教育片、现场参观警示教育基地等形式，教育和引导党员领导干部牢固树立廉洁意识，增强纪律观念和法制观念，始终保持谦虚谨慎、不骄不躁的作风，保持艰苦奋斗的作风，把反腐败工作一步步引向深入。</w:t>
      </w:r>
      <w:r>
        <w:rPr>
          <w:rFonts w:hint="default" w:ascii="仿宋_GB2312" w:hAnsi="Calibri" w:eastAsia="仿宋_GB2312" w:cs="仿宋_GB2312"/>
          <w:kern w:val="2"/>
          <w:sz w:val="32"/>
          <w:szCs w:val="32"/>
          <w:lang w:val="en-US" w:eastAsia="zh-CN" w:bidi="ar-SA"/>
        </w:rPr>
        <w:t>常态化开展意见征求和</w:t>
      </w:r>
      <w:r>
        <w:rPr>
          <w:rFonts w:hint="eastAsia" w:ascii="仿宋_GB2312" w:hAnsi="Calibri" w:eastAsia="仿宋_GB2312" w:cs="仿宋_GB2312"/>
          <w:kern w:val="2"/>
          <w:sz w:val="32"/>
          <w:szCs w:val="32"/>
          <w:lang w:val="en-US" w:eastAsia="zh-CN" w:bidi="ar-SA"/>
        </w:rPr>
        <w:t>廉政</w:t>
      </w:r>
      <w:r>
        <w:rPr>
          <w:rFonts w:hint="default" w:ascii="仿宋_GB2312" w:hAnsi="Calibri" w:eastAsia="仿宋_GB2312" w:cs="仿宋_GB2312"/>
          <w:kern w:val="2"/>
          <w:sz w:val="32"/>
          <w:szCs w:val="32"/>
          <w:lang w:val="en-US" w:eastAsia="zh-CN" w:bidi="ar-SA"/>
        </w:rPr>
        <w:t>谈话活动，努力提升党员干部的政治觉悟和廉政意识。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仿宋_GB2312" w:hAnsi="Calibri" w:eastAsia="仿宋_GB2312" w:cs="仿宋_GB2312"/>
          <w:kern w:val="2"/>
          <w:sz w:val="32"/>
          <w:szCs w:val="32"/>
          <w:lang w:val="en-US" w:eastAsia="zh-CN" w:bidi="ar-SA"/>
        </w:rPr>
      </w:pPr>
      <w:r>
        <w:rPr>
          <w:rFonts w:hint="default" w:ascii="仿宋_GB2312" w:eastAsia="仿宋_GB2312" w:cs="仿宋_GB2312"/>
          <w:kern w:val="2"/>
          <w:sz w:val="32"/>
          <w:szCs w:val="32"/>
          <w:lang w:eastAsia="zh-CN" w:bidi="ar-SA"/>
        </w:rPr>
        <w:t>2、</w:t>
      </w:r>
      <w:r>
        <w:rPr>
          <w:rFonts w:hint="eastAsia" w:ascii="仿宋_GB2312" w:hAnsi="Calibri" w:eastAsia="仿宋_GB2312" w:cs="仿宋_GB2312"/>
          <w:kern w:val="2"/>
          <w:sz w:val="32"/>
          <w:szCs w:val="32"/>
          <w:lang w:val="en-US" w:eastAsia="zh-CN" w:bidi="ar-SA"/>
        </w:rPr>
        <w:t>夯实业务基础，提升科研实力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一是持续对外合作。立足于</w:t>
      </w:r>
      <w:r>
        <w:rPr>
          <w:rFonts w:hint="default" w:ascii="仿宋_GB2312" w:hAnsi="Calibri" w:eastAsia="仿宋_GB2312" w:cs="仿宋_GB2312"/>
          <w:kern w:val="2"/>
          <w:sz w:val="32"/>
          <w:szCs w:val="32"/>
          <w:lang w:val="en-US" w:eastAsia="zh-CN" w:bidi="ar-SA"/>
        </w:rPr>
        <w:t>“一场两基地多工作站”</w:t>
      </w:r>
      <w:r>
        <w:rPr>
          <w:rFonts w:hint="eastAsia" w:ascii="仿宋_GB2312" w:hAnsi="Calibri" w:eastAsia="仿宋_GB2312" w:cs="仿宋_GB2312"/>
          <w:kern w:val="2"/>
          <w:sz w:val="32"/>
          <w:szCs w:val="32"/>
          <w:lang w:val="en-US" w:eastAsia="zh-CN" w:bidi="ar-SA"/>
        </w:rPr>
        <w:t>的</w:t>
      </w:r>
      <w:r>
        <w:rPr>
          <w:rFonts w:hint="default" w:ascii="仿宋_GB2312" w:hAnsi="Calibri" w:eastAsia="仿宋_GB2312" w:cs="仿宋_GB2312"/>
          <w:kern w:val="2"/>
          <w:sz w:val="32"/>
          <w:szCs w:val="32"/>
          <w:lang w:val="en-US" w:eastAsia="zh-CN" w:bidi="ar-SA"/>
        </w:rPr>
        <w:t>发展规划</w:t>
      </w:r>
      <w:r>
        <w:rPr>
          <w:rFonts w:hint="eastAsia" w:ascii="仿宋_GB2312" w:hAnsi="Calibri" w:eastAsia="仿宋_GB2312" w:cs="仿宋_GB2312"/>
          <w:kern w:val="2"/>
          <w:sz w:val="32"/>
          <w:szCs w:val="32"/>
          <w:lang w:val="en-US" w:eastAsia="zh-CN" w:bidi="ar-SA"/>
        </w:rPr>
        <w:t>，加大与各大高校、科研所的合作，加深共建意识，创新合作机制，不断拓展合作领域，依靠人才和技术优势，依托我场优质牲畜、草场资源，积极开展遗传资源保护、品种选育、杂交改良等研究。二是加大人才培养。不断拓宽人才交流的渠道，鼓励专业技术人员积极参加学术交流活动，助推干部成长，培养复合型人才。多渠道进行高素质人才，夯实科研发展人才基础，全面提升我场综合科研实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仿宋_GB2312" w:hAnsi="Calibri" w:eastAsia="仿宋_GB2312" w:cs="仿宋_GB2312"/>
          <w:kern w:val="2"/>
          <w:sz w:val="32"/>
          <w:szCs w:val="32"/>
          <w:lang w:val="en-US" w:eastAsia="zh-CN" w:bidi="ar-SA"/>
        </w:rPr>
      </w:pPr>
      <w:r>
        <w:rPr>
          <w:rFonts w:hint="default" w:ascii="仿宋_GB2312" w:eastAsia="仿宋_GB2312" w:cs="仿宋_GB2312"/>
          <w:kern w:val="2"/>
          <w:sz w:val="32"/>
          <w:szCs w:val="32"/>
          <w:lang w:eastAsia="zh-CN" w:bidi="ar-SA"/>
        </w:rPr>
        <w:t>3、</w:t>
      </w:r>
      <w:r>
        <w:rPr>
          <w:rFonts w:hint="eastAsia" w:ascii="仿宋_GB2312" w:hAnsi="Calibri" w:eastAsia="仿宋_GB2312" w:cs="仿宋_GB2312"/>
          <w:kern w:val="2"/>
          <w:sz w:val="32"/>
          <w:szCs w:val="32"/>
          <w:lang w:val="en-US" w:eastAsia="zh-CN" w:bidi="ar-SA"/>
        </w:rPr>
        <w:t>围绕主业主责，推动畜牧工作高质量发展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一是加强畜牧科学研究。加大科研项目的准备和项目申请落实工作，推进重点项目建设，发挥都江堰综合科研基地实验中心设施设备作用，提升专业技术人员专业素养，补齐技术短板，着手准备实验室独立项目。二是加强遗产资源保护。规范做好日常的测定、防预驱虫、选育推广等工作。同时也要加强草原生态的保护和研究，持续推进草种基地建设。继续开展川西北地区人工种草，建成集草种、推广为一体的示范基地。三是加强技术示范推广培训。结合“科技下乡”项目，进行实用技术培训，科研成果转化推广，继续生产、推广牦牛冻精。</w:t>
      </w:r>
    </w:p>
    <w:p>
      <w:pPr>
        <w:rPr>
          <w:rFonts w:ascii="黑体" w:eastAsia="黑体"/>
          <w:sz w:val="32"/>
          <w:szCs w:val="32"/>
        </w:rPr>
      </w:pPr>
      <w:r>
        <w:rPr>
          <w:rFonts w:hint="eastAsia" w:ascii="黑体" w:eastAsia="黑体"/>
          <w:sz w:val="32"/>
          <w:szCs w:val="32"/>
        </w:rPr>
        <w:t>二、部门预算单位构成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属一级预算单位，我单位属一级预算单位，无下属二级预算单位。</w:t>
      </w:r>
    </w:p>
    <w:p>
      <w:pPr>
        <w:pStyle w:val="9"/>
        <w:numPr>
          <w:ilvl w:val="0"/>
          <w:numId w:val="2"/>
        </w:numPr>
        <w:ind w:firstLineChars="0"/>
        <w:rPr>
          <w:rFonts w:ascii="黑体" w:eastAsia="黑体"/>
          <w:sz w:val="32"/>
          <w:szCs w:val="32"/>
        </w:rPr>
      </w:pPr>
      <w:r>
        <w:rPr>
          <w:rFonts w:hint="eastAsia" w:ascii="黑体" w:eastAsia="黑体"/>
          <w:sz w:val="32"/>
          <w:szCs w:val="32"/>
        </w:rPr>
        <w:t>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按照综合预算的原则，单位所有收入和支出均纳入部门预算管理。收入包括：一般公共预算拨款收入1310.22万元，上年结转0万元；支出包括：社会保障和就业支出179.41万元，卫生健康支出34.67万元，农林水支出1002.90万元，住房保障支出93.24万元。单位2022年收支总预算1310.22万元,　比2021年收支预算总数增加104.22万元，主要原因:单位职工增加，费用增加。</w:t>
      </w:r>
    </w:p>
    <w:p>
      <w:pPr>
        <w:numPr>
          <w:ilvl w:val="0"/>
          <w:numId w:val="3"/>
        </w:numPr>
        <w:ind w:left="0" w:firstLine="640" w:firstLineChars="200"/>
        <w:jc w:val="left"/>
        <w:rPr>
          <w:rFonts w:ascii="仿宋_GB2312" w:eastAsia="仿宋_GB2312"/>
          <w:sz w:val="32"/>
          <w:szCs w:val="32"/>
        </w:rPr>
      </w:pPr>
      <w:r>
        <w:rPr>
          <w:rFonts w:hint="eastAsia" w:ascii="仿宋_GB2312" w:eastAsia="仿宋_GB2312"/>
          <w:sz w:val="32"/>
          <w:szCs w:val="32"/>
        </w:rPr>
        <w:t>收入预算情况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单位2022年收入预算1310.22万元，其中：一般公共预算拨款收入1310.22万元，占100%。</w:t>
      </w:r>
    </w:p>
    <w:p>
      <w:pPr>
        <w:numPr>
          <w:ilvl w:val="0"/>
          <w:numId w:val="3"/>
        </w:numPr>
        <w:ind w:left="0" w:leftChars="0"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单位202</w:t>
      </w:r>
      <w:r>
        <w:rPr>
          <w:rFonts w:hint="eastAsia" w:ascii="仿宋_GB2312" w:eastAsia="仿宋_GB2312" w:cs="仿宋_GB2312"/>
          <w:kern w:val="2"/>
          <w:sz w:val="32"/>
          <w:szCs w:val="32"/>
          <w:lang w:val="en-US" w:eastAsia="zh-CN" w:bidi="ar-SA"/>
        </w:rPr>
        <w:t>2</w:t>
      </w:r>
      <w:r>
        <w:rPr>
          <w:rFonts w:hint="eastAsia" w:ascii="仿宋_GB2312" w:hAnsi="Calibri" w:eastAsia="仿宋_GB2312" w:cs="仿宋_GB2312"/>
          <w:kern w:val="2"/>
          <w:sz w:val="32"/>
          <w:szCs w:val="32"/>
          <w:lang w:val="en-US" w:eastAsia="zh-CN" w:bidi="ar-SA"/>
        </w:rPr>
        <w:t>年支出预算1310.22万元，其中：基本支出1111.85万元，占84.86%；项目支出198.37万元，占15.14%。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黑体" w:eastAsia="黑体"/>
          <w:sz w:val="32"/>
          <w:szCs w:val="32"/>
        </w:rPr>
        <w:t>四、财政拨款收支预算情况说明</w:t>
      </w:r>
      <w:r>
        <w:rPr>
          <w:rFonts w:ascii="ˎ̥" w:hAnsi="ˎ̥" w:cs="宋体"/>
          <w:sz w:val="16"/>
        </w:rPr>
        <w:br w:type="textWrapping"/>
      </w:r>
      <w:r>
        <w:rPr>
          <w:rFonts w:hint="eastAsia" w:ascii="ˎ̥" w:hAnsi="ˎ̥" w:eastAsia="宋体" w:cs="宋体"/>
          <w:kern w:val="2"/>
          <w:sz w:val="32"/>
          <w:szCs w:val="32"/>
          <w:lang w:val="en-US" w:eastAsia="zh-CN" w:bidi="ar-SA"/>
        </w:rPr>
        <w:t>　</w:t>
      </w:r>
      <w:r>
        <w:rPr>
          <w:rFonts w:hint="eastAsia" w:ascii="ˎ̥" w:hAnsi="ˎ̥" w:cs="宋体"/>
          <w:kern w:val="2"/>
          <w:sz w:val="32"/>
          <w:szCs w:val="32"/>
          <w:lang w:val="en-US" w:eastAsia="zh-CN" w:bidi="ar-SA"/>
        </w:rPr>
        <w:t xml:space="preserve">  </w:t>
      </w:r>
      <w:r>
        <w:rPr>
          <w:rFonts w:hint="eastAsia" w:ascii="仿宋_GB2312" w:hAnsi="Calibri" w:eastAsia="仿宋_GB2312" w:cs="仿宋_GB2312"/>
          <w:kern w:val="2"/>
          <w:sz w:val="32"/>
          <w:szCs w:val="32"/>
          <w:lang w:val="en-US" w:eastAsia="zh-CN" w:bidi="ar-SA"/>
        </w:rPr>
        <w:t>单位2022年财政拨款收支总预算1310.22万元,比2021年收支预算总数增加104.22万元，主要原因:单位职工增加，费用增加。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收入包括：本年一般公共预算拨款收入1310.22万元，占比100%。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支出包括：社会保障和就业支出179.41万元，占比13.69%；卫生健康支出34.67万元，占比2.65%；农林水支出1002.90万元，占比76.54%；住房保障支出93.24万元，占比7.12%。</w:t>
      </w:r>
    </w:p>
    <w:p>
      <w:pPr>
        <w:rPr>
          <w:rFonts w:ascii="黑体" w:eastAsia="黑体"/>
          <w:sz w:val="32"/>
          <w:szCs w:val="32"/>
        </w:rPr>
      </w:pPr>
      <w:r>
        <w:rPr>
          <w:rFonts w:hint="eastAsia" w:ascii="黑体" w:eastAsia="黑体"/>
          <w:sz w:val="32"/>
          <w:szCs w:val="32"/>
        </w:rPr>
        <w:t>五、一般公共预算当年拨款情况说明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0" w:leftChars="0" w:firstLine="640" w:firstLineChars="200"/>
        <w:textAlignment w:val="auto"/>
        <w:rPr>
          <w:rFonts w:hint="eastAsia" w:ascii="ˎ̥" w:hAnsi="ˎ̥" w:eastAsia="宋体" w:cs="宋体"/>
          <w:sz w:val="32"/>
          <w:szCs w:val="32"/>
          <w:lang w:val="en-US" w:eastAsia="zh-CN"/>
        </w:rPr>
      </w:pPr>
      <w:r>
        <w:rPr>
          <w:rFonts w:ascii="ˎ̥" w:hAnsi="ˎ̥" w:eastAsia="宋体" w:cs="宋体"/>
          <w:sz w:val="32"/>
          <w:szCs w:val="32"/>
        </w:rPr>
        <w:t>（一）一般公共预算当年拨款规模变化情况</w:t>
      </w:r>
      <w:r>
        <w:rPr>
          <w:rFonts w:ascii="ˎ̥" w:hAnsi="ˎ̥" w:eastAsia="宋体" w:cs="宋体"/>
          <w:sz w:val="32"/>
          <w:szCs w:val="32"/>
        </w:rPr>
        <w:br w:type="textWrapping"/>
      </w:r>
      <w:r>
        <w:rPr>
          <w:rFonts w:ascii="ˎ̥" w:hAnsi="ˎ̥" w:eastAsia="宋体" w:cs="宋体"/>
          <w:sz w:val="32"/>
          <w:szCs w:val="32"/>
        </w:rPr>
        <w:t>　　</w:t>
      </w:r>
      <w:r>
        <w:rPr>
          <w:rFonts w:hint="eastAsia" w:cs="仿宋_GB2312"/>
          <w:kern w:val="2"/>
          <w:sz w:val="32"/>
          <w:szCs w:val="32"/>
          <w:lang w:val="en-US" w:eastAsia="zh-CN"/>
        </w:rPr>
        <w:t>单位2022年一般公共预算当年拨款1310.22万元，比2021年收支预算总数增加104.22万元，主要原因:单位职工增加，费用增加。</w:t>
      </w:r>
    </w:p>
    <w:p>
      <w:pPr>
        <w:pStyle w:val="10"/>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cs="仿宋_GB2312"/>
          <w:kern w:val="2"/>
          <w:sz w:val="32"/>
          <w:szCs w:val="32"/>
          <w:lang w:val="en-US" w:eastAsia="zh-CN"/>
        </w:rPr>
      </w:pPr>
      <w:r>
        <w:rPr>
          <w:rFonts w:ascii="ˎ̥" w:hAnsi="ˎ̥" w:eastAsia="宋体" w:cs="宋体"/>
          <w:sz w:val="32"/>
          <w:szCs w:val="32"/>
        </w:rPr>
        <w:t>（二）一般公共预算当年拨款结构情况</w:t>
      </w:r>
      <w:r>
        <w:rPr>
          <w:rFonts w:ascii="ˎ̥" w:hAnsi="ˎ̥" w:eastAsia="宋体" w:cs="宋体"/>
          <w:sz w:val="32"/>
          <w:szCs w:val="32"/>
        </w:rPr>
        <w:br w:type="textWrapping"/>
      </w:r>
      <w:r>
        <w:rPr>
          <w:rFonts w:ascii="ˎ̥" w:hAnsi="ˎ̥" w:eastAsia="宋体" w:cs="宋体"/>
          <w:sz w:val="32"/>
          <w:szCs w:val="32"/>
        </w:rPr>
        <w:t>　　</w:t>
      </w:r>
      <w:r>
        <w:rPr>
          <w:rFonts w:hint="eastAsia" w:cs="仿宋_GB2312"/>
          <w:kern w:val="2"/>
          <w:sz w:val="32"/>
          <w:szCs w:val="32"/>
          <w:lang w:val="en-US" w:eastAsia="zh-CN"/>
        </w:rPr>
        <w:t>社会保障和就业支出179.41万元，占比13.69%；卫生健康支出34.67万元，占比2.65%；农林水支出1002.90万元，占比76.54%；住房保障支出93.24万元，占比7.12%。</w:t>
      </w:r>
      <w:r>
        <w:rPr>
          <w:rFonts w:ascii="ˎ̥" w:hAnsi="ˎ̥" w:eastAsia="宋体" w:cs="宋体"/>
          <w:sz w:val="32"/>
          <w:szCs w:val="32"/>
        </w:rPr>
        <w:br w:type="textWrapping"/>
      </w:r>
      <w:r>
        <w:rPr>
          <w:rFonts w:ascii="ˎ̥" w:hAnsi="ˎ̥" w:eastAsia="宋体" w:cs="宋体"/>
          <w:sz w:val="32"/>
          <w:szCs w:val="32"/>
        </w:rPr>
        <w:t>　　（三）一般公共预算当年拨款具体使用情况</w:t>
      </w:r>
      <w:r>
        <w:rPr>
          <w:rFonts w:ascii="ˎ̥" w:hAnsi="ˎ̥" w:eastAsia="宋体" w:cs="宋体"/>
          <w:sz w:val="32"/>
          <w:szCs w:val="32"/>
        </w:rPr>
        <w:br w:type="textWrapping"/>
      </w:r>
      <w:r>
        <w:rPr>
          <w:rFonts w:ascii="ˎ̥" w:hAnsi="ˎ̥" w:eastAsia="宋体" w:cs="宋体"/>
          <w:sz w:val="32"/>
          <w:szCs w:val="32"/>
        </w:rPr>
        <w:t>　　</w:t>
      </w:r>
      <w:r>
        <w:rPr>
          <w:rFonts w:hint="eastAsia" w:cs="仿宋_GB2312"/>
          <w:kern w:val="2"/>
          <w:sz w:val="32"/>
          <w:szCs w:val="32"/>
          <w:lang w:val="en-US" w:eastAsia="zh-CN"/>
        </w:rPr>
        <w:t xml:space="preserve">1．农林水（类）农业（款）事业运行（项）2022年预算数为794.17万元，主要用于 :在职职工工资支出，单位事务公务运行支出，办公设备更新等。 </w:t>
      </w:r>
    </w:p>
    <w:p>
      <w:pPr>
        <w:pStyle w:val="10"/>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cs="仿宋_GB2312"/>
          <w:kern w:val="2"/>
          <w:sz w:val="32"/>
          <w:szCs w:val="32"/>
          <w:lang w:val="en-US" w:eastAsia="zh-CN"/>
        </w:rPr>
      </w:pPr>
      <w:r>
        <w:rPr>
          <w:rFonts w:hint="eastAsia" w:cs="仿宋_GB2312"/>
          <w:kern w:val="2"/>
          <w:sz w:val="32"/>
          <w:szCs w:val="32"/>
          <w:lang w:val="en-US" w:eastAsia="zh-CN"/>
        </w:rPr>
        <w:t xml:space="preserve">2．农林水（类）农业（款）农业资源保护修复与利用（项）2022年预算数为198.37万元，主要用于；科研项目支出，原种场运行等。 </w:t>
      </w:r>
    </w:p>
    <w:p>
      <w:pPr>
        <w:pStyle w:val="10"/>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cs="仿宋_GB2312"/>
          <w:kern w:val="2"/>
          <w:sz w:val="32"/>
          <w:szCs w:val="32"/>
          <w:lang w:val="en-US" w:eastAsia="zh-CN"/>
        </w:rPr>
      </w:pPr>
      <w:r>
        <w:rPr>
          <w:rFonts w:hint="eastAsia" w:cs="仿宋_GB2312"/>
          <w:kern w:val="2"/>
          <w:sz w:val="32"/>
          <w:szCs w:val="32"/>
          <w:lang w:val="en-US" w:eastAsia="zh-CN"/>
        </w:rPr>
        <w:t xml:space="preserve">3．住房保障支出（类）住房改革支出（款）住房公积金（项）2022年预算数为93.24万元，主要用于 :单位职工住房公积金缴纳。　 </w:t>
      </w:r>
    </w:p>
    <w:p>
      <w:pPr>
        <w:pStyle w:val="10"/>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cs="仿宋_GB2312"/>
          <w:kern w:val="2"/>
          <w:sz w:val="32"/>
          <w:szCs w:val="32"/>
          <w:lang w:val="en-US" w:eastAsia="zh-CN"/>
        </w:rPr>
      </w:pPr>
      <w:r>
        <w:rPr>
          <w:rFonts w:hint="eastAsia" w:cs="仿宋_GB2312"/>
          <w:kern w:val="2"/>
          <w:sz w:val="32"/>
          <w:szCs w:val="32"/>
          <w:lang w:val="en-US" w:eastAsia="zh-CN"/>
        </w:rPr>
        <w:t xml:space="preserve">4．卫生健康支出（类）行政事业单位医疗（款）事业单位医疗（项）2022年预算数为34.67万元，主要用于 :单位职工医保缴纳。　  </w:t>
      </w:r>
    </w:p>
    <w:p>
      <w:pPr>
        <w:pStyle w:val="10"/>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cs="仿宋_GB2312"/>
          <w:kern w:val="2"/>
          <w:sz w:val="32"/>
          <w:szCs w:val="32"/>
          <w:lang w:val="en-US" w:eastAsia="zh-CN"/>
        </w:rPr>
      </w:pPr>
      <w:r>
        <w:rPr>
          <w:rFonts w:hint="eastAsia" w:cs="仿宋_GB2312"/>
          <w:kern w:val="2"/>
          <w:sz w:val="32"/>
          <w:szCs w:val="32"/>
          <w:lang w:val="en-US" w:eastAsia="zh-CN"/>
        </w:rPr>
        <w:t xml:space="preserve">5．社会保障和就业支出（类）行政事业单位离退休（款）事业单位离退休（项）2022年预算数为10.36万元，主要用于 :单位退休职工管理和体检补助。 </w:t>
      </w:r>
    </w:p>
    <w:p>
      <w:pPr>
        <w:pStyle w:val="10"/>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cs="仿宋_GB2312"/>
          <w:kern w:val="2"/>
          <w:sz w:val="32"/>
          <w:szCs w:val="32"/>
          <w:lang w:val="en-US" w:eastAsia="zh-CN"/>
        </w:rPr>
      </w:pPr>
      <w:r>
        <w:rPr>
          <w:rFonts w:hint="eastAsia" w:cs="仿宋_GB2312"/>
          <w:kern w:val="2"/>
          <w:sz w:val="32"/>
          <w:szCs w:val="32"/>
          <w:lang w:val="en-US" w:eastAsia="zh-CN"/>
        </w:rPr>
        <w:t xml:space="preserve">6．社会保障和就业支出（类）行政事业单位离退休（款）机关事业单位基本养老保险缴费支出（项）2022年预算数为128.15万元，主要用于 :单位职工基本养老保险缴纳。 </w:t>
      </w:r>
    </w:p>
    <w:p>
      <w:pPr>
        <w:pStyle w:val="10"/>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cs="仿宋_GB2312"/>
          <w:kern w:val="2"/>
          <w:sz w:val="32"/>
          <w:szCs w:val="32"/>
          <w:lang w:val="en-US" w:eastAsia="zh-CN"/>
        </w:rPr>
      </w:pPr>
      <w:r>
        <w:rPr>
          <w:rFonts w:hint="eastAsia" w:cs="仿宋_GB2312"/>
          <w:kern w:val="2"/>
          <w:sz w:val="32"/>
          <w:szCs w:val="32"/>
          <w:lang w:val="en-US" w:eastAsia="zh-CN"/>
        </w:rPr>
        <w:t xml:space="preserve">7．社会保障和就业支出（类）行政事业单位离退休（款）机关事业单位职业年金缴费支出（项）2022年预算数为51.26万元，主要用于 :单位职工职业年金缴纳。 </w:t>
      </w:r>
    </w:p>
    <w:p>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0"/>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cs="仿宋_GB2312"/>
          <w:kern w:val="2"/>
          <w:sz w:val="32"/>
          <w:szCs w:val="32"/>
          <w:lang w:val="en-US" w:eastAsia="zh-CN"/>
        </w:rPr>
      </w:pPr>
      <w:r>
        <w:rPr>
          <w:rFonts w:hint="eastAsia" w:cs="仿宋_GB2312"/>
          <w:kern w:val="2"/>
          <w:sz w:val="32"/>
          <w:szCs w:val="32"/>
          <w:lang w:val="en-US" w:eastAsia="zh-CN"/>
        </w:rPr>
        <w:t>单位2022年一般公共预算基本支出1111.85万元，其中：人员经费953.49万元，主要包括：基本工资、津贴补贴、奖金、其他社会保障缴费、绩效工资、机关事业单位基本养老保险缴费、职业年金缴费、其他工资福利支出、离休费、奖励金、住房公积金、其他对个人和家庭的补助支出。</w:t>
      </w:r>
    </w:p>
    <w:p>
      <w:pPr>
        <w:pStyle w:val="10"/>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ascii="黑体" w:eastAsia="黑体"/>
          <w:sz w:val="32"/>
          <w:szCs w:val="32"/>
        </w:rPr>
      </w:pPr>
      <w:r>
        <w:rPr>
          <w:rFonts w:hint="eastAsia" w:cs="仿宋_GB2312"/>
          <w:kern w:val="2"/>
          <w:sz w:val="32"/>
          <w:szCs w:val="32"/>
          <w:lang w:val="en-US" w:eastAsia="zh-CN"/>
        </w:rPr>
        <w:t>公用经费158.36万元，主要包括：办公费、印刷费、手续费、水费、电费、邮电费、差旅费、维修（护）费、租赁费、会议费、培训费、劳务费、工会经费、福利费、其他交通工具运行维护费、其他商品和服务支出。</w:t>
      </w:r>
      <w:r>
        <w:rPr>
          <w:rFonts w:ascii="ˎ̥" w:hAnsi="ˎ̥" w:eastAsia="宋体" w:cs="宋体"/>
          <w:sz w:val="32"/>
          <w:szCs w:val="32"/>
        </w:rPr>
        <w:br w:type="textWrapping"/>
      </w:r>
      <w:r>
        <w:rPr>
          <w:rFonts w:hint="eastAsia" w:ascii="黑体" w:eastAsia="黑体"/>
          <w:sz w:val="32"/>
          <w:szCs w:val="32"/>
        </w:rPr>
        <w:t>七、“三公”经费财政拨款预算安排情况说明</w:t>
      </w:r>
    </w:p>
    <w:p>
      <w:pPr>
        <w:pStyle w:val="10"/>
        <w:spacing w:before="0" w:line="360" w:lineRule="auto"/>
        <w:ind w:firstLine="320" w:firstLineChars="100"/>
        <w:rPr>
          <w:rFonts w:hint="eastAsia" w:cs="仿宋_GB2312"/>
          <w:kern w:val="2"/>
          <w:sz w:val="32"/>
          <w:szCs w:val="32"/>
        </w:rPr>
      </w:pPr>
      <w:r>
        <w:rPr>
          <w:rFonts w:hint="eastAsia" w:cs="仿宋_GB2312"/>
          <w:kern w:val="2"/>
          <w:sz w:val="32"/>
          <w:szCs w:val="32"/>
        </w:rPr>
        <w:t>部门（单位）2022年“三公”经费财政拨款预算数</w:t>
      </w:r>
      <w:r>
        <w:rPr>
          <w:rFonts w:hint="eastAsia" w:cs="仿宋_GB2312"/>
          <w:kern w:val="2"/>
          <w:sz w:val="32"/>
          <w:szCs w:val="32"/>
          <w:lang w:val="en-US" w:eastAsia="zh-CN"/>
        </w:rPr>
        <w:t>24.12</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2.52</w:t>
      </w:r>
      <w:r>
        <w:rPr>
          <w:rFonts w:hint="eastAsia" w:cs="仿宋_GB2312"/>
          <w:kern w:val="2"/>
          <w:sz w:val="32"/>
          <w:szCs w:val="32"/>
        </w:rPr>
        <w:t>万元，公务用车购置及运行维护费</w:t>
      </w:r>
      <w:r>
        <w:rPr>
          <w:rFonts w:hint="eastAsia" w:cs="仿宋_GB2312"/>
          <w:kern w:val="2"/>
          <w:sz w:val="32"/>
          <w:szCs w:val="32"/>
          <w:lang w:val="en-US" w:eastAsia="zh-CN"/>
        </w:rPr>
        <w:t>21.60</w:t>
      </w:r>
      <w:r>
        <w:rPr>
          <w:rFonts w:hint="eastAsia" w:cs="仿宋_GB2312"/>
          <w:kern w:val="2"/>
          <w:sz w:val="32"/>
          <w:szCs w:val="32"/>
        </w:rPr>
        <w:t>万元。</w:t>
      </w:r>
    </w:p>
    <w:p>
      <w:pPr>
        <w:pStyle w:val="10"/>
        <w:spacing w:before="0" w:line="360" w:lineRule="auto"/>
        <w:ind w:firstLine="320" w:firstLineChars="100"/>
        <w:rPr>
          <w:rFonts w:hint="eastAsia" w:cs="仿宋_GB2312"/>
          <w:kern w:val="2"/>
          <w:sz w:val="32"/>
          <w:szCs w:val="32"/>
        </w:rPr>
      </w:pPr>
      <w:r>
        <w:rPr>
          <w:rFonts w:hint="eastAsia" w:cs="仿宋_GB2312"/>
          <w:kern w:val="2"/>
          <w:sz w:val="32"/>
          <w:szCs w:val="32"/>
        </w:rPr>
        <w:t>（一）</w:t>
      </w:r>
      <w:r>
        <w:rPr>
          <w:rFonts w:hint="eastAsia" w:cs="仿宋_GB2312"/>
          <w:kern w:val="2"/>
          <w:sz w:val="32"/>
          <w:szCs w:val="32"/>
          <w:lang w:val="en-US" w:eastAsia="zh-CN"/>
        </w:rPr>
        <w:t>一直无</w:t>
      </w:r>
      <w:r>
        <w:rPr>
          <w:rFonts w:hint="eastAsia" w:cs="仿宋_GB2312"/>
          <w:kern w:val="2"/>
          <w:sz w:val="32"/>
          <w:szCs w:val="32"/>
        </w:rPr>
        <w:t>因公出国（境）经费</w:t>
      </w:r>
      <w:r>
        <w:rPr>
          <w:rFonts w:hint="eastAsia" w:cs="仿宋_GB2312"/>
          <w:kern w:val="2"/>
          <w:sz w:val="32"/>
          <w:szCs w:val="32"/>
          <w:lang w:eastAsia="zh-CN"/>
        </w:rPr>
        <w:t>，</w:t>
      </w:r>
      <w:r>
        <w:rPr>
          <w:rFonts w:hint="eastAsia" w:cs="仿宋_GB2312"/>
          <w:kern w:val="2"/>
          <w:sz w:val="32"/>
          <w:szCs w:val="32"/>
        </w:rPr>
        <w:t>主要原因是：</w:t>
      </w:r>
      <w:r>
        <w:rPr>
          <w:rFonts w:hint="eastAsia" w:cs="仿宋_GB2312"/>
          <w:kern w:val="2"/>
          <w:sz w:val="32"/>
          <w:szCs w:val="32"/>
          <w:lang w:val="en-US" w:eastAsia="zh-CN"/>
        </w:rPr>
        <w:t>无发生。</w:t>
      </w:r>
      <w:r>
        <w:rPr>
          <w:rFonts w:hint="eastAsia" w:cs="仿宋_GB2312"/>
          <w:kern w:val="2"/>
          <w:sz w:val="32"/>
          <w:szCs w:val="32"/>
        </w:rPr>
        <w:t xml:space="preserve"> </w:t>
      </w:r>
    </w:p>
    <w:p>
      <w:pPr>
        <w:pStyle w:val="10"/>
        <w:spacing w:before="0" w:line="360" w:lineRule="auto"/>
        <w:ind w:firstLine="320" w:firstLineChars="100"/>
        <w:rPr>
          <w:rFonts w:hint="eastAsia" w:cs="仿宋_GB2312"/>
          <w:kern w:val="2"/>
          <w:sz w:val="32"/>
          <w:szCs w:val="32"/>
          <w:lang w:eastAsia="zh-CN"/>
        </w:rPr>
      </w:pPr>
      <w:r>
        <w:rPr>
          <w:rFonts w:hint="eastAsia" w:cs="仿宋_GB2312"/>
          <w:kern w:val="2"/>
          <w:sz w:val="32"/>
          <w:szCs w:val="32"/>
        </w:rPr>
        <w:t>（二）20</w:t>
      </w:r>
      <w:r>
        <w:rPr>
          <w:rFonts w:hint="eastAsia" w:cs="仿宋_GB2312"/>
          <w:kern w:val="2"/>
          <w:sz w:val="32"/>
          <w:szCs w:val="32"/>
          <w:lang w:val="en-US" w:eastAsia="zh-CN"/>
        </w:rPr>
        <w:t>22</w:t>
      </w:r>
      <w:r>
        <w:rPr>
          <w:rFonts w:hint="eastAsia" w:cs="仿宋_GB2312"/>
          <w:kern w:val="2"/>
          <w:sz w:val="32"/>
          <w:szCs w:val="32"/>
        </w:rPr>
        <w:t>年公务接待费</w:t>
      </w:r>
      <w:r>
        <w:rPr>
          <w:rFonts w:hint="eastAsia" w:cs="仿宋_GB2312"/>
          <w:kern w:val="2"/>
          <w:sz w:val="32"/>
          <w:szCs w:val="32"/>
          <w:lang w:val="en-US" w:eastAsia="zh-CN"/>
        </w:rPr>
        <w:t>2.52</w:t>
      </w:r>
      <w:r>
        <w:rPr>
          <w:rFonts w:hint="eastAsia" w:cs="仿宋_GB2312"/>
          <w:kern w:val="2"/>
          <w:sz w:val="32"/>
          <w:szCs w:val="32"/>
        </w:rPr>
        <w:t>万元。较20</w:t>
      </w:r>
      <w:r>
        <w:rPr>
          <w:rFonts w:hint="eastAsia" w:cs="仿宋_GB2312"/>
          <w:kern w:val="2"/>
          <w:sz w:val="32"/>
          <w:szCs w:val="32"/>
          <w:lang w:val="en-US" w:eastAsia="zh-CN"/>
        </w:rPr>
        <w:t>21</w:t>
      </w:r>
      <w:r>
        <w:rPr>
          <w:rFonts w:hint="eastAsia" w:cs="仿宋_GB2312"/>
          <w:kern w:val="2"/>
          <w:sz w:val="32"/>
          <w:szCs w:val="32"/>
        </w:rPr>
        <w:t>年预算经费</w:t>
      </w:r>
      <w:r>
        <w:rPr>
          <w:rFonts w:hint="eastAsia" w:cs="仿宋_GB2312"/>
          <w:kern w:val="2"/>
          <w:sz w:val="32"/>
          <w:szCs w:val="32"/>
          <w:lang w:val="en-US" w:eastAsia="zh-CN"/>
        </w:rPr>
        <w:t>2</w:t>
      </w:r>
      <w:r>
        <w:rPr>
          <w:rFonts w:hint="eastAsia" w:cs="仿宋_GB2312"/>
          <w:kern w:val="2"/>
          <w:sz w:val="32"/>
          <w:szCs w:val="32"/>
        </w:rPr>
        <w:t>万元</w:t>
      </w:r>
      <w:r>
        <w:rPr>
          <w:rFonts w:hint="eastAsia" w:cs="仿宋_GB2312"/>
          <w:kern w:val="2"/>
          <w:sz w:val="32"/>
          <w:szCs w:val="32"/>
          <w:lang w:val="en-US" w:eastAsia="zh-CN"/>
        </w:rPr>
        <w:t>增加0.52</w:t>
      </w:r>
      <w:r>
        <w:rPr>
          <w:rFonts w:hint="eastAsia" w:cs="仿宋_GB2312"/>
          <w:kern w:val="2"/>
          <w:sz w:val="32"/>
          <w:szCs w:val="32"/>
        </w:rPr>
        <w:t>，主要原因是：</w:t>
      </w:r>
      <w:r>
        <w:rPr>
          <w:rFonts w:hint="eastAsia" w:cs="仿宋_GB2312"/>
          <w:kern w:val="2"/>
          <w:sz w:val="32"/>
          <w:szCs w:val="32"/>
          <w:lang w:val="en-US" w:eastAsia="zh-CN"/>
        </w:rPr>
        <w:t>单位对外合作增加。</w:t>
      </w:r>
      <w:r>
        <w:rPr>
          <w:rFonts w:hint="eastAsia" w:cs="仿宋_GB2312"/>
          <w:kern w:val="2"/>
          <w:sz w:val="32"/>
          <w:szCs w:val="32"/>
        </w:rPr>
        <w:br w:type="textWrapping"/>
      </w:r>
      <w:r>
        <w:rPr>
          <w:rFonts w:hint="eastAsia" w:cs="仿宋_GB2312"/>
          <w:kern w:val="2"/>
          <w:sz w:val="32"/>
          <w:szCs w:val="32"/>
        </w:rPr>
        <w:t>　（三）2022年公务用车购置及运行维护费</w:t>
      </w:r>
      <w:r>
        <w:rPr>
          <w:rFonts w:hint="eastAsia" w:cs="仿宋_GB2312"/>
          <w:kern w:val="2"/>
          <w:sz w:val="32"/>
          <w:szCs w:val="32"/>
          <w:lang w:val="en-US" w:eastAsia="zh-CN"/>
        </w:rPr>
        <w:t>21.6</w:t>
      </w:r>
      <w:r>
        <w:rPr>
          <w:rFonts w:hint="eastAsia" w:cs="仿宋_GB2312"/>
          <w:kern w:val="2"/>
          <w:sz w:val="32"/>
          <w:szCs w:val="32"/>
        </w:rPr>
        <w:t>万元。较2021年预算经费</w:t>
      </w:r>
      <w:r>
        <w:rPr>
          <w:rFonts w:hint="eastAsia" w:cs="仿宋_GB2312"/>
          <w:kern w:val="2"/>
          <w:sz w:val="32"/>
          <w:szCs w:val="32"/>
          <w:lang w:val="en-US" w:eastAsia="zh-CN"/>
        </w:rPr>
        <w:t>21.6</w:t>
      </w:r>
      <w:r>
        <w:rPr>
          <w:rFonts w:hint="eastAsia" w:cs="仿宋_GB2312"/>
          <w:kern w:val="2"/>
          <w:sz w:val="32"/>
          <w:szCs w:val="32"/>
        </w:rPr>
        <w:t>万元</w:t>
      </w:r>
      <w:r>
        <w:rPr>
          <w:rFonts w:hint="eastAsia" w:cs="仿宋_GB2312"/>
          <w:kern w:val="2"/>
          <w:sz w:val="32"/>
          <w:szCs w:val="32"/>
          <w:lang w:eastAsia="zh-CN"/>
        </w:rPr>
        <w:t>持平</w:t>
      </w:r>
      <w:r>
        <w:rPr>
          <w:rFonts w:hint="eastAsia" w:cs="仿宋_GB2312"/>
          <w:kern w:val="2"/>
          <w:sz w:val="32"/>
          <w:szCs w:val="32"/>
        </w:rPr>
        <w:t>，主要原因</w:t>
      </w:r>
      <w:r>
        <w:rPr>
          <w:rFonts w:hint="eastAsia" w:cs="仿宋_GB2312"/>
          <w:kern w:val="2"/>
          <w:sz w:val="32"/>
          <w:szCs w:val="32"/>
          <w:lang w:eastAsia="zh-CN"/>
        </w:rPr>
        <w:t>本着厉行节约的原则，虽然对外合作增加，但是使用单位车辆次数不增加。</w:t>
      </w:r>
    </w:p>
    <w:p>
      <w:pPr>
        <w:pStyle w:val="10"/>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ascii="黑体" w:eastAsia="黑体"/>
          <w:sz w:val="32"/>
          <w:szCs w:val="32"/>
        </w:rPr>
      </w:pPr>
      <w:r>
        <w:rPr>
          <w:rFonts w:hint="eastAsia" w:ascii="黑体" w:eastAsia="黑体"/>
          <w:sz w:val="32"/>
          <w:szCs w:val="32"/>
        </w:rPr>
        <w:t>八、政府性基金预算支出情况说明</w:t>
      </w:r>
    </w:p>
    <w:p>
      <w:pPr>
        <w:pStyle w:val="10"/>
        <w:spacing w:before="0" w:line="360" w:lineRule="auto"/>
        <w:ind w:firstLine="320" w:firstLineChars="100"/>
        <w:rPr>
          <w:rFonts w:hint="eastAsia" w:cs="仿宋_GB2312"/>
          <w:kern w:val="2"/>
          <w:sz w:val="32"/>
          <w:szCs w:val="32"/>
          <w:lang w:val="en-US" w:eastAsia="zh-CN"/>
        </w:rPr>
      </w:pPr>
      <w:r>
        <w:rPr>
          <w:rFonts w:hint="eastAsia" w:cs="仿宋_GB2312"/>
          <w:kern w:val="2"/>
          <w:sz w:val="32"/>
          <w:szCs w:val="32"/>
        </w:rPr>
        <w:t>单位</w:t>
      </w:r>
      <w:r>
        <w:rPr>
          <w:rFonts w:hint="eastAsia" w:cs="仿宋_GB2312"/>
          <w:kern w:val="2"/>
          <w:sz w:val="32"/>
          <w:szCs w:val="32"/>
          <w:lang w:val="en-US" w:eastAsia="zh-CN"/>
        </w:rPr>
        <w:t>一直无</w:t>
      </w:r>
      <w:r>
        <w:rPr>
          <w:rFonts w:hint="eastAsia" w:cs="仿宋_GB2312"/>
          <w:kern w:val="2"/>
          <w:sz w:val="32"/>
          <w:szCs w:val="32"/>
        </w:rPr>
        <w:t>政府性基金预算拨款</w:t>
      </w:r>
      <w:r>
        <w:rPr>
          <w:rFonts w:hint="eastAsia" w:cs="仿宋_GB2312"/>
          <w:kern w:val="2"/>
          <w:sz w:val="32"/>
          <w:szCs w:val="32"/>
          <w:lang w:val="en-US" w:eastAsia="zh-CN"/>
        </w:rPr>
        <w:t>。</w:t>
      </w:r>
    </w:p>
    <w:p>
      <w:pPr>
        <w:pStyle w:val="10"/>
        <w:spacing w:before="0" w:line="360" w:lineRule="auto"/>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320" w:firstLineChars="100"/>
        <w:rPr>
          <w:rFonts w:ascii="ˎ̥" w:hAnsi="ˎ̥" w:eastAsia="宋体" w:cs="宋体"/>
          <w:sz w:val="32"/>
          <w:szCs w:val="32"/>
        </w:rPr>
      </w:pPr>
      <w:r>
        <w:rPr>
          <w:rFonts w:ascii="ˎ̥" w:hAnsi="ˎ̥" w:eastAsia="宋体" w:cs="宋体"/>
          <w:sz w:val="32"/>
          <w:szCs w:val="32"/>
        </w:rPr>
        <w:t>（一）机关运行经费</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lang w:val="en-US" w:eastAsia="zh-CN"/>
        </w:rPr>
        <w:t xml:space="preserve">   </w:t>
      </w:r>
      <w:r>
        <w:rPr>
          <w:rFonts w:hint="eastAsia" w:cs="仿宋_GB2312"/>
          <w:kern w:val="2"/>
          <w:sz w:val="32"/>
          <w:szCs w:val="32"/>
        </w:rPr>
        <w:t>单位</w:t>
      </w:r>
      <w:r>
        <w:rPr>
          <w:rFonts w:hint="eastAsia" w:cs="仿宋_GB2312"/>
          <w:kern w:val="2"/>
          <w:sz w:val="32"/>
          <w:szCs w:val="32"/>
          <w:lang w:val="en-US" w:eastAsia="zh-CN"/>
        </w:rPr>
        <w:t>一直无</w:t>
      </w:r>
      <w:r>
        <w:rPr>
          <w:rFonts w:hint="eastAsia" w:cs="仿宋_GB2312"/>
          <w:kern w:val="2"/>
          <w:sz w:val="32"/>
          <w:szCs w:val="32"/>
        </w:rPr>
        <w:t>机关运行经费财政拨款。</w:t>
      </w:r>
      <w:r>
        <w:rPr>
          <w:rFonts w:ascii="ˎ̥" w:hAnsi="ˎ̥" w:eastAsia="宋体" w:cs="宋体"/>
          <w:sz w:val="32"/>
          <w:szCs w:val="32"/>
        </w:rPr>
        <w:br w:type="textWrapping"/>
      </w:r>
      <w:r>
        <w:rPr>
          <w:rFonts w:ascii="ˎ̥" w:hAnsi="ˎ̥" w:eastAsia="宋体" w:cs="宋体"/>
          <w:sz w:val="32"/>
          <w:szCs w:val="32"/>
        </w:rPr>
        <w:t>　（二）政府采购情况</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lang w:val="en-US" w:eastAsia="zh-CN"/>
        </w:rPr>
        <w:t xml:space="preserve">   </w:t>
      </w:r>
      <w:r>
        <w:rPr>
          <w:rFonts w:hint="eastAsia" w:cs="仿宋_GB2312"/>
          <w:kern w:val="2"/>
          <w:sz w:val="32"/>
          <w:szCs w:val="32"/>
        </w:rPr>
        <w:t>20</w:t>
      </w:r>
      <w:r>
        <w:rPr>
          <w:rFonts w:hint="eastAsia" w:cs="仿宋_GB2312"/>
          <w:kern w:val="2"/>
          <w:sz w:val="32"/>
          <w:szCs w:val="32"/>
          <w:lang w:val="en-US" w:eastAsia="zh-CN"/>
        </w:rPr>
        <w:t>22</w:t>
      </w:r>
      <w:r>
        <w:rPr>
          <w:rFonts w:hint="eastAsia" w:cs="仿宋_GB2312"/>
          <w:kern w:val="2"/>
          <w:sz w:val="32"/>
          <w:szCs w:val="32"/>
        </w:rPr>
        <w:t>年单位安排政府采购预算</w:t>
      </w:r>
      <w:r>
        <w:rPr>
          <w:rFonts w:hint="eastAsia" w:cs="仿宋_GB2312"/>
          <w:kern w:val="2"/>
          <w:sz w:val="32"/>
          <w:szCs w:val="32"/>
          <w:lang w:eastAsia="zh-CN"/>
        </w:rPr>
        <w:t>金额为</w:t>
      </w:r>
      <w:r>
        <w:rPr>
          <w:rFonts w:hint="eastAsia" w:cs="仿宋_GB2312"/>
          <w:kern w:val="2"/>
          <w:sz w:val="32"/>
          <w:szCs w:val="32"/>
          <w:lang w:val="en-US" w:eastAsia="zh-CN"/>
        </w:rPr>
        <w:t>62.33万元，其中原种场运行管理项目政府采购为47.33万元，主要是牲畜医药品及实验耗材，都江堰综合科研基地实验室运行管理项目政府采购为15.00万元，主要是采购空调机</w:t>
      </w:r>
      <w:r>
        <w:rPr>
          <w:rFonts w:hint="eastAsia" w:cs="仿宋_GB2312"/>
          <w:kern w:val="2"/>
          <w:sz w:val="32"/>
          <w:szCs w:val="32"/>
          <w:lang w:eastAsia="zh-CN"/>
        </w:rPr>
        <w:t>。</w:t>
      </w:r>
      <w:r>
        <w:rPr>
          <w:rFonts w:ascii="ˎ̥" w:hAnsi="ˎ̥" w:eastAsia="宋体" w:cs="宋体"/>
          <w:sz w:val="32"/>
          <w:szCs w:val="32"/>
        </w:rPr>
        <w:br w:type="textWrapping"/>
      </w:r>
      <w:r>
        <w:rPr>
          <w:rFonts w:ascii="ˎ̥" w:hAnsi="ˎ̥" w:eastAsia="宋体" w:cs="宋体"/>
          <w:sz w:val="32"/>
          <w:szCs w:val="32"/>
        </w:rPr>
        <w:t>　（三）国有资产占有使用情况</w:t>
      </w:r>
    </w:p>
    <w:p>
      <w:pPr>
        <w:pStyle w:val="10"/>
        <w:spacing w:before="0" w:line="360" w:lineRule="auto"/>
        <w:ind w:firstLine="640" w:firstLineChars="200"/>
        <w:rPr>
          <w:rFonts w:cs="仿宋_GB2312"/>
          <w:kern w:val="2"/>
          <w:sz w:val="32"/>
          <w:szCs w:val="32"/>
        </w:rPr>
      </w:pPr>
      <w:r>
        <w:rPr>
          <w:rFonts w:hint="eastAsia" w:cs="仿宋_GB2312"/>
          <w:kern w:val="2"/>
          <w:sz w:val="32"/>
          <w:szCs w:val="32"/>
        </w:rPr>
        <w:t>截至</w:t>
      </w:r>
      <w:r>
        <w:rPr>
          <w:rFonts w:hint="eastAsia" w:cs="仿宋_GB2312"/>
          <w:kern w:val="2"/>
          <w:sz w:val="32"/>
          <w:szCs w:val="32"/>
          <w:lang w:val="en-US" w:eastAsia="zh-CN"/>
        </w:rPr>
        <w:t>202</w:t>
      </w:r>
      <w:r>
        <w:rPr>
          <w:rFonts w:hint="default" w:cs="仿宋_GB2312"/>
          <w:kern w:val="2"/>
          <w:sz w:val="32"/>
          <w:szCs w:val="32"/>
          <w:lang w:eastAsia="zh-CN"/>
        </w:rPr>
        <w:t>1</w:t>
      </w:r>
      <w:r>
        <w:rPr>
          <w:rFonts w:hint="eastAsia" w:cs="仿宋_GB2312"/>
          <w:kern w:val="2"/>
          <w:sz w:val="32"/>
          <w:szCs w:val="32"/>
        </w:rPr>
        <w:t>年12月31日，我单位固定资产</w:t>
      </w:r>
      <w:r>
        <w:rPr>
          <w:rFonts w:hint="eastAsia" w:cs="仿宋_GB2312"/>
          <w:kern w:val="2"/>
          <w:sz w:val="32"/>
          <w:szCs w:val="32"/>
          <w:lang w:val="en-US" w:eastAsia="zh-CN"/>
        </w:rPr>
        <w:t>4980.54</w:t>
      </w:r>
      <w:r>
        <w:rPr>
          <w:rFonts w:hint="eastAsia" w:cs="仿宋_GB2312"/>
          <w:kern w:val="2"/>
          <w:sz w:val="32"/>
          <w:szCs w:val="32"/>
        </w:rPr>
        <w:t>万元，均在正常使用。</w:t>
      </w:r>
      <w:r>
        <w:rPr>
          <w:rFonts w:hint="eastAsia" w:ascii="ˎ̥" w:hAnsi="ˎ̥" w:eastAsia="宋体" w:cs="宋体"/>
          <w:sz w:val="32"/>
          <w:szCs w:val="32"/>
        </w:rPr>
        <w:t xml:space="preserve"> </w:t>
      </w:r>
    </w:p>
    <w:p>
      <w:pPr>
        <w:pStyle w:val="10"/>
        <w:numPr>
          <w:numId w:val="0"/>
        </w:numPr>
        <w:spacing w:before="0" w:line="360" w:lineRule="auto"/>
        <w:ind w:leftChars="200"/>
        <w:rPr>
          <w:rFonts w:ascii="黑体" w:eastAsia="黑体"/>
          <w:sz w:val="32"/>
          <w:szCs w:val="32"/>
        </w:rPr>
      </w:pPr>
      <w:r>
        <w:rPr>
          <w:rFonts w:hint="default" w:ascii="ˎ̥" w:hAnsi="ˎ̥" w:eastAsia="宋体" w:cs="宋体"/>
          <w:sz w:val="32"/>
          <w:szCs w:val="32"/>
        </w:rPr>
        <w:t>（四</w:t>
      </w:r>
      <w:bookmarkStart w:id="0" w:name="_GoBack"/>
      <w:bookmarkEnd w:id="0"/>
      <w:r>
        <w:rPr>
          <w:rFonts w:hint="default" w:ascii="ˎ̥" w:hAnsi="ˎ̥" w:eastAsia="宋体" w:cs="宋体"/>
          <w:sz w:val="32"/>
          <w:szCs w:val="32"/>
        </w:rPr>
        <w:t>）</w:t>
      </w:r>
      <w:r>
        <w:rPr>
          <w:rFonts w:hint="eastAsia" w:ascii="ˎ̥" w:hAnsi="ˎ̥" w:eastAsia="宋体" w:cs="宋体"/>
          <w:sz w:val="32"/>
          <w:szCs w:val="32"/>
        </w:rPr>
        <w:t>绩效目标设置情况</w:t>
      </w:r>
      <w:r>
        <w:rPr>
          <w:rFonts w:hint="eastAsia" w:ascii="ˎ̥" w:hAnsi="ˎ̥" w:eastAsia="宋体" w:cs="宋体"/>
          <w:sz w:val="32"/>
          <w:szCs w:val="32"/>
        </w:rPr>
        <w:br w:type="textWrapping"/>
      </w:r>
      <w:r>
        <w:rPr>
          <w:rFonts w:hint="eastAsia" w:ascii="ˎ̥" w:hAnsi="ˎ̥" w:eastAsia="宋体" w:cs="宋体"/>
          <w:sz w:val="32"/>
          <w:szCs w:val="32"/>
        </w:rPr>
        <w:t>　</w:t>
      </w:r>
      <w:r>
        <w:rPr>
          <w:rFonts w:hint="eastAsia" w:cs="仿宋_GB2312"/>
          <w:kern w:val="2"/>
          <w:sz w:val="32"/>
          <w:szCs w:val="32"/>
        </w:rPr>
        <w:t>　20</w:t>
      </w:r>
      <w:r>
        <w:rPr>
          <w:rFonts w:hint="eastAsia" w:cs="仿宋_GB2312"/>
          <w:kern w:val="2"/>
          <w:sz w:val="32"/>
          <w:szCs w:val="32"/>
          <w:lang w:val="en-US" w:eastAsia="zh-CN"/>
        </w:rPr>
        <w:t>22</w:t>
      </w:r>
      <w:r>
        <w:rPr>
          <w:rFonts w:hint="eastAsia" w:cs="仿宋_GB2312"/>
          <w:kern w:val="2"/>
          <w:sz w:val="32"/>
          <w:szCs w:val="32"/>
        </w:rPr>
        <w:t>年单位通用项目和专用项目均按要求实行绩效目标管理，涉及一般公共预算当年拨款</w:t>
      </w:r>
      <w:r>
        <w:rPr>
          <w:rFonts w:hint="eastAsia" w:cs="仿宋_GB2312"/>
          <w:kern w:val="2"/>
          <w:sz w:val="32"/>
          <w:szCs w:val="32"/>
          <w:lang w:val="en-US" w:eastAsia="zh-CN"/>
        </w:rPr>
        <w:t>1310.22</w:t>
      </w:r>
      <w:r>
        <w:rPr>
          <w:rFonts w:hint="eastAsia" w:cs="仿宋_GB2312"/>
          <w:kern w:val="2"/>
          <w:sz w:val="32"/>
          <w:szCs w:val="32"/>
        </w:rPr>
        <w:t>万元。</w:t>
      </w:r>
    </w:p>
    <w:p>
      <w:pPr>
        <w:pStyle w:val="10"/>
        <w:spacing w:before="0" w:line="360" w:lineRule="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cs="仿宋_GB2312"/>
          <w:kern w:val="2"/>
          <w:sz w:val="32"/>
          <w:szCs w:val="32"/>
        </w:rPr>
        <w:t>（一）财政拨款收入：指由财政拨款形成的部门收入。按现行管理制度，部门预算中反映的财政拨款仅包括一般公共预算拨款和政府性基金预算拨款。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（二）事业收入：指所属事业单位开展专业业务活动及辅助活动所取得的收入。</w:t>
      </w:r>
      <w:r>
        <w:rPr>
          <w:rFonts w:cs="仿宋_GB2312"/>
          <w:kern w:val="2"/>
          <w:sz w:val="32"/>
          <w:szCs w:val="32"/>
        </w:rPr>
        <w:br w:type="textWrapping"/>
      </w:r>
      <w:r>
        <w:rPr>
          <w:rFonts w:hint="eastAsia" w:cs="仿宋_GB2312"/>
          <w:kern w:val="2"/>
          <w:sz w:val="32"/>
          <w:szCs w:val="32"/>
        </w:rPr>
        <w:t>　　（三）事业单位经营收入：指所属事业单位在专业业务活动及其辅助活动之外开展非独立核算经营活动取得的收入。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（四）其他收入：指除上述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（五）用事业基金弥补收支差额：指所属事业单位在预计用当年的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（六）上年结转：指所属行政事业单位以前年度尚未完成、结转至本年按原规定用途继续使用的资金和以前年度已完成项目剩余资金经批准用于新用途使用的资金。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4796"/>
    <w:multiLevelType w:val="singleLevel"/>
    <w:tmpl w:val="AADE4796"/>
    <w:lvl w:ilvl="0" w:tentative="0">
      <w:start w:val="1"/>
      <w:numFmt w:val="chineseCounting"/>
      <w:suff w:val="nothing"/>
      <w:lvlText w:val="（%1）"/>
      <w:lvlJc w:val="left"/>
      <w:pPr>
        <w:ind w:left="0" w:firstLine="0"/>
      </w:pPr>
      <w:rPr>
        <w:rFonts w:hint="eastAsia"/>
      </w:rPr>
    </w:lvl>
  </w:abstractNum>
  <w:abstractNum w:abstractNumId="1">
    <w:nsid w:val="C36BF6F4"/>
    <w:multiLevelType w:val="singleLevel"/>
    <w:tmpl w:val="C36BF6F4"/>
    <w:lvl w:ilvl="0" w:tentative="0">
      <w:start w:val="1"/>
      <w:numFmt w:val="chineseCounting"/>
      <w:suff w:val="nothing"/>
      <w:lvlText w:val="（%1）"/>
      <w:lvlJc w:val="left"/>
      <w:pPr>
        <w:ind w:left="0" w:firstLine="0"/>
      </w:pPr>
      <w:rPr>
        <w:rFonts w:hint="eastAsia"/>
      </w:rPr>
    </w:lvl>
  </w:abstractNum>
  <w:abstractNum w:abstractNumId="2">
    <w:nsid w:val="16AA25D2"/>
    <w:multiLevelType w:val="multilevel"/>
    <w:tmpl w:val="16AA25D2"/>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F882F"/>
    <w:rsid w:val="171C2A1A"/>
    <w:rsid w:val="17FC7C34"/>
    <w:rsid w:val="23181D57"/>
    <w:rsid w:val="25AC2AC8"/>
    <w:rsid w:val="39775D6C"/>
    <w:rsid w:val="50DD42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1652</Words>
  <Characters>1760</Characters>
  <Lines>124</Lines>
  <Paragraphs>48</Paragraphs>
  <TotalTime>5</TotalTime>
  <ScaleCrop>false</ScaleCrop>
  <LinksUpToDate>false</LinksUpToDate>
  <CharactersWithSpaces>1811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2018-01-31T01:39:00Z</cp:lastPrinted>
  <dcterms:modified xsi:type="dcterms:W3CDTF">2022-01-20T10:59:38Z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