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left="0"/>
        <w:jc w:val="right"/>
        <w:rPr>
          <w:rFonts w:hint="eastAsia" w:ascii="仿宋_GB2312" w:eastAsia="仿宋_GB2312"/>
          <w:sz w:val="32"/>
          <w:szCs w:val="32"/>
        </w:rPr>
      </w:pPr>
      <w:r>
        <w:rPr>
          <w:rFonts w:hint="eastAsia" w:ascii="仿宋_GB2312" w:eastAsia="仿宋_GB2312"/>
          <w:sz w:val="32"/>
        </w:rPr>
        <w:t xml:space="preserve">    </w:t>
      </w:r>
    </w:p>
    <w:p>
      <w:pPr>
        <w:widowControl/>
        <w:spacing w:line="480" w:lineRule="exact"/>
        <w:jc w:val="center"/>
        <w:rPr>
          <w:rFonts w:hint="eastAsia" w:ascii="方正小标宋简体" w:eastAsia="方正小标宋简体"/>
          <w:sz w:val="44"/>
          <w:szCs w:val="44"/>
        </w:rPr>
      </w:pPr>
    </w:p>
    <w:p>
      <w:pPr>
        <w:keepNext w:val="0"/>
        <w:keepLines w:val="0"/>
        <w:pageBreakBefore w:val="0"/>
        <w:widowControl w:val="0"/>
        <w:suppressLineNumbers w:val="0"/>
        <w:suppressAutoHyphens w:val="0"/>
        <w:kinsoku/>
        <w:wordWrap/>
        <w:overflowPunct/>
        <w:topLinePunct w:val="0"/>
        <w:autoSpaceDE/>
        <w:autoSpaceDN/>
        <w:adjustRightInd/>
        <w:snapToGrid/>
        <w:spacing w:line="540" w:lineRule="exact"/>
        <w:ind w:left="40"/>
        <w:contextualSpacing w:val="0"/>
        <w:rPr>
          <w:rFonts w:ascii="Times New Roman" w:hAnsi="Times New Roman"/>
          <w:color w:val="000000"/>
          <w:sz w:val="44"/>
          <w:szCs w:val="44"/>
        </w:rPr>
      </w:pPr>
      <w:r>
        <w:rPr>
          <w:rFonts w:hint="eastAsia" w:ascii="方正小标宋简体" w:eastAsia="方正小标宋简体"/>
          <w:bCs/>
          <w:snapToGrid w:val="0"/>
          <w:color w:val="000000"/>
          <w:kern w:val="0"/>
          <w:sz w:val="44"/>
          <w:szCs w:val="44"/>
        </w:rPr>
        <w:t>阿坝藏族羌族自治州 “十四五”应急体系规划</w:t>
      </w:r>
    </w:p>
    <w:p>
      <w:pPr>
        <w:pStyle w:val="18"/>
        <w:tabs>
          <w:tab w:val="left" w:pos="2180"/>
          <w:tab w:val="center" w:pos="4153"/>
        </w:tabs>
        <w:spacing w:before="0" w:line="560" w:lineRule="exact"/>
        <w:jc w:val="both"/>
        <w:rPr>
          <w:rFonts w:hint="eastAsia" w:ascii="方正小标宋简体" w:eastAsia="方正小标宋简体"/>
          <w:color w:val="000000"/>
          <w:sz w:val="44"/>
          <w:szCs w:val="44"/>
          <w:lang w:val="zh-CN" w:eastAsia="zh-CN"/>
        </w:rPr>
      </w:pPr>
    </w:p>
    <w:p>
      <w:pPr>
        <w:pStyle w:val="18"/>
        <w:tabs>
          <w:tab w:val="left" w:pos="2180"/>
          <w:tab w:val="center" w:pos="4153"/>
        </w:tabs>
        <w:spacing w:before="0"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val="zh-CN" w:eastAsia="zh-CN"/>
        </w:rPr>
        <w:t>目  录</w:t>
      </w:r>
    </w:p>
    <w:p>
      <w:pPr>
        <w:pStyle w:val="10"/>
        <w:tabs>
          <w:tab w:val="right" w:leader="dot" w:pos="8844"/>
        </w:tabs>
        <w:spacing w:line="560" w:lineRule="exact"/>
      </w:pPr>
      <w:r>
        <w:rPr>
          <w:rFonts w:ascii="Times New Roman" w:hAnsi="Times New Roman" w:eastAsia="仿宋_GB2312"/>
          <w:color w:val="000000"/>
          <w:sz w:val="32"/>
          <w:szCs w:val="32"/>
        </w:rPr>
        <w:fldChar w:fldCharType="begin"/>
      </w:r>
      <w:r>
        <w:rPr>
          <w:rFonts w:ascii="Times New Roman" w:hAnsi="Times New Roman" w:eastAsia="仿宋_GB2312"/>
          <w:color w:val="000000"/>
          <w:sz w:val="32"/>
          <w:szCs w:val="32"/>
        </w:rPr>
        <w:instrText xml:space="preserve"> TOC \o "1-3" \h \u </w:instrText>
      </w:r>
      <w:r>
        <w:rPr>
          <w:rFonts w:ascii="Times New Roman" w:hAnsi="Times New Roman" w:eastAsia="仿宋_GB2312"/>
          <w:color w:val="000000"/>
          <w:sz w:val="32"/>
          <w:szCs w:val="32"/>
        </w:rPr>
        <w:fldChar w:fldCharType="separate"/>
      </w:r>
      <w:r>
        <w:fldChar w:fldCharType="begin"/>
      </w:r>
      <w:r>
        <w:instrText xml:space="preserve">Hyperlink \l "_Toc90007136"</w:instrText>
      </w:r>
      <w:r>
        <w:fldChar w:fldCharType="separate"/>
      </w:r>
      <w:r>
        <w:rPr>
          <w:rFonts w:ascii="Times New Roman" w:hAnsi="Times New Roman" w:eastAsia="黑体"/>
        </w:rPr>
        <w:t>第一章 规划背景</w:t>
      </w:r>
      <w:r>
        <w:rPr>
          <w:rFonts w:hint="eastAsia" w:ascii="楷体_GB2312" w:eastAsia="楷体_GB2312"/>
        </w:rPr>
        <w:tab/>
      </w:r>
      <w:r>
        <w:rPr>
          <w:rFonts w:hint="eastAsia" w:ascii="楷体_GB2312" w:eastAsia="楷体_GB2312"/>
        </w:rPr>
        <w:t>3</w:t>
      </w:r>
      <w:r>
        <w:fldChar w:fldCharType="end"/>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"_Toc90007137"</w:instrText>
      </w:r>
      <w:r>
        <w:rPr>
          <w:sz w:val="32"/>
          <w:szCs w:val="32"/>
        </w:rPr>
        <w:fldChar w:fldCharType="separate"/>
      </w:r>
      <w:r>
        <w:rPr>
          <w:rFonts w:ascii="Times New Roman" w:hAnsi="Times New Roman" w:eastAsia="楷体_GB2312"/>
          <w:sz w:val="32"/>
          <w:szCs w:val="32"/>
        </w:rPr>
        <w:t>第一节 建设成效</w:t>
      </w:r>
      <w:r>
        <w:rPr>
          <w:sz w:val="32"/>
          <w:szCs w:val="32"/>
        </w:rPr>
        <w:tab/>
      </w:r>
      <w:r>
        <w:rPr>
          <w:sz w:val="32"/>
          <w:szCs w:val="32"/>
        </w:rPr>
        <w:t>4</w:t>
      </w:r>
      <w:r>
        <w:rPr>
          <w:sz w:val="32"/>
          <w:szCs w:val="32"/>
        </w:rPr>
        <w:fldChar w:fldCharType="end"/>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"_Toc90007138"</w:instrText>
      </w:r>
      <w:r>
        <w:rPr>
          <w:sz w:val="32"/>
          <w:szCs w:val="32"/>
        </w:rPr>
        <w:fldChar w:fldCharType="separate"/>
      </w:r>
      <w:r>
        <w:rPr>
          <w:rFonts w:ascii="Times New Roman" w:hAnsi="Times New Roman" w:eastAsia="楷体_GB2312"/>
          <w:sz w:val="32"/>
          <w:szCs w:val="32"/>
        </w:rPr>
        <w:t>第二节 面临挑战</w:t>
      </w:r>
      <w:r>
        <w:rPr>
          <w:sz w:val="32"/>
          <w:szCs w:val="32"/>
        </w:rPr>
        <w:tab/>
      </w:r>
      <w:r>
        <w:rPr>
          <w:sz w:val="32"/>
          <w:szCs w:val="32"/>
        </w:rPr>
        <w:t>7</w:t>
      </w:r>
      <w:r>
        <w:rPr>
          <w:sz w:val="32"/>
          <w:szCs w:val="32"/>
        </w:rPr>
        <w:fldChar w:fldCharType="end"/>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"_Toc90007139"</w:instrText>
      </w:r>
      <w:r>
        <w:rPr>
          <w:sz w:val="32"/>
          <w:szCs w:val="32"/>
        </w:rPr>
        <w:fldChar w:fldCharType="separate"/>
      </w:r>
      <w:r>
        <w:rPr>
          <w:rFonts w:ascii="Times New Roman" w:hAnsi="Times New Roman" w:eastAsia="楷体_GB2312"/>
          <w:sz w:val="32"/>
          <w:szCs w:val="32"/>
        </w:rPr>
        <w:t>第三节 发展机遇</w:t>
      </w:r>
      <w:r>
        <w:rPr>
          <w:sz w:val="32"/>
          <w:szCs w:val="32"/>
        </w:rPr>
        <w:tab/>
      </w:r>
      <w:r>
        <w:rPr>
          <w:sz w:val="32"/>
          <w:szCs w:val="32"/>
        </w:rPr>
        <w:t>9</w:t>
      </w:r>
      <w:r>
        <w:rPr>
          <w:sz w:val="32"/>
          <w:szCs w:val="32"/>
        </w:rPr>
        <w:fldChar w:fldCharType="end"/>
      </w:r>
    </w:p>
    <w:p>
      <w:pPr>
        <w:pStyle w:val="10"/>
        <w:tabs>
          <w:tab w:val="right" w:leader="dot" w:pos="8844"/>
        </w:tabs>
        <w:spacing w:line="560" w:lineRule="exact"/>
        <w:rPr>
          <w:rFonts w:hint="eastAsia" w:ascii="楷体_GB2312" w:eastAsia="楷体_GB2312"/>
        </w:rPr>
      </w:pPr>
      <w:r>
        <w:rPr>
          <w:rFonts w:hint="eastAsia" w:ascii="楷体_GB2312" w:eastAsia="楷体_GB2312"/>
        </w:rPr>
        <w:fldChar w:fldCharType="begin"/>
      </w:r>
      <w:r>
        <w:rPr>
          <w:rFonts w:hint="eastAsia" w:ascii="楷体_GB2312" w:eastAsia="楷体_GB2312"/>
        </w:rPr>
        <w:instrText xml:space="preserve">Hyperlink \l "_Toc90007140"</w:instrText>
      </w:r>
      <w:r>
        <w:rPr>
          <w:rFonts w:hint="eastAsia" w:ascii="楷体_GB2312" w:eastAsia="楷体_GB2312"/>
        </w:rPr>
        <w:fldChar w:fldCharType="separate"/>
      </w:r>
      <w:r>
        <w:rPr>
          <w:rFonts w:hint="eastAsia" w:ascii="黑体" w:eastAsia="黑体"/>
        </w:rPr>
        <w:t>第二章 总体要求</w:t>
      </w:r>
      <w:r>
        <w:rPr>
          <w:rFonts w:hint="eastAsia" w:ascii="楷体_GB2312" w:eastAsia="楷体_GB2312"/>
        </w:rPr>
        <w:tab/>
      </w:r>
      <w:r>
        <w:rPr>
          <w:rFonts w:hint="eastAsia" w:ascii="楷体_GB2312" w:eastAsia="楷体_GB2312"/>
        </w:rPr>
        <w:t>1</w:t>
      </w:r>
      <w:r>
        <w:rPr>
          <w:rFonts w:hint="eastAsia" w:ascii="楷体_GB2312" w:eastAsia="楷体_GB2312"/>
        </w:rPr>
        <w:fldChar w:fldCharType="end"/>
      </w:r>
      <w:r>
        <w:rPr>
          <w:rFonts w:hint="eastAsia" w:ascii="楷体_GB2312" w:eastAsia="楷体_GB2312"/>
        </w:rPr>
        <w:t>1</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"_Toc90007141"</w:instrText>
      </w:r>
      <w:r>
        <w:rPr>
          <w:sz w:val="32"/>
          <w:szCs w:val="32"/>
        </w:rPr>
        <w:fldChar w:fldCharType="separate"/>
      </w:r>
      <w:r>
        <w:rPr>
          <w:rFonts w:ascii="Times New Roman" w:hAnsi="Times New Roman" w:eastAsia="楷体_GB2312"/>
          <w:sz w:val="32"/>
          <w:szCs w:val="32"/>
        </w:rPr>
        <w:t>第一节 指导思想</w:t>
      </w:r>
      <w:r>
        <w:rPr>
          <w:sz w:val="32"/>
          <w:szCs w:val="32"/>
        </w:rPr>
        <w:tab/>
      </w:r>
      <w:r>
        <w:rPr>
          <w:sz w:val="32"/>
          <w:szCs w:val="32"/>
        </w:rPr>
        <w:t>1</w:t>
      </w:r>
      <w:r>
        <w:rPr>
          <w:sz w:val="32"/>
          <w:szCs w:val="32"/>
        </w:rPr>
        <w:fldChar w:fldCharType="end"/>
      </w:r>
      <w:r>
        <w:rPr>
          <w:sz w:val="32"/>
          <w:szCs w:val="32"/>
        </w:rPr>
        <w:t>1</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"_Toc90007142"</w:instrText>
      </w:r>
      <w:r>
        <w:rPr>
          <w:sz w:val="32"/>
          <w:szCs w:val="32"/>
        </w:rPr>
        <w:fldChar w:fldCharType="separate"/>
      </w:r>
      <w:r>
        <w:rPr>
          <w:rFonts w:ascii="Times New Roman" w:hAnsi="Times New Roman" w:eastAsia="楷体_GB2312"/>
          <w:sz w:val="32"/>
          <w:szCs w:val="32"/>
        </w:rPr>
        <w:t>第二节 基本原则</w:t>
      </w:r>
      <w:r>
        <w:rPr>
          <w:sz w:val="32"/>
          <w:szCs w:val="32"/>
        </w:rPr>
        <w:tab/>
      </w:r>
      <w:r>
        <w:rPr>
          <w:sz w:val="32"/>
          <w:szCs w:val="32"/>
        </w:rPr>
        <w:t>1</w:t>
      </w:r>
      <w:r>
        <w:rPr>
          <w:sz w:val="32"/>
          <w:szCs w:val="32"/>
        </w:rPr>
        <w:fldChar w:fldCharType="end"/>
      </w:r>
      <w:r>
        <w:rPr>
          <w:sz w:val="32"/>
          <w:szCs w:val="32"/>
        </w:rPr>
        <w:t>1</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"_Toc90007143"</w:instrText>
      </w:r>
      <w:r>
        <w:rPr>
          <w:sz w:val="32"/>
          <w:szCs w:val="32"/>
        </w:rPr>
        <w:fldChar w:fldCharType="separate"/>
      </w:r>
      <w:r>
        <w:rPr>
          <w:rFonts w:ascii="Times New Roman" w:hAnsi="Times New Roman" w:eastAsia="楷体_GB2312"/>
          <w:sz w:val="32"/>
          <w:szCs w:val="32"/>
        </w:rPr>
        <w:t>第三节 规划目标</w:t>
      </w:r>
      <w:r>
        <w:rPr>
          <w:sz w:val="32"/>
          <w:szCs w:val="32"/>
        </w:rPr>
        <w:tab/>
      </w:r>
      <w:r>
        <w:rPr>
          <w:sz w:val="32"/>
          <w:szCs w:val="32"/>
        </w:rPr>
        <w:t>1</w:t>
      </w:r>
      <w:r>
        <w:rPr>
          <w:sz w:val="32"/>
          <w:szCs w:val="32"/>
        </w:rPr>
        <w:fldChar w:fldCharType="end"/>
      </w:r>
      <w:r>
        <w:rPr>
          <w:sz w:val="32"/>
          <w:szCs w:val="32"/>
        </w:rPr>
        <w:t>2</w:t>
      </w:r>
    </w:p>
    <w:p>
      <w:pPr>
        <w:pStyle w:val="10"/>
        <w:tabs>
          <w:tab w:val="right" w:leader="dot" w:pos="8844"/>
        </w:tabs>
        <w:spacing w:line="560" w:lineRule="exact"/>
      </w:pPr>
      <w:r>
        <w:fldChar w:fldCharType="begin"/>
      </w:r>
      <w:r>
        <w:instrText xml:space="preserve">Hyperlink \l "_Toc90007144"</w:instrText>
      </w:r>
      <w:r>
        <w:fldChar w:fldCharType="separate"/>
      </w:r>
      <w:r>
        <w:rPr>
          <w:rFonts w:hint="eastAsia" w:ascii="黑体" w:eastAsia="黑体"/>
        </w:rPr>
        <w:t>第三章 主要任务</w:t>
      </w:r>
      <w:r>
        <w:tab/>
      </w:r>
      <w:r>
        <w:t>1</w:t>
      </w:r>
      <w:r>
        <w:fldChar w:fldCharType="end"/>
      </w:r>
      <w:r>
        <w:t>4</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"_Toc90007145"</w:instrText>
      </w:r>
      <w:r>
        <w:rPr>
          <w:sz w:val="32"/>
          <w:szCs w:val="32"/>
        </w:rPr>
        <w:fldChar w:fldCharType="separate"/>
      </w:r>
      <w:r>
        <w:rPr>
          <w:rFonts w:ascii="Times New Roman" w:hAnsi="Times New Roman" w:eastAsia="楷体_GB2312"/>
          <w:sz w:val="32"/>
          <w:szCs w:val="32"/>
        </w:rPr>
        <w:t>第一节 深化体制机制改革，提升应急管理能力</w:t>
      </w:r>
      <w:r>
        <w:rPr>
          <w:sz w:val="32"/>
          <w:szCs w:val="32"/>
        </w:rPr>
        <w:tab/>
      </w:r>
      <w:r>
        <w:rPr>
          <w:sz w:val="32"/>
          <w:szCs w:val="32"/>
        </w:rPr>
        <w:t>1</w:t>
      </w:r>
      <w:r>
        <w:rPr>
          <w:sz w:val="32"/>
          <w:szCs w:val="32"/>
        </w:rPr>
        <w:fldChar w:fldCharType="end"/>
      </w:r>
      <w:r>
        <w:rPr>
          <w:sz w:val="32"/>
          <w:szCs w:val="32"/>
        </w:rPr>
        <w:t>5</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"_Toc90007146"</w:instrText>
      </w:r>
      <w:r>
        <w:rPr>
          <w:sz w:val="32"/>
          <w:szCs w:val="32"/>
        </w:rPr>
        <w:fldChar w:fldCharType="separate"/>
      </w:r>
      <w:r>
        <w:rPr>
          <w:rFonts w:ascii="Times New Roman" w:hAnsi="Times New Roman" w:eastAsia="楷体_GB2312"/>
          <w:sz w:val="32"/>
          <w:szCs w:val="32"/>
        </w:rPr>
        <w:t>第二节 健全防灾减灾体系，提升防灾抗灾能力</w:t>
      </w:r>
      <w:r>
        <w:rPr>
          <w:sz w:val="32"/>
          <w:szCs w:val="32"/>
        </w:rPr>
        <w:tab/>
      </w:r>
      <w:r>
        <w:rPr>
          <w:sz w:val="32"/>
          <w:szCs w:val="32"/>
        </w:rPr>
        <w:t>1</w:t>
      </w:r>
      <w:r>
        <w:rPr>
          <w:sz w:val="32"/>
          <w:szCs w:val="32"/>
        </w:rPr>
        <w:fldChar w:fldCharType="end"/>
      </w:r>
      <w:r>
        <w:rPr>
          <w:sz w:val="32"/>
          <w:szCs w:val="32"/>
        </w:rPr>
        <w:t>7</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"_Toc90007147"</w:instrText>
      </w:r>
      <w:r>
        <w:rPr>
          <w:sz w:val="32"/>
          <w:szCs w:val="32"/>
        </w:rPr>
        <w:fldChar w:fldCharType="separate"/>
      </w:r>
      <w:r>
        <w:rPr>
          <w:rFonts w:ascii="Times New Roman" w:hAnsi="Times New Roman" w:eastAsia="楷体_GB2312"/>
          <w:sz w:val="32"/>
          <w:szCs w:val="32"/>
        </w:rPr>
        <w:t>第三节 强化风险隐患管控，防范化解安全风险</w:t>
      </w:r>
      <w:r>
        <w:rPr>
          <w:sz w:val="32"/>
          <w:szCs w:val="32"/>
        </w:rPr>
        <w:tab/>
      </w:r>
      <w:r>
        <w:rPr>
          <w:sz w:val="32"/>
          <w:szCs w:val="32"/>
        </w:rPr>
        <w:t>2</w:t>
      </w:r>
      <w:r>
        <w:rPr>
          <w:sz w:val="32"/>
          <w:szCs w:val="32"/>
        </w:rPr>
        <w:fldChar w:fldCharType="end"/>
      </w:r>
      <w:r>
        <w:rPr>
          <w:sz w:val="32"/>
          <w:szCs w:val="32"/>
        </w:rPr>
        <w:t>1</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"_Toc90007148"</w:instrText>
      </w:r>
      <w:r>
        <w:rPr>
          <w:sz w:val="32"/>
          <w:szCs w:val="32"/>
        </w:rPr>
        <w:fldChar w:fldCharType="separate"/>
      </w:r>
      <w:r>
        <w:rPr>
          <w:rFonts w:ascii="Times New Roman" w:hAnsi="Times New Roman" w:eastAsia="楷体_GB2312"/>
          <w:sz w:val="32"/>
          <w:szCs w:val="32"/>
        </w:rPr>
        <w:t>第四节 加强应急力量建设，提升救援作战能力</w:t>
      </w:r>
      <w:r>
        <w:rPr>
          <w:sz w:val="32"/>
          <w:szCs w:val="32"/>
        </w:rPr>
        <w:tab/>
      </w:r>
      <w:r>
        <w:rPr>
          <w:sz w:val="32"/>
          <w:szCs w:val="32"/>
        </w:rPr>
        <w:t>2</w:t>
      </w:r>
      <w:r>
        <w:rPr>
          <w:sz w:val="32"/>
          <w:szCs w:val="32"/>
        </w:rPr>
        <w:fldChar w:fldCharType="end"/>
      </w:r>
      <w:r>
        <w:rPr>
          <w:sz w:val="32"/>
          <w:szCs w:val="32"/>
        </w:rPr>
        <w:t>3</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"_Toc90007149"</w:instrText>
      </w:r>
      <w:r>
        <w:rPr>
          <w:sz w:val="32"/>
          <w:szCs w:val="32"/>
        </w:rPr>
        <w:fldChar w:fldCharType="separate"/>
      </w:r>
      <w:r>
        <w:rPr>
          <w:rFonts w:ascii="Times New Roman" w:hAnsi="Times New Roman" w:eastAsia="楷体_GB2312"/>
          <w:sz w:val="32"/>
          <w:szCs w:val="32"/>
        </w:rPr>
        <w:t>第五节 强化应急保障体系，提升应急保障能力</w:t>
      </w:r>
      <w:r>
        <w:rPr>
          <w:sz w:val="32"/>
          <w:szCs w:val="32"/>
        </w:rPr>
        <w:tab/>
      </w:r>
      <w:r>
        <w:rPr>
          <w:sz w:val="32"/>
          <w:szCs w:val="32"/>
        </w:rPr>
        <w:t>2</w:t>
      </w:r>
      <w:r>
        <w:rPr>
          <w:sz w:val="32"/>
          <w:szCs w:val="32"/>
        </w:rPr>
        <w:fldChar w:fldCharType="end"/>
      </w:r>
      <w:r>
        <w:rPr>
          <w:sz w:val="32"/>
          <w:szCs w:val="32"/>
        </w:rPr>
        <w:t>5</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"_Toc90007150"</w:instrText>
      </w:r>
      <w:r>
        <w:rPr>
          <w:sz w:val="32"/>
          <w:szCs w:val="32"/>
        </w:rPr>
        <w:fldChar w:fldCharType="separate"/>
      </w:r>
      <w:r>
        <w:rPr>
          <w:rFonts w:ascii="Times New Roman" w:hAnsi="Times New Roman" w:eastAsia="楷体_GB2312"/>
          <w:sz w:val="32"/>
          <w:szCs w:val="32"/>
        </w:rPr>
        <w:t>第六节 健全智慧应急体系，提升科技信息化能力</w:t>
      </w:r>
      <w:r>
        <w:rPr>
          <w:sz w:val="32"/>
          <w:szCs w:val="32"/>
        </w:rPr>
        <w:tab/>
      </w:r>
      <w:r>
        <w:rPr>
          <w:sz w:val="32"/>
          <w:szCs w:val="32"/>
        </w:rPr>
        <w:t>2</w:t>
      </w:r>
      <w:r>
        <w:rPr>
          <w:sz w:val="32"/>
          <w:szCs w:val="32"/>
        </w:rPr>
        <w:fldChar w:fldCharType="end"/>
      </w:r>
      <w:r>
        <w:rPr>
          <w:sz w:val="32"/>
          <w:szCs w:val="32"/>
        </w:rPr>
        <w:t>7</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"_Toc90007151"</w:instrText>
      </w:r>
      <w:r>
        <w:rPr>
          <w:sz w:val="32"/>
          <w:szCs w:val="32"/>
        </w:rPr>
        <w:fldChar w:fldCharType="separate"/>
      </w:r>
      <w:r>
        <w:rPr>
          <w:rFonts w:ascii="Times New Roman" w:hAnsi="Times New Roman" w:eastAsia="楷体_GB2312"/>
          <w:sz w:val="32"/>
          <w:szCs w:val="32"/>
        </w:rPr>
        <w:t>第七节 健全队伍管理体系，提升应急工作能力</w:t>
      </w:r>
      <w:r>
        <w:rPr>
          <w:sz w:val="32"/>
          <w:szCs w:val="32"/>
        </w:rPr>
        <w:tab/>
      </w:r>
      <w:r>
        <w:rPr>
          <w:sz w:val="32"/>
          <w:szCs w:val="32"/>
        </w:rPr>
        <w:t>2</w:t>
      </w:r>
      <w:r>
        <w:rPr>
          <w:sz w:val="32"/>
          <w:szCs w:val="32"/>
        </w:rPr>
        <w:fldChar w:fldCharType="end"/>
      </w:r>
      <w:r>
        <w:rPr>
          <w:sz w:val="32"/>
          <w:szCs w:val="32"/>
        </w:rPr>
        <w:t>9</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"_Toc90007152"</w:instrText>
      </w:r>
      <w:r>
        <w:rPr>
          <w:sz w:val="32"/>
          <w:szCs w:val="32"/>
        </w:rPr>
        <w:fldChar w:fldCharType="separate"/>
      </w:r>
      <w:r>
        <w:rPr>
          <w:rFonts w:ascii="Times New Roman" w:hAnsi="Times New Roman" w:eastAsia="楷体_GB2312"/>
          <w:sz w:val="32"/>
          <w:szCs w:val="32"/>
        </w:rPr>
        <w:t>第八节 加强应急知识宣教，提高群防群治水平</w:t>
      </w:r>
      <w:r>
        <w:rPr>
          <w:sz w:val="32"/>
          <w:szCs w:val="32"/>
        </w:rPr>
        <w:tab/>
      </w:r>
      <w:r>
        <w:rPr>
          <w:sz w:val="32"/>
          <w:szCs w:val="32"/>
        </w:rPr>
        <w:t>3</w:t>
      </w:r>
      <w:r>
        <w:rPr>
          <w:sz w:val="32"/>
          <w:szCs w:val="32"/>
        </w:rPr>
        <w:fldChar w:fldCharType="end"/>
      </w:r>
      <w:r>
        <w:rPr>
          <w:sz w:val="32"/>
          <w:szCs w:val="32"/>
        </w:rPr>
        <w:t>0</w:t>
      </w:r>
    </w:p>
    <w:p>
      <w:pPr>
        <w:pStyle w:val="10"/>
        <w:tabs>
          <w:tab w:val="right" w:leader="dot" w:pos="8844"/>
        </w:tabs>
        <w:spacing w:line="560" w:lineRule="exact"/>
      </w:pPr>
      <w:r>
        <w:fldChar w:fldCharType="begin"/>
      </w:r>
      <w:r>
        <w:instrText xml:space="preserve">Hyperlink \l "_Toc90007153"</w:instrText>
      </w:r>
      <w:r>
        <w:fldChar w:fldCharType="separate"/>
      </w:r>
      <w:r>
        <w:rPr>
          <w:rFonts w:hint="eastAsia" w:ascii="黑体" w:eastAsia="黑体"/>
        </w:rPr>
        <w:t>第四章 重点工程</w:t>
      </w:r>
      <w:r>
        <w:tab/>
      </w:r>
      <w:r>
        <w:t>3</w:t>
      </w:r>
      <w:r>
        <w:fldChar w:fldCharType="end"/>
      </w:r>
      <w:r>
        <w:t>2</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"_Toc90007154"</w:instrText>
      </w:r>
      <w:r>
        <w:rPr>
          <w:sz w:val="32"/>
          <w:szCs w:val="32"/>
        </w:rPr>
        <w:fldChar w:fldCharType="separate"/>
      </w:r>
      <w:r>
        <w:rPr>
          <w:rFonts w:ascii="Times New Roman" w:hAnsi="Times New Roman" w:eastAsia="楷体_GB2312"/>
          <w:sz w:val="32"/>
          <w:szCs w:val="32"/>
        </w:rPr>
        <w:t>第一节 综合防灾减灾能力提升工程</w:t>
      </w:r>
      <w:r>
        <w:rPr>
          <w:sz w:val="32"/>
          <w:szCs w:val="32"/>
        </w:rPr>
        <w:tab/>
      </w:r>
      <w:r>
        <w:rPr>
          <w:sz w:val="32"/>
          <w:szCs w:val="32"/>
        </w:rPr>
        <w:t>3</w:t>
      </w:r>
      <w:r>
        <w:rPr>
          <w:sz w:val="32"/>
          <w:szCs w:val="32"/>
        </w:rPr>
        <w:fldChar w:fldCharType="end"/>
      </w:r>
      <w:r>
        <w:rPr>
          <w:sz w:val="32"/>
          <w:szCs w:val="32"/>
        </w:rPr>
        <w:t>2</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"_Toc90007155"</w:instrText>
      </w:r>
      <w:r>
        <w:rPr>
          <w:sz w:val="32"/>
          <w:szCs w:val="32"/>
        </w:rPr>
        <w:fldChar w:fldCharType="separate"/>
      </w:r>
      <w:r>
        <w:rPr>
          <w:rFonts w:ascii="Times New Roman" w:hAnsi="Times New Roman" w:eastAsia="楷体_GB2312"/>
          <w:sz w:val="32"/>
          <w:szCs w:val="32"/>
        </w:rPr>
        <w:t>第二节 安全风险防范能力提升工程</w:t>
      </w:r>
      <w:r>
        <w:rPr>
          <w:sz w:val="32"/>
          <w:szCs w:val="32"/>
        </w:rPr>
        <w:tab/>
      </w:r>
      <w:r>
        <w:rPr>
          <w:sz w:val="32"/>
          <w:szCs w:val="32"/>
        </w:rPr>
        <w:t>3</w:t>
      </w:r>
      <w:r>
        <w:rPr>
          <w:sz w:val="32"/>
          <w:szCs w:val="32"/>
        </w:rPr>
        <w:fldChar w:fldCharType="end"/>
      </w:r>
      <w:r>
        <w:rPr>
          <w:sz w:val="32"/>
          <w:szCs w:val="32"/>
        </w:rPr>
        <w:t>4</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"_Toc90007156"</w:instrText>
      </w:r>
      <w:r>
        <w:rPr>
          <w:sz w:val="32"/>
          <w:szCs w:val="32"/>
        </w:rPr>
        <w:fldChar w:fldCharType="separate"/>
      </w:r>
      <w:r>
        <w:rPr>
          <w:rFonts w:ascii="Times New Roman" w:hAnsi="Times New Roman" w:eastAsia="楷体_GB2312"/>
          <w:sz w:val="32"/>
          <w:szCs w:val="32"/>
        </w:rPr>
        <w:t>第三节 应急救援能力提升工程</w:t>
      </w:r>
      <w:r>
        <w:rPr>
          <w:sz w:val="32"/>
          <w:szCs w:val="32"/>
        </w:rPr>
        <w:tab/>
      </w:r>
      <w:r>
        <w:rPr>
          <w:sz w:val="32"/>
          <w:szCs w:val="32"/>
        </w:rPr>
        <w:t>3</w:t>
      </w:r>
      <w:r>
        <w:rPr>
          <w:sz w:val="32"/>
          <w:szCs w:val="32"/>
        </w:rPr>
        <w:fldChar w:fldCharType="end"/>
      </w:r>
      <w:r>
        <w:rPr>
          <w:sz w:val="32"/>
          <w:szCs w:val="32"/>
        </w:rPr>
        <w:t>5</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"_Toc90007157"</w:instrText>
      </w:r>
      <w:r>
        <w:rPr>
          <w:sz w:val="32"/>
          <w:szCs w:val="32"/>
        </w:rPr>
        <w:fldChar w:fldCharType="separate"/>
      </w:r>
      <w:r>
        <w:rPr>
          <w:rFonts w:ascii="Times New Roman" w:hAnsi="Times New Roman" w:eastAsia="楷体_GB2312"/>
          <w:sz w:val="32"/>
          <w:szCs w:val="32"/>
        </w:rPr>
        <w:t>第四节 应急保障能力提升工程</w:t>
      </w:r>
      <w:r>
        <w:rPr>
          <w:sz w:val="32"/>
          <w:szCs w:val="32"/>
        </w:rPr>
        <w:tab/>
      </w:r>
      <w:r>
        <w:rPr>
          <w:sz w:val="32"/>
          <w:szCs w:val="32"/>
        </w:rPr>
        <w:t>3</w:t>
      </w:r>
      <w:r>
        <w:rPr>
          <w:sz w:val="32"/>
          <w:szCs w:val="32"/>
        </w:rPr>
        <w:fldChar w:fldCharType="end"/>
      </w:r>
      <w:r>
        <w:rPr>
          <w:sz w:val="32"/>
          <w:szCs w:val="32"/>
        </w:rPr>
        <w:t>7</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"_Toc90007158"</w:instrText>
      </w:r>
      <w:r>
        <w:rPr>
          <w:sz w:val="32"/>
          <w:szCs w:val="32"/>
        </w:rPr>
        <w:fldChar w:fldCharType="separate"/>
      </w:r>
      <w:r>
        <w:rPr>
          <w:rFonts w:ascii="Times New Roman" w:hAnsi="Times New Roman" w:eastAsia="楷体_GB2312"/>
          <w:sz w:val="32"/>
          <w:szCs w:val="32"/>
        </w:rPr>
        <w:t>第五节 应急管理信息化建设工程</w:t>
      </w:r>
      <w:r>
        <w:rPr>
          <w:sz w:val="32"/>
          <w:szCs w:val="32"/>
        </w:rPr>
        <w:tab/>
      </w:r>
      <w:r>
        <w:rPr>
          <w:sz w:val="32"/>
          <w:szCs w:val="32"/>
        </w:rPr>
        <w:t>3</w:t>
      </w:r>
      <w:r>
        <w:rPr>
          <w:sz w:val="32"/>
          <w:szCs w:val="32"/>
        </w:rPr>
        <w:fldChar w:fldCharType="end"/>
      </w:r>
      <w:r>
        <w:rPr>
          <w:sz w:val="32"/>
          <w:szCs w:val="32"/>
        </w:rPr>
        <w:t>8</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"_Toc90007159"</w:instrText>
      </w:r>
      <w:r>
        <w:rPr>
          <w:sz w:val="32"/>
          <w:szCs w:val="32"/>
        </w:rPr>
        <w:fldChar w:fldCharType="separate"/>
      </w:r>
      <w:r>
        <w:rPr>
          <w:rFonts w:ascii="Times New Roman" w:hAnsi="Times New Roman" w:eastAsia="楷体_GB2312"/>
          <w:sz w:val="32"/>
          <w:szCs w:val="32"/>
        </w:rPr>
        <w:t>第六节 应急准备能力提升工程</w:t>
      </w:r>
      <w:r>
        <w:rPr>
          <w:sz w:val="32"/>
          <w:szCs w:val="32"/>
        </w:rPr>
        <w:tab/>
      </w:r>
      <w:r>
        <w:rPr>
          <w:sz w:val="32"/>
          <w:szCs w:val="32"/>
        </w:rPr>
        <w:t>4</w:t>
      </w:r>
      <w:r>
        <w:rPr>
          <w:sz w:val="32"/>
          <w:szCs w:val="32"/>
        </w:rPr>
        <w:fldChar w:fldCharType="end"/>
      </w:r>
      <w:r>
        <w:rPr>
          <w:sz w:val="32"/>
          <w:szCs w:val="32"/>
        </w:rPr>
        <w:t>0</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"_Toc90007160"</w:instrText>
      </w:r>
      <w:r>
        <w:rPr>
          <w:sz w:val="32"/>
          <w:szCs w:val="32"/>
        </w:rPr>
        <w:fldChar w:fldCharType="separate"/>
      </w:r>
      <w:r>
        <w:rPr>
          <w:rFonts w:ascii="Times New Roman" w:hAnsi="Times New Roman" w:eastAsia="楷体_GB2312"/>
          <w:sz w:val="32"/>
          <w:szCs w:val="32"/>
        </w:rPr>
        <w:t>第七节 应急知识宣传教育工程</w:t>
      </w:r>
      <w:r>
        <w:rPr>
          <w:sz w:val="32"/>
          <w:szCs w:val="32"/>
        </w:rPr>
        <w:tab/>
      </w:r>
      <w:r>
        <w:rPr>
          <w:sz w:val="32"/>
          <w:szCs w:val="32"/>
        </w:rPr>
        <w:t>4</w:t>
      </w:r>
      <w:r>
        <w:rPr>
          <w:sz w:val="32"/>
          <w:szCs w:val="32"/>
        </w:rPr>
        <w:fldChar w:fldCharType="end"/>
      </w:r>
      <w:r>
        <w:rPr>
          <w:sz w:val="32"/>
          <w:szCs w:val="32"/>
        </w:rPr>
        <w:t>1</w:t>
      </w:r>
    </w:p>
    <w:p>
      <w:pPr>
        <w:pStyle w:val="10"/>
        <w:tabs>
          <w:tab w:val="right" w:leader="dot" w:pos="8844"/>
        </w:tabs>
        <w:spacing w:line="560" w:lineRule="exact"/>
      </w:pPr>
      <w:r>
        <w:fldChar w:fldCharType="begin"/>
      </w:r>
      <w:r>
        <w:instrText xml:space="preserve">Hyperlink \l "_Toc90007161"</w:instrText>
      </w:r>
      <w:r>
        <w:fldChar w:fldCharType="separate"/>
      </w:r>
      <w:r>
        <w:rPr>
          <w:rFonts w:hint="eastAsia" w:ascii="黑体" w:eastAsia="黑体"/>
        </w:rPr>
        <w:t>第五章 保障措施</w:t>
      </w:r>
      <w:r>
        <w:tab/>
      </w:r>
      <w:r>
        <w:t>4</w:t>
      </w:r>
      <w:r>
        <w:fldChar w:fldCharType="end"/>
      </w:r>
      <w:r>
        <w:t>2</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"_Toc90007162"</w:instrText>
      </w:r>
      <w:r>
        <w:rPr>
          <w:sz w:val="32"/>
          <w:szCs w:val="32"/>
        </w:rPr>
        <w:fldChar w:fldCharType="separate"/>
      </w:r>
      <w:r>
        <w:rPr>
          <w:rFonts w:ascii="Times New Roman" w:hAnsi="Times New Roman" w:eastAsia="楷体_GB2312"/>
          <w:sz w:val="32"/>
          <w:szCs w:val="32"/>
        </w:rPr>
        <w:t>第一节 加强组织领导</w:t>
      </w:r>
      <w:r>
        <w:rPr>
          <w:sz w:val="32"/>
          <w:szCs w:val="32"/>
        </w:rPr>
        <w:tab/>
      </w:r>
      <w:r>
        <w:rPr>
          <w:sz w:val="32"/>
          <w:szCs w:val="32"/>
        </w:rPr>
        <w:t>4</w:t>
      </w:r>
      <w:r>
        <w:rPr>
          <w:sz w:val="32"/>
          <w:szCs w:val="32"/>
        </w:rPr>
        <w:fldChar w:fldCharType="end"/>
      </w:r>
      <w:r>
        <w:rPr>
          <w:sz w:val="32"/>
          <w:szCs w:val="32"/>
        </w:rPr>
        <w:t>2</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"_Toc90007163"</w:instrText>
      </w:r>
      <w:r>
        <w:rPr>
          <w:sz w:val="32"/>
          <w:szCs w:val="32"/>
        </w:rPr>
        <w:fldChar w:fldCharType="separate"/>
      </w:r>
      <w:r>
        <w:rPr>
          <w:rFonts w:ascii="Times New Roman" w:hAnsi="Times New Roman" w:eastAsia="楷体_GB2312"/>
          <w:sz w:val="32"/>
          <w:szCs w:val="32"/>
        </w:rPr>
        <w:t>第二节 加大投入力度</w:t>
      </w:r>
      <w:r>
        <w:rPr>
          <w:sz w:val="32"/>
          <w:szCs w:val="32"/>
        </w:rPr>
        <w:tab/>
      </w:r>
      <w:r>
        <w:rPr>
          <w:sz w:val="32"/>
          <w:szCs w:val="32"/>
        </w:rPr>
        <w:t>4</w:t>
      </w:r>
      <w:r>
        <w:rPr>
          <w:sz w:val="32"/>
          <w:szCs w:val="32"/>
        </w:rPr>
        <w:fldChar w:fldCharType="end"/>
      </w:r>
      <w:r>
        <w:rPr>
          <w:sz w:val="32"/>
          <w:szCs w:val="32"/>
        </w:rPr>
        <w:t>2</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"_Toc90007164"</w:instrText>
      </w:r>
      <w:r>
        <w:rPr>
          <w:sz w:val="32"/>
          <w:szCs w:val="32"/>
        </w:rPr>
        <w:fldChar w:fldCharType="separate"/>
      </w:r>
      <w:r>
        <w:rPr>
          <w:rFonts w:ascii="Times New Roman" w:hAnsi="Times New Roman" w:eastAsia="楷体_GB2312"/>
          <w:sz w:val="32"/>
          <w:szCs w:val="32"/>
        </w:rPr>
        <w:t>第三节 强化措施保障</w:t>
      </w:r>
      <w:r>
        <w:rPr>
          <w:sz w:val="32"/>
          <w:szCs w:val="32"/>
        </w:rPr>
        <w:tab/>
      </w:r>
      <w:r>
        <w:rPr>
          <w:sz w:val="32"/>
          <w:szCs w:val="32"/>
        </w:rPr>
        <w:t>4</w:t>
      </w:r>
      <w:r>
        <w:rPr>
          <w:sz w:val="32"/>
          <w:szCs w:val="32"/>
        </w:rPr>
        <w:fldChar w:fldCharType="end"/>
      </w:r>
      <w:r>
        <w:rPr>
          <w:sz w:val="32"/>
          <w:szCs w:val="32"/>
        </w:rPr>
        <w:t>3</w:t>
      </w:r>
    </w:p>
    <w:p>
      <w:pPr>
        <w:pStyle w:val="11"/>
        <w:tabs>
          <w:tab w:val="right" w:leader="dot" w:pos="8844"/>
        </w:tabs>
        <w:spacing w:line="560" w:lineRule="exact"/>
        <w:rPr>
          <w:sz w:val="32"/>
          <w:szCs w:val="32"/>
        </w:rPr>
      </w:pPr>
      <w:r>
        <w:rPr>
          <w:sz w:val="32"/>
          <w:szCs w:val="32"/>
        </w:rPr>
        <w:fldChar w:fldCharType="begin"/>
      </w:r>
      <w:r>
        <w:rPr>
          <w:sz w:val="32"/>
          <w:szCs w:val="32"/>
        </w:rPr>
        <w:instrText xml:space="preserve">Hyperlink \l "_Toc90007165"</w:instrText>
      </w:r>
      <w:r>
        <w:rPr>
          <w:sz w:val="32"/>
          <w:szCs w:val="32"/>
        </w:rPr>
        <w:fldChar w:fldCharType="separate"/>
      </w:r>
      <w:r>
        <w:rPr>
          <w:rFonts w:ascii="Times New Roman" w:hAnsi="Times New Roman" w:eastAsia="楷体_GB2312"/>
          <w:sz w:val="32"/>
          <w:szCs w:val="32"/>
        </w:rPr>
        <w:t>第四节 强化贯彻落实</w:t>
      </w:r>
      <w:r>
        <w:rPr>
          <w:sz w:val="32"/>
          <w:szCs w:val="32"/>
        </w:rPr>
        <w:tab/>
      </w:r>
      <w:r>
        <w:rPr>
          <w:sz w:val="32"/>
          <w:szCs w:val="32"/>
        </w:rPr>
        <w:t>4</w:t>
      </w:r>
      <w:r>
        <w:rPr>
          <w:sz w:val="32"/>
          <w:szCs w:val="32"/>
        </w:rPr>
        <w:fldChar w:fldCharType="end"/>
      </w:r>
      <w:r>
        <w:rPr>
          <w:sz w:val="32"/>
          <w:szCs w:val="32"/>
        </w:rPr>
        <w:t>3</w:t>
      </w:r>
    </w:p>
    <w:p>
      <w:pPr>
        <w:pStyle w:val="11"/>
        <w:tabs>
          <w:tab w:val="right" w:leader="dot" w:pos="8844"/>
        </w:tabs>
        <w:spacing w:line="560" w:lineRule="exact"/>
        <w:ind w:left="0" w:firstLine="9"/>
      </w:pPr>
      <w:r>
        <w:rPr>
          <w:sz w:val="32"/>
          <w:szCs w:val="32"/>
        </w:rPr>
        <w:fldChar w:fldCharType="begin"/>
      </w:r>
      <w:r>
        <w:rPr>
          <w:sz w:val="32"/>
          <w:szCs w:val="32"/>
        </w:rPr>
        <w:instrText xml:space="preserve">Hyperlink \l "_Toc90007166"</w:instrText>
      </w:r>
      <w:r>
        <w:rPr>
          <w:sz w:val="32"/>
          <w:szCs w:val="32"/>
        </w:rPr>
        <w:fldChar w:fldCharType="separate"/>
      </w:r>
      <w:r>
        <w:rPr>
          <w:rFonts w:hint="eastAsia" w:ascii="黑体" w:eastAsia="黑体"/>
          <w:sz w:val="32"/>
          <w:szCs w:val="32"/>
        </w:rPr>
        <w:t>第六章 阿坝州“十四五”应急管理体系建设规划项目汇总表</w:t>
      </w:r>
      <w:r>
        <w:rPr>
          <w:sz w:val="32"/>
          <w:szCs w:val="32"/>
        </w:rPr>
        <w:tab/>
      </w:r>
      <w:r>
        <w:rPr>
          <w:sz w:val="32"/>
          <w:szCs w:val="32"/>
        </w:rPr>
        <w:t>4</w:t>
      </w:r>
      <w:r>
        <w:rPr>
          <w:sz w:val="32"/>
          <w:szCs w:val="32"/>
        </w:rPr>
        <w:fldChar w:fldCharType="end"/>
      </w:r>
      <w:r>
        <w:rPr>
          <w:sz w:val="32"/>
          <w:szCs w:val="32"/>
        </w:rPr>
        <w:t>5</w:t>
      </w:r>
      <w:r>
        <w:rPr>
          <w:rFonts w:ascii="Times New Roman" w:hAnsi="Times New Roman" w:eastAsia="仿宋_GB2312"/>
          <w:color w:val="000000"/>
          <w:sz w:val="32"/>
          <w:szCs w:val="32"/>
        </w:rPr>
        <w:fldChar w:fldCharType="end"/>
      </w:r>
    </w:p>
    <w:p>
      <w:pPr>
        <w:pStyle w:val="10"/>
        <w:tabs>
          <w:tab w:val="right" w:leader="dot" w:pos="8834"/>
        </w:tabs>
        <w:spacing w:after="0" w:line="560" w:lineRule="exact"/>
        <w:rPr>
          <w:rFonts w:ascii="Times New Roman" w:hAnsi="Times New Roman"/>
          <w:color w:val="000000"/>
        </w:rPr>
      </w:pPr>
      <w:r>
        <w:rPr>
          <w:rFonts w:ascii="Times New Roman" w:hAnsi="Times New Roman" w:eastAsia="仿宋_GB2312"/>
          <w:color w:val="000000"/>
          <w:kern w:val="2"/>
          <w:sz w:val="32"/>
          <w:szCs w:val="32"/>
        </w:rPr>
        <w:fldChar w:fldCharType="begin"/>
      </w:r>
      <w:r>
        <w:rPr>
          <w:rFonts w:ascii="Times New Roman" w:hAnsi="Times New Roman" w:eastAsia="仿宋_GB2312"/>
          <w:color w:val="000000"/>
          <w:kern w:val="2"/>
          <w:sz w:val="32"/>
          <w:szCs w:val="32"/>
        </w:rPr>
        <w:instrText xml:space="preserve"> TOC \o "1-3" \h \z \u </w:instrText>
      </w:r>
      <w:r>
        <w:rPr>
          <w:rFonts w:ascii="Times New Roman" w:hAnsi="Times New Roman" w:eastAsia="仿宋_GB2312"/>
          <w:color w:val="000000"/>
          <w:kern w:val="2"/>
          <w:sz w:val="32"/>
          <w:szCs w:val="32"/>
        </w:rPr>
        <w:fldChar w:fldCharType="separate"/>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fldChar w:fldCharType="end"/>
      </w:r>
    </w:p>
    <w:p>
      <w:pPr>
        <w:pStyle w:val="12"/>
        <w:spacing w:line="540" w:lineRule="exact"/>
      </w:pPr>
    </w:p>
    <w:p/>
    <w:p>
      <w:pPr>
        <w:spacing w:line="560" w:lineRule="exact"/>
        <w:ind w:firstLine="606" w:firstLineChars="200"/>
        <w:rPr>
          <w:rFonts w:ascii="Times New Roman" w:hAnsi="Times New Roman" w:eastAsia="仿宋_GB2312"/>
          <w:color w:val="000000"/>
          <w:sz w:val="32"/>
          <w:szCs w:val="28"/>
        </w:rPr>
      </w:pP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应急管理承担防范化解重大安全风险、及时应对处置各类灾害事故的重要职责，担负保护人民群众生命财产安全和维护社会稳定的重要使命。为落实党中央国务院、省委省政府、州委州政府有关应急管理工作的决策部署，推进全州应急管理事业改革发展，根据《中共四川省委关于制定四川省国民经济和社会发展第十四个五年规划和二Ο三五年远景目标的建议》《四川省国民经济和社会发展第十四个五年规划和二Ο三五年远景目标纲要》《四川省“十四五”应急体系规划》《阿坝藏族羌族自治州国民经济和社会发展第十四个五年规划和二Ο三五年远景目标纲要》等法律法规和相关文件，制定本规划。本规划主要涉及自然灾害、事故灾难两大类突发事件的防范应对。</w:t>
      </w:r>
    </w:p>
    <w:p>
      <w:pPr>
        <w:spacing w:line="560" w:lineRule="exact"/>
        <w:ind w:left="0"/>
        <w:rPr>
          <w:rFonts w:ascii="Times New Roman" w:hAnsi="Times New Roman" w:eastAsia="仿宋_GB2312"/>
          <w:color w:val="000000"/>
          <w:sz w:val="32"/>
          <w:szCs w:val="28"/>
        </w:rPr>
      </w:pPr>
    </w:p>
    <w:p>
      <w:pPr>
        <w:pStyle w:val="2"/>
        <w:spacing w:before="0" w:after="0" w:line="560" w:lineRule="exact"/>
        <w:ind w:left="0" w:firstLine="0" w:firstLineChars="0"/>
        <w:jc w:val="center"/>
        <w:rPr>
          <w:rFonts w:ascii="Times New Roman" w:hAnsi="Times New Roman" w:eastAsia="黑体"/>
          <w:b w:val="0"/>
          <w:color w:val="000000"/>
          <w:sz w:val="32"/>
        </w:rPr>
      </w:pPr>
      <w:bookmarkStart w:id="0" w:name="_Toc90007136"/>
      <w:r>
        <w:rPr>
          <w:rFonts w:ascii="Times New Roman" w:hAnsi="Times New Roman" w:eastAsia="黑体"/>
          <w:b w:val="0"/>
          <w:color w:val="000000"/>
          <w:sz w:val="32"/>
        </w:rPr>
        <w:t>第一章 规划背景</w:t>
      </w:r>
      <w:bookmarkEnd w:id="0"/>
    </w:p>
    <w:p>
      <w:pPr>
        <w:jc w:val="center"/>
      </w:pPr>
    </w:p>
    <w:p>
      <w:pPr>
        <w:pStyle w:val="3"/>
        <w:spacing w:before="0" w:after="0" w:line="560" w:lineRule="exact"/>
        <w:ind w:left="0" w:firstLine="0" w:firstLineChars="0"/>
        <w:jc w:val="center"/>
        <w:rPr>
          <w:rFonts w:ascii="Times New Roman" w:hAnsi="Times New Roman" w:eastAsia="楷体_GB2312"/>
          <w:color w:val="000000"/>
        </w:rPr>
      </w:pPr>
      <w:bookmarkStart w:id="1" w:name="_Toc90007137"/>
      <w:r>
        <w:rPr>
          <w:rFonts w:ascii="Times New Roman" w:hAnsi="Times New Roman" w:eastAsia="楷体_GB2312"/>
          <w:color w:val="000000"/>
        </w:rPr>
        <w:t>第一节 建设成效</w:t>
      </w:r>
      <w:bookmarkEnd w:id="1"/>
    </w:p>
    <w:p/>
    <w:p>
      <w:pPr>
        <w:spacing w:line="560" w:lineRule="exact"/>
        <w:ind w:firstLine="606" w:firstLineChars="200"/>
        <w:rPr>
          <w:rFonts w:ascii="Times New Roman" w:hAnsi="Times New Roman" w:eastAsia="仿宋_GB2312"/>
          <w:color w:val="000000"/>
          <w:sz w:val="32"/>
        </w:rPr>
      </w:pPr>
      <w:r>
        <w:rPr>
          <w:rFonts w:ascii="Times New Roman" w:hAnsi="Times New Roman" w:eastAsia="仿宋_GB2312"/>
          <w:color w:val="000000"/>
          <w:sz w:val="32"/>
          <w:szCs w:val="32"/>
        </w:rPr>
        <w:t>“十三五”期间，阿坝州以“强化两个管理、实现三个转变、做好四项工作、搞好五个保障、突出六个重点，建成‘拉得出、上得去、打得赢’维护人民群众生命财产安全卫队”为根本，在州委、州政府的坚强领导和各级各部门的大力支持下，主动作为，</w:t>
      </w:r>
      <w:r>
        <w:rPr>
          <w:rFonts w:ascii="Times New Roman" w:hAnsi="Times New Roman" w:eastAsia="仿宋_GB2312"/>
          <w:bCs/>
          <w:color w:val="000000"/>
          <w:sz w:val="32"/>
          <w:szCs w:val="32"/>
        </w:rPr>
        <w:t>持续开展各项专项整治行动，全州</w:t>
      </w:r>
      <w:r>
        <w:rPr>
          <w:rFonts w:ascii="Times New Roman" w:hAnsi="Times New Roman" w:eastAsia="仿宋_GB2312"/>
          <w:color w:val="000000"/>
          <w:sz w:val="32"/>
          <w:szCs w:val="32"/>
        </w:rPr>
        <w:t>安全生产形势总体平稳，防灾减灾救灾能力不断提升。</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1.机构改革工作平稳过渡。</w:t>
      </w:r>
      <w:r>
        <w:rPr>
          <w:rFonts w:ascii="Times New Roman" w:hAnsi="Times New Roman" w:eastAsia="仿宋_GB2312"/>
          <w:color w:val="000000"/>
          <w:sz w:val="32"/>
          <w:szCs w:val="32"/>
        </w:rPr>
        <w:t>州应急管理局成立以来，人员转隶和班子配备、组建基本到位。按照“先组建，后完善”的原则，积极作为，逐步明确各部门工作职责，“防”“抗”“救”“治”界线基本明晰。“十三五”时期，通过应对和处置各类突发事件，不断优化工作流程，各部门协调联动、各负其责的工作格局基本形成，州、县（市）、乡（镇）、村（社区）四级灾害预警、紧急避险、应急救援工作合力进一步增强，应急管理工作触角进一步得到延伸，为科学高效应对处置各类突发事件奠定坚实基础。不断强化效率意识、责任意识和协作意识，形成了“统一领导、综合协调、分类管理、分级负责、属地管理”为主的应急管理体制机制。</w:t>
      </w:r>
    </w:p>
    <w:p>
      <w:pPr>
        <w:spacing w:line="560" w:lineRule="exact"/>
        <w:ind w:firstLine="640"/>
        <w:rPr>
          <w:rFonts w:ascii="Times New Roman" w:hAnsi="Times New Roman" w:eastAsia="仿宋_GB2312"/>
          <w:color w:val="000000"/>
          <w:sz w:val="32"/>
        </w:rPr>
      </w:pPr>
      <w:r>
        <w:rPr>
          <w:rFonts w:ascii="Times New Roman" w:hAnsi="Times New Roman" w:eastAsia="仿宋_GB2312"/>
          <w:b/>
          <w:color w:val="000000"/>
          <w:sz w:val="32"/>
          <w:szCs w:val="32"/>
        </w:rPr>
        <w:t>2.防灾减灾水平全面提高。</w:t>
      </w:r>
      <w:r>
        <w:rPr>
          <w:rFonts w:ascii="Times New Roman" w:hAnsi="Times New Roman" w:eastAsia="仿宋_GB2312"/>
          <w:color w:val="000000"/>
          <w:sz w:val="32"/>
          <w:szCs w:val="32"/>
        </w:rPr>
        <w:t>“十三五”期间，扎实推进自然灾害防治。成立基层应急管理体系治理工作组，全力推进州、县（市）、乡（镇）、村（社区）四级“四灾”体系建设，基层防灾减灾抗灾救灾能力有所提升。汶川阿尔村滑坡、理县通化泥石流、“6·27”金川曾达乡山洪泥石流灾害等数起成功避险经验在全省推广。开展地震烈度速报与预警系统建设，有序开展预警项目技术支持与保障系统地震应急基础数据收集工作，实现重点城镇的活断层探测；州地震监测基本站、基准站土建工作基本完成，境内监测设备基本到位，建设地震监测设备75台（套）；完成“一县（市）一个前兆台”工作目标，初步具备监测州内M≥2.0级地震活动的能力。搭建震情信息快速发布平台，实现全国≥5.0级、全省≥4.0级、全州≥3.0级地震参数的快速发布。督促、指导各专项指挥部、各县（市）、各重点企业根据工作需要，适时修订完善各类应急预案，每年按计划开展应急演练。广泛宣传应急管理、安全生产相关法律法规，防灾减灾避灾知识，切实发挥基层灾害信息员、地灾监测员等的作用，努力引导全民参与风险防范和应急管理工作，营造良好工作氛围。</w:t>
      </w:r>
    </w:p>
    <w:p>
      <w:pPr>
        <w:spacing w:line="560" w:lineRule="exact"/>
        <w:ind w:firstLine="640"/>
        <w:rPr>
          <w:rFonts w:ascii="Times New Roman" w:hAnsi="Times New Roman" w:eastAsia="仿宋_GB2312"/>
          <w:color w:val="000000"/>
          <w:sz w:val="32"/>
        </w:rPr>
      </w:pPr>
      <w:r>
        <w:rPr>
          <w:rFonts w:ascii="Times New Roman" w:hAnsi="Times New Roman" w:eastAsia="仿宋_GB2312"/>
          <w:b/>
          <w:color w:val="000000"/>
          <w:sz w:val="32"/>
          <w:szCs w:val="32"/>
        </w:rPr>
        <w:t>3.安全生产基础不断夯实。</w:t>
      </w:r>
      <w:r>
        <w:rPr>
          <w:rFonts w:ascii="Times New Roman" w:hAnsi="Times New Roman" w:eastAsia="仿宋_GB2312"/>
          <w:color w:val="000000"/>
          <w:spacing w:val="-4"/>
          <w:sz w:val="32"/>
          <w:szCs w:val="32"/>
        </w:rPr>
        <w:t>“十三五”期间，全州各级各部门认真贯彻落实《安全生产法》等法律法规，制定出台《阿坝州各级党政领导干部安全生产责任实施细则》《阿坝州安全生产“三张清单”工作方案》《阿坝州安全生产领域发展改革实施意见》，以清单制管理为主线，层层落实安全生产责任，确保了各项措施落地、见效。不断加强安全生产行政执法力度，促进了企业安全生产责任落实、隐患整治、事故压降。全州持续深入开展安全生产专项整治、安全生产大检查大排查大整改、“三特”道路交通安全专项整治、危险化学品三年整治、“排险除患”“打非治违”等安全生产专项行动，安全生产秩序持续向好，安全生产基层基础进一步得到夯实。全州持续开展“安全生产月”“应急大讲堂”、安全监管能力提升培训等活动，加大安全生产宣传教育工作；利用“两联一进”群众工作全覆盖，深入开展安全生产“七进”活动；开通“阿坝州应急管理局”微信公众号，在阿坝日报、阿坝新闻网等媒体开设安全生产专栏，不断提升安全生产宣传的深度、广度。全州安全生产形势总体平稳，连续8年未发生重特大事故。</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4.应急救援能力显著加强。</w:t>
      </w:r>
      <w:r>
        <w:rPr>
          <w:rFonts w:ascii="Times New Roman" w:hAnsi="Times New Roman" w:eastAsia="仿宋_GB2312"/>
          <w:color w:val="000000"/>
          <w:sz w:val="32"/>
          <w:szCs w:val="32"/>
        </w:rPr>
        <w:t>“十三五”期间，整合州级应急救援力量，应急救援队伍初具规模。截至2020年底，全州有消防救援和森林消防2支综合救援队伍653人，政府专职消防队伍9支128人。各救援队伍坚持24小时值班制度，充分发挥“承上启下、上传下达、下情上报、联系左右、沟通内外”的重要作用。高度重视信息接报工作，多渠道收集灾害信息，并建立台账。科学分析研判灾情信息，第一时间提出处置建议供上级决策参考和相关部门做好应急准备。及时高效处置“8·8”九寨沟地震、“6·24”茂县高位垮塌、“8·20”汶川强降雨特大山洪泥石流灾害，应急救援质量大幅提升。“8·8”九寨沟地震发生48小时内，6万余名游客和务工人员得到快速大转移且无一伤亡，成为抗震救灾一大亮点；耿达龙潭电站大坝排危除险被应急管理部列为2019年应急救援十大典型案例。</w:t>
      </w:r>
    </w:p>
    <w:p>
      <w:pPr>
        <w:spacing w:line="560" w:lineRule="exact"/>
        <w:ind w:firstLine="640"/>
        <w:rPr>
          <w:rFonts w:hint="eastAsia" w:ascii="Times New Roman" w:hAnsi="Times New Roman" w:eastAsia="仿宋_GB2312"/>
          <w:color w:val="000000"/>
          <w:sz w:val="32"/>
          <w:szCs w:val="32"/>
        </w:rPr>
      </w:pPr>
      <w:r>
        <w:rPr>
          <w:rFonts w:ascii="Times New Roman" w:hAnsi="Times New Roman" w:eastAsia="仿宋_GB2312"/>
          <w:b/>
          <w:color w:val="000000"/>
          <w:sz w:val="32"/>
          <w:szCs w:val="32"/>
        </w:rPr>
        <w:t>5.应急保障能力得到提升。</w:t>
      </w:r>
      <w:r>
        <w:rPr>
          <w:rFonts w:ascii="Times New Roman" w:hAnsi="Times New Roman" w:eastAsia="仿宋_GB2312"/>
          <w:color w:val="000000"/>
          <w:sz w:val="32"/>
          <w:szCs w:val="32"/>
        </w:rPr>
        <w:t>“十三五”期间，建成救灾物资储备仓库14处〔州本级1处、县（市）储备仓库13处〕，结合全州现有救灾物资储备情况，按照集中安置基本生活标准预估测算，可满足全州2.27万人集中安置的基本生活需求。全州日常成品粮油储备，按照每人日均需求粮油标准，可满足全州常住人口82万人32.71天的基本生活需求。根据各职能部门应急救援工作需要，州级财政及时安排应急救援装备资金，为提升应急救援队伍的个人防护、监测预警、救援能力等提供保障。</w:t>
      </w:r>
    </w:p>
    <w:p>
      <w:pPr>
        <w:widowControl/>
        <w:spacing w:line="560" w:lineRule="exact"/>
        <w:jc w:val="left"/>
        <w:rPr>
          <w:rFonts w:hint="eastAsia"/>
        </w:rPr>
      </w:pPr>
    </w:p>
    <w:tbl>
      <w:tblPr>
        <w:tblStyle w:val="13"/>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37"/>
        <w:gridCol w:w="2818"/>
        <w:gridCol w:w="1268"/>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782" w:type="dxa"/>
            <w:gridSpan w:val="5"/>
            <w:tcBorders>
              <w:tl2br w:val="nil"/>
              <w:tr2bl w:val="nil"/>
            </w:tcBorders>
          </w:tcPr>
          <w:p>
            <w:pPr>
              <w:spacing w:line="280" w:lineRule="exact"/>
              <w:jc w:val="center"/>
              <w:rPr>
                <w:rFonts w:ascii="Times New Roman" w:hAnsi="Times New Roman" w:eastAsia="仿宋_GB2312"/>
                <w:b/>
                <w:bCs/>
                <w:color w:val="000000"/>
                <w:sz w:val="32"/>
              </w:rPr>
            </w:pPr>
            <w:r>
              <w:rPr>
                <w:rFonts w:ascii="Times New Roman" w:hAnsi="Times New Roman" w:eastAsia="仿宋_GB2312"/>
                <w:b/>
                <w:bCs/>
                <w:color w:val="000000"/>
                <w:sz w:val="24"/>
                <w:szCs w:val="24"/>
              </w:rPr>
              <w:t>专栏1：阿坝州“十三五”规划主要指标完成情况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00" w:type="dxa"/>
            <w:tcBorders>
              <w:tl2br w:val="nil"/>
              <w:tr2bl w:val="nil"/>
            </w:tcBorders>
            <w:vAlign w:val="center"/>
          </w:tcPr>
          <w:p>
            <w:pPr>
              <w:spacing w:line="280" w:lineRule="exact"/>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序号</w:t>
            </w:r>
          </w:p>
        </w:tc>
        <w:tc>
          <w:tcPr>
            <w:tcW w:w="2537" w:type="dxa"/>
            <w:tcBorders>
              <w:tl2br w:val="nil"/>
              <w:tr2bl w:val="nil"/>
            </w:tcBorders>
            <w:vAlign w:val="center"/>
          </w:tcPr>
          <w:p>
            <w:pPr>
              <w:spacing w:line="280" w:lineRule="exact"/>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指标名称</w:t>
            </w:r>
          </w:p>
        </w:tc>
        <w:tc>
          <w:tcPr>
            <w:tcW w:w="2818" w:type="dxa"/>
            <w:tcBorders>
              <w:tl2br w:val="nil"/>
              <w:tr2bl w:val="nil"/>
            </w:tcBorders>
            <w:vAlign w:val="center"/>
          </w:tcPr>
          <w:p>
            <w:pPr>
              <w:spacing w:line="280" w:lineRule="exact"/>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指标值</w:t>
            </w:r>
          </w:p>
        </w:tc>
        <w:tc>
          <w:tcPr>
            <w:tcW w:w="1268" w:type="dxa"/>
            <w:tcBorders>
              <w:tl2br w:val="nil"/>
              <w:tr2bl w:val="nil"/>
            </w:tcBorders>
            <w:vAlign w:val="center"/>
          </w:tcPr>
          <w:p>
            <w:pPr>
              <w:spacing w:line="280" w:lineRule="exact"/>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完成情况</w:t>
            </w:r>
          </w:p>
        </w:tc>
        <w:tc>
          <w:tcPr>
            <w:tcW w:w="1459" w:type="dxa"/>
            <w:tcBorders>
              <w:tl2br w:val="nil"/>
              <w:tr2bl w:val="nil"/>
            </w:tcBorders>
            <w:vAlign w:val="center"/>
          </w:tcPr>
          <w:p>
            <w:pPr>
              <w:spacing w:line="280" w:lineRule="exact"/>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实际指标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0"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2537"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生产安全事故起数</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“十三五”与“十二五”期间总数同口径相比下降10%</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下降61.44%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0"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2537"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kern w:val="0"/>
                <w:sz w:val="24"/>
                <w:szCs w:val="24"/>
              </w:rPr>
              <w:t>生产安全事故死亡人数</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“十三五”与“十二五”期间总数同口径相比下降10%</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0"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2537"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kern w:val="0"/>
                <w:sz w:val="24"/>
                <w:szCs w:val="24"/>
              </w:rPr>
              <w:t>较大以上生产安全事故起数</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“十三五”与“十二五”期间总数同口径相比下降15%</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00"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4</w:t>
            </w:r>
          </w:p>
        </w:tc>
        <w:tc>
          <w:tcPr>
            <w:tcW w:w="2537"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kern w:val="0"/>
                <w:sz w:val="24"/>
                <w:szCs w:val="24"/>
              </w:rPr>
              <w:t>较大以上生产安全事故死亡人数</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“十三五”与“十二五”期间总数同口径相比下降15%</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0"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5</w:t>
            </w:r>
          </w:p>
        </w:tc>
        <w:tc>
          <w:tcPr>
            <w:tcW w:w="2537" w:type="dxa"/>
            <w:tcBorders>
              <w:tl2br w:val="nil"/>
              <w:tr2bl w:val="nil"/>
            </w:tcBorders>
            <w:noWrap/>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工矿商贸就业人员十万人生产安全事故死亡率</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2020年与2015年相比下降19%</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0"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6</w:t>
            </w:r>
          </w:p>
        </w:tc>
        <w:tc>
          <w:tcPr>
            <w:tcW w:w="2537"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道路交通万车死亡率</w:t>
            </w:r>
          </w:p>
        </w:tc>
        <w:tc>
          <w:tcPr>
            <w:tcW w:w="2818" w:type="dxa"/>
            <w:tcBorders>
              <w:tl2br w:val="nil"/>
              <w:tr2bl w:val="nil"/>
            </w:tcBorders>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2020年与2015年相比下降6%</w:t>
            </w:r>
          </w:p>
        </w:tc>
        <w:tc>
          <w:tcPr>
            <w:tcW w:w="1268"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已完成</w:t>
            </w:r>
          </w:p>
        </w:tc>
        <w:tc>
          <w:tcPr>
            <w:tcW w:w="145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下降13%</w:t>
            </w:r>
          </w:p>
        </w:tc>
      </w:tr>
    </w:tbl>
    <w:p>
      <w:pPr>
        <w:pStyle w:val="3"/>
        <w:keepNext w:val="0"/>
        <w:keepLines w:val="0"/>
        <w:widowControl w:val="0"/>
        <w:spacing w:before="0" w:after="0" w:line="560" w:lineRule="exact"/>
        <w:jc w:val="center"/>
        <w:rPr>
          <w:rFonts w:ascii="Times New Roman" w:hAnsi="Times New Roman" w:eastAsia="楷体_GB2312"/>
          <w:color w:val="000000"/>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 w:name="_Toc90007138"/>
      <w:r>
        <w:rPr>
          <w:rFonts w:ascii="Times New Roman" w:hAnsi="Times New Roman" w:eastAsia="楷体_GB2312"/>
          <w:color w:val="000000"/>
        </w:rPr>
        <w:t>第二节 面临挑战</w:t>
      </w:r>
      <w:bookmarkEnd w:id="2"/>
    </w:p>
    <w:p>
      <w:pPr>
        <w:spacing w:line="560" w:lineRule="exact"/>
      </w:pP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十三五”期间，全州在应急管理体系建设、安全生产、综合防灾减灾、应急救援与保障等方面取得了较大进步。但随着我国社会主要矛盾的转化，人民群众对美好生活的向往更加强烈，对获得感、幸福感、安全感的需求更加迫切，对防范化解重大安全风险，切实做好应急救援、安全生产、防灾减灾救灾等应急管理工作的期望更高。而阿坝州</w:t>
      </w:r>
      <w:r>
        <w:rPr>
          <w:rFonts w:ascii="Times New Roman" w:hAnsi="Times New Roman" w:eastAsia="仿宋_GB2312"/>
          <w:color w:val="000000"/>
          <w:sz w:val="32"/>
          <w:szCs w:val="32"/>
        </w:rPr>
        <w:t>地形地貌和气候条件特殊复杂，地质及地震灾害频发，森林草原防灭火形势严峻，</w:t>
      </w:r>
      <w:r>
        <w:rPr>
          <w:rFonts w:ascii="Times New Roman" w:hAnsi="Times New Roman" w:eastAsia="仿宋_GB2312"/>
          <w:color w:val="000000"/>
          <w:sz w:val="32"/>
          <w:szCs w:val="28"/>
        </w:rPr>
        <w:t>各类事故隐患和安全风险交织叠加、易发多发，应急管理工作仍面临诸多挑战。</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1.应急管理体系仍需完善。</w:t>
      </w:r>
      <w:r>
        <w:rPr>
          <w:rFonts w:ascii="Times New Roman" w:hAnsi="Times New Roman" w:eastAsia="仿宋_GB2312"/>
          <w:color w:val="000000"/>
          <w:sz w:val="32"/>
          <w:szCs w:val="32"/>
        </w:rPr>
        <w:t>全州各级政府和部门之间的应急管理资源较为分散，部门之间、条块之间、军地之间的联动协作机制有待完善，应急委成员单位之间职能尚未完全厘清，职责边界还未完全明晰，各类抢险救援队伍、装备、物资等要素仍需进一步实现高效整合，重特大自然灾害抢险救援工作不同程度存在各自为阵和力量配置不均衡现象，应急管理体制机制尚需完善。基层信息员缺少专用移动通信前端、终端保障。基层乡（镇）应急专职管理人员、专业技术人员较为缺乏；村、社区数据网格员的工作质量有待提升；对基层应急工作相关人员的有效训练和激励措施尚需加强。</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pacing w:val="-4"/>
          <w:sz w:val="32"/>
          <w:szCs w:val="32"/>
        </w:rPr>
        <w:t>2.防灾减灾任务依然艰巨。</w:t>
      </w:r>
      <w:r>
        <w:rPr>
          <w:rFonts w:ascii="Times New Roman" w:hAnsi="Times New Roman" w:eastAsia="仿宋_GB2312"/>
          <w:color w:val="000000"/>
          <w:spacing w:val="-4"/>
          <w:sz w:val="32"/>
          <w:szCs w:val="32"/>
        </w:rPr>
        <w:t>州内山洪、泥石流、滑坡、雪灾、雹灾、干旱、低温冰冻等自然灾害频发多发。全州地震地质构造复杂，是全国、全省地震重点监测防御区。2008年以来，累计发生4级以上地震46次。全州13个县（市）均是地质灾害易发区，山洪灾害危险区1642个。全州有8个县（市）为森林草原防火高风险县，5个县为森林草原防火中风险县，尤其在冬春季节，森林草原火灾防控压力较大，存在易发不易救的现象。风险隐患监测防控系统还不成熟、应急数据标准和治理体系设计不够完善、发生重特大灾害后灾情现状、灾情信息、灾损数据、灾害视频等实时灾情上传渠道单一，各县（市）应急管理资源尚未形成有效信息共享、综合协同，对于实现数据汇聚、总分结合，构建全州联动的大应急数据与联动生态体系还有较大差距。应急避难场所数量不够、配套设施不齐、功能不全。现有救灾物资储备点布局、储备种类和调拨机制还不能满足应对重特大自然灾害受灾群众基本生活需求，减灾救灾任务艰巨。</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3.安全生产形势依然严峻。</w:t>
      </w:r>
      <w:r>
        <w:rPr>
          <w:rFonts w:ascii="Times New Roman" w:hAnsi="Times New Roman" w:eastAsia="仿宋_GB2312"/>
          <w:color w:val="000000"/>
          <w:sz w:val="32"/>
          <w:szCs w:val="32"/>
        </w:rPr>
        <w:t>安全生产基层基础依然脆弱，事故总量依然居高不下。随着经济社会发展，进出州的私驾车、旅游车、危险化学品过境运输车等逐年增加，道路安全基础设施又相对滞后，道路交通事故发生频率较高。同时，危险化学品、非煤矿山、工贸行业、重点项目建设、城乡消防、人员密集场所等行业领域也存在一定的安全风险。另外，全州户外旅游也时有事故发生。安全生产监管执法人员力量仍显不足，基层监察机构缺少执法所需要的车辆、取证设备、现场快速检测设备，执法监察能力有待提升。</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4.应急救援能力有待加强。</w:t>
      </w:r>
      <w:r>
        <w:rPr>
          <w:rFonts w:ascii="Times New Roman" w:hAnsi="Times New Roman" w:eastAsia="仿宋_GB2312"/>
          <w:color w:val="000000"/>
          <w:sz w:val="32"/>
          <w:szCs w:val="32"/>
        </w:rPr>
        <w:t>缺</w:t>
      </w:r>
      <w:r>
        <w:rPr>
          <w:rFonts w:ascii="Times New Roman" w:hAnsi="Times New Roman" w:eastAsia="仿宋_GB2312"/>
          <w:color w:val="000000"/>
          <w:w w:val="97"/>
          <w:sz w:val="32"/>
          <w:szCs w:val="32"/>
        </w:rPr>
        <w:t>乏事故灾害应急救援、风险排查、应急处置、勘察设计、紧急避险、灾情统计、灾害损失评估等方面的专业力量和专业技术支撑。专业应急队伍和救援装备建设基础薄弱，与处置重特大灾害需求不相适应，尤其缺乏重特大山洪泥石流救援、水上水下救援、隧道救援、地震救援、山地救援、高层火灾救援、危化品事故处置等特种装备。公众安全意识不强，应急避险与自救互救能力依然较弱，应急救援能力仍需加强</w:t>
      </w:r>
      <w:r>
        <w:rPr>
          <w:rFonts w:ascii="Times New Roman" w:hAnsi="Times New Roman" w:eastAsia="仿宋_GB2312"/>
          <w:color w:val="000000"/>
          <w:sz w:val="32"/>
          <w:szCs w:val="32"/>
        </w:rPr>
        <w:t>。</w:t>
      </w:r>
    </w:p>
    <w:p>
      <w:pPr>
        <w:spacing w:line="560" w:lineRule="exact"/>
        <w:ind w:firstLine="640"/>
        <w:rPr>
          <w:rFonts w:ascii="Times New Roman" w:hAnsi="Times New Roman" w:eastAsia="仿宋_GB2312"/>
          <w:color w:val="000000"/>
          <w:sz w:val="32"/>
          <w:szCs w:val="32"/>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3" w:name="_Toc90007139"/>
      <w:r>
        <w:rPr>
          <w:rFonts w:ascii="Times New Roman" w:hAnsi="Times New Roman" w:eastAsia="楷体_GB2312"/>
          <w:color w:val="000000"/>
        </w:rPr>
        <w:t>第三节 发展机遇</w:t>
      </w:r>
      <w:bookmarkEnd w:id="3"/>
    </w:p>
    <w:p>
      <w:pPr>
        <w:spacing w:line="560" w:lineRule="exact"/>
      </w:pP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1.党和国家高度重视。</w:t>
      </w:r>
      <w:r>
        <w:rPr>
          <w:rFonts w:ascii="Times New Roman" w:hAnsi="Times New Roman" w:eastAsia="仿宋_GB2312"/>
          <w:color w:val="000000"/>
          <w:sz w:val="32"/>
          <w:szCs w:val="32"/>
        </w:rPr>
        <w:t>以习近平同志为核心的党中央坚持以人民为中心的发展思想，坚持“人民至上、生命至上”的理念，把应急管理体系和能力现代化建设提升到国家治理的战略高度，明确应急管理是国家治理体系和治理能力的重要组成部分，赋予应急管理重要职责使命，为扎实推进“平安阿坝”建设指明了前进方向、提供了根本遵循。</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2.新发展战略带来机遇。</w:t>
      </w:r>
      <w:r>
        <w:rPr>
          <w:rFonts w:ascii="Times New Roman" w:hAnsi="Times New Roman" w:eastAsia="仿宋_GB2312"/>
          <w:color w:val="000000"/>
          <w:sz w:val="32"/>
          <w:szCs w:val="32"/>
        </w:rPr>
        <w:t>随着“一带一路”建设、新时代西部大开发、“一干多支、五区协同”等国省战略，以及阿坝州“一屏四带、全域生态”“三地共建、五业同优”“四向通道、全域拓展”等战略部署全面实施，经济稳定增长将不断为维护社会安全稳定提供更完备、更优质、更坚实的物质保障。随着产业结构不断优化，将大幅提升州内企业本质安全水平。推进新型城镇化将有利于不断完善安全基础设施，进一步增强防灾减灾抗灾能力，为加强风险源头预防管控、防范化解重大安全风险、增强抵御灾害事故韧性创造有利条件。</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3.科技发展提供有力支撑。</w:t>
      </w:r>
      <w:r>
        <w:rPr>
          <w:rFonts w:ascii="Times New Roman" w:hAnsi="Times New Roman" w:eastAsia="仿宋_GB2312"/>
          <w:color w:val="000000"/>
          <w:sz w:val="32"/>
          <w:szCs w:val="32"/>
        </w:rPr>
        <w:t>随着创新驱动发展战略深入实施，新技术、新装备、新工艺大量涌现，依托先进的科学技术手段，有力促进危险化学品、非煤矿山等安全生产领域淘汰落后工艺、技术、装备和产能。卫星通信、北斗导航、卫星遥感、航空遥感等高科技手段,有利于地质灾害、森林草原火灾等自然灾害领域开展灾害常态化监测预警、灾情态势快速感知。新型应急指挥通信、智能无人救援、轻型智能工程机械等应急装备和产品，有效提升应急救援能力。科技发展为提升风险管控、监测预警、监管执法、应急救援等能力提供了强大科技支撑。</w:t>
      </w:r>
    </w:p>
    <w:p>
      <w:pPr>
        <w:spacing w:line="560" w:lineRule="exact"/>
        <w:ind w:firstLine="640"/>
        <w:rPr>
          <w:rFonts w:ascii="Times New Roman" w:hAnsi="Times New Roman" w:eastAsia="黑体"/>
          <w:bCs/>
          <w:color w:val="000000"/>
          <w:kern w:val="44"/>
          <w:sz w:val="32"/>
          <w:szCs w:val="44"/>
        </w:rPr>
      </w:pPr>
    </w:p>
    <w:p>
      <w:pPr>
        <w:pStyle w:val="2"/>
        <w:keepNext w:val="0"/>
        <w:keepLines w:val="0"/>
        <w:widowControl w:val="0"/>
        <w:spacing w:before="0" w:after="0" w:line="560" w:lineRule="exact"/>
        <w:ind w:left="0" w:firstLine="0" w:firstLineChars="0"/>
        <w:jc w:val="center"/>
        <w:rPr>
          <w:rFonts w:ascii="Times New Roman" w:hAnsi="Times New Roman" w:eastAsia="黑体"/>
          <w:b w:val="0"/>
          <w:color w:val="000000"/>
          <w:sz w:val="32"/>
        </w:rPr>
      </w:pPr>
      <w:bookmarkStart w:id="4" w:name="_Toc90007140"/>
      <w:r>
        <w:rPr>
          <w:rFonts w:ascii="Times New Roman" w:hAnsi="Times New Roman" w:eastAsia="黑体"/>
          <w:b w:val="0"/>
          <w:color w:val="000000"/>
          <w:sz w:val="32"/>
        </w:rPr>
        <w:t>第二章 总体要求</w:t>
      </w:r>
      <w:bookmarkEnd w:id="4"/>
    </w:p>
    <w:p>
      <w:pPr>
        <w:keepNext w:val="0"/>
        <w:keepLines w:val="0"/>
        <w:pageBreakBefore w:val="0"/>
        <w:widowControl w:val="0"/>
        <w:suppressLineNumbers w:val="0"/>
        <w:suppressAutoHyphens w:val="0"/>
        <w:jc w:val="cente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5" w:name="_Toc90007141"/>
      <w:r>
        <w:rPr>
          <w:rFonts w:ascii="Times New Roman" w:hAnsi="Times New Roman" w:eastAsia="楷体_GB2312"/>
          <w:color w:val="000000"/>
        </w:rPr>
        <w:t>第一节 指导思想</w:t>
      </w:r>
      <w:bookmarkEnd w:id="5"/>
    </w:p>
    <w:p>
      <w:pPr>
        <w:keepNext w:val="0"/>
        <w:keepLines w:val="0"/>
        <w:pageBreakBefore w:val="0"/>
        <w:widowControl w:val="0"/>
        <w:suppressLineNumbers w:val="0"/>
        <w:suppressAutoHyphens w:val="0"/>
      </w:pPr>
    </w:p>
    <w:p>
      <w:pPr>
        <w:spacing w:line="560" w:lineRule="exact"/>
        <w:ind w:firstLine="606"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以习近平</w:t>
      </w:r>
      <w:r>
        <w:rPr>
          <w:rFonts w:hint="eastAsia" w:ascii="Times New Roman" w:hAnsi="Times New Roman" w:eastAsia="仿宋_GB2312"/>
          <w:color w:val="000000"/>
          <w:sz w:val="32"/>
          <w:szCs w:val="32"/>
          <w:lang w:eastAsia="zh-CN"/>
        </w:rPr>
        <w:t>新时代</w:t>
      </w:r>
      <w:bookmarkStart w:id="31" w:name="_GoBack"/>
      <w:bookmarkEnd w:id="31"/>
      <w:r>
        <w:rPr>
          <w:rFonts w:ascii="Times New Roman" w:hAnsi="Times New Roman" w:eastAsia="仿宋_GB2312"/>
          <w:color w:val="000000"/>
          <w:sz w:val="32"/>
          <w:szCs w:val="32"/>
        </w:rPr>
        <w:t>中国特色社会主义思想为指导，全面贯彻党的十九大、十九届历次全会和省委十一届七次、八</w:t>
      </w:r>
      <w:r>
        <w:rPr>
          <w:rFonts w:ascii="Times New Roman" w:hAnsi="Times New Roman" w:eastAsia="仿宋_GB2312"/>
          <w:color w:val="000000"/>
          <w:sz w:val="32"/>
          <w:szCs w:val="28"/>
        </w:rPr>
        <w:t>次、九次全会，州委九次、十次、十一次全会精神，深入学习贯彻习近平总书记关于应急管理、安全生产和防灾减灾重要论述和批示指示精神，坚持“人民至上、生命至上”，统筹发展与安全，以防范化解重大安全风险为主题，以改革创新为动力，强化指挥协调、风险感知、救援处置、监管执法、应急物资储备能力建设，提升自然灾害防御工程标准，遏制重特大安全事故，及时应对处置各类灾害事故，坚决打赢森林草原防灭火攻坚战，推进应急管</w:t>
      </w:r>
      <w:r>
        <w:rPr>
          <w:rFonts w:ascii="Times New Roman" w:hAnsi="Times New Roman" w:eastAsia="仿宋_GB2312"/>
          <w:color w:val="000000"/>
          <w:sz w:val="32"/>
          <w:szCs w:val="32"/>
        </w:rPr>
        <w:t>理体系和能力现代化，切实保障人民群众生命财产安全和社会稳定，不断增强人民群众的获得感、幸福感、安全感，实现应急管理事业高质量发展，为加快“一州两区三家园”建设，推动阿坝州经济社会高质量发展提供坚实的安全保障。</w:t>
      </w:r>
    </w:p>
    <w:p>
      <w:pPr>
        <w:spacing w:line="560" w:lineRule="exact"/>
        <w:ind w:firstLine="606" w:firstLineChars="200"/>
        <w:rPr>
          <w:rFonts w:ascii="Times New Roman" w:hAnsi="Times New Roman" w:eastAsia="仿宋_GB2312"/>
          <w:color w:val="000000"/>
          <w:sz w:val="32"/>
          <w:szCs w:val="32"/>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6" w:name="_Toc90007142"/>
      <w:r>
        <w:rPr>
          <w:rFonts w:ascii="Times New Roman" w:hAnsi="Times New Roman" w:eastAsia="楷体_GB2312"/>
          <w:color w:val="000000"/>
        </w:rPr>
        <w:t>第二节 基本原则</w:t>
      </w:r>
      <w:bookmarkEnd w:id="6"/>
    </w:p>
    <w:p>
      <w:pPr>
        <w:spacing w:line="560" w:lineRule="exact"/>
      </w:pP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1.坚持党的领导。</w:t>
      </w:r>
      <w:r>
        <w:rPr>
          <w:rFonts w:ascii="Times New Roman" w:hAnsi="Times New Roman" w:eastAsia="仿宋_GB2312"/>
          <w:color w:val="000000"/>
          <w:spacing w:val="-6"/>
          <w:sz w:val="32"/>
          <w:szCs w:val="32"/>
        </w:rPr>
        <w:t>坚持党对应急管理工作的领导，充分发挥党总揽全局、协调各方的领导核心作用，把党的政治优势、组织优势转化为发展优势，为应急管理体系和能力现代化建设凝聚力量、提供保障，维护社会和谐稳定，增强人民群众获得感、幸福感、安全感。</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2.坚持人民至上。</w:t>
      </w:r>
      <w:r>
        <w:rPr>
          <w:rFonts w:ascii="Times New Roman" w:hAnsi="Times New Roman" w:eastAsia="仿宋_GB2312"/>
          <w:color w:val="000000"/>
          <w:sz w:val="32"/>
          <w:szCs w:val="32"/>
        </w:rPr>
        <w:t>坚持以人民为中心的发展思想，把确保人民群众生命安全放在首位。牢固树立安全发展理念，始终做到发展为了人民、发展依靠人民、发展成果由人民共享，坚守安全底线，筑牢安全防线，切实维护人民群众生命财产安全，确保阿坝州经济社会高质量发展。</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3.坚持预防为主。</w:t>
      </w:r>
      <w:r>
        <w:rPr>
          <w:rFonts w:ascii="Times New Roman" w:hAnsi="Times New Roman" w:eastAsia="仿宋_GB2312"/>
          <w:color w:val="000000"/>
          <w:sz w:val="32"/>
          <w:szCs w:val="32"/>
        </w:rPr>
        <w:t>增强忧患意识，坚持关口前移，健全风险防范化解机制，强化源头管控，严格灾害事故风险调查评估、隐患排查、监测预警，筑牢防灾基础设施，创新科技手段和方法，综合运用人防、物防、技防等措施，防范化解重特大安全风险。</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4.坚持资源整合。</w:t>
      </w:r>
      <w:r>
        <w:rPr>
          <w:rFonts w:ascii="Times New Roman" w:hAnsi="Times New Roman" w:eastAsia="仿宋_GB2312"/>
          <w:color w:val="000000"/>
          <w:sz w:val="32"/>
          <w:szCs w:val="32"/>
        </w:rPr>
        <w:t>坚持群众路线，强化群测群防，创新社会治理，发挥市场作用，充分调动群众的积极性、主动性和创造性，拓展人民群众参与应急管理的有效途径，提高应急管理全链条社会化参与程度，增强社会安全意识，提升公众自救互救能力，加强区域协同、城乡协同、行业领域协同、军地协同，筑牢应急管理人民防线，打造共建共治共享的应急管理新格局。</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b/>
          <w:color w:val="000000"/>
          <w:sz w:val="32"/>
          <w:szCs w:val="32"/>
        </w:rPr>
        <w:t>5.坚持改革创新。</w:t>
      </w:r>
      <w:r>
        <w:rPr>
          <w:rFonts w:ascii="Times New Roman" w:hAnsi="Times New Roman" w:eastAsia="仿宋_GB2312"/>
          <w:color w:val="000000"/>
          <w:sz w:val="32"/>
          <w:szCs w:val="32"/>
        </w:rPr>
        <w:t>深化应急管理改革，破解制约应急管理事业发展的关键问题，推进应急管理制度创新、理论创新、科技创新、文化创新和管理创新。健全依法决策机制，完善法规制度，强化标准规范，加快推进应急管理工作的法治化、规范化、制度化，构建全覆盖、网络化、规范高效的应急管理工作新局面。</w:t>
      </w:r>
    </w:p>
    <w:p>
      <w:pPr>
        <w:spacing w:line="560" w:lineRule="exact"/>
        <w:ind w:firstLine="640"/>
        <w:rPr>
          <w:rFonts w:ascii="Times New Roman" w:hAnsi="Times New Roman" w:eastAsia="仿宋_GB2312"/>
          <w:color w:val="000000"/>
          <w:sz w:val="32"/>
          <w:szCs w:val="32"/>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7" w:name="_Toc90007143"/>
      <w:r>
        <w:rPr>
          <w:rFonts w:ascii="Times New Roman" w:hAnsi="Times New Roman" w:eastAsia="楷体_GB2312"/>
          <w:color w:val="000000"/>
        </w:rPr>
        <w:t>第三节 规划目标</w:t>
      </w:r>
      <w:bookmarkEnd w:id="7"/>
    </w:p>
    <w:p>
      <w:pPr>
        <w:spacing w:line="560" w:lineRule="exact"/>
        <w:jc w:val="center"/>
      </w:pPr>
    </w:p>
    <w:p>
      <w:pPr>
        <w:autoSpaceDE w:val="0"/>
        <w:autoSpaceDN w:val="0"/>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b/>
          <w:color w:val="000000"/>
          <w:sz w:val="32"/>
          <w:szCs w:val="32"/>
        </w:rPr>
        <w:t>总体目标。</w:t>
      </w:r>
      <w:r>
        <w:rPr>
          <w:rFonts w:ascii="Times New Roman" w:hAnsi="Times New Roman" w:eastAsia="仿宋_GB2312"/>
          <w:color w:val="000000"/>
          <w:sz w:val="32"/>
          <w:szCs w:val="28"/>
        </w:rPr>
        <w:t>以“健全应急管理体系、提升应急管理核心能力”为重点，到2025年，建成统一指挥、专常兼备、反应灵敏、平战结合、上下联动的应急管理体系，</w:t>
      </w:r>
      <w:r>
        <w:rPr>
          <w:rFonts w:ascii="Times New Roman" w:hAnsi="Times New Roman" w:eastAsia="仿宋_GB2312"/>
          <w:color w:val="000000"/>
          <w:sz w:val="32"/>
          <w:szCs w:val="32"/>
        </w:rPr>
        <w:t>全州应急管理体制机制更加健全、指挥体系更加顺畅、应急保障更加充分、应急队伍更加强大、监测预警更加精准、应急响应更加快速，</w:t>
      </w:r>
      <w:r>
        <w:rPr>
          <w:rFonts w:ascii="Times New Roman" w:hAnsi="Times New Roman" w:eastAsia="仿宋_GB2312"/>
          <w:color w:val="000000"/>
          <w:sz w:val="32"/>
          <w:szCs w:val="28"/>
        </w:rPr>
        <w:t>应急综合管理能力全面加强、安全生产体系进一步完善、森林草原防灭火与综合防灾减灾救灾能力进一步提升。</w:t>
      </w:r>
    </w:p>
    <w:p>
      <w:pPr>
        <w:pStyle w:val="12"/>
        <w:spacing w:line="540" w:lineRule="exact"/>
        <w:ind w:firstLine="386" w:firstLineChars="200"/>
      </w:pPr>
    </w:p>
    <w:tbl>
      <w:tblPr>
        <w:tblStyle w:val="13"/>
        <w:tblW w:w="8692"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066"/>
        <w:gridCol w:w="330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682" w:type="dxa"/>
            <w:gridSpan w:val="4"/>
            <w:tcBorders>
              <w:tl2br w:val="nil"/>
              <w:tr2bl w:val="nil"/>
            </w:tcBorders>
          </w:tcPr>
          <w:p>
            <w:pPr>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专栏2：阿坝州“十四五”应急管理体系规划主要指标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1" w:type="dxa"/>
            <w:tcBorders>
              <w:tl2br w:val="nil"/>
              <w:tr2bl w:val="nil"/>
            </w:tcBorders>
          </w:tcPr>
          <w:p>
            <w:pPr>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序号</w:t>
            </w:r>
          </w:p>
        </w:tc>
        <w:tc>
          <w:tcPr>
            <w:tcW w:w="3062" w:type="dxa"/>
            <w:tcBorders>
              <w:tl2br w:val="nil"/>
              <w:tr2bl w:val="nil"/>
            </w:tcBorders>
          </w:tcPr>
          <w:p>
            <w:pPr>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指标名称</w:t>
            </w:r>
          </w:p>
        </w:tc>
        <w:tc>
          <w:tcPr>
            <w:tcW w:w="3302" w:type="dxa"/>
            <w:tcBorders>
              <w:tl2br w:val="nil"/>
              <w:tr2bl w:val="nil"/>
            </w:tcBorders>
          </w:tcPr>
          <w:p>
            <w:pPr>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预期值</w:t>
            </w:r>
          </w:p>
        </w:tc>
        <w:tc>
          <w:tcPr>
            <w:tcW w:w="1377" w:type="dxa"/>
            <w:tcBorders>
              <w:tl2br w:val="nil"/>
              <w:tr2bl w:val="nil"/>
            </w:tcBorders>
          </w:tcPr>
          <w:p>
            <w:pPr>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年均因自然灾害直接经济损失占全州生产总值比例</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年均每百万人口因自然灾害死亡率</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年均每十万人受灾人次</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＜15000</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4</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生产安全事故死亡人数</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同口径下降15%</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5</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单位全州生产总值安全事故死亡率</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同口径下降33%</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41"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w:t>
            </w:r>
          </w:p>
        </w:tc>
        <w:tc>
          <w:tcPr>
            <w:tcW w:w="3062"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工矿商贸就业人员十万人生产安全事故死亡率</w:t>
            </w:r>
          </w:p>
        </w:tc>
        <w:tc>
          <w:tcPr>
            <w:tcW w:w="3302"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同口径下降10%</w:t>
            </w:r>
          </w:p>
        </w:tc>
        <w:tc>
          <w:tcPr>
            <w:tcW w:w="1377" w:type="dxa"/>
            <w:tcBorders>
              <w:tl2br w:val="nil"/>
              <w:tr2bl w:val="nil"/>
            </w:tcBorders>
            <w:vAlign w:val="center"/>
          </w:tcPr>
          <w:p>
            <w:pPr>
              <w:spacing w:line="28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约束性</w:t>
            </w:r>
          </w:p>
        </w:tc>
      </w:tr>
    </w:tbl>
    <w:p>
      <w:pPr>
        <w:autoSpaceDE w:val="0"/>
        <w:autoSpaceDN w:val="0"/>
        <w:spacing w:line="560" w:lineRule="exact"/>
        <w:ind w:firstLine="606"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分类目标。</w:t>
      </w: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b/>
          <w:bCs/>
          <w:color w:val="000000"/>
          <w:sz w:val="32"/>
          <w:szCs w:val="28"/>
        </w:rPr>
        <w:t>1</w:t>
      </w:r>
      <w:r>
        <w:rPr>
          <w:rFonts w:ascii="Times New Roman" w:hAnsi="Times New Roman" w:eastAsia="仿宋_GB2312"/>
          <w:b/>
          <w:color w:val="000000"/>
          <w:sz w:val="32"/>
          <w:szCs w:val="32"/>
        </w:rPr>
        <w:t>.</w:t>
      </w:r>
      <w:r>
        <w:rPr>
          <w:rFonts w:ascii="Times New Roman" w:hAnsi="Times New Roman" w:eastAsia="仿宋_GB2312"/>
          <w:b/>
          <w:bCs/>
          <w:color w:val="000000"/>
          <w:sz w:val="32"/>
          <w:szCs w:val="28"/>
        </w:rPr>
        <w:t>应急管理体系建设目标。</w:t>
      </w:r>
      <w:r>
        <w:rPr>
          <w:rFonts w:ascii="Times New Roman" w:hAnsi="Times New Roman" w:eastAsia="仿宋_GB2312"/>
          <w:color w:val="000000"/>
          <w:sz w:val="32"/>
          <w:szCs w:val="28"/>
        </w:rPr>
        <w:t>健全应急指挥体系、应急预案体系、应急力量体系和应急保障体系，基本建立标准化、精细化的风险管理流程规范和协同高效的应急处置流程规范。应急管理人才队伍结构合理、素质优良，州、县（市）应急管理机构专业人才占比超过60%。县级以上应急管理部门综合行政执法装备达标率达到100%。</w:t>
      </w: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b/>
          <w:bCs/>
          <w:color w:val="000000"/>
          <w:sz w:val="32"/>
          <w:szCs w:val="28"/>
        </w:rPr>
        <w:t>2</w:t>
      </w:r>
      <w:r>
        <w:rPr>
          <w:rFonts w:ascii="Times New Roman" w:hAnsi="Times New Roman" w:eastAsia="仿宋_GB2312"/>
          <w:b/>
          <w:color w:val="000000"/>
          <w:sz w:val="32"/>
          <w:szCs w:val="32"/>
        </w:rPr>
        <w:t>.</w:t>
      </w:r>
      <w:r>
        <w:rPr>
          <w:rFonts w:ascii="Times New Roman" w:hAnsi="Times New Roman" w:eastAsia="仿宋_GB2312"/>
          <w:b/>
          <w:bCs/>
          <w:color w:val="000000"/>
          <w:sz w:val="32"/>
          <w:szCs w:val="28"/>
        </w:rPr>
        <w:t>安全生产体系建设目标。</w:t>
      </w:r>
      <w:r>
        <w:rPr>
          <w:rFonts w:ascii="Times New Roman" w:hAnsi="Times New Roman" w:eastAsia="仿宋_GB2312"/>
          <w:bCs/>
          <w:color w:val="000000"/>
          <w:sz w:val="32"/>
          <w:szCs w:val="28"/>
        </w:rPr>
        <w:t>安全风险分级管控和隐患排查治理</w:t>
      </w:r>
      <w:r>
        <w:rPr>
          <w:rFonts w:ascii="Times New Roman" w:hAnsi="Times New Roman" w:eastAsia="仿宋_GB2312"/>
          <w:color w:val="000000"/>
          <w:sz w:val="32"/>
          <w:szCs w:val="28"/>
        </w:rPr>
        <w:t>双重预防</w:t>
      </w:r>
      <w:r>
        <w:rPr>
          <w:rFonts w:ascii="Times New Roman" w:hAnsi="Times New Roman" w:eastAsia="仿宋_GB2312"/>
          <w:bCs/>
          <w:color w:val="000000"/>
          <w:sz w:val="32"/>
          <w:szCs w:val="28"/>
        </w:rPr>
        <w:t>机制更加完善</w:t>
      </w:r>
      <w:r>
        <w:rPr>
          <w:rFonts w:ascii="Times New Roman" w:hAnsi="Times New Roman" w:eastAsia="仿宋_GB2312"/>
          <w:color w:val="000000"/>
          <w:sz w:val="32"/>
          <w:szCs w:val="28"/>
        </w:rPr>
        <w:t>，安全生产责任制有效落实，企业本质安全水平不断提升。重点行业领域、非传统高危行业和新兴行业的安全风险明显降低，道路交通、建筑施工等重点行业领域事故发生率显著下降。</w:t>
      </w:r>
      <w:r>
        <w:rPr>
          <w:rFonts w:ascii="Times New Roman" w:hAnsi="Times New Roman" w:eastAsia="仿宋_GB2312"/>
          <w:bCs/>
          <w:color w:val="000000"/>
          <w:sz w:val="32"/>
          <w:szCs w:val="28"/>
        </w:rPr>
        <w:t>重点行业规模以上企业新增从业人员安全技能培训率达到100%。</w:t>
      </w: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b/>
          <w:bCs/>
          <w:color w:val="000000"/>
          <w:sz w:val="32"/>
          <w:szCs w:val="28"/>
        </w:rPr>
        <w:t>3</w:t>
      </w:r>
      <w:r>
        <w:rPr>
          <w:rFonts w:ascii="Times New Roman" w:hAnsi="Times New Roman" w:eastAsia="仿宋_GB2312"/>
          <w:b/>
          <w:color w:val="000000"/>
          <w:sz w:val="32"/>
          <w:szCs w:val="32"/>
        </w:rPr>
        <w:t>.</w:t>
      </w:r>
      <w:r>
        <w:rPr>
          <w:rFonts w:ascii="Times New Roman" w:hAnsi="Times New Roman" w:eastAsia="仿宋_GB2312"/>
          <w:b/>
          <w:bCs/>
          <w:color w:val="000000"/>
          <w:sz w:val="32"/>
          <w:szCs w:val="28"/>
        </w:rPr>
        <w:t>综合防灾减灾体系建设目标。</w:t>
      </w:r>
      <w:r>
        <w:rPr>
          <w:rFonts w:ascii="Times New Roman" w:hAnsi="Times New Roman" w:eastAsia="仿宋_GB2312"/>
          <w:color w:val="000000"/>
          <w:sz w:val="32"/>
          <w:szCs w:val="28"/>
        </w:rPr>
        <w:t>灾害监测</w:t>
      </w:r>
      <w:r>
        <w:rPr>
          <w:rFonts w:ascii="Times New Roman" w:hAnsi="Times New Roman" w:eastAsia="仿宋_GB2312"/>
          <w:bCs/>
          <w:color w:val="000000"/>
          <w:sz w:val="32"/>
          <w:szCs w:val="28"/>
        </w:rPr>
        <w:t>预报预警能力显著增强，</w:t>
      </w:r>
      <w:r>
        <w:rPr>
          <w:rFonts w:ascii="Times New Roman" w:hAnsi="Times New Roman" w:eastAsia="仿宋_GB2312"/>
          <w:color w:val="000000"/>
          <w:sz w:val="32"/>
          <w:szCs w:val="28"/>
        </w:rPr>
        <w:t>信息发布机制进一步完善，灾害预警信息发布公众覆盖率达到90%。</w:t>
      </w:r>
      <w:r>
        <w:rPr>
          <w:rFonts w:ascii="Times New Roman" w:hAnsi="Times New Roman" w:eastAsia="仿宋_GB2312"/>
          <w:bCs/>
          <w:color w:val="000000"/>
          <w:sz w:val="32"/>
          <w:szCs w:val="28"/>
        </w:rPr>
        <w:t>城乡基础设施防灾能力大幅提高，</w:t>
      </w:r>
      <w:r>
        <w:rPr>
          <w:rFonts w:ascii="Times New Roman" w:hAnsi="Times New Roman" w:eastAsia="仿宋_GB2312"/>
          <w:color w:val="000000"/>
          <w:sz w:val="32"/>
          <w:szCs w:val="28"/>
        </w:rPr>
        <w:t>社会公众应急意识和自救互救能力显著增强，基本建成政府主导、多元联动、协同配合、有序参与的防灾减灾新格局。统筹开展</w:t>
      </w:r>
      <w:r>
        <w:rPr>
          <w:rFonts w:ascii="Times New Roman" w:hAnsi="Times New Roman" w:eastAsia="仿宋_GB2312"/>
          <w:bCs/>
          <w:color w:val="000000"/>
          <w:sz w:val="32"/>
          <w:szCs w:val="28"/>
        </w:rPr>
        <w:t>安全发展示范城市、综合减灾示范县、</w:t>
      </w:r>
      <w:r>
        <w:rPr>
          <w:rFonts w:ascii="Times New Roman" w:hAnsi="Times New Roman" w:eastAsia="仿宋_GB2312"/>
          <w:color w:val="000000"/>
          <w:sz w:val="32"/>
          <w:szCs w:val="28"/>
        </w:rPr>
        <w:t>综合减灾示范社区建设。自然灾害应急救助体系进一步完善，灾害事故发生后12小时内受灾人员基本生活得到有效救助。</w:t>
      </w:r>
    </w:p>
    <w:p>
      <w:pPr>
        <w:spacing w:line="560" w:lineRule="exact"/>
        <w:ind w:firstLine="606" w:firstLineChars="200"/>
        <w:rPr>
          <w:rFonts w:ascii="Times New Roman" w:hAnsi="Times New Roman" w:eastAsia="仿宋_GB2312"/>
          <w:color w:val="000000"/>
          <w:sz w:val="32"/>
          <w:szCs w:val="28"/>
        </w:rPr>
      </w:pPr>
      <w:r>
        <w:rPr>
          <w:rFonts w:ascii="Times New Roman" w:hAnsi="Times New Roman" w:eastAsia="仿宋_GB2312"/>
          <w:b/>
          <w:bCs/>
          <w:color w:val="000000"/>
          <w:sz w:val="32"/>
          <w:szCs w:val="28"/>
        </w:rPr>
        <w:t>4</w:t>
      </w:r>
      <w:r>
        <w:rPr>
          <w:rFonts w:ascii="Times New Roman" w:hAnsi="Times New Roman" w:eastAsia="仿宋_GB2312"/>
          <w:b/>
          <w:color w:val="000000"/>
          <w:sz w:val="32"/>
          <w:szCs w:val="32"/>
        </w:rPr>
        <w:t>.</w:t>
      </w:r>
      <w:r>
        <w:rPr>
          <w:rFonts w:ascii="Times New Roman" w:hAnsi="Times New Roman" w:eastAsia="仿宋_GB2312"/>
          <w:b/>
          <w:bCs/>
          <w:color w:val="000000"/>
          <w:sz w:val="32"/>
          <w:szCs w:val="28"/>
        </w:rPr>
        <w:t>综合应急管理能力建设目标。</w:t>
      </w:r>
      <w:r>
        <w:rPr>
          <w:rFonts w:ascii="Times New Roman" w:hAnsi="Times New Roman" w:eastAsia="仿宋_GB2312"/>
          <w:color w:val="000000"/>
          <w:sz w:val="32"/>
          <w:szCs w:val="28"/>
        </w:rPr>
        <w:t>风险监测预警、应急处置、社会动员和舆情引导、恢复重建能力得到全面提升。综合应急救援队伍能力显著提高，专业应急救援队伍体系更加完善，社会应急力量进一步壮大。航空应急救援体系基本形成，航空应急力量基本实现3小时内到达重大灾害事故风险地域。应急准备、物资储备、紧急运输、应急通信、灾后救助等保障能力全面提高。</w:t>
      </w:r>
    </w:p>
    <w:p>
      <w:pPr>
        <w:spacing w:line="560" w:lineRule="exact"/>
        <w:ind w:firstLine="606" w:firstLineChars="200"/>
        <w:rPr>
          <w:rFonts w:ascii="Times New Roman" w:hAnsi="Times New Roman" w:eastAsia="仿宋_GB2312"/>
          <w:color w:val="000000"/>
          <w:sz w:val="32"/>
          <w:szCs w:val="28"/>
        </w:rPr>
      </w:pPr>
    </w:p>
    <w:p>
      <w:pPr>
        <w:pStyle w:val="2"/>
        <w:keepNext w:val="0"/>
        <w:keepLines w:val="0"/>
        <w:widowControl w:val="0"/>
        <w:spacing w:before="0" w:after="0" w:line="560" w:lineRule="exact"/>
        <w:ind w:left="0" w:firstLine="0" w:firstLineChars="0"/>
        <w:jc w:val="center"/>
        <w:rPr>
          <w:rFonts w:ascii="Times New Roman" w:hAnsi="Times New Roman" w:eastAsia="黑体"/>
          <w:b w:val="0"/>
          <w:color w:val="000000"/>
          <w:sz w:val="32"/>
        </w:rPr>
      </w:pPr>
      <w:bookmarkStart w:id="8" w:name="_Toc90007144"/>
      <w:r>
        <w:rPr>
          <w:rFonts w:ascii="Times New Roman" w:hAnsi="Times New Roman" w:eastAsia="黑体"/>
          <w:b w:val="0"/>
          <w:color w:val="000000"/>
          <w:sz w:val="32"/>
        </w:rPr>
        <w:t>第三章 主要任务</w:t>
      </w:r>
      <w:bookmarkEnd w:id="8"/>
    </w:p>
    <w:p>
      <w:pPr>
        <w:spacing w:line="560" w:lineRule="exact"/>
        <w:jc w:val="cente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9" w:name="_Toc90007145"/>
      <w:r>
        <w:rPr>
          <w:rFonts w:ascii="Times New Roman" w:hAnsi="Times New Roman" w:eastAsia="楷体_GB2312"/>
          <w:color w:val="000000"/>
        </w:rPr>
        <w:t>第一节 深化体制机制改革，提升应急管理能力</w:t>
      </w:r>
      <w:bookmarkEnd w:id="9"/>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1.健全应急管理组织体系。</w:t>
      </w:r>
      <w:r>
        <w:rPr>
          <w:rFonts w:ascii="Times New Roman" w:hAnsi="Times New Roman" w:eastAsia="仿宋_GB2312"/>
          <w:color w:val="000000"/>
          <w:sz w:val="32"/>
          <w:szCs w:val="28"/>
        </w:rPr>
        <w:t>加强应急管理组织体系建设，进一步细化各级政府应急管理工作机构定位。优化应急管理体制机制，提高应急管理机构的权威性、统筹性和协调性。落实应急管理属地责任，推进防灾减灾救灾一体化。建立集约高效的基层应急管理机制，形成以政府力量为主，社区、社会组织、公民个人协同参与的基层应急管理体系。推进整合应急委员会、减灾委员会、安全生产委员会工作职能，理顺“三委”与防汛抗旱指挥部、森林草原防灭火指挥部、抗震救灾指挥部等18个指挥部之间的职能关系，健全应急管理组织机构，提升统一指挥和协调处置水平。健全应急管理网络，推进州、县（市）、乡（镇）应急管理机构建设，细化强化职能职责，全面落实基层应急管理人员配备。将应急管理纳入村（社区）等基层群众组织管理的重要内容，落实工作职责。</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2.深化应急管理责任体系。</w:t>
      </w:r>
      <w:r>
        <w:rPr>
          <w:rFonts w:ascii="Times New Roman" w:hAnsi="Times New Roman" w:eastAsia="仿宋_GB2312"/>
          <w:color w:val="000000"/>
          <w:sz w:val="32"/>
          <w:szCs w:val="28"/>
        </w:rPr>
        <w:t>强化党委政府领导责任，进一步落实应急管理部门与相关行业部门的职责，完善应急管理责任清单，将应急管理责任压实。进一步明确机构改革后安全生产、自然灾害防治、公共卫生防疫、社会公共安全职责划分，充分发挥应急管理部门综合优势和行业部门专业优势，无缝衔接“防”“抗”“救”“治”的责任链条，形成整体合力。做好乡（镇）行政区划和村级建制调整改革“后半篇”文章，加快完善基层应急管理职责清单，健全应急管理责任体系，不断夯实应急管理基层基础。落实企业主体责任，深化全员安全生产责任制。严格执行应急管理和安全生产责任追究制，推行安全生产责任清单制，强化企业本质安全责任。</w:t>
      </w:r>
    </w:p>
    <w:p>
      <w:pPr>
        <w:spacing w:line="560" w:lineRule="exact"/>
        <w:ind w:firstLine="640"/>
        <w:rPr>
          <w:rFonts w:ascii="Times New Roman" w:hAnsi="Times New Roman" w:eastAsia="仿宋_GB2312"/>
          <w:color w:val="000000"/>
          <w:spacing w:val="-6"/>
          <w:sz w:val="32"/>
          <w:szCs w:val="28"/>
        </w:rPr>
      </w:pPr>
      <w:r>
        <w:rPr>
          <w:rFonts w:ascii="Times New Roman" w:hAnsi="Times New Roman" w:eastAsia="仿宋_GB2312"/>
          <w:b/>
          <w:color w:val="000000"/>
          <w:sz w:val="32"/>
          <w:szCs w:val="32"/>
        </w:rPr>
        <w:t>3.理顺应急指挥运行机制。</w:t>
      </w:r>
      <w:r>
        <w:rPr>
          <w:rFonts w:ascii="Times New Roman" w:hAnsi="Times New Roman" w:eastAsia="仿宋_GB2312"/>
          <w:color w:val="000000"/>
          <w:sz w:val="32"/>
          <w:szCs w:val="28"/>
        </w:rPr>
        <w:t>健</w:t>
      </w:r>
      <w:r>
        <w:rPr>
          <w:rFonts w:ascii="Times New Roman" w:hAnsi="Times New Roman" w:eastAsia="仿宋_GB2312"/>
          <w:color w:val="000000"/>
          <w:w w:val="97"/>
          <w:sz w:val="32"/>
          <w:szCs w:val="28"/>
        </w:rPr>
        <w:t>全分级响应机制，完善相关议事协调机构议事规则，制定全州应急响应工作规程，明确应急响应层次与响应级别，细化分级响应程序；建立州、县（市）党委政府领导下的应急指挥部，加强对地方应急处置工作的指导，落实突发事件应急处置属地责任。健全州、县（市）、乡（镇）上下贯通</w:t>
      </w:r>
      <w:r>
        <w:rPr>
          <w:rFonts w:ascii="Times New Roman" w:hAnsi="Times New Roman" w:eastAsia="仿宋_GB2312"/>
          <w:color w:val="000000"/>
          <w:spacing w:val="-6"/>
          <w:w w:val="97"/>
          <w:sz w:val="32"/>
          <w:szCs w:val="28"/>
        </w:rPr>
        <w:t>应急响应机制，实现应急响应科学高效，上下级响应无缝对接。构建针对安全生产、重大自然灾害等应急组织保障和协同运行机制，细化相关部门在风险隐患防范治理和突发事件应对处置方面的工作职责，构建跨部门、跨区域联动机制，推动建立军地紧密合作的抢险救灾协调机制以及联合指挥平台。建全会商研判机制，制订各类灾害事故会商研判制度，明确牵头部门，定期组织风险和形势分析预判，制定防范措施并督促落实到位，扎实做好重点时段、重点领域、重点区域的预测预判以及先期防范处置工作</w:t>
      </w:r>
      <w:r>
        <w:rPr>
          <w:rFonts w:ascii="Times New Roman" w:hAnsi="Times New Roman" w:eastAsia="仿宋_GB2312"/>
          <w:color w:val="000000"/>
          <w:spacing w:val="-6"/>
          <w:sz w:val="32"/>
          <w:szCs w:val="28"/>
        </w:rPr>
        <w:t>。</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pacing w:val="-4"/>
          <w:sz w:val="32"/>
          <w:szCs w:val="32"/>
        </w:rPr>
        <w:t>4.加强应急预案体系建设。</w:t>
      </w:r>
      <w:r>
        <w:rPr>
          <w:rFonts w:ascii="Times New Roman" w:hAnsi="Times New Roman" w:eastAsia="仿宋_GB2312"/>
          <w:color w:val="000000"/>
          <w:spacing w:val="-4"/>
          <w:sz w:val="32"/>
          <w:szCs w:val="28"/>
        </w:rPr>
        <w:t>制定应急预案编制工作规划，完善州、县（市）、乡（镇）总体应急预案，修订完善专项预案。建立以总体预案为统揽、专项预案为支撑、部门预案为补充，覆盖横向到边、纵向到底的应急预案体系。加强基层应急预案编制，完善现场处置方案，编制重大群体性活动专项应急预案。建立应急预案定期评估制度，着力提升预案的针对性、实用性。统筹做好上下级、同级、政府与企业之间等应急预案衔接工作。加强应急预案评审、备案等流程管理。以实战演练、综合应急演练、桌面推演的方式检验预案的科学性、可操作性和实用性。推进应急预案数字化管理，通过数字化应急预案平台，将“文本化”“电子化”的应急预案转化为“实践化”“模型化”“流程化”的应急预案，对各类突发事件的应对做好充分准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5.强化应急管理法治体系。</w:t>
      </w:r>
      <w:r>
        <w:rPr>
          <w:rFonts w:ascii="Times New Roman" w:hAnsi="Times New Roman" w:eastAsia="仿宋_GB2312"/>
          <w:color w:val="000000"/>
          <w:sz w:val="32"/>
          <w:szCs w:val="28"/>
        </w:rPr>
        <w:t>提高应急管理法治化、规范化水平。严格按照国家、省相关法律法规要求，加强配套制度建设。完善干部职工学法普法制度，常态化开展法治培训，提高法治素养和依法履职能力。落实“谁执法、谁普法”普法责任制。推进应急管理综合行政执法改革，组建应急管理综合行政执法队伍。健全州、县（市）应急管理综合执法机构，配齐配强专职监管执法人员，合理划分应急管理执法权责，明确执法范围、执法重点，实施分级分类执法。完善行政执法与刑事司法衔接工作制度。强化应急管理执法监督，严格落实行政执法公示制度、执法全过程记录制度、重大执法决定法制审核制度。完善行政权力“放管服”制度，调整完善行政权力清单、责任清单和公共服务事项清单。</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0" w:name="_Toc90007146"/>
      <w:r>
        <w:rPr>
          <w:rFonts w:ascii="Times New Roman" w:hAnsi="Times New Roman" w:eastAsia="楷体_GB2312"/>
          <w:color w:val="000000"/>
        </w:rPr>
        <w:t>第二节 健全防灾减灾体系，提升防灾抗灾能力</w:t>
      </w:r>
      <w:bookmarkEnd w:id="10"/>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1.开展自然灾害综合风险普查。</w:t>
      </w:r>
      <w:r>
        <w:rPr>
          <w:rFonts w:ascii="Times New Roman" w:hAnsi="Times New Roman" w:eastAsia="仿宋_GB2312"/>
          <w:color w:val="000000"/>
          <w:sz w:val="32"/>
          <w:szCs w:val="28"/>
        </w:rPr>
        <w:t>开展第一次全国自然灾害综合风险普查，全面获取主要灾害致灾信息、承灾体信息、历史灾害信息，摸清灾害风险隐患底数，查明重点区域抗灾能力，建立分类型、分区域的自然灾害综合风险与减灾能力数据库。对地震灾害、地质灾害、气象灾害、水旱灾害、森林和草原火灾等自然灾害类型，开展主要灾害风险评估和综合风险评估，编制州、县（市）两级自然灾害系列风险图；修订主要灾种区划，编制州、县（市）两级综合风险区划和灾害综合防治区划。</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2.推动自然灾害风险隐患治理。</w:t>
      </w:r>
      <w:r>
        <w:rPr>
          <w:rFonts w:ascii="Times New Roman" w:hAnsi="Times New Roman" w:eastAsia="仿宋_GB2312"/>
          <w:color w:val="000000"/>
          <w:sz w:val="32"/>
          <w:szCs w:val="28"/>
        </w:rPr>
        <w:t>强化防灾减灾关口前移，加快推进自然灾害风险预防与治理。做好地质灾害、洪涝灾害、气象灾害等自然灾害防范应对工作。强化灾害易发区生态环境综合治理，加强中小河流域治理和病险水库除险加固，加大地质灾害防灾避险搬迁安置和工程治理力度。高标准建设黄河、大渡河、岷江等重要干支流防洪工程建设。加强海绵城市和城市排水防涝设施建设，推进雨污分流改造，提升城市低洼地段、排水防涝主出口等薄弱环节蓄排能力，提高城市洪涝灾害防御水平。加大城乡防灾减灾基础设施投入，完善避险广场、撤退通道、城镇疏散场地等应急避难、防灾减灾设施，全面提高城乡安全保障水平。</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3.加强防震减灾现代化建设。</w:t>
      </w:r>
      <w:r>
        <w:rPr>
          <w:rFonts w:ascii="Times New Roman" w:hAnsi="Times New Roman" w:eastAsia="仿宋_GB2312"/>
          <w:color w:val="000000"/>
          <w:sz w:val="32"/>
          <w:szCs w:val="28"/>
        </w:rPr>
        <w:t>加强震情监视跟踪，增强重点区域地震安全风险监测能力和地震烈度速报与预警能力，实施新建或加密预警、烈度监测、前兆观测、地震测震台、地震宏观观测点和流动测震台项目，推进地震监测站网自动化和智能化建设，提高地震监测台网的现代化水平。全面落实抗震设防要求，加强重大建设工程抗震设防要求的事中事后全链条监管机制。实施地震灾害风险调查和重点隐患排查工程，加强对地震灾害易发区居民小区、学校校舍、医院、重要交通线、水库大坝等设施抗震加固。深入推进防震减灾依法行政，加强地震监测设施和地震观测环境的保护、建设工程抗震设防监管等重点领域行政执法。用好映秀“5</w:t>
      </w:r>
      <w:r>
        <w:rPr>
          <w:rFonts w:ascii="Times New Roman" w:hAnsi="Times New Roman" w:eastAsia="微软雅黑"/>
          <w:color w:val="000000"/>
          <w:sz w:val="32"/>
          <w:szCs w:val="28"/>
        </w:rPr>
        <w:t>·</w:t>
      </w:r>
      <w:r>
        <w:rPr>
          <w:rFonts w:ascii="Times New Roman" w:hAnsi="Times New Roman" w:eastAsia="仿宋_GB2312"/>
          <w:color w:val="000000"/>
          <w:sz w:val="32"/>
          <w:szCs w:val="28"/>
        </w:rPr>
        <w:t>12”汶川地震遗址等宣传教育基地，推进防震减灾文化建设，增强公众灾害意识及防灾避灾意识。</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4.提升森林草原防灭火能力。</w:t>
      </w:r>
      <w:r>
        <w:rPr>
          <w:rFonts w:ascii="Times New Roman" w:hAnsi="Times New Roman" w:eastAsia="仿宋_GB2312"/>
          <w:color w:val="000000"/>
          <w:sz w:val="32"/>
          <w:szCs w:val="28"/>
        </w:rPr>
        <w:t>健全科学高效的森林草原火灾预防体系、快速反应的扑救体系和统一高效的防灭火指挥体系，科学编制森林草原火灾应急预案，建立安全高效、规范有序的森林草原火灾处置机制。落实森林草原防灭火末端发力终端见效工作机制，积极探索护林联防新机制，构建森林草原防灭火基层防控体系。加大森林防火宣传教育和监督执法力度。建设阿坝州森林草原防灭火预警监测与指挥调度信息化平台，大力推广无人机巡护、野外林火视频监控系统、航空消防等技防建设；着力推进</w:t>
      </w:r>
      <w:r>
        <w:rPr>
          <w:rFonts w:hint="eastAsia" w:ascii="仿宋_GB2312" w:hAnsi="仿宋_GB2312" w:eastAsia="微软雅黑"/>
          <w:color w:val="000000"/>
          <w:sz w:val="32"/>
          <w:szCs w:val="28"/>
        </w:rPr>
        <w:t>瞭</w:t>
      </w:r>
      <w:r>
        <w:rPr>
          <w:rFonts w:ascii="Times New Roman" w:hAnsi="Times New Roman" w:eastAsia="仿宋_GB2312"/>
          <w:color w:val="000000"/>
          <w:sz w:val="32"/>
          <w:szCs w:val="28"/>
        </w:rPr>
        <w:t>望塔、防火道路、专业队伍营房、停机坪、取水点、蓄水池等基础设施建设工作。加强森林草原巡防火员队伍建设，构建“巡山护林员（人防）＋基础设施装备（物防）＋预警监测系统（技防）”的精准防护模式。推进森林草原防灭火队伍规范化建设，全面提升森林草原防灭火综合防控能力和扑救水平。</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5.完善灾害监测预警及信息发布。</w:t>
      </w:r>
      <w:r>
        <w:rPr>
          <w:rFonts w:ascii="Times New Roman" w:hAnsi="Times New Roman" w:eastAsia="仿宋_GB2312"/>
          <w:color w:val="000000"/>
          <w:sz w:val="32"/>
          <w:szCs w:val="28"/>
        </w:rPr>
        <w:t>统筹多灾种灾害信息管理，实现气象观测站、洪水预报站、地震监测站、地质灾害监测点、林火远程监控点之间的信息共享。建立动态风险综合监测预警流程，全面规范自然灾害风险监测、信息共享、会商研判、精准发布等流程。加强基层灾害信息员队伍建设，完善防灾减灾救灾领域重点行业、重点部门灾害信息员工作制度。加强次生灾害风险预警能力建设，通过加强部门联动，提升应急管理部门多灾种和灾害链综合监测、风险早期识别和预警能力。健全应急信息发布工作机制，依托广播电视传输覆盖网络，加快推进应急广播体系建设。健全多灾种预警和信息发布平台，与宣传、文化广电等部门建立联动工作机制，提升灾害预警信息发布的准确性、时效性和社会公众覆盖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6.推进避难场所规范化建设。</w:t>
      </w:r>
      <w:r>
        <w:rPr>
          <w:rFonts w:ascii="Times New Roman" w:hAnsi="Times New Roman" w:eastAsia="仿宋_GB2312"/>
          <w:color w:val="000000"/>
          <w:sz w:val="32"/>
          <w:szCs w:val="28"/>
        </w:rPr>
        <w:t>强化部门协作，结合全州自然灾害实际，统筹规划、合理布局，充分统筹利用阿坝州辖区内的人防工程、公园、体育场、学校、广场等公共空间资源，推进多灾种、多级别、专常结合的应急避难场所建设。补充完善避难场所应急电力、应急医疗、应急厕所等基本生活设施设备，推进应急避难场所进行规范化、标准化建设，提升应急保障水平。制定应急避难场所建设规范性文件，进一步完善县（市）应急避难场所建设、认定、管理、监察和保障机制，加强应急避难场所运行维护，强化应急避难场所保障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7.建立各类风险联防联控机制。</w:t>
      </w:r>
      <w:r>
        <w:rPr>
          <w:rFonts w:ascii="Times New Roman" w:hAnsi="Times New Roman" w:eastAsia="仿宋_GB2312"/>
          <w:color w:val="000000"/>
          <w:sz w:val="32"/>
          <w:szCs w:val="28"/>
        </w:rPr>
        <w:t>建立与青海省果洛州、甘肃省陇南市、甘南州和成都市、德阳市、绵阳市、雅安市、甘孜州等相邻市（州）之间、县（市）之间、乡（镇）之间的安全生产、自然灾害联防联控制度，定期召开联防联控联席会议，推进位置相邻、行业相近、业态相似的地区和行业信息互通、资源共享。建立完善跨地区、跨行业、跨部门的安全风险联防联控机制，提前预警、应急联动。</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8.建立灾害事故统计评估机制。</w:t>
      </w:r>
      <w:r>
        <w:rPr>
          <w:rFonts w:ascii="Times New Roman" w:hAnsi="Times New Roman" w:eastAsia="仿宋_GB2312"/>
          <w:color w:val="000000"/>
          <w:sz w:val="32"/>
          <w:szCs w:val="28"/>
        </w:rPr>
        <w:t>建立自然灾害和生产安全事故统计、调查评估制度，全面摸清灾害事故基本情况，为应急处置工作提供决策依据。建立灾害、事故调查处理整改落实情况督办制度，重特大自然灾害发生后按照灾后重建规划需要及时开展监督核查，推动风险隐患整改措施落到实处，实现灾害评估工作规范化、制度化、科学化。定期修订《自然灾害统计参考标准》，及时编制重特大自然灾害损失评估报告，为灾后恢复重建规划编制提供基础依据。</w:t>
      </w:r>
    </w:p>
    <w:p>
      <w:pPr>
        <w:spacing w:line="560" w:lineRule="exact"/>
        <w:ind w:firstLine="640"/>
        <w:rPr>
          <w:rFonts w:ascii="Times New Roman" w:hAnsi="Times New Roman" w:eastAsia="仿宋_GB2312"/>
          <w:color w:val="000000"/>
          <w:sz w:val="32"/>
          <w:szCs w:val="28"/>
        </w:rPr>
      </w:pPr>
    </w:p>
    <w:p>
      <w:pPr>
        <w:pStyle w:val="12"/>
        <w:spacing w:line="540" w:lineRule="exact"/>
        <w:ind w:firstLine="386" w:firstLineChars="200"/>
      </w:pPr>
    </w:p>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1" w:name="_Toc90007147"/>
      <w:r>
        <w:rPr>
          <w:rFonts w:ascii="Times New Roman" w:hAnsi="Times New Roman" w:eastAsia="楷体_GB2312"/>
          <w:color w:val="000000"/>
        </w:rPr>
        <w:t>第三节 强化风险隐患管控，防范化解安全风险</w:t>
      </w:r>
      <w:bookmarkEnd w:id="11"/>
    </w:p>
    <w:p>
      <w:pPr>
        <w:spacing w:line="560" w:lineRule="exact"/>
        <w:jc w:val="center"/>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1.健全安全生产责任制。</w:t>
      </w:r>
      <w:r>
        <w:rPr>
          <w:rFonts w:ascii="Times New Roman" w:hAnsi="Times New Roman" w:eastAsia="仿宋_GB2312"/>
          <w:color w:val="000000"/>
          <w:sz w:val="32"/>
          <w:szCs w:val="28"/>
        </w:rPr>
        <w:t>持续深化安全生产清单制管理提档升级，健全清单制管理制度，形成各级党政领导、行业部门和企业用清单管安全的体系化、常态化工作机制，推动“党政同责、一岗双责”“三管三必须”和企业主体责任落实到最小单元。充分发挥应急管理部门综合监管职能作用，突出安全生产过程管理和事故防控结果导向，创新党政同责目标考核。改进督导检查、巡查督查、调研指导工作方式，建立各地分管领导及行业部门主要负责人年度述职制度，督促属地党政及行业部门安全生产责任落实。进一步厘清重点行业安全监管职责，明确新业态、新行业安全监管部门。深化全员安全生产责任制，企业法定代表人、实际控制人、主要负责人同为安全生产第一责任人，切实做到“尽职照单免责、失职照单追责”。完善考核和责任追究制度，建立自我约束、持续改进的安全生产内生机制，推动企业各项安全生产责任落实到位。</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2.完善安全风险隐患双重预防机制。</w:t>
      </w:r>
      <w:r>
        <w:rPr>
          <w:rFonts w:ascii="Times New Roman" w:hAnsi="Times New Roman" w:eastAsia="仿宋_GB2312"/>
          <w:color w:val="000000"/>
          <w:sz w:val="32"/>
          <w:szCs w:val="28"/>
        </w:rPr>
        <w:t>落实安全生产风险分级管控。开展覆盖全州的生产安全风险评估，将全州安全生产风险隐患全部纳入分级、分类进行管理，逐一落实各单位管控责任。针对高危场所和岗位等重点环节进行动态管控，确保安全风险始终处于受控范围内。加强安全隐患排查治理工作。加强安全隐患排查，制定隐患排查治理清单，完善隐患排查、治理、记录、通报、报告等重点环节的程序、方法和标准，推动全员参与，形成安全隐患企业自查自纠常态化机制。严格落实治理措施，制定并实施隐患治理方案，做到责任、措施、资金、时限和预案“五到位”, 实现闭环管理。</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3.实施企业本质安全提升行动。</w:t>
      </w:r>
      <w:r>
        <w:rPr>
          <w:rFonts w:ascii="Times New Roman" w:hAnsi="Times New Roman" w:eastAsia="仿宋_GB2312"/>
          <w:color w:val="000000"/>
          <w:sz w:val="32"/>
          <w:szCs w:val="28"/>
        </w:rPr>
        <w:t>全面加强重点行业领域安全生产基础，不断提升企业本质安全水平。推动建立市场安全准入负面清单制度、“黑名单”制度和“禁限控”目录，从严审批高危行业领域建设项目。强化危险化学品全链条安全监管，完善落实扶持奖励政策，推动高危企业进区入园，推进城镇人口密集区危险化学品和化工企业生产、仓储场所搬迁工程。持续推进矿山综合整治，积极引导小型矿山整合重组，提升开采规模，从源头上改善矿山安全生产条件。大力实施科技兴安，鼓励引导企业采用先进适用的安全技术、工艺和装备，危险化学品“两重点一重大”生产装置自动化投用率达到100%。依法关闭经整顿仍不具备安全生产条件的落后企业。持续开展标准化创建，强化行业示范带动作用。大力实施生命防护工程、智慧工地、绿色矿山等重点项目，提升安全生产管理水平。</w:t>
      </w:r>
    </w:p>
    <w:p>
      <w:pPr>
        <w:spacing w:line="560" w:lineRule="exact"/>
        <w:ind w:firstLine="640"/>
        <w:rPr>
          <w:rFonts w:ascii="Times New Roman" w:hAnsi="Times New Roman" w:eastAsia="仿宋_GB2312"/>
          <w:color w:val="000000"/>
          <w:spacing w:val="-6"/>
          <w:sz w:val="32"/>
          <w:szCs w:val="28"/>
        </w:rPr>
      </w:pPr>
      <w:r>
        <w:rPr>
          <w:rFonts w:ascii="Times New Roman" w:hAnsi="Times New Roman" w:eastAsia="仿宋_GB2312"/>
          <w:b/>
          <w:color w:val="000000"/>
          <w:spacing w:val="-6"/>
          <w:sz w:val="32"/>
          <w:szCs w:val="32"/>
        </w:rPr>
        <w:t>4.加强安全生产专项整治。</w:t>
      </w:r>
      <w:r>
        <w:rPr>
          <w:rFonts w:ascii="Times New Roman" w:hAnsi="Times New Roman" w:eastAsia="仿宋_GB2312"/>
          <w:color w:val="000000"/>
          <w:spacing w:val="-6"/>
          <w:sz w:val="32"/>
          <w:szCs w:val="28"/>
        </w:rPr>
        <w:t>围绕危险化学品、非煤矿山、消防、交通运输、城市建设、工业园区、危险废物、工贸行业重点环节、特种设备、农村等重点行业（领域）和商场、旅游景区等人员密集场所，深入开展专项整治行动，扎实推进安全生产治理体系和治理能力现代化，实现全州事故总量和较大事故持续下降，重特大事故得到有效遏制，安全生产整体水平明显提升。围绕人防工程平时和战时的不同用途和运行使用状况，做好人防工程“水灾、地震、火灾、坍塌、爆炸及恐怖事件”等各类安全风险整治。</w:t>
      </w: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2" w:name="_Toc90007148"/>
      <w:r>
        <w:rPr>
          <w:rFonts w:ascii="Times New Roman" w:hAnsi="Times New Roman" w:eastAsia="楷体_GB2312"/>
          <w:color w:val="000000"/>
        </w:rPr>
        <w:t>第四节 加强应急力量建设，提升救援作战能力</w:t>
      </w:r>
      <w:bookmarkEnd w:id="12"/>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pacing w:val="-6"/>
          <w:sz w:val="32"/>
          <w:szCs w:val="32"/>
        </w:rPr>
        <w:t>1.推进应急救援基地建设。</w:t>
      </w:r>
      <w:r>
        <w:rPr>
          <w:rFonts w:ascii="Times New Roman" w:hAnsi="Times New Roman" w:eastAsia="仿宋_GB2312"/>
          <w:color w:val="000000"/>
          <w:spacing w:val="-6"/>
          <w:sz w:val="32"/>
          <w:szCs w:val="28"/>
        </w:rPr>
        <w:t>推进阿坝州综合应急救援基地建设。根据基层消防工作需要，实施城乡消防站、战勤保障基地和训练基地建设。以九寨沟、黄龙、达古冰川、四姑娘山四大重点景区为中心，建立涵盖医疗、山地救援、避难场所、物资储备等方面的基础保障设施。支持重点县（市）建设区域应急救援分中心。</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2.强化专业化应急队伍建设。</w:t>
      </w:r>
      <w:r>
        <w:rPr>
          <w:rFonts w:ascii="Times New Roman" w:hAnsi="Times New Roman" w:eastAsia="仿宋_GB2312"/>
          <w:color w:val="000000"/>
          <w:sz w:val="32"/>
          <w:szCs w:val="28"/>
        </w:rPr>
        <w:t>支持消防救援机构按照应急救援主力军和国家队的定位，全面提升国家综合性消防救援队伍的正规化、专业化、职业化水平。依托综合应急救援基地，州本级组建一支应对危化品处置、矿山救援、地震救援、重大环境污染的综合性救援队伍。依托消防救援队伍建立危化品专业应急救援队伍，依托森林消防建立矿山、山地专业应急救援队伍。推动军地应急体系衔接融洽，进一步完善落实抢险救灾协调联动机制。提高应急队伍建设标准，提升应急队伍物资、装备保障能力，实现军地联建、联训、联勤。在重点地区组建“轻骑兵”前突小队和志愿消防速报员队伍，解决“断电、断路、断通信、恶劣天气”条件下灾情信息“突不进去，传不出来”等问题。</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3.推进社会救援力量建设。</w:t>
      </w:r>
      <w:r>
        <w:rPr>
          <w:rFonts w:ascii="Times New Roman" w:hAnsi="Times New Roman" w:eastAsia="仿宋_GB2312"/>
          <w:color w:val="000000"/>
          <w:sz w:val="32"/>
          <w:szCs w:val="28"/>
        </w:rPr>
        <w:t>进一步开展应急战略合作，与省内能力突出、实力雄厚、经验丰富的应急抢险救援队伍、空中救援队伍、技术支撑队伍、工程监理队伍和通信、电力保障队伍签订战略合作协议，逐步补齐全州在抢险救援、空中营救、危化品处置、环保监测、勘察设计、应急排查、技术支撑等方面的短板。督促、指导危险化学品、非煤矿山、大型商业综合体等生产经营单位结合应急救援工作需要建立专（兼）职应急救援队伍。以机关单位青壮年为主体，建立应急救援志愿者队伍。</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4.组建应急管理专家队伍。</w:t>
      </w:r>
      <w:r>
        <w:rPr>
          <w:rFonts w:ascii="Times New Roman" w:hAnsi="Times New Roman" w:eastAsia="仿宋_GB2312"/>
          <w:color w:val="000000"/>
          <w:sz w:val="32"/>
          <w:szCs w:val="28"/>
        </w:rPr>
        <w:t>健全专家队伍建设机制，完成专家申报、建档和更新专家组成等工作。依托省、州、县（市）各级行业部门专业人才和企业专家，形成安全生产、地质灾害、水旱灾害、地震灾害等专业专家库（技术支撑力量），为灾害防治、应急处置提供科学决策。做好专家参与突发事件防范、应急处置和救援、调查评估等决策咨询服务工作。</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5.配齐配全应急救援装备。</w:t>
      </w:r>
      <w:r>
        <w:rPr>
          <w:rFonts w:ascii="Times New Roman" w:hAnsi="Times New Roman" w:eastAsia="仿宋_GB2312"/>
          <w:color w:val="000000"/>
          <w:sz w:val="32"/>
          <w:szCs w:val="28"/>
        </w:rPr>
        <w:t>为适应全灾种应急工作需要，有序配备专业应急救援装备，提升基层防灾减灾救灾的应急装备保障水平。分年度为专业应急救援队伍配备适合全州应急抢险救援（山域、地震、水旱、地质灾害、森林草原灭火、高层建筑灭火、环境污染等）所需的高精尖应急救援装备，逐步配备重大自然灾害监测预警设备、防汛抗旱装备、人员搜救装备、森林草原灭火装备。为危险化学品生产、储存、运输重点区域配备专业应急救援物资装备。为新建消防站（队）、“轻骑兵”前突小队、民兵应急队伍、新招录专职消防员配备基本救援和个人防护装备。</w:t>
      </w:r>
    </w:p>
    <w:p>
      <w:pPr>
        <w:pStyle w:val="3"/>
        <w:keepNext w:val="0"/>
        <w:keepLines w:val="0"/>
        <w:widowControl w:val="0"/>
        <w:spacing w:before="0" w:after="0" w:line="560" w:lineRule="exact"/>
        <w:jc w:val="center"/>
        <w:rPr>
          <w:rFonts w:ascii="Times New Roman" w:hAnsi="Times New Roman" w:eastAsia="楷体_GB2312"/>
          <w:color w:val="000000"/>
        </w:rPr>
      </w:pPr>
    </w:p>
    <w:p>
      <w:pPr>
        <w:keepNext w:val="0"/>
        <w:keepLines w:val="0"/>
        <w:pageBreakBefore w:val="0"/>
        <w:widowControl w:val="0"/>
        <w:suppressLineNumbers w:val="0"/>
        <w:suppressAutoHyphens w:val="0"/>
      </w:pPr>
    </w:p>
    <w:p>
      <w:pPr>
        <w:pStyle w:val="12"/>
        <w:keepNext w:val="0"/>
        <w:keepLines w:val="0"/>
        <w:pageBreakBefore w:val="0"/>
        <w:widowControl w:val="0"/>
        <w:suppressLineNumbers w:val="0"/>
        <w:suppressAutoHyphens w:val="0"/>
      </w:pPr>
    </w:p>
    <w:p>
      <w:pPr>
        <w:keepNext w:val="0"/>
        <w:keepLines w:val="0"/>
        <w:pageBreakBefore w:val="0"/>
        <w:widowControl w:val="0"/>
        <w:suppressLineNumbers w:val="0"/>
        <w:suppressAutoHyphens w:val="0"/>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3" w:name="_Toc90007149"/>
      <w:r>
        <w:rPr>
          <w:rFonts w:ascii="Times New Roman" w:hAnsi="Times New Roman" w:eastAsia="楷体_GB2312"/>
          <w:color w:val="000000"/>
        </w:rPr>
        <w:t>第五节 强化应急保障体系，提升应急保障能力</w:t>
      </w:r>
      <w:bookmarkEnd w:id="13"/>
    </w:p>
    <w:p>
      <w:pPr>
        <w:keepNext w:val="0"/>
        <w:keepLines w:val="0"/>
        <w:pageBreakBefore w:val="0"/>
        <w:widowControl w:val="0"/>
        <w:suppressLineNumbers w:val="0"/>
        <w:suppressAutoHyphens w:val="0"/>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1.建立区域应急保障机制。</w:t>
      </w:r>
      <w:r>
        <w:rPr>
          <w:rFonts w:ascii="Times New Roman" w:hAnsi="Times New Roman" w:eastAsia="仿宋_GB2312"/>
          <w:color w:val="000000"/>
          <w:sz w:val="32"/>
          <w:szCs w:val="28"/>
        </w:rPr>
        <w:t>依托现有救灾物资储备场所和现有机场，分片区规划建设区域应急救援保障中心和航空救援中心，实现应急救援力量快速行动、有效驰援，救灾物资就近调配；按照应急管理厅统一安排，完成金川县、壤塘县等9个野外停机坪建设，补齐灾害救援空中短板，扩大航空救援覆盖面；引进航空救援力量参与森林草原灭火、城市灭火、医疗救护、人员搜救、航空巡护、灾害监测预警等工作；针对重要时段、重点区域和灾害多发期，组织开展特定区域空中巡查。</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2.健全行业部门应急保障。</w:t>
      </w:r>
      <w:r>
        <w:rPr>
          <w:rFonts w:ascii="Times New Roman" w:hAnsi="Times New Roman" w:eastAsia="仿宋_GB2312"/>
          <w:color w:val="000000"/>
          <w:sz w:val="32"/>
          <w:szCs w:val="28"/>
        </w:rPr>
        <w:t>推动相关行业部门科学筹划各自领域的应急保障能力建设。加强应急交通保障能力，构建局部地区交通中断下的社会交通保障机制，研究制定地面交通基础设施损毁后的地面和空中救援通道快速开通办法。完善政府应急运输综合协调机制，依法建立完善紧急情况下政府向社会征用各种交通运输工具的程序、补偿机制和应急车辆绿色通道的保障机制。依托交通运输（公路）部门和辖区内重点工程施工项目企业，动态掌握交通保通保畅机具，配备必备的应急指挥车辆，为应急救援提供交通保障。依托国家电网，并配备移动式、便携式发电装备，为应急救援提供电力保障。研究城乡水、电、气、油等重要基础设施遭受破坏性地震灾害、地质灾害后的影响，避免扩大次生灾害，提升各领域先期响应速度和快速恢复能力及业务可持续能力。制定自然灾害和应急事故转移安置办法和预案，合理设置应急安置点，提升受灾群众应急安置和应急生活保障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3.提升物资储备保障能力。</w:t>
      </w:r>
      <w:r>
        <w:rPr>
          <w:rFonts w:ascii="Times New Roman" w:hAnsi="Times New Roman" w:eastAsia="仿宋_GB2312"/>
          <w:color w:val="000000"/>
          <w:sz w:val="32"/>
          <w:szCs w:val="28"/>
        </w:rPr>
        <w:t>健全救灾物资、民生保障物资储备体系，扩大储备库（点）覆盖范围，优化储备布局，完善储备类型，丰富储备种类，提升应急抢险救援和救灾物资保障能力。完善公路、航空等应急运力储备与调运机制，提高救灾物资调配效率和资源统筹利用水平。制定灾害救助应急预案，健全完善救灾物资储备、补库、调拨、紧急采购等制度和资金保障机制，确保突发事件发生后受灾群众“五有”基本生活得到有效保障。探索建立社会物资、运输工具和大型抢险救援装备等购买服务、租赁和临时征用保障机制。</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4.加强应急指挥通信网建设。</w:t>
      </w:r>
      <w:r>
        <w:rPr>
          <w:rFonts w:ascii="Times New Roman" w:hAnsi="Times New Roman" w:eastAsia="仿宋_GB2312"/>
          <w:color w:val="000000"/>
          <w:sz w:val="32"/>
          <w:szCs w:val="28"/>
        </w:rPr>
        <w:t>按照应急厅统一要求，部署窄带无线集群系统应用管理节点，接入应急指挥信息网省州级网；建设固定部署专用无线通信系统，采用数字集群技术升级替代旧的模拟集群系统，采用广域覆盖的地区性数字集群网络。卫星通信网建设项目开展VSAT卫星通信系统改造或配备。州本级、县（市）按需自主配备VSAT卫星通信车载站或便携站，与应急管理部VSAT卫星应急通信系统实现对接。按需部署天通卫星移动手持、宽带便携及其他类型卫星终端。同时，部署省级天通服务管理客户端，实现对天通卫星移动终端的管理。依托移动、电信、联通和铁塔等通信运营企业，配备前端移动通讯（卫星车、卫星电话、短波电台等）设备，为应急救援提供通信保障。</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4" w:name="_Toc90007150"/>
      <w:r>
        <w:rPr>
          <w:rFonts w:ascii="Times New Roman" w:hAnsi="Times New Roman" w:eastAsia="楷体_GB2312"/>
          <w:color w:val="000000"/>
        </w:rPr>
        <w:t>第六节 健全智慧应急体系，提升科技信息化能力</w:t>
      </w:r>
      <w:bookmarkEnd w:id="14"/>
    </w:p>
    <w:p>
      <w:pPr>
        <w:spacing w:line="560" w:lineRule="exact"/>
        <w:jc w:val="center"/>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1.建设智慧应急管理信息化系统。</w:t>
      </w:r>
      <w:r>
        <w:rPr>
          <w:rFonts w:ascii="Times New Roman" w:hAnsi="Times New Roman" w:eastAsia="仿宋_GB2312"/>
          <w:color w:val="000000"/>
          <w:sz w:val="32"/>
          <w:szCs w:val="28"/>
        </w:rPr>
        <w:t>以应急管理部《关于推进应急管理信息化建设的意见》《应急管理信息化发展战略规划框架（2018-2022年）》为遵循，建设以州应急指挥平台为中心，以县（市）级和部门应急平台为节点，以基层应急平台和现场终端为端点，构建上下贯通、左右衔接、信息共享、互有侧重、互为支撑、安全畅通的智慧应急管理信息化系统。通过构建数据共享交换系统，建立数据资源池和数据应用服务系统，提升应急信息资源应用能力。基于州政务云平台基础资源环境，拓展完善覆盖监督管理、监测预警、指挥救援、决策支持、政务管理、统一门户、应急管理一张图和智慧移动应用等各类业务应用，为全州应急管理人员开展业务工作提供应用服务。</w:t>
      </w:r>
    </w:p>
    <w:p>
      <w:pPr>
        <w:spacing w:line="560" w:lineRule="exact"/>
        <w:ind w:firstLine="640"/>
        <w:rPr>
          <w:rFonts w:ascii="Times New Roman" w:hAnsi="Times New Roman" w:eastAsia="仿宋_GB2312"/>
          <w:color w:val="000000"/>
          <w:spacing w:val="-4"/>
          <w:sz w:val="32"/>
          <w:szCs w:val="28"/>
        </w:rPr>
      </w:pPr>
      <w:r>
        <w:rPr>
          <w:rFonts w:ascii="Times New Roman" w:hAnsi="Times New Roman" w:eastAsia="仿宋_GB2312"/>
          <w:b/>
          <w:color w:val="000000"/>
          <w:sz w:val="32"/>
          <w:szCs w:val="32"/>
        </w:rPr>
        <w:t>2.构建应急管理统一指挥调度平台。</w:t>
      </w:r>
      <w:r>
        <w:rPr>
          <w:rFonts w:ascii="Times New Roman" w:hAnsi="Times New Roman" w:eastAsia="仿宋_GB2312"/>
          <w:color w:val="000000"/>
          <w:spacing w:val="-4"/>
          <w:sz w:val="32"/>
          <w:szCs w:val="28"/>
        </w:rPr>
        <w:t>建设上下贯通的应急指挥体系，建好应急指挥中心系统平台，实现与国家、省应急指挥平台互联互通，有力支撑统一指挥、协同研判、辅助决策；建设州、县（市）、重点乡（镇）纵向贯通的各级应急指挥信息平台。建立包括一键调度、现场指挥调度、资源优化调度、救援力量调度和任务跟踪与反馈等主要功能的指挥调度平台。</w:t>
      </w:r>
      <w:r>
        <w:rPr>
          <w:rFonts w:ascii="Times New Roman" w:hAnsi="Times New Roman" w:eastAsia="仿宋_GB2312"/>
          <w:spacing w:val="-4"/>
          <w:sz w:val="32"/>
          <w:szCs w:val="28"/>
        </w:rPr>
        <w:t>规范多部门业务架构，支持转隶</w:t>
      </w:r>
      <w:r>
        <w:rPr>
          <w:rFonts w:ascii="Times New Roman" w:hAnsi="Times New Roman" w:eastAsia="仿宋_GB2312"/>
          <w:color w:val="000000"/>
          <w:spacing w:val="-4"/>
          <w:sz w:val="32"/>
          <w:szCs w:val="28"/>
        </w:rPr>
        <w:t>部门老旧应用渐进式持续演进，业务平滑迁移。实现各类队伍、各种装备物资的统一管理调度，与公安、交通、水务、自然资源、林草、气象等行业部门统一协调联动，通过信息化手段强化现场指挥调度效果。</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3.建设风险隐患监测预警系统。</w:t>
      </w:r>
      <w:r>
        <w:rPr>
          <w:rFonts w:ascii="Times New Roman" w:hAnsi="Times New Roman" w:eastAsia="仿宋_GB2312"/>
          <w:color w:val="000000"/>
          <w:sz w:val="32"/>
          <w:szCs w:val="28"/>
        </w:rPr>
        <w:t>推进地震监测、地质灾害监测、水旱监测、气象监测、森林草原火灾监测等现场实时感知设施和网络建设。基于对应急管理相关感知监测数据的汇聚整合，实现自然灾害隐患区域的全方位、立体化、无盲区动态监测。以应急管理部和应急管理厅系统为基础，汇聚接入风险隐患信息、生态环境信息、基础地理信息等各级各类数据，加快水利、自然资源、气象、林业、农业、民政、地震等部门的灾害风险监测监控信息接入。做好危险化学品重大危险源监测预警系统、尾矿库安全生产风险监测预警系统、烟花爆竹安全生产风险监测预警系统建设。按照应急管理部《感知数据采集规范》，部署数据采集系统，采集高危企业生产安全风险感知数据，实现全州生产安全风险感知数据的前端汇聚、存储，通过专线/互联网VPN等方式上联至省、部级节点，为安全生产风险监测预警系统提供数据源。推动相关部门建设城市大型建筑、大型公用设施、公共空间、消防重点单位等的感知网络，接入汇集新建感知网络及交通、住建、电力、能源、政法、公安等相关部门已有系统的城市安全感知数据。风险隐患监测预警系统要实现各县（市）以上政府监测信息与风险分析结果汇集、相关信息抽取，对各类监测数据进行风险分析和分析结果可视化，为预测预警或事件处置提供参考依据。</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4.建设应急资源管理系统。</w:t>
      </w:r>
      <w:r>
        <w:rPr>
          <w:rFonts w:ascii="Times New Roman" w:hAnsi="Times New Roman" w:eastAsia="仿宋_GB2312"/>
          <w:color w:val="000000"/>
          <w:sz w:val="32"/>
          <w:szCs w:val="28"/>
        </w:rPr>
        <w:t>支持应急救援物资装备管理、专业应急救援力量、社会应急救援力量、应急重点工程、避难设施、医疗卫生、运输资源、通信保障等应急基础资料业务管理系统建设。建立全面、真实的应急资源动态数据库，辅助应急资源配置方案的制定和优化，为各类自然灾害和事故灾难应急处置时所需应急资源的分析、配置提供数据基础，满足应急救援工作的需要，保障恢复重建工作的顺利进行。</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5" w:name="_Toc90007151"/>
      <w:r>
        <w:rPr>
          <w:rFonts w:ascii="Times New Roman" w:hAnsi="Times New Roman" w:eastAsia="楷体_GB2312"/>
          <w:color w:val="000000"/>
        </w:rPr>
        <w:t>第七节 健全队伍管理体系，提升应急工作能力</w:t>
      </w:r>
      <w:bookmarkEnd w:id="15"/>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1.扎实推进专题培训。</w:t>
      </w:r>
      <w:r>
        <w:rPr>
          <w:rFonts w:ascii="Times New Roman" w:hAnsi="Times New Roman" w:eastAsia="仿宋_GB2312"/>
          <w:color w:val="000000"/>
          <w:sz w:val="32"/>
          <w:szCs w:val="28"/>
        </w:rPr>
        <w:t>采取网络线上培训和线下培训相结合、自主培训和分批集中授课相结合等形式多样的培训授课方式，满足不同类别、不同层次应急管理人员的培训需求。定期或不定期组织开展州、县（市）政府分管应急管理工作的负责同志、基层党政应急管理负责同志、应急管理从业人员开展应急管理专题培训。开展重点企业负责人、企业安全管理人员以及基层灾害信息员的应急知识专题培训，不断提升灾害事故的应急处置能力和水平。</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2.提升应急救援队伍素养。</w:t>
      </w:r>
      <w:r>
        <w:rPr>
          <w:rFonts w:ascii="Times New Roman" w:hAnsi="Times New Roman" w:eastAsia="仿宋_GB2312"/>
          <w:color w:val="000000"/>
          <w:sz w:val="32"/>
          <w:szCs w:val="28"/>
        </w:rPr>
        <w:t>加强综合救援队伍和专业性救援队伍日常训练、演练，针对全灾种分类开展体能和专业知识训练，打造“尖刀”和“拳头”力量。推进以练代训工作，分年度制定生产安全事故、自然灾害、火灾等方面的专题事件演练计划，确保有关单位在应急演练中高效执行相应的演练任务，增强应急处置综合能力。做好行业企业专（兼）职应急救援队伍的培训和日常训练，提升队伍的快速反应能力和救援能力。加强基层综合应急救援队伍的知识培训与应急救援演练，提升基层队伍的前期处置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3.提升监管执法能力。</w:t>
      </w:r>
      <w:r>
        <w:rPr>
          <w:rFonts w:ascii="Times New Roman" w:hAnsi="Times New Roman" w:eastAsia="仿宋_GB2312"/>
          <w:color w:val="000000"/>
          <w:sz w:val="32"/>
          <w:szCs w:val="28"/>
        </w:rPr>
        <w:t>推</w:t>
      </w:r>
      <w:r>
        <w:rPr>
          <w:rFonts w:ascii="Times New Roman" w:hAnsi="Times New Roman" w:eastAsia="仿宋_GB2312"/>
          <w:color w:val="000000"/>
          <w:w w:val="98"/>
          <w:sz w:val="32"/>
          <w:szCs w:val="28"/>
        </w:rPr>
        <w:t>进风险分级管控和隐患排查整治双重预防机制及“互联网+监管”“互联网+执法”工作。健全监管执法内控制度，严格依法行政、文明执法，推动事后处罚向事前监管转变，加大违法违规行为处罚力度。对全州应急管理综合执法人员开展全员轮训，提高整体执法能力。定期组织开展执法比武、示范执法、案卷评查、交叉执法等活动，提升执法人员现场执法水平。扎实开展定向执法、精准执法，督促企业有效管控风险</w:t>
      </w:r>
      <w:r>
        <w:rPr>
          <w:rFonts w:ascii="Times New Roman" w:hAnsi="Times New Roman" w:eastAsia="仿宋_GB2312"/>
          <w:color w:val="000000"/>
          <w:sz w:val="32"/>
          <w:szCs w:val="28"/>
        </w:rPr>
        <w:t>。</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6" w:name="_Toc90007152"/>
      <w:r>
        <w:rPr>
          <w:rFonts w:ascii="Times New Roman" w:hAnsi="Times New Roman" w:eastAsia="楷体_GB2312"/>
          <w:color w:val="000000"/>
        </w:rPr>
        <w:t>第八节 加强应急知识宣教，提高群防群治水平</w:t>
      </w:r>
      <w:bookmarkEnd w:id="16"/>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1.推进应急文化建设。</w:t>
      </w:r>
      <w:r>
        <w:rPr>
          <w:rFonts w:ascii="Times New Roman" w:hAnsi="Times New Roman" w:eastAsia="仿宋_GB2312"/>
          <w:color w:val="000000"/>
          <w:sz w:val="32"/>
          <w:szCs w:val="28"/>
        </w:rPr>
        <w:t>创新防灾减灾文化宣传载体，彰显阿坝州减灾文化特色。加强防灾减灾宣传教育示范社区、安全社区、应急体验中心建设。完善应急科普基础设施，推动建设应急科普宣教场馆，推动科技场馆、教育基地、灾害遗址等设施设立应急科普宣教专区。支持企业建设面向公众的培训演练和自救互救体验馆。推进应急宣传“五进”工作，完善公众教育体系。充分发挥全国中小学生安全教育日、全国防灾减灾日、全国安全生产月等宣传活动作用，开展知识宣讲、技能培训、案例解读、应急演练等多种形式的应急科普宣教活动。加强传统媒体和新媒体的宣传教育作用，开发制作电视专题研究片、公开课、微视频、公益广告等，提高公众应急文化素质。</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2.开展群众自救互救能力训练。</w:t>
      </w:r>
      <w:r>
        <w:rPr>
          <w:rFonts w:ascii="Times New Roman" w:hAnsi="Times New Roman" w:eastAsia="仿宋_GB2312"/>
          <w:color w:val="000000"/>
          <w:sz w:val="32"/>
          <w:szCs w:val="28"/>
        </w:rPr>
        <w:t>开展危险化学品、非煤矿山、易燃易爆等重点行业，以及交通运输、旅游、教育等行业从业人员救援能力专业培训，把安全知识纳入国民教育，健全完善学校安全教育体系。加强以自救互救为核心的应急技能培训，组织社区居民开展应急知识与技能培训，加强应急志愿者组织建设，提升志愿者应急技能，推动县（市）、企业、学校、人员密集场所、自然灾害易发点普遍开展疏散逃生、应急避险等方面的群众性应急演练。</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3.打造社会协同防范体系。</w:t>
      </w:r>
      <w:r>
        <w:rPr>
          <w:rFonts w:ascii="Times New Roman" w:hAnsi="Times New Roman" w:eastAsia="仿宋_GB2312"/>
          <w:color w:val="000000"/>
          <w:sz w:val="32"/>
          <w:szCs w:val="28"/>
        </w:rPr>
        <w:t>健全应急社会动员机制，动员引导社会公众积极参与突发事件应对，强化公众自防自治、群防群治、自救互救等协同联动能力，完善突发事件社会协同防范应对体系。完善市场化应急服务机制，加快建设主体多元、覆盖全面、机制灵活的应急管理社会化服务体系。规范自然灾害防治、安全生产评价第三方机构，完善政府购买服务制度。探索多渠道的巨灾风险分担机制，强化保险机构灾害事故预防和灾后补偿服务，充分发挥保险在风险管理、灾后救助等方面的积极作用。</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4.积极开展各类示范社区创建。</w:t>
      </w:r>
      <w:r>
        <w:rPr>
          <w:rFonts w:ascii="Times New Roman" w:hAnsi="Times New Roman" w:eastAsia="仿宋_GB2312"/>
          <w:color w:val="000000"/>
          <w:sz w:val="32"/>
          <w:szCs w:val="28"/>
        </w:rPr>
        <w:t>积极推进安全发展示范城市、四川省安全社区和全国综合减灾示范社区创建工作。推进以有场地设施、有装备物资、有工作制度为主要内容的基层社区防灾减灾能力建设。落实《村（社区）综合减灾服务规范》《村（社区）自然灾害基本生活救助服务规范》和《村（社区）综合减灾公共信息标识建设规范》等基层减灾救灾标准，积极创建综合减灾示范社区。将应急管理、安全生产和防灾减灾救灾工作纳入网格重要工作内容，构建应急管理网格化管控体系，形成联防联控、群测群防、全社会共同参与的网格化治理格局。大力推动汶川县省级安全发展示范城市创建工作试点，争取以高水平达到省级创建要求。</w:t>
      </w:r>
    </w:p>
    <w:p>
      <w:pPr>
        <w:spacing w:line="560" w:lineRule="exact"/>
        <w:rPr>
          <w:rFonts w:hint="eastAsia"/>
        </w:rPr>
      </w:pPr>
    </w:p>
    <w:p>
      <w:pPr>
        <w:pStyle w:val="2"/>
        <w:keepNext w:val="0"/>
        <w:keepLines w:val="0"/>
        <w:widowControl w:val="0"/>
        <w:spacing w:before="0" w:after="0" w:line="560" w:lineRule="exact"/>
        <w:ind w:left="0" w:firstLine="0" w:firstLineChars="0"/>
        <w:jc w:val="center"/>
        <w:rPr>
          <w:rFonts w:ascii="Times New Roman" w:hAnsi="Times New Roman" w:eastAsia="黑体"/>
          <w:b w:val="0"/>
          <w:color w:val="000000"/>
          <w:sz w:val="32"/>
        </w:rPr>
      </w:pPr>
      <w:bookmarkStart w:id="17" w:name="_Toc90007153"/>
      <w:r>
        <w:rPr>
          <w:rFonts w:ascii="Times New Roman" w:hAnsi="Times New Roman" w:eastAsia="黑体"/>
          <w:b w:val="0"/>
          <w:color w:val="000000"/>
          <w:sz w:val="32"/>
        </w:rPr>
        <w:t>第四章 重点工程</w:t>
      </w:r>
      <w:bookmarkEnd w:id="17"/>
    </w:p>
    <w:p>
      <w:pPr>
        <w:spacing w:line="560" w:lineRule="exact"/>
        <w:jc w:val="cente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8" w:name="_Toc90007154"/>
      <w:r>
        <w:rPr>
          <w:rFonts w:ascii="Times New Roman" w:hAnsi="Times New Roman" w:eastAsia="楷体_GB2312"/>
          <w:color w:val="000000"/>
        </w:rPr>
        <w:t>第一节 综合防灾减灾能力提升工程</w:t>
      </w:r>
      <w:bookmarkEnd w:id="18"/>
    </w:p>
    <w:p>
      <w:pPr>
        <w:spacing w:line="560" w:lineRule="exact"/>
        <w:jc w:val="center"/>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1.自然灾害综合风险普查。</w:t>
      </w:r>
      <w:r>
        <w:rPr>
          <w:rFonts w:ascii="Times New Roman" w:hAnsi="Times New Roman" w:eastAsia="仿宋_GB2312"/>
          <w:color w:val="000000"/>
          <w:sz w:val="32"/>
          <w:szCs w:val="28"/>
        </w:rPr>
        <w:t>开展全州自然灾害综合风险普查，全面获取主要灾害致灾信息、承灾体信息、历史灾害信息，摸清灾害风险隐患底数，查明重点区域抗灾能力，建立分类型、分区域的自然灾害综合风险与减灾能力数据库，开展主要灾害风险评估和综合风险评估，编制州、县（市）两级自然灾害系列风险图；修订主要灾种区划，编制州、县（市）两级综合风险区划和灾害综合防治区划。</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2.地震监测预警能力提升工程。</w:t>
      </w:r>
      <w:r>
        <w:rPr>
          <w:rFonts w:ascii="Times New Roman" w:hAnsi="Times New Roman" w:eastAsia="仿宋_GB2312"/>
          <w:color w:val="000000"/>
          <w:sz w:val="32"/>
          <w:szCs w:val="28"/>
        </w:rPr>
        <w:t>将阿坝地震中心站建设成为区域地震监测中心。引入当前地震监测预警前沿科技，构建以全州13县（市）多测项综合地球物理观测站点为基础，以加强龙门山、岷江、松岗、龙日坝、抚边等州内主要断层观测为重点，以全州地下水普查结果为技术支撑，以流体观测站点为特色的阿坝州地震监测预警台网，提升全州地震灾害综合监测、早期识别、预报预警能力。升级阿坝地震监测台网中心的软、硬件，提升地震监测效率，增加地震监测精度。加密测震、地震物理台网，在马尔康市、小金县、若尔盖县、壤塘县、茂县建设综合地震台。在政府单位、企业、学校、医院等地加密安装预警终端，在各个县（市）建设州级地震宏观观测点，在全州建设1-2个流动测震台。</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3.防洪排涝减灾工程。</w:t>
      </w:r>
      <w:r>
        <w:rPr>
          <w:rFonts w:ascii="Times New Roman" w:hAnsi="Times New Roman" w:eastAsia="仿宋_GB2312"/>
          <w:color w:val="000000"/>
          <w:sz w:val="32"/>
          <w:szCs w:val="28"/>
        </w:rPr>
        <w:t>推动防洪排涝设施建设，提升主要江河和重点中小河流重要河段的防洪能力。开展辖区河道防洪治理，分阶段系统提升河道防洪能力；加强低标改造、初期雨水截流、河道水系调整与整治。系统整治城区道路排水管网，逐步提升城镇排涝能力，使城乡防洪排涝等抵御自然灾害能力具有显著提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 C、D级危房除险加固工程。</w:t>
      </w:r>
      <w:r>
        <w:rPr>
          <w:rFonts w:ascii="Times New Roman" w:hAnsi="Times New Roman" w:eastAsia="仿宋_GB2312"/>
          <w:color w:val="000000"/>
          <w:sz w:val="32"/>
          <w:szCs w:val="28"/>
        </w:rPr>
        <w:t>在全州推动开展地震风险隐患排查，以民用C、D级危房为重点，开展风险隐患排查整治。以若尔盖县为试点，开展危房除险加固工程，提升防震抗灾能力。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5.农（牧）民居安全工程。</w:t>
      </w:r>
      <w:r>
        <w:rPr>
          <w:rFonts w:ascii="Times New Roman" w:hAnsi="Times New Roman" w:eastAsia="仿宋_GB2312"/>
          <w:color w:val="000000"/>
          <w:sz w:val="32"/>
          <w:szCs w:val="28"/>
        </w:rPr>
        <w:t>按照突出重点、分步实施的原则，统筹乡村振兴、移民搬迁等涉农项目，结合农村（牧区）危旧房改造，帮助和引导广大农（牧）民通过新建、改造和加固等多种方式，采用抗震实用技术，建造抗震性能好、造价合理的房屋，提高抗御地震灾害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6.应急避难场所建设工程。</w:t>
      </w:r>
      <w:r>
        <w:rPr>
          <w:rFonts w:ascii="Times New Roman" w:hAnsi="Times New Roman" w:eastAsia="仿宋_GB2312"/>
          <w:color w:val="000000"/>
          <w:sz w:val="32"/>
          <w:szCs w:val="28"/>
        </w:rPr>
        <w:t>推进应急避难场所设施标准化建设。按照《城市社区应急避难场所建设标准》（建标180-2017）或《地震应急避难场所建设标准》（GB 21734-2008），完善全州辖区内现有避难场所设施，健全应急标志标牌，补充硬件设施，配备必要的应急救援器材等配套功能设施。规划新建城区、乡（镇）应急避难场所，在灾害发生时为受灾群众提供基本生活保障。根据区域内人口数量与分布，合理安排区域内需建应急避难场所等级、地址与数量。在马尔康市、小金县、若尔盖县、红原县、壤塘县、汶川县、松潘县、九寨沟县等县（市）新建或改造应急避难场所20余处并配套建设附属设施设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7.应急远程广播系统建设工程。</w:t>
      </w:r>
      <w:r>
        <w:rPr>
          <w:rFonts w:ascii="Times New Roman" w:hAnsi="Times New Roman" w:eastAsia="仿宋_GB2312"/>
          <w:color w:val="000000"/>
          <w:sz w:val="32"/>
          <w:szCs w:val="28"/>
        </w:rPr>
        <w:t>利用铁塔公司云传输技术，通过4G、5G技术传播，建立覆盖阿坝全域的广播网。利用APP操作点对点输出，实现实时喊话、录音播放、文字转化语音等，确保应急信息快速精准传播。</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19" w:name="_Toc90007155"/>
      <w:r>
        <w:rPr>
          <w:rFonts w:ascii="Times New Roman" w:hAnsi="Times New Roman" w:eastAsia="楷体_GB2312"/>
          <w:color w:val="000000"/>
        </w:rPr>
        <w:t>第二节 安全风险防范能力提升工程</w:t>
      </w:r>
      <w:bookmarkEnd w:id="19"/>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1.重点行业（领域）企业基础数据库建设工程。</w:t>
      </w:r>
      <w:r>
        <w:rPr>
          <w:rFonts w:ascii="Times New Roman" w:hAnsi="Times New Roman" w:eastAsia="仿宋_GB2312"/>
          <w:color w:val="000000"/>
          <w:sz w:val="32"/>
          <w:szCs w:val="28"/>
        </w:rPr>
        <w:t>建立重点行业（领域）企业安全风险和安全隐患数据库，建设安全风险等级和重大事故隐患分布电子图。实现高危企业在线监测和实现危险化学品生产经营企业入库登记。推进实现危险化学品企业重大危险源在线监测及事故预警信息纳入数据库。</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2.安全生产监管能力提升工程。</w:t>
      </w:r>
      <w:r>
        <w:rPr>
          <w:rFonts w:ascii="Times New Roman" w:hAnsi="Times New Roman" w:eastAsia="仿宋_GB2312"/>
          <w:color w:val="000000"/>
          <w:sz w:val="32"/>
          <w:szCs w:val="28"/>
        </w:rPr>
        <w:t>按照安全监管监察职业能力建设标准，补充、更新州、县（市）两级应急管理综合执法机构装备。健全应急管理综合行政执法机构，充实州、县（市）两级行政执法人员，加强乡（镇）、工业园区监管执法机构和监管力量建设，推动执法力量向基层和一线倾斜。开展监管监察执法效果评估，开展基层监管监察人员业务技能培训，提升基层监管执法工作水平。</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3.遏制危险化学品重特大事故智能感知系统建设工程。</w:t>
      </w:r>
      <w:r>
        <w:rPr>
          <w:rFonts w:ascii="Times New Roman" w:hAnsi="Times New Roman" w:eastAsia="仿宋_GB2312"/>
          <w:color w:val="000000"/>
          <w:sz w:val="32"/>
          <w:szCs w:val="28"/>
        </w:rPr>
        <w:t>推进实施危险化学品生产经营企业危险化学品行业风险研判子系统建设。按照应急管理厅工作要求，建设全州危险化学品企业“北斗+”应急监测预警子系统。实施危险化学品企业特殊作业监控预警子系统建设。</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4.安全生产实训中心建设工程。</w:t>
      </w:r>
      <w:r>
        <w:rPr>
          <w:rFonts w:ascii="Times New Roman" w:hAnsi="Times New Roman" w:eastAsia="仿宋_GB2312"/>
          <w:color w:val="000000"/>
          <w:sz w:val="32"/>
          <w:szCs w:val="28"/>
        </w:rPr>
        <w:t>在工业集中区所在县（市）建设安全生产实训中心，建设安全生产类模拟训练装置，包括危险化学品生产工艺处置、医药化工、油气管线泄漏、燃烧、爆炸的模拟处置训练设施等，提升安全生产知识训练和特种作业操作培训效果。</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0" w:name="_Toc90007156"/>
      <w:r>
        <w:rPr>
          <w:rFonts w:ascii="Times New Roman" w:hAnsi="Times New Roman" w:eastAsia="楷体_GB2312"/>
          <w:color w:val="000000"/>
        </w:rPr>
        <w:t>第三节 应急救援能力提升工程</w:t>
      </w:r>
      <w:bookmarkEnd w:id="20"/>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1.应急救援基地建设工程。</w:t>
      </w:r>
      <w:r>
        <w:rPr>
          <w:rFonts w:ascii="Times New Roman" w:hAnsi="Times New Roman" w:eastAsia="仿宋_GB2312"/>
          <w:color w:val="000000"/>
          <w:sz w:val="32"/>
          <w:szCs w:val="28"/>
        </w:rPr>
        <w:t>将“阿坝州应急救援基地”纳入四川省应急救援能力提升行动计划统一实施，力争将该项目纳入“十四五” 国家支持藏区经济社会发展规划。依托区域应急救援中心，建设2-3个区域应急救援保障中心，确保反应快速、处置及时、保障有力。建设州级区域应急救援基地1个，力争建成区域应急救援基地3个（红原县、汶川县、松潘县）。建设阿坝州航空应急救援中心分基地。</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2.城乡消防站、队建设工程。</w:t>
      </w:r>
      <w:r>
        <w:rPr>
          <w:rFonts w:ascii="Times New Roman" w:hAnsi="Times New Roman" w:eastAsia="仿宋_GB2312"/>
          <w:color w:val="000000"/>
          <w:sz w:val="32"/>
          <w:szCs w:val="28"/>
        </w:rPr>
        <w:t>“十四五”期间，在金川县安宁镇等地建设7个乡（镇）一级消防站，在马尔康市沙尔宗镇等地建设6个乡（镇）二级消防站，分期逐步完成重点单位、乡（镇）和村（社区）的微型消防站提档升级，建设380个消防水池。按照基层防灭火工作需要，招录政府专职消防员，并配备必要的消防设施设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3.应急救援装备配备工程。</w:t>
      </w:r>
      <w:r>
        <w:rPr>
          <w:rFonts w:ascii="Times New Roman" w:hAnsi="Times New Roman" w:eastAsia="仿宋_GB2312"/>
          <w:color w:val="000000"/>
          <w:sz w:val="32"/>
          <w:szCs w:val="28"/>
        </w:rPr>
        <w:t>为国家综合消防应急救援队伍、政府专职消防员、民兵应急队伍、“轻骑兵”前突小队和志愿消防速报员队伍配备适合阿坝州应急救援急需适用的应急救援装备和个人防护装备。为战勤保障基地配置相应的战勤保障车辆和物资储备，完善训练基地的训练设施。为危险化学品生产、储存、运输重点区域配备专业应急救援物资装备。</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4.森林航空消防基础设施建设工程。</w:t>
      </w:r>
      <w:r>
        <w:rPr>
          <w:rFonts w:ascii="Times New Roman" w:hAnsi="Times New Roman" w:eastAsia="仿宋_GB2312"/>
          <w:color w:val="000000"/>
          <w:sz w:val="32"/>
          <w:szCs w:val="28"/>
        </w:rPr>
        <w:t>在金川、阿坝、壤塘、理县、松潘等县建设5个野外停机坪，配套建设短距离外连道路等设施。在阿坝、壤塘、松潘建设9处航空消防取水点。整合低空旅游（通用航空）等力量，补齐灾害救援空中力量短板，增加空中救援力量的覆盖面。重点林区森林航空消防覆盖率达到90%，应急人工影响天气装备作业覆盖率达到80%。启动九寨沟航空护林站项目建设工作。</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5.应急救援队伍建设工程。</w:t>
      </w:r>
      <w:r>
        <w:rPr>
          <w:rFonts w:ascii="Times New Roman" w:hAnsi="Times New Roman" w:eastAsia="仿宋_GB2312"/>
          <w:color w:val="000000"/>
          <w:sz w:val="32"/>
          <w:szCs w:val="28"/>
        </w:rPr>
        <w:t>依托各级团委和红十字会建立志愿者应急救援队伍，依托森林消防建立矿山、山地专业应急救援队伍。依托综合应急救援基地组建州本级综合救援救援队伍。提高应急救援队伍建设标准，提升应急救援队伍物资、装备保障能力。在重点地区、工业集中区和地质灾害高发频发地区组建“轻骑兵”前突小队和志愿消防速报员队伍。督促指导危化品等生产经营单位结合应急救援工作需要建立专（兼）职应急救援队伍。继续与省内国有企事业单位开展应急救援战略合作，补齐全州应急力量、资源的短板。</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1" w:name="_Toc90007157"/>
      <w:r>
        <w:rPr>
          <w:rFonts w:ascii="Times New Roman" w:hAnsi="Times New Roman" w:eastAsia="楷体_GB2312"/>
          <w:color w:val="000000"/>
        </w:rPr>
        <w:t>第四节 应急保障能力提升工程</w:t>
      </w:r>
      <w:bookmarkEnd w:id="21"/>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1.应急物资储备库建设工程。</w:t>
      </w:r>
      <w:r>
        <w:rPr>
          <w:rFonts w:ascii="Times New Roman" w:hAnsi="Times New Roman" w:eastAsia="仿宋_GB2312"/>
          <w:color w:val="000000"/>
          <w:sz w:val="32"/>
          <w:szCs w:val="28"/>
        </w:rPr>
        <w:t>对州、县（市）、乡（镇）现有应急抢险物资储备库、乡（镇）应急抢险物资储备库进行适应性改造升级。在马尔康市、松潘县建设阿坝州中部地区草原防扑火物资储备项目。在马尔康市、理县、松潘县等地建设应急物资储备骨干库。依托应急管理综合信息化平台，实现各级、各部门、政企之间应急物资统一管理、数据互联互通、信息共享。</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2.应急通讯保障能力提升工程。</w:t>
      </w:r>
      <w:r>
        <w:rPr>
          <w:rFonts w:ascii="Times New Roman" w:hAnsi="Times New Roman" w:eastAsia="仿宋_GB2312"/>
          <w:color w:val="000000"/>
          <w:sz w:val="32"/>
          <w:szCs w:val="28"/>
        </w:rPr>
        <w:t>结合各县（市）实际，加强应急通信保障队伍建设和通信保障队伍装备配备，保障应急救援现场通信全天候、全地域、全时段畅通。各县（市）按照标准配齐关键通信装备并达到“一主一备”要求。构建应急卫星通信网，实现应急现场远距离通信和扁平化指挥通信。建设本地应急窄带数字集群通信系统，搭建370MHz频率PDT应急指挥窄带无线通信网，购置北斗有源终端，满足极端应急场景下终端位置、短报文等信息通信需要。配备车载、背负等通信终端，实现现场与后方指挥中心通信支撑，各县（市）至少配置（超）轻型便携站1台。在自然灾害高风险区域，为基层应急队伍购置超短波电台、对讲机、卫星电话等通讯设备。</w:t>
      </w:r>
    </w:p>
    <w:p>
      <w:pPr>
        <w:pStyle w:val="12"/>
        <w:spacing w:line="540" w:lineRule="exact"/>
        <w:ind w:left="0" w:leftChars="0" w:firstLine="0" w:firstLineChars="0"/>
      </w:pPr>
    </w:p>
    <w:p/>
    <w:p>
      <w:pPr>
        <w:pStyle w:val="12"/>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2" w:name="_Toc90007158"/>
      <w:r>
        <w:rPr>
          <w:rFonts w:ascii="Times New Roman" w:hAnsi="Times New Roman" w:eastAsia="楷体_GB2312"/>
          <w:color w:val="000000"/>
        </w:rPr>
        <w:t>第五节 应急管理信息化建设工程</w:t>
      </w:r>
      <w:bookmarkEnd w:id="22"/>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1.应急指挥信息化及指挥场所建设。</w:t>
      </w:r>
      <w:r>
        <w:rPr>
          <w:rFonts w:ascii="Times New Roman" w:hAnsi="Times New Roman" w:eastAsia="仿宋_GB2312"/>
          <w:color w:val="000000"/>
          <w:sz w:val="32"/>
          <w:szCs w:val="28"/>
        </w:rPr>
        <w:t>建成阿坝州智慧应急管理系统（信息化）及应急指挥中心（场所），支持建设马尔康市、红原县、汶川县、松潘县四个区域应急指挥平台。通过多种通信手段与固定指挥中心实现互联互通，满足应急值守、会商研判和决策指挥调度等基本需求。</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2.应急管理综合信息化平台建设工程。</w:t>
      </w:r>
      <w:r>
        <w:rPr>
          <w:rFonts w:ascii="Times New Roman" w:hAnsi="Times New Roman" w:eastAsia="仿宋_GB2312"/>
          <w:color w:val="000000"/>
          <w:sz w:val="32"/>
          <w:szCs w:val="28"/>
        </w:rPr>
        <w:t>开</w:t>
      </w:r>
      <w:r>
        <w:rPr>
          <w:rFonts w:ascii="Times New Roman" w:hAnsi="Times New Roman" w:eastAsia="仿宋_GB2312"/>
          <w:color w:val="000000"/>
          <w:w w:val="97"/>
          <w:sz w:val="32"/>
          <w:szCs w:val="28"/>
        </w:rPr>
        <w:t>展州本级应急管理综合信息化平台建设，整合在用、拟建系统，汇聚接入各部门业务数据，对接省级平台。开展州级数据治理，数据安全、应用安全、终端安全建设感知网安全防护体系建设。开展认证授权与密码服务、可视化运维管理等系统建设。开展县（市）级应急管理综合信息化平台建设，完成本地的业务数据与管理数据接入工作</w:t>
      </w:r>
      <w:r>
        <w:rPr>
          <w:rFonts w:ascii="Times New Roman" w:hAnsi="Times New Roman" w:eastAsia="仿宋_GB2312"/>
          <w:color w:val="000000"/>
          <w:sz w:val="32"/>
          <w:szCs w:val="28"/>
        </w:rPr>
        <w:t>。</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3.风险隐患实时监测预警系统建设工程。</w:t>
      </w:r>
      <w:r>
        <w:rPr>
          <w:rFonts w:ascii="Times New Roman" w:hAnsi="Times New Roman" w:eastAsia="仿宋_GB2312"/>
          <w:color w:val="000000"/>
          <w:sz w:val="32"/>
          <w:szCs w:val="28"/>
        </w:rPr>
        <w:t>科学设置辖区内各类重点风险隐患监控点位，对辖区内重大危险源、重点设施（装置）等进行实时监测。利用卫星通信、北斗导航、卫星遥感、航空遥感等高科技手段，接入气象、水文、地质等基础信息，拓展应急管理信息触角，加强对山区乡（镇）、村（社区）地质灾害、山洪泥石流、地震灾害等自然灾害点位、森林草原防灭火观测点位的动态实时监测，及时发布预警信息。风险监测预警系统能全部实现风险隐患点位可视化动态化管理，辅助领导指挥决策。</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4.突发事件预警信息发布系统项目。</w:t>
      </w:r>
      <w:r>
        <w:rPr>
          <w:rFonts w:ascii="Times New Roman" w:hAnsi="Times New Roman" w:eastAsia="仿宋_GB2312"/>
          <w:color w:val="000000"/>
          <w:sz w:val="32"/>
          <w:szCs w:val="28"/>
        </w:rPr>
        <w:t>通过建设预警信息发布中心与预警信息发布系统，实现省、州、县（市）三级平台及同级政府、相关部门突发公共事件应急指挥平台的无缝对接，整合现有各类发布手段和渠道，实现纵向各级横向各部门突发事件预警信息的统一收集、及时发布。</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5.无人机监测预警能力建设工程。</w:t>
      </w:r>
      <w:r>
        <w:rPr>
          <w:rFonts w:ascii="Times New Roman" w:hAnsi="Times New Roman" w:eastAsia="仿宋_GB2312"/>
          <w:color w:val="000000"/>
          <w:sz w:val="32"/>
          <w:szCs w:val="28"/>
        </w:rPr>
        <w:t>建立无人机应急监测队伍，配套完成系统软硬件建设，以加强对地震和森林草原防火关键控制区域的监测预警能力。通过多台无人机，全面覆盖重点监测区域内的空中图像捕捉、信号识别、危险等级研判，完成信息采集、分析和传输，实现危险早发现、早处置。</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6.智慧消防系统建设工程。</w:t>
      </w:r>
      <w:r>
        <w:rPr>
          <w:rFonts w:ascii="Times New Roman" w:hAnsi="Times New Roman" w:eastAsia="仿宋_GB2312"/>
          <w:color w:val="000000"/>
          <w:sz w:val="32"/>
          <w:szCs w:val="28"/>
        </w:rPr>
        <w:t>推动州本级及各县（市）建设智慧消防系统。全州基本建成统一的消防数据资源库、消防大数据平台，马尔康市建成消防物联网监控系统。火灾高危单位数据全面接入，各地“互联网+监管”模式初步建立，州、县（市）两级相关数据实现互联互通。2025年，全州各级智慧消防系统建设基本完成，内部业务系统和外部行业部门数据全面接入，智慧消防系统在火灾防控领域、公共服务领域、应急救援指挥调度领域应用初显成效。</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3" w:name="_Toc90007159"/>
      <w:r>
        <w:rPr>
          <w:rFonts w:ascii="Times New Roman" w:hAnsi="Times New Roman" w:eastAsia="楷体_GB2312"/>
          <w:color w:val="000000"/>
        </w:rPr>
        <w:t>第六节 应急准备能力提升工程</w:t>
      </w:r>
      <w:bookmarkEnd w:id="23"/>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1.重特大自然灾害区域救援行动方案建设工程。</w:t>
      </w:r>
      <w:r>
        <w:rPr>
          <w:rFonts w:ascii="Times New Roman" w:hAnsi="Times New Roman" w:eastAsia="仿宋_GB2312"/>
          <w:color w:val="000000"/>
          <w:sz w:val="32"/>
          <w:szCs w:val="28"/>
        </w:rPr>
        <w:t>以重特大自然灾害应急救援能力评估成果为基础，以县（市）级行政区域为救援行动方案编制基本单元，采用情景构建模式模拟重特大突发自然灾害场景，“州、县（市）、乡（镇）”三级协同，应急、气象、地震、林草、交通运输、公安、卫生健康、网信等部门联动，从灾情研判、指挥调度、交通保畅、舆情管控等方面，系统编制出“上下衔接、左右联动”的重特大灾害区域救援行动方案，最终形成“蛛网”式的灾害救援行动方案体系。以县域为单位逐步构筑出覆盖全州、灵活精准、互联互通的网式救援机制。</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2.应急管理业务能力提升培训工程。</w:t>
      </w:r>
      <w:r>
        <w:rPr>
          <w:rFonts w:ascii="Times New Roman" w:hAnsi="Times New Roman" w:eastAsia="仿宋_GB2312"/>
          <w:color w:val="000000"/>
          <w:sz w:val="32"/>
          <w:szCs w:val="28"/>
        </w:rPr>
        <w:t>采取形式多样的培训授课方式，满足不同类别、不同层次的培训需求。开展各级党政领导干部安全生产、应急救援、防灾减灾管理培训和具体从事安全生产、应急救援、防灾减灾救灾工作人员、执法监察人员、企业管理人员应急管理业务提升培训。</w:t>
      </w:r>
    </w:p>
    <w:p>
      <w:pPr>
        <w:spacing w:line="560" w:lineRule="exact"/>
        <w:ind w:firstLine="640"/>
        <w:rPr>
          <w:rFonts w:ascii="Times New Roman" w:hAnsi="Times New Roman" w:eastAsia="仿宋_GB2312"/>
          <w:color w:val="000000"/>
          <w:sz w:val="32"/>
          <w:szCs w:val="28"/>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4" w:name="_Toc90007160"/>
      <w:r>
        <w:rPr>
          <w:rFonts w:ascii="Times New Roman" w:hAnsi="Times New Roman" w:eastAsia="楷体_GB2312"/>
          <w:color w:val="000000"/>
        </w:rPr>
        <w:t>第七节 应急知识宣传教育工程</w:t>
      </w:r>
      <w:bookmarkEnd w:id="24"/>
    </w:p>
    <w:p>
      <w:pPr>
        <w:spacing w:line="560" w:lineRule="exact"/>
      </w:pP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1.应急文化教育平台建设工程。</w:t>
      </w:r>
      <w:r>
        <w:rPr>
          <w:rFonts w:ascii="Times New Roman" w:hAnsi="Times New Roman" w:eastAsia="仿宋_GB2312"/>
          <w:color w:val="000000"/>
          <w:sz w:val="32"/>
          <w:szCs w:val="28"/>
        </w:rPr>
        <w:t>建设一批应急文化阵地。结合城乡环境综合治理、“安全社区”“安全发展示范城市”、国家综合减灾示范县、示范社区等创建工作，建设一批应急文化长廊、应急文化主题广场、应急文化主题公园、社区应急教育橱窗、农家书屋等应急文化阵地。建设网上应急宣传教育培训系统，打造网上应急科普平台，让应急文化影响人们的应急意识和行为。通过科学普及、休闲体验和应急教育相结合的形式，提高全民的防灾减灾避灾意识和应急处置应变能力。</w:t>
      </w:r>
    </w:p>
    <w:p>
      <w:pPr>
        <w:spacing w:line="560" w:lineRule="exact"/>
        <w:ind w:firstLine="640"/>
        <w:rPr>
          <w:rFonts w:ascii="Times New Roman" w:hAnsi="Times New Roman" w:eastAsia="仿宋_GB2312"/>
          <w:color w:val="000000"/>
          <w:sz w:val="32"/>
          <w:szCs w:val="28"/>
        </w:rPr>
      </w:pPr>
      <w:r>
        <w:rPr>
          <w:rFonts w:ascii="Times New Roman" w:hAnsi="Times New Roman" w:eastAsia="仿宋_GB2312"/>
          <w:b/>
          <w:color w:val="000000"/>
          <w:sz w:val="32"/>
          <w:szCs w:val="32"/>
        </w:rPr>
        <w:t>2.应急教育体验馆建设工程。</w:t>
      </w:r>
      <w:r>
        <w:rPr>
          <w:rFonts w:ascii="Times New Roman" w:hAnsi="Times New Roman" w:eastAsia="仿宋_GB2312"/>
          <w:color w:val="000000"/>
          <w:sz w:val="32"/>
          <w:szCs w:val="28"/>
        </w:rPr>
        <w:t>各县（市）依托现有科普及教育培训设施和资源，以应急为主题、以交互式体验为主要形式、以菜单式模拟训练为主要内容，采用声光电和多媒体等技术，模拟地震、洪涝、地质灾害、火灾、溺水、交通事故、危险化学品事故、家居安全、应急救护等灾害和应急场景，建设基于真实三维环境的突发事件模拟仿真设施、沉浸式体验设施、应急装备模拟操作设施、应急自救互救技能演示和训练设施等，鼓励各县（市）先行先试，建设应急教育体验馆（场）。</w:t>
      </w:r>
    </w:p>
    <w:p>
      <w:pPr>
        <w:spacing w:line="560" w:lineRule="exact"/>
        <w:ind w:firstLine="640"/>
        <w:rPr>
          <w:rFonts w:ascii="Times New Roman" w:hAnsi="Times New Roman" w:eastAsia="黑体"/>
          <w:bCs/>
          <w:color w:val="000000"/>
          <w:kern w:val="44"/>
          <w:sz w:val="32"/>
          <w:szCs w:val="44"/>
        </w:rPr>
      </w:pPr>
      <w:r>
        <w:rPr>
          <w:rFonts w:ascii="Times New Roman" w:hAnsi="Times New Roman" w:eastAsia="仿宋_GB2312"/>
          <w:b/>
          <w:color w:val="000000"/>
          <w:sz w:val="32"/>
          <w:szCs w:val="32"/>
        </w:rPr>
        <w:t>3.“百乡千村”应急知识培训工程。</w:t>
      </w:r>
      <w:r>
        <w:rPr>
          <w:rFonts w:ascii="Times New Roman" w:hAnsi="Times New Roman" w:eastAsia="仿宋_GB2312"/>
          <w:color w:val="000000"/>
          <w:sz w:val="32"/>
          <w:szCs w:val="28"/>
        </w:rPr>
        <w:t>以每户“参加一次知识培训、拥有一本避险手册”为目标，全面推动防灾减灾救灾知识进机关、进学校、进农村、进牧区、进社区、进家庭、进寺庙。每年重点支持不少于100个行政村（寨），由各县（市）人民政府组织开展防灾避险、自救互救安全知识培训，5年覆盖全州所有村（寨）。州、县（市）两级要充分借助广播电视、互联网、新媒体等平台普及防灾减灾应急知识，明显增强普通公众的危机意识，形成浓厚的学习应急、安全知识社会氛围。</w:t>
      </w:r>
    </w:p>
    <w:p>
      <w:pPr>
        <w:pStyle w:val="2"/>
        <w:keepNext w:val="0"/>
        <w:keepLines w:val="0"/>
        <w:widowControl w:val="0"/>
        <w:spacing w:before="0" w:after="0" w:line="560" w:lineRule="exact"/>
        <w:ind w:left="0" w:firstLine="0" w:firstLineChars="0"/>
        <w:rPr>
          <w:rFonts w:ascii="Times New Roman" w:hAnsi="Times New Roman" w:eastAsia="黑体"/>
          <w:b w:val="0"/>
          <w:color w:val="000000"/>
          <w:sz w:val="32"/>
        </w:rPr>
      </w:pPr>
    </w:p>
    <w:p>
      <w:pPr>
        <w:pStyle w:val="2"/>
        <w:keepNext w:val="0"/>
        <w:keepLines w:val="0"/>
        <w:widowControl w:val="0"/>
        <w:spacing w:before="0" w:after="0" w:line="560" w:lineRule="exact"/>
        <w:ind w:left="0" w:firstLine="0" w:firstLineChars="0"/>
        <w:jc w:val="center"/>
        <w:rPr>
          <w:rFonts w:ascii="Times New Roman" w:hAnsi="Times New Roman" w:eastAsia="黑体"/>
          <w:b w:val="0"/>
          <w:color w:val="000000"/>
          <w:sz w:val="32"/>
        </w:rPr>
      </w:pPr>
      <w:bookmarkStart w:id="25" w:name="_Toc90007161"/>
      <w:r>
        <w:rPr>
          <w:rFonts w:ascii="Times New Roman" w:hAnsi="Times New Roman" w:eastAsia="黑体"/>
          <w:b w:val="0"/>
          <w:color w:val="000000"/>
          <w:sz w:val="32"/>
        </w:rPr>
        <w:t>第五章 保障措施</w:t>
      </w:r>
      <w:bookmarkEnd w:id="25"/>
    </w:p>
    <w:p>
      <w:pPr>
        <w:spacing w:line="560" w:lineRule="exact"/>
        <w:jc w:val="cente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6" w:name="_Toc90007162"/>
      <w:r>
        <w:rPr>
          <w:rFonts w:ascii="Times New Roman" w:hAnsi="Times New Roman" w:eastAsia="楷体_GB2312"/>
          <w:color w:val="000000"/>
        </w:rPr>
        <w:t>第一节 加强组织领导</w:t>
      </w:r>
      <w:bookmarkEnd w:id="26"/>
    </w:p>
    <w:p>
      <w:pPr>
        <w:spacing w:line="560" w:lineRule="exact"/>
      </w:pPr>
    </w:p>
    <w:p>
      <w:pPr>
        <w:spacing w:line="560" w:lineRule="exact"/>
        <w:ind w:firstLine="606"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各级党委政府和有关部门要充分发挥规划引领作用，切实加强组织领导，细化工作分工，认真履行职责，积极推进规划目标、任务落实。完善配套政策措施，强化统筹协调，促进主要任务顺利实施，尽快落地见效。</w:t>
      </w:r>
    </w:p>
    <w:p>
      <w:pPr>
        <w:spacing w:line="560" w:lineRule="exact"/>
        <w:ind w:firstLine="606" w:firstLineChars="200"/>
        <w:rPr>
          <w:rFonts w:ascii="Times New Roman" w:hAnsi="Times New Roman" w:eastAsia="仿宋_GB2312"/>
          <w:color w:val="000000"/>
          <w:sz w:val="32"/>
          <w:szCs w:val="32"/>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7" w:name="_Toc90007163"/>
      <w:r>
        <w:rPr>
          <w:rFonts w:ascii="Times New Roman" w:hAnsi="Times New Roman" w:eastAsia="楷体_GB2312"/>
          <w:color w:val="000000"/>
        </w:rPr>
        <w:t>第二节 加大投入力度</w:t>
      </w:r>
      <w:bookmarkEnd w:id="27"/>
    </w:p>
    <w:p>
      <w:pPr>
        <w:spacing w:line="560" w:lineRule="exact"/>
      </w:pPr>
    </w:p>
    <w:p>
      <w:pPr>
        <w:spacing w:line="560" w:lineRule="exact"/>
        <w:ind w:firstLine="606"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健全政府、企业、社会相结合的应急管理体系投入机制，促进全州应急管理工作持续健康良性发展。充分发挥财政资金引领带动作用，统筹安排规划重点项目所需财政支出；拓宽多元投入保障渠道，简化重点项目审批核准程序，动员全社会广泛参与应急管理事业建设。扩大应急管理专项资金规模，积极争取国家、省级政策和项目资金支持。</w:t>
      </w:r>
    </w:p>
    <w:p>
      <w:pPr>
        <w:spacing w:line="560" w:lineRule="exact"/>
        <w:ind w:firstLine="606" w:firstLineChars="200"/>
        <w:rPr>
          <w:rFonts w:ascii="Times New Roman" w:hAnsi="Times New Roman" w:eastAsia="仿宋_GB2312"/>
          <w:bCs/>
          <w:color w:val="000000"/>
          <w:sz w:val="32"/>
          <w:szCs w:val="32"/>
        </w:rPr>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8" w:name="_Toc90007164"/>
      <w:r>
        <w:rPr>
          <w:rFonts w:ascii="Times New Roman" w:hAnsi="Times New Roman" w:eastAsia="楷体_GB2312"/>
          <w:color w:val="000000"/>
        </w:rPr>
        <w:t>第三节 强化措施保障</w:t>
      </w:r>
      <w:bookmarkEnd w:id="28"/>
    </w:p>
    <w:p>
      <w:pPr>
        <w:spacing w:line="560" w:lineRule="exact"/>
      </w:pPr>
    </w:p>
    <w:p>
      <w:pPr>
        <w:spacing w:line="560" w:lineRule="exact"/>
        <w:ind w:firstLine="606"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相关部门要按照规划制定相应的行动计划，发挥行业领域特长优势，研究完善有关政策措施，落实各环节责任，加快推进项目实施。各县（市）政府要承担属地项目的实施主体责任，制定细化实施方案，在合法合规前提下组织简化审批手续，为项目实施提供良好环境。</w:t>
      </w:r>
    </w:p>
    <w:p>
      <w:pPr>
        <w:spacing w:line="560" w:lineRule="exact"/>
        <w:ind w:firstLine="606" w:firstLineChars="200"/>
        <w:rPr>
          <w:rFonts w:ascii="Times New Roman" w:hAnsi="Times New Roman" w:eastAsia="仿宋_GB2312"/>
          <w:bCs/>
          <w:color w:val="000000"/>
          <w:sz w:val="32"/>
          <w:szCs w:val="32"/>
        </w:rPr>
      </w:pPr>
    </w:p>
    <w:p>
      <w:pPr>
        <w:pStyle w:val="12"/>
        <w:spacing w:line="540" w:lineRule="exact"/>
        <w:ind w:firstLine="386" w:firstLineChars="200"/>
      </w:pPr>
    </w:p>
    <w:p>
      <w:pPr>
        <w:pStyle w:val="3"/>
        <w:keepNext w:val="0"/>
        <w:keepLines w:val="0"/>
        <w:widowControl w:val="0"/>
        <w:spacing w:before="0" w:after="0" w:line="560" w:lineRule="exact"/>
        <w:ind w:left="0" w:firstLine="0" w:firstLineChars="0"/>
        <w:jc w:val="center"/>
        <w:rPr>
          <w:rFonts w:ascii="Times New Roman" w:hAnsi="Times New Roman" w:eastAsia="楷体_GB2312"/>
          <w:color w:val="000000"/>
        </w:rPr>
      </w:pPr>
      <w:bookmarkStart w:id="29" w:name="_Toc90007165"/>
      <w:r>
        <w:rPr>
          <w:rFonts w:ascii="Times New Roman" w:hAnsi="Times New Roman" w:eastAsia="楷体_GB2312"/>
          <w:color w:val="000000"/>
        </w:rPr>
        <w:t>第四节 强化贯彻落实</w:t>
      </w:r>
      <w:bookmarkEnd w:id="29"/>
    </w:p>
    <w:p>
      <w:pPr>
        <w:spacing w:line="560" w:lineRule="exact"/>
      </w:pPr>
    </w:p>
    <w:p>
      <w:pPr>
        <w:spacing w:line="560" w:lineRule="exact"/>
        <w:ind w:firstLine="606"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强化任务目标管理，实行全过程动态监管，定期通报情况。州应急管理部门要建立完善规划实施评估制度，分阶段对规划进展和落实情况进行考核评估，对发现的问题及时提出对策建议。各县（市）政府、州级各有关部门要建立完善应急体系重点项目建设管理机制，完善设施、队伍、平台等建成后的日常运维保障机制，确保规划建设目标、任务和重点项目完成。</w:t>
      </w:r>
    </w:p>
    <w:p>
      <w:pPr>
        <w:spacing w:line="560" w:lineRule="exact"/>
        <w:ind w:firstLine="606" w:firstLineChars="200"/>
        <w:rPr>
          <w:rFonts w:ascii="Times New Roman" w:hAnsi="Times New Roman" w:eastAsia="黑体"/>
          <w:bCs/>
          <w:color w:val="000000"/>
          <w:kern w:val="44"/>
          <w:sz w:val="32"/>
          <w:szCs w:val="44"/>
        </w:rPr>
      </w:pPr>
    </w:p>
    <w:p>
      <w:pPr>
        <w:pStyle w:val="2"/>
        <w:keepNext w:val="0"/>
        <w:keepLines w:val="0"/>
        <w:widowControl w:val="0"/>
        <w:spacing w:before="0" w:after="0" w:line="560" w:lineRule="exact"/>
        <w:jc w:val="center"/>
        <w:rPr>
          <w:rFonts w:ascii="Times New Roman" w:hAnsi="Times New Roman" w:eastAsia="黑体"/>
          <w:b w:val="0"/>
          <w:color w:val="000000"/>
          <w:sz w:val="32"/>
        </w:rPr>
      </w:pPr>
    </w:p>
    <w:p>
      <w:pPr>
        <w:widowControl/>
        <w:jc w:val="left"/>
        <w:rPr>
          <w:rFonts w:ascii="Times New Roman" w:hAnsi="Times New Roman" w:eastAsia="黑体"/>
          <w:sz w:val="32"/>
          <w:szCs w:val="32"/>
        </w:rPr>
      </w:pPr>
    </w:p>
    <w:p>
      <w:pPr>
        <w:rPr>
          <w:rFonts w:ascii="Times New Roman" w:hAnsi="Times New Roman" w:eastAsia="黑体"/>
          <w:sz w:val="32"/>
          <w:szCs w:val="32"/>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sectPr>
          <w:footerReference r:id="rId3" w:type="default"/>
          <w:footerReference r:id="rId4" w:type="even"/>
          <w:pgSz w:w="11907" w:h="16840"/>
          <w:pgMar w:top="2098" w:right="1474" w:bottom="1985" w:left="1588" w:header="851" w:footer="1588" w:gutter="0"/>
          <w:pgNumType w:fmt="numberInDash" w:start="1"/>
          <w:cols w:space="720" w:num="1"/>
          <w:docGrid w:type="linesAndChars" w:linePitch="289" w:charSpace="-3628"/>
        </w:sectPr>
      </w:pPr>
    </w:p>
    <w:p>
      <w:pPr>
        <w:pStyle w:val="2"/>
        <w:keepNext w:val="0"/>
        <w:keepLines w:val="0"/>
        <w:widowControl w:val="0"/>
        <w:spacing w:before="0" w:after="0" w:line="560" w:lineRule="exact"/>
        <w:ind w:left="0" w:firstLine="0" w:firstLineChars="0"/>
        <w:jc w:val="center"/>
        <w:rPr>
          <w:rFonts w:hint="eastAsia" w:ascii="黑体" w:eastAsia="黑体"/>
          <w:b w:val="0"/>
          <w:color w:val="000000"/>
          <w:sz w:val="32"/>
        </w:rPr>
      </w:pPr>
      <w:bookmarkStart w:id="30" w:name="_Toc90007166"/>
      <w:r>
        <w:rPr>
          <w:rFonts w:hint="eastAsia" w:ascii="黑体" w:eastAsia="黑体"/>
          <w:b w:val="0"/>
          <w:color w:val="000000"/>
          <w:sz w:val="32"/>
        </w:rPr>
        <w:t xml:space="preserve">第六章 </w:t>
      </w:r>
      <w:r>
        <w:rPr>
          <w:rFonts w:hint="eastAsia" w:ascii="黑体" w:eastAsia="黑体"/>
          <w:b w:val="0"/>
          <w:color w:val="000000"/>
          <w:sz w:val="32"/>
          <w:szCs w:val="32"/>
        </w:rPr>
        <w:t>阿坝州“十四五”应急管理体系建设规划项目汇总表</w:t>
      </w:r>
      <w:bookmarkEnd w:id="30"/>
    </w:p>
    <w:p>
      <w:pPr>
        <w:jc w:val="center"/>
        <w:rPr>
          <w:rFonts w:ascii="Times New Roman" w:hAnsi="Times New Roman" w:eastAsia="仿宋_GB2312"/>
          <w:b/>
          <w:bCs/>
          <w:color w:val="000000"/>
          <w:sz w:val="32"/>
          <w:szCs w:val="32"/>
        </w:rPr>
      </w:pPr>
    </w:p>
    <w:p>
      <w:pPr>
        <w:spacing w:line="500" w:lineRule="exact"/>
        <w:jc w:val="center"/>
        <w:rPr>
          <w:rFonts w:hint="eastAsia" w:ascii="楷体_GB2312" w:eastAsia="楷体_GB2312"/>
          <w:b/>
          <w:bCs/>
          <w:color w:val="000000"/>
          <w:sz w:val="32"/>
          <w:szCs w:val="32"/>
        </w:rPr>
      </w:pPr>
      <w:r>
        <w:rPr>
          <w:rFonts w:hint="eastAsia" w:ascii="楷体_GB2312" w:eastAsia="楷体_GB2312"/>
          <w:b/>
          <w:bCs/>
          <w:color w:val="000000"/>
          <w:sz w:val="32"/>
          <w:szCs w:val="32"/>
        </w:rPr>
        <w:t>1 综合防灾减灾能力提升工程</w:t>
      </w:r>
    </w:p>
    <w:tbl>
      <w:tblPr>
        <w:tblStyle w:val="13"/>
        <w:tblW w:w="14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321"/>
        <w:gridCol w:w="7735"/>
        <w:gridCol w:w="1339"/>
        <w:gridCol w:w="140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45"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项目编号</w:t>
            </w:r>
          </w:p>
        </w:tc>
        <w:tc>
          <w:tcPr>
            <w:tcW w:w="2321"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项目名称</w:t>
            </w:r>
          </w:p>
        </w:tc>
        <w:tc>
          <w:tcPr>
            <w:tcW w:w="7735"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主要内容</w:t>
            </w:r>
          </w:p>
        </w:tc>
        <w:tc>
          <w:tcPr>
            <w:tcW w:w="1339"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建设单位</w:t>
            </w:r>
          </w:p>
        </w:tc>
        <w:tc>
          <w:tcPr>
            <w:tcW w:w="1407"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配合单位</w:t>
            </w:r>
          </w:p>
        </w:tc>
        <w:tc>
          <w:tcPr>
            <w:tcW w:w="1420" w:type="dxa"/>
            <w:tcBorders>
              <w:tl2br w:val="nil"/>
              <w:tr2bl w:val="nil"/>
            </w:tcBorders>
            <w:vAlign w:val="center"/>
          </w:tcPr>
          <w:p>
            <w:pPr>
              <w:widowControl/>
              <w:spacing w:line="280" w:lineRule="exact"/>
              <w:jc w:val="center"/>
              <w:rPr>
                <w:rFonts w:hint="eastAsia" w:ascii="仿宋_GB2312" w:eastAsia="仿宋_GB2312"/>
                <w:b/>
                <w:bCs/>
                <w:color w:val="000000"/>
                <w:sz w:val="24"/>
                <w:szCs w:val="24"/>
              </w:rPr>
            </w:pPr>
            <w:r>
              <w:rPr>
                <w:rFonts w:hint="eastAsia" w:ascii="仿宋_GB2312"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1.1</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自然灾害综合风险普查</w:t>
            </w:r>
          </w:p>
        </w:tc>
        <w:tc>
          <w:tcPr>
            <w:tcW w:w="7735"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bCs/>
                <w:color w:val="000000"/>
                <w:sz w:val="24"/>
                <w:szCs w:val="24"/>
              </w:rPr>
              <w:t>开展全州自然灾害综合风险普查，全面获取主要灾害致灾信息、承灾体信息、历史灾害信息，摸清灾害风险隐患底数，查明重点区域抗灾能力，建立分类型、分区域的自然灾害综合风险与减灾能力数据库，开展主要灾害风险评估和综合风险评估，</w:t>
            </w:r>
            <w:r>
              <w:rPr>
                <w:rFonts w:ascii="Times New Roman" w:hAnsi="Times New Roman" w:eastAsia="仿宋_GB2312"/>
                <w:color w:val="000000"/>
                <w:sz w:val="24"/>
                <w:szCs w:val="24"/>
              </w:rPr>
              <w:t>编制州、县（市）两级自然灾害系列风险图；修订主要灾种区划，编制州、县（市）两级综合风险区划和灾害综合防治区划。</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1.2</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地震监测预警能力提升工程</w:t>
            </w:r>
          </w:p>
        </w:tc>
        <w:tc>
          <w:tcPr>
            <w:tcW w:w="773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将阿坝地震中心站建设成为区域地震监测中心。引入当前地震监测预警前沿科技，构建以全州13县（市）多测项综合地球物理观测站点为基础，以加强龙门山、岷江、松岗、龙日坝、抚边等州内主要断层观测为重点，以全州地下水普查结果为技术支撑，以流体观测站点为特色的阿坝州地震监测预警台网，提升全州地震灾害综合监测、早期识别、预报预警能力。升级阿坝地震监测台网中心的软、硬件，提升地震监测效率，增加地震监测精度。加密测震、地震物理台网，在马尔康市、小金县、若尔盖县、壤塘县、茂县建设综合地震台。在政府单位、企业、学校、医院等地加密安装预警终端；在全州各个县（市）建设州级地震宏观观测点；全州建设1-2个流动测震台。</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州防震减灾局</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1.3</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防洪排涝减灾工程</w:t>
            </w:r>
          </w:p>
        </w:tc>
        <w:tc>
          <w:tcPr>
            <w:tcW w:w="773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推动防洪排涝设施建设，提升主要江河和重点中小河流重要河段的防洪能力。开展辖区河道防洪治理，分阶段系统提升河道防洪能力；加强低标改造、初期雨水截流、河道水系调整与整治。系统整治城区道路排水管网，逐步提升城镇排涝能力，使城乡防洪排涝等抵御自然灾害能力具有显著提升。</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1.4</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C、D级危房除险加固工程</w:t>
            </w:r>
          </w:p>
        </w:tc>
        <w:tc>
          <w:tcPr>
            <w:tcW w:w="7735"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在全州推动开展地震风险隐患排查，以民用C、D级危房为重点，开展风险隐患排查整治。以若尔盖县为试点，开展危房除险加固工程，提升防震抗灾能力。</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州防震减灾局、州住建局</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1.5</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农（牧）民居安全工程</w:t>
            </w:r>
          </w:p>
        </w:tc>
        <w:tc>
          <w:tcPr>
            <w:tcW w:w="773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按照突出重点、分步实施的原则，统筹乡村振兴、移民搬迁等涉农项目，结合农村（牧区）危旧房改造，帮助和引导广大农（牧）民通过新建、改造和加固等多种方式，采用抗震实用技术，建造抗震性能好、造价合理的房屋，提高抗御地震灾害能力。</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各县（市）人民政府</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1.6</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应急避难场所建设工程</w:t>
            </w:r>
          </w:p>
        </w:tc>
        <w:tc>
          <w:tcPr>
            <w:tcW w:w="773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推进应急避难场所设施标准化建设。按照《城市社区应急避难场所建设标准》（建标180-2017）或《地震应急避难场所建设标准》（GB 21734-2008），完善全州辖区内现有避难场所设施，健全应急标志标牌，补充硬件设施，配备必要的应急救援器材等配套功能设施。规划新建城区、乡（镇）应急避难场所，在灾害发生时为受灾群众提供基本生活保障。根据区域内人口数量与分布，合理安排区域内需建应急避难场所等级、地址与数量。在马尔康市、小金县、若尔盖县、红原县、壤塘县、九寨沟县、汶川县、松潘县等县新建或改造应急避难场所20余处并配套建设附属设施设备。</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各县（市）人民政府</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州发改委、州财政局、州住建局、州防震减灾局、州应急管理局</w:t>
            </w: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745"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1.7</w:t>
            </w:r>
          </w:p>
        </w:tc>
        <w:tc>
          <w:tcPr>
            <w:tcW w:w="232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应急远程广播系统建设工程</w:t>
            </w:r>
          </w:p>
        </w:tc>
        <w:tc>
          <w:tcPr>
            <w:tcW w:w="773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利用铁塔公司云传输技术，通过4G、5G技术传播，建立覆盖阿坝州全域的广播网。利用APP操作点对点输出，实现实时喊话、录音播放、文字转化语音等，确保应急信息快速精准传播。</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州、县（市）应急管理局、广播电视局</w:t>
            </w:r>
          </w:p>
        </w:tc>
        <w:tc>
          <w:tcPr>
            <w:tcW w:w="140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widowControl/>
        <w:spacing w:line="400" w:lineRule="exact"/>
        <w:jc w:val="center"/>
        <w:rPr>
          <w:rFonts w:ascii="Times New Roman" w:hAnsi="Times New Roman" w:eastAsia="仿宋_GB2312"/>
          <w:b/>
          <w:bCs/>
          <w:color w:val="000000"/>
          <w:sz w:val="32"/>
          <w:szCs w:val="32"/>
        </w:rPr>
      </w:pPr>
    </w:p>
    <w:p>
      <w:pPr>
        <w:pStyle w:val="12"/>
        <w:keepNext w:val="0"/>
        <w:keepLines w:val="0"/>
        <w:pageBreakBefore w:val="0"/>
        <w:widowControl w:val="0"/>
        <w:suppressLineNumbers w:val="0"/>
        <w:suppressAutoHyphens w:val="0"/>
        <w:spacing w:line="540" w:lineRule="exact"/>
      </w:pPr>
    </w:p>
    <w:p>
      <w:pPr>
        <w:keepNext w:val="0"/>
        <w:keepLines w:val="0"/>
        <w:pageBreakBefore w:val="0"/>
        <w:widowControl w:val="0"/>
        <w:suppressLineNumbers w:val="0"/>
        <w:suppressAutoHyphens w:val="0"/>
      </w:pPr>
    </w:p>
    <w:p>
      <w:pPr>
        <w:pStyle w:val="12"/>
        <w:keepNext w:val="0"/>
        <w:keepLines w:val="0"/>
        <w:pageBreakBefore w:val="0"/>
        <w:widowControl w:val="0"/>
        <w:suppressLineNumbers w:val="0"/>
        <w:suppressAutoHyphens w:val="0"/>
      </w:pPr>
    </w:p>
    <w:p>
      <w:pPr>
        <w:keepNext w:val="0"/>
        <w:keepLines w:val="0"/>
        <w:pageBreakBefore w:val="0"/>
        <w:widowControl w:val="0"/>
        <w:suppressLineNumbers w:val="0"/>
        <w:suppressAutoHyphens w:val="0"/>
      </w:pPr>
    </w:p>
    <w:p>
      <w:pPr>
        <w:widowControl/>
        <w:spacing w:line="500" w:lineRule="exact"/>
        <w:jc w:val="center"/>
        <w:rPr>
          <w:rFonts w:hint="eastAsia" w:ascii="楷体_GB2312" w:eastAsia="楷体_GB2312"/>
          <w:b/>
          <w:bCs/>
          <w:color w:val="000000"/>
          <w:sz w:val="32"/>
          <w:szCs w:val="32"/>
        </w:rPr>
      </w:pPr>
      <w:r>
        <w:rPr>
          <w:rFonts w:hint="eastAsia" w:ascii="楷体_GB2312" w:eastAsia="楷体_GB2312"/>
          <w:b/>
          <w:bCs/>
          <w:color w:val="000000"/>
          <w:sz w:val="32"/>
          <w:szCs w:val="32"/>
        </w:rPr>
        <w:t>2 安全风险防范能力提升工程</w:t>
      </w:r>
    </w:p>
    <w:tbl>
      <w:tblPr>
        <w:tblStyle w:val="13"/>
        <w:tblW w:w="15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320"/>
        <w:gridCol w:w="7733"/>
        <w:gridCol w:w="1339"/>
        <w:gridCol w:w="178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20"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33"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39"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85"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397"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2.1</w:t>
            </w:r>
          </w:p>
        </w:tc>
        <w:tc>
          <w:tcPr>
            <w:tcW w:w="23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重点行业（领域）企业基础数据库建设工程</w:t>
            </w:r>
          </w:p>
        </w:tc>
        <w:tc>
          <w:tcPr>
            <w:tcW w:w="7733"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建立重点行业（领域）企业安全风险和安全隐患数据库，建设安全风险等级和重大事故隐患分布电子图。实现高危企业在线监测和实现危险化学品生产企业入库登记。推进实现危险化学品企业重大危险源在线监测及事故预警信息纳入数据库。</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78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2.2</w:t>
            </w:r>
          </w:p>
        </w:tc>
        <w:tc>
          <w:tcPr>
            <w:tcW w:w="23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安全生产监管能力提升工程</w:t>
            </w:r>
          </w:p>
        </w:tc>
        <w:tc>
          <w:tcPr>
            <w:tcW w:w="773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按照安全监管监察职业能力建设标准，补充、更新州、县（市）两级应急管理综合执法机构装备；健全应急管理综合行政执法机构，充实州、县（市）两级行政执法人员，加强乡（镇）、工业园区监管执法机构和监管力量建设，推动执法力量向基层和一线倾斜；开展监管监察执法效果评估，开展基层监管监察人员业务技能培训，提升基层监管执法工作水平。</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w:t>
            </w:r>
          </w:p>
        </w:tc>
        <w:tc>
          <w:tcPr>
            <w:tcW w:w="178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2.3</w:t>
            </w:r>
          </w:p>
        </w:tc>
        <w:tc>
          <w:tcPr>
            <w:tcW w:w="23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遏制危险化学品重特大事故智能感知系统建设</w:t>
            </w:r>
          </w:p>
        </w:tc>
        <w:tc>
          <w:tcPr>
            <w:tcW w:w="7733"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bCs/>
                <w:color w:val="000000"/>
                <w:sz w:val="24"/>
                <w:szCs w:val="24"/>
              </w:rPr>
              <w:t>推进实施危险化学品生产经营企业危险化学品行业风险研判子系统建设。按照应急管理厅工作要求，建设全州危险化学品企业“北斗+”应急监测预警子系统。实施危险化学品企业特殊作业监控预警子系统建设。</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w:t>
            </w:r>
          </w:p>
        </w:tc>
        <w:tc>
          <w:tcPr>
            <w:tcW w:w="178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2.4</w:t>
            </w:r>
          </w:p>
        </w:tc>
        <w:tc>
          <w:tcPr>
            <w:tcW w:w="232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安全生产实训中心建设工程</w:t>
            </w:r>
          </w:p>
        </w:tc>
        <w:tc>
          <w:tcPr>
            <w:tcW w:w="773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在工业集中区所在县（市）建设安全生产实训中心，建设安全生产类模拟训练装置，包括危险化学品生产工艺处置、医药化工、油气管线泄漏、燃烧、爆炸的模拟处置训练设施等，提升安全生产知识训练和特种作业操作培训效果。</w:t>
            </w:r>
          </w:p>
        </w:tc>
        <w:tc>
          <w:tcPr>
            <w:tcW w:w="1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w:t>
            </w:r>
          </w:p>
        </w:tc>
        <w:tc>
          <w:tcPr>
            <w:tcW w:w="178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spacing w:line="280" w:lineRule="exact"/>
        <w:jc w:val="center"/>
        <w:rPr>
          <w:rFonts w:ascii="Times New Roman" w:hAnsi="Times New Roman" w:eastAsia="仿宋_GB2312"/>
          <w:bCs/>
          <w:color w:val="000000"/>
          <w:sz w:val="32"/>
          <w:szCs w:val="32"/>
        </w:rPr>
      </w:pPr>
    </w:p>
    <w:p>
      <w:pPr>
        <w:widowControl/>
        <w:spacing w:line="500" w:lineRule="exact"/>
        <w:jc w:val="center"/>
        <w:rPr>
          <w:rFonts w:hint="eastAsia" w:ascii="楷体_GB2312" w:eastAsia="楷体_GB2312"/>
          <w:b/>
          <w:bCs/>
          <w:color w:val="000000"/>
          <w:sz w:val="32"/>
          <w:szCs w:val="32"/>
        </w:rPr>
      </w:pPr>
      <w:r>
        <w:rPr>
          <w:rFonts w:ascii="Times New Roman" w:hAnsi="Times New Roman" w:eastAsia="仿宋_GB2312"/>
          <w:b/>
          <w:bCs/>
          <w:color w:val="000000"/>
          <w:sz w:val="32"/>
          <w:szCs w:val="32"/>
        </w:rPr>
        <w:br w:type="page"/>
      </w:r>
      <w:r>
        <w:rPr>
          <w:rFonts w:hint="eastAsia" w:ascii="楷体_GB2312" w:eastAsia="楷体_GB2312"/>
          <w:b/>
          <w:bCs/>
          <w:color w:val="000000"/>
          <w:sz w:val="32"/>
          <w:szCs w:val="32"/>
        </w:rPr>
        <w:t>3 应急救援能力提升工程</w:t>
      </w:r>
    </w:p>
    <w:tbl>
      <w:tblPr>
        <w:tblStyle w:val="13"/>
        <w:tblW w:w="15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318"/>
        <w:gridCol w:w="7725"/>
        <w:gridCol w:w="1337"/>
        <w:gridCol w:w="178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1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25"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37"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83"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395"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3.1</w:t>
            </w:r>
          </w:p>
        </w:tc>
        <w:tc>
          <w:tcPr>
            <w:tcW w:w="231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应急救援基地建设工程</w:t>
            </w:r>
          </w:p>
        </w:tc>
        <w:tc>
          <w:tcPr>
            <w:tcW w:w="772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将“阿坝州应急救援基地”纳入四川省应急救援能力提升行动计划统一实施，并力争将该项目纳入“十四五”国家支持藏区经济社会发展规划。依托区域应急救援中心，建设2—3个区域应急救援保障中心，确保反应快速、处置及时、保障有力。建设州级区域应急救援基地1个，力争建成区域应急救援基地3个（红原县、汶川县、松潘县）。建设阿坝州航空应急救援中心分基地。</w:t>
            </w:r>
          </w:p>
        </w:tc>
        <w:tc>
          <w:tcPr>
            <w:tcW w:w="133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州应急管理局，有关县（市）政府</w:t>
            </w:r>
          </w:p>
        </w:tc>
        <w:tc>
          <w:tcPr>
            <w:tcW w:w="178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州发改委、州财政局</w:t>
            </w:r>
          </w:p>
        </w:tc>
        <w:tc>
          <w:tcPr>
            <w:tcW w:w="139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3.2</w:t>
            </w:r>
          </w:p>
        </w:tc>
        <w:tc>
          <w:tcPr>
            <w:tcW w:w="231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城乡消防站、队建设工程</w:t>
            </w:r>
          </w:p>
        </w:tc>
        <w:tc>
          <w:tcPr>
            <w:tcW w:w="7725" w:type="dxa"/>
            <w:tcBorders>
              <w:tl2br w:val="nil"/>
              <w:tr2bl w:val="nil"/>
            </w:tcBorders>
            <w:vAlign w:val="center"/>
          </w:tcPr>
          <w:p>
            <w:pPr>
              <w:widowControl/>
              <w:spacing w:line="280" w:lineRule="exact"/>
              <w:ind w:left="111" w:hanging="112" w:hangingChars="50"/>
              <w:rPr>
                <w:rFonts w:ascii="Times New Roman" w:hAnsi="Times New Roman" w:eastAsia="仿宋_GB2312"/>
                <w:bCs/>
                <w:color w:val="000000"/>
                <w:sz w:val="24"/>
                <w:szCs w:val="24"/>
              </w:rPr>
            </w:pPr>
            <w:r>
              <w:rPr>
                <w:rFonts w:ascii="Times New Roman" w:hAnsi="Times New Roman" w:eastAsia="仿宋_GB2312"/>
                <w:color w:val="000000"/>
                <w:sz w:val="24"/>
                <w:szCs w:val="24"/>
              </w:rPr>
              <w:t>“十四五”期间在金川县安宁镇等地建设7个乡（镇）一级消防站，在马尔康市沙尔宗镇等地建设6个乡（镇）二级消防站，分期逐步完成重点单位、乡（镇）和村（社区）的微型消防站提档升级，建设380个消防水池。按照基层防灭火工作需要，招录政府专职消防员，并配备必要的消防设施设备。</w:t>
            </w:r>
          </w:p>
        </w:tc>
        <w:tc>
          <w:tcPr>
            <w:tcW w:w="133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州消防救援支队</w:t>
            </w:r>
          </w:p>
        </w:tc>
        <w:tc>
          <w:tcPr>
            <w:tcW w:w="178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州应急管理局、州财政局</w:t>
            </w:r>
          </w:p>
        </w:tc>
        <w:tc>
          <w:tcPr>
            <w:tcW w:w="139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3.3</w:t>
            </w:r>
          </w:p>
        </w:tc>
        <w:tc>
          <w:tcPr>
            <w:tcW w:w="231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应急救援装备配备工程</w:t>
            </w:r>
          </w:p>
        </w:tc>
        <w:tc>
          <w:tcPr>
            <w:tcW w:w="7725"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为国家综合消防应急救援队伍、政府专职消防员、民兵应急队伍、“轻骑兵”前突小队和志愿消防速报员队伍配备适合阿坝州应急救援急需适用的应急救援装备和个人防护装备。为战勤保障基地配置相应的战勤保障车辆和物资储备，完善训练基地的训练设施。为危险化学品生产、储存、运输重点区域配备专业应急救援物资装备。</w:t>
            </w:r>
          </w:p>
        </w:tc>
        <w:tc>
          <w:tcPr>
            <w:tcW w:w="133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州消防救援支队、州森林消防支队、各县（市）人民政府</w:t>
            </w:r>
          </w:p>
        </w:tc>
        <w:tc>
          <w:tcPr>
            <w:tcW w:w="178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州发改委、州财政局、州应急管理局</w:t>
            </w:r>
          </w:p>
        </w:tc>
        <w:tc>
          <w:tcPr>
            <w:tcW w:w="139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3.4</w:t>
            </w:r>
          </w:p>
        </w:tc>
        <w:tc>
          <w:tcPr>
            <w:tcW w:w="231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森林航空消防基础设施建设工程</w:t>
            </w:r>
          </w:p>
        </w:tc>
        <w:tc>
          <w:tcPr>
            <w:tcW w:w="772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在金川、阿坝、壤塘、理县、松潘等县建设5个野外停机坪，配套建设短距离外连道路等设施。在阿坝、壤塘、松潘建设9处航空消防取水点。整合低空旅游（通用航空）等力量，补齐灾害救援空中力量短板，增加空中救援力量的覆盖面。重点林区森林航空消防覆盖率达到90%,应急人工影响天气装备作业覆盖率达到80%。启动九寨沟航空护林站项目建设工作。</w:t>
            </w:r>
          </w:p>
        </w:tc>
        <w:tc>
          <w:tcPr>
            <w:tcW w:w="1337"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金川县、阿坝县、壤塘县、理县、九寨沟县、松潘县人民政府</w:t>
            </w:r>
          </w:p>
        </w:tc>
        <w:tc>
          <w:tcPr>
            <w:tcW w:w="178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州应急管理局、州发改委、州财政局</w:t>
            </w:r>
          </w:p>
        </w:tc>
        <w:tc>
          <w:tcPr>
            <w:tcW w:w="139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3.5</w:t>
            </w:r>
          </w:p>
        </w:tc>
        <w:tc>
          <w:tcPr>
            <w:tcW w:w="231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应急救援队伍建设工程</w:t>
            </w:r>
          </w:p>
        </w:tc>
        <w:tc>
          <w:tcPr>
            <w:tcW w:w="772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依托各级团委和红十字会建立志愿者应急救援队伍，依托森林消防建立矿山、山地专业应急救援队伍。依托综合应急救援基地组建州本级综合救援救援队伍。提高应急救援队伍建设标准，提升应急救援队伍物资、装备保障能力。在重点地区、工业集中区和地质灾害高发频发地区组建“轻骑兵”前突小队和志愿消防速报员队伍。督促指导危化品等生产经营单位结合应急救援工作需要建立专（兼）职应急救援队伍。继续与省内国有企事业单位开展应急救援战略合作，补齐全州应急力量、资源的短板。</w:t>
            </w:r>
          </w:p>
        </w:tc>
        <w:tc>
          <w:tcPr>
            <w:tcW w:w="133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各县（市）人民政府</w:t>
            </w:r>
          </w:p>
        </w:tc>
        <w:tc>
          <w:tcPr>
            <w:tcW w:w="178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州发改委、州财政局、州应急管理局、州林草局、州消防救援支队、州森林消防支队</w:t>
            </w:r>
          </w:p>
        </w:tc>
        <w:tc>
          <w:tcPr>
            <w:tcW w:w="1395"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spacing w:line="280" w:lineRule="exact"/>
        <w:rPr>
          <w:rFonts w:ascii="Times New Roman" w:hAnsi="Times New Roman" w:eastAsia="仿宋_GB2312"/>
          <w:bCs/>
          <w:color w:val="000000"/>
          <w:sz w:val="32"/>
          <w:szCs w:val="32"/>
        </w:rPr>
      </w:pPr>
    </w:p>
    <w:p>
      <w:pPr>
        <w:spacing w:line="280" w:lineRule="exact"/>
        <w:rPr>
          <w:rFonts w:ascii="Times New Roman" w:hAnsi="Times New Roman" w:eastAsia="仿宋_GB2312"/>
          <w:bCs/>
          <w:color w:val="000000"/>
          <w:sz w:val="32"/>
          <w:szCs w:val="32"/>
        </w:rPr>
      </w:pPr>
    </w:p>
    <w:p>
      <w:pPr>
        <w:spacing w:line="280" w:lineRule="exact"/>
        <w:rPr>
          <w:rFonts w:ascii="Times New Roman" w:hAnsi="Times New Roman" w:eastAsia="仿宋_GB2312"/>
          <w:bCs/>
          <w:color w:val="000000"/>
          <w:sz w:val="32"/>
          <w:szCs w:val="32"/>
        </w:rPr>
      </w:pPr>
    </w:p>
    <w:p>
      <w:pPr>
        <w:spacing w:line="280" w:lineRule="exact"/>
        <w:rPr>
          <w:rFonts w:ascii="Times New Roman" w:hAnsi="Times New Roman" w:eastAsia="仿宋_GB2312"/>
          <w:bCs/>
          <w:color w:val="000000"/>
          <w:sz w:val="32"/>
          <w:szCs w:val="32"/>
        </w:rPr>
      </w:pPr>
    </w:p>
    <w:p>
      <w:pPr>
        <w:spacing w:line="280" w:lineRule="exact"/>
        <w:rPr>
          <w:rFonts w:ascii="Times New Roman" w:hAnsi="Times New Roman" w:eastAsia="仿宋_GB2312"/>
          <w:bCs/>
          <w:color w:val="000000"/>
          <w:sz w:val="32"/>
          <w:szCs w:val="32"/>
        </w:rPr>
      </w:pPr>
    </w:p>
    <w:p>
      <w:pPr>
        <w:widowControl/>
        <w:spacing w:line="500" w:lineRule="exact"/>
        <w:jc w:val="center"/>
        <w:rPr>
          <w:rFonts w:hint="eastAsia" w:ascii="楷体_GB2312" w:eastAsia="楷体_GB2312"/>
          <w:b/>
          <w:bCs/>
          <w:color w:val="000000"/>
          <w:sz w:val="32"/>
          <w:szCs w:val="32"/>
        </w:rPr>
      </w:pPr>
      <w:r>
        <w:rPr>
          <w:rFonts w:ascii="Times New Roman" w:hAnsi="Times New Roman" w:eastAsia="仿宋_GB2312"/>
          <w:b/>
          <w:bCs/>
          <w:color w:val="000000"/>
          <w:sz w:val="32"/>
          <w:szCs w:val="32"/>
        </w:rPr>
        <w:br w:type="page"/>
      </w:r>
      <w:r>
        <w:rPr>
          <w:rFonts w:hint="eastAsia" w:ascii="楷体_GB2312" w:eastAsia="楷体_GB2312"/>
          <w:b/>
          <w:bCs/>
          <w:color w:val="000000"/>
          <w:sz w:val="32"/>
          <w:szCs w:val="32"/>
        </w:rPr>
        <w:t>4 应急保障能力提升工程</w:t>
      </w:r>
    </w:p>
    <w:tbl>
      <w:tblPr>
        <w:tblStyle w:val="13"/>
        <w:tblW w:w="15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319"/>
        <w:gridCol w:w="7731"/>
        <w:gridCol w:w="1338"/>
        <w:gridCol w:w="178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19"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30"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3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8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396"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0"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4.1</w:t>
            </w:r>
          </w:p>
        </w:tc>
        <w:tc>
          <w:tcPr>
            <w:tcW w:w="231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应急物资储备库建设工程</w:t>
            </w:r>
          </w:p>
        </w:tc>
        <w:tc>
          <w:tcPr>
            <w:tcW w:w="7730"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对州、县（市）、乡（镇）现有应急抢险物资储备库、乡（镇）应急抢险物资储备库进行适应性改造升级。在马尔康市、松潘县建设阿坝州中部地区草原防扑火物资储备项目。在马尔康市、理县、松潘县等地建设应急物资储备骨干库。依托应急管理综合信息化平台，实现各级、各部门、政企之间应急物资统一管理、数据互联互通、信息共享。</w:t>
            </w:r>
          </w:p>
        </w:tc>
        <w:tc>
          <w:tcPr>
            <w:tcW w:w="133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县（市）应急管理局、发改</w:t>
            </w:r>
            <w:r>
              <w:rPr>
                <w:rFonts w:ascii="Times New Roman" w:hAnsi="Times New Roman" w:eastAsia="仿宋_GB2312"/>
                <w:bCs/>
                <w:color w:val="000000"/>
                <w:sz w:val="24"/>
                <w:szCs w:val="24"/>
              </w:rPr>
              <w:t>局</w:t>
            </w:r>
          </w:p>
        </w:tc>
        <w:tc>
          <w:tcPr>
            <w:tcW w:w="1784"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 xml:space="preserve">2021-2025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7" w:hRule="atLeast"/>
          <w:jc w:val="center"/>
        </w:trPr>
        <w:tc>
          <w:tcPr>
            <w:tcW w:w="74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4.2</w:t>
            </w:r>
          </w:p>
        </w:tc>
        <w:tc>
          <w:tcPr>
            <w:tcW w:w="231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应急通讯保障能力提升工程</w:t>
            </w:r>
          </w:p>
        </w:tc>
        <w:tc>
          <w:tcPr>
            <w:tcW w:w="7730"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bCs/>
                <w:color w:val="000000"/>
                <w:sz w:val="24"/>
                <w:szCs w:val="24"/>
              </w:rPr>
              <w:t>结合阿坝州各县（市）实际，开展应急通信保障队伍建设和通信保障队伍装备配备，保障应急救援现场通信全天候、全地域、全时段畅通。各县（市）按照标准配齐关键通信装备并达到“一主一备”要求。构建应急卫星通信网，实现应急现场远距离通信和扁平化指挥通信。建设本地应急窄带数字集群通信系统，搭建370MHz频率PDT应急指挥窄带无线通信网，购置北斗有源终端，满足极端应急场景下终端位置、短报文等信息通信需要。配备车载、背负等通信终端，实现现场与后方指挥中心通信支撑，各县（市）至少配置（超）轻型便携站1台。在自然灾害高风险区域，为基层应急队伍购置超短波电台、对讲机、卫星电话等通讯设备。</w:t>
            </w:r>
          </w:p>
        </w:tc>
        <w:tc>
          <w:tcPr>
            <w:tcW w:w="133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w:t>
            </w:r>
          </w:p>
        </w:tc>
        <w:tc>
          <w:tcPr>
            <w:tcW w:w="1784"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spacing w:line="280" w:lineRule="exact"/>
        <w:jc w:val="center"/>
        <w:rPr>
          <w:rFonts w:ascii="Times New Roman" w:hAnsi="Times New Roman" w:eastAsia="仿宋_GB2312"/>
          <w:bCs/>
          <w:color w:val="000000"/>
          <w:sz w:val="32"/>
          <w:szCs w:val="32"/>
        </w:rPr>
      </w:pPr>
    </w:p>
    <w:p>
      <w:pPr>
        <w:spacing w:line="280" w:lineRule="exact"/>
        <w:jc w:val="center"/>
        <w:rPr>
          <w:rFonts w:ascii="Times New Roman" w:hAnsi="Times New Roman" w:eastAsia="仿宋_GB2312"/>
          <w:bCs/>
          <w:color w:val="000000"/>
          <w:sz w:val="32"/>
          <w:szCs w:val="32"/>
        </w:rPr>
      </w:pPr>
    </w:p>
    <w:p>
      <w:pPr>
        <w:widowControl/>
        <w:spacing w:line="500" w:lineRule="exact"/>
        <w:jc w:val="center"/>
        <w:rPr>
          <w:rFonts w:hint="eastAsia" w:ascii="楷体_GB2312" w:eastAsia="楷体_GB2312"/>
          <w:b/>
          <w:bCs/>
          <w:color w:val="000000"/>
          <w:sz w:val="32"/>
          <w:szCs w:val="32"/>
        </w:rPr>
      </w:pPr>
      <w:r>
        <w:rPr>
          <w:rFonts w:ascii="Times New Roman" w:hAnsi="Times New Roman" w:eastAsia="仿宋_GB2312"/>
          <w:b/>
          <w:bCs/>
          <w:color w:val="000000"/>
          <w:sz w:val="32"/>
          <w:szCs w:val="32"/>
        </w:rPr>
        <w:br w:type="page"/>
      </w:r>
      <w:r>
        <w:rPr>
          <w:rFonts w:hint="eastAsia" w:ascii="楷体_GB2312" w:eastAsia="楷体_GB2312"/>
          <w:b/>
          <w:bCs/>
          <w:color w:val="000000"/>
          <w:sz w:val="32"/>
          <w:szCs w:val="32"/>
        </w:rPr>
        <w:t>5 应急管理信息化建设工程</w:t>
      </w:r>
    </w:p>
    <w:tbl>
      <w:tblPr>
        <w:tblStyle w:val="13"/>
        <w:tblW w:w="15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323"/>
        <w:gridCol w:w="7739"/>
        <w:gridCol w:w="1340"/>
        <w:gridCol w:w="178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23"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39"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40"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86"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39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5.1</w:t>
            </w:r>
          </w:p>
        </w:tc>
        <w:tc>
          <w:tcPr>
            <w:tcW w:w="2323"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应急指挥信息化及指挥场所建设</w:t>
            </w:r>
          </w:p>
        </w:tc>
        <w:tc>
          <w:tcPr>
            <w:tcW w:w="773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建成阿坝州智慧应急管理系统（信息化）及应急指挥中心（场所），支持建设马尔康、红原、汶川、松潘四个区域应急指挥平台。通过多种通信手段与固定指挥中心实现互联互通，满足应急值守、会商研判和决策指挥调度等基本需求。</w:t>
            </w:r>
          </w:p>
        </w:tc>
        <w:tc>
          <w:tcPr>
            <w:tcW w:w="134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州应急管理局、各县（市）人民政府</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州发改委、州财政局</w:t>
            </w: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3"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5.2</w:t>
            </w:r>
          </w:p>
        </w:tc>
        <w:tc>
          <w:tcPr>
            <w:tcW w:w="232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应急管理综合信息化平台建设工程</w:t>
            </w:r>
          </w:p>
        </w:tc>
        <w:tc>
          <w:tcPr>
            <w:tcW w:w="7739" w:type="dxa"/>
            <w:tcBorders>
              <w:tl2br w:val="nil"/>
              <w:tr2bl w:val="nil"/>
            </w:tcBorders>
            <w:vAlign w:val="center"/>
          </w:tcPr>
          <w:p>
            <w:pPr>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开展州本级</w:t>
            </w:r>
            <w:r>
              <w:rPr>
                <w:rFonts w:ascii="Times New Roman" w:hAnsi="Times New Roman" w:eastAsia="仿宋_GB2312"/>
                <w:bCs/>
                <w:color w:val="000000"/>
                <w:sz w:val="24"/>
                <w:szCs w:val="24"/>
              </w:rPr>
              <w:t>应急管理综合信息化平台</w:t>
            </w:r>
            <w:r>
              <w:rPr>
                <w:rFonts w:ascii="Times New Roman" w:hAnsi="Times New Roman" w:eastAsia="仿宋_GB2312"/>
                <w:color w:val="000000"/>
                <w:sz w:val="24"/>
                <w:szCs w:val="24"/>
              </w:rPr>
              <w:t>建设，整合在用、拟建系统，汇聚接入各部门业务数据，对接省级平台。开展州级数据治理，数据安全、应用安全、终端安全建设感知网安全防护体系建设。开展认证授权与密码服务、可视化运维管理等系统建设。开展县（市）级应急管理综合信息化平台建设，完成本地的业务数据与管理数据接入工作。</w:t>
            </w:r>
          </w:p>
        </w:tc>
        <w:tc>
          <w:tcPr>
            <w:tcW w:w="134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州应急管理局、各县（市）应急管理局</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 xml:space="preserve">2021-2025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7"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5.3</w:t>
            </w:r>
          </w:p>
        </w:tc>
        <w:tc>
          <w:tcPr>
            <w:tcW w:w="232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风险隐患实时监测预警系统建设工程</w:t>
            </w:r>
          </w:p>
        </w:tc>
        <w:tc>
          <w:tcPr>
            <w:tcW w:w="77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科学设置辖区内各类重点风险隐患监控点位，对辖区内重大危险源、重点设施（装置）等进行实时监测。利用卫星通信、北斗导航、卫星遥感、航空遥感等高科技手段，接入气象、水文、地质等基础信息，拓展应急管理信息触角，加强对山区乡（镇）、村（社区）地质灾害、山洪泥石流、地震灾害等自然灾害点位、森林草原防灭火观测点位的动态实时监测，及时发布预警信息。风险监测预警系统能全部实现风险隐患点位可视化动态化管理，辅助领导指挥决策。</w:t>
            </w:r>
          </w:p>
        </w:tc>
        <w:tc>
          <w:tcPr>
            <w:tcW w:w="134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5.4</w:t>
            </w:r>
          </w:p>
        </w:tc>
        <w:tc>
          <w:tcPr>
            <w:tcW w:w="232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突发事件预警信息发布系统项目</w:t>
            </w:r>
          </w:p>
        </w:tc>
        <w:tc>
          <w:tcPr>
            <w:tcW w:w="77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通过建设预警信息发布中心与预警信息发布系统，实现省、州、县（市）三级平台及同级政府、相关部门突发公共事件应急指挥平台的无缝链接，整合现有各类发布手段和渠道，实现纵向各级横向各部门突发事件预警信息的统一收集、及时发布。</w:t>
            </w:r>
          </w:p>
        </w:tc>
        <w:tc>
          <w:tcPr>
            <w:tcW w:w="134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州、县（市）应急管理局</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州、县（市）相关行业部门</w:t>
            </w: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5.5</w:t>
            </w:r>
          </w:p>
        </w:tc>
        <w:tc>
          <w:tcPr>
            <w:tcW w:w="232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无人机监测预警能力建设工程</w:t>
            </w:r>
          </w:p>
        </w:tc>
        <w:tc>
          <w:tcPr>
            <w:tcW w:w="7739"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建立无人机应急监测队伍，配套完成系统软硬件建设，以加强对地震和森林草原防火关键控制区域的监测预警能力。通过多台无人机，全面覆盖重点监测区域内的空中图像捕捉、信号识别、危险等级研判，完成信息采集、分析和传输，实现危险早发现、早处置。</w:t>
            </w:r>
          </w:p>
        </w:tc>
        <w:tc>
          <w:tcPr>
            <w:tcW w:w="134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州、县（市）林草局</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746"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5.6</w:t>
            </w:r>
          </w:p>
        </w:tc>
        <w:tc>
          <w:tcPr>
            <w:tcW w:w="2323"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智慧消防系统建设工程</w:t>
            </w:r>
          </w:p>
        </w:tc>
        <w:tc>
          <w:tcPr>
            <w:tcW w:w="7739"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推动州本级及各县（市）建设智慧消防系统。全州基本建成统一的消防数据资源库、消防大数据平台，马尔康市建成消防物联网监控系统。火灾高危单位数据全面接入，各地“互联网+监管”模式初步建立，州、县两级相关数据实现互联互通。2025年，全州各级智慧消防系统建设基本完成，内部业务系统和外部行业部门数据全面接入，智慧消防系统在火灾防控领域、公共服务领域、应急救援指挥调度领域应用初显成效。</w:t>
            </w:r>
          </w:p>
        </w:tc>
        <w:tc>
          <w:tcPr>
            <w:tcW w:w="1340"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州消防救援支队</w:t>
            </w:r>
          </w:p>
        </w:tc>
        <w:tc>
          <w:tcPr>
            <w:tcW w:w="178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spacing w:line="280" w:lineRule="exact"/>
        <w:jc w:val="center"/>
        <w:rPr>
          <w:rFonts w:ascii="Times New Roman" w:hAnsi="Times New Roman" w:eastAsia="仿宋_GB2312"/>
          <w:bCs/>
          <w:color w:val="000000"/>
          <w:sz w:val="32"/>
          <w:szCs w:val="32"/>
        </w:rPr>
      </w:pPr>
    </w:p>
    <w:p>
      <w:pPr>
        <w:spacing w:line="280" w:lineRule="exact"/>
        <w:jc w:val="center"/>
        <w:rPr>
          <w:rFonts w:ascii="Times New Roman" w:hAnsi="Times New Roman" w:eastAsia="仿宋_GB2312"/>
          <w:bCs/>
          <w:color w:val="000000"/>
          <w:sz w:val="32"/>
          <w:szCs w:val="32"/>
        </w:rPr>
      </w:pPr>
    </w:p>
    <w:p>
      <w:pPr>
        <w:widowControl/>
        <w:spacing w:line="500" w:lineRule="exact"/>
        <w:jc w:val="center"/>
        <w:rPr>
          <w:rFonts w:hint="eastAsia" w:ascii="楷体_GB2312" w:eastAsia="楷体_GB2312"/>
          <w:b/>
          <w:bCs/>
          <w:color w:val="000000"/>
          <w:sz w:val="32"/>
          <w:szCs w:val="32"/>
        </w:rPr>
      </w:pPr>
      <w:r>
        <w:rPr>
          <w:rFonts w:hint="eastAsia" w:ascii="楷体_GB2312" w:eastAsia="楷体_GB2312"/>
          <w:b/>
          <w:bCs/>
          <w:color w:val="000000"/>
          <w:sz w:val="32"/>
          <w:szCs w:val="32"/>
        </w:rPr>
        <w:t>6 应急准备能力提升工程</w:t>
      </w:r>
    </w:p>
    <w:tbl>
      <w:tblPr>
        <w:tblStyle w:val="13"/>
        <w:tblW w:w="15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328"/>
        <w:gridCol w:w="7761"/>
        <w:gridCol w:w="1343"/>
        <w:gridCol w:w="1791"/>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7"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2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60"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43"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91"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402"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74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6.1</w:t>
            </w:r>
          </w:p>
        </w:tc>
        <w:tc>
          <w:tcPr>
            <w:tcW w:w="232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重特大自然灾害区域救援行动方案建设工程</w:t>
            </w:r>
          </w:p>
        </w:tc>
        <w:tc>
          <w:tcPr>
            <w:tcW w:w="776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以重特大自然灾害应急救援能力评估成果为基础，以县（市）级行政区域为救援行动方案编制基本单元，采用情景构建模式模拟重特大自然发生场景，“州-县-乡”三级协同，应急、地震、林草、交通、公安等部门联动，从灾情研判、指挥调度、交通保畅、舆情管控等方面系统编制出“上下衔接、左右联动”的重特大灾害区域救援行动方案，最终形成“蛛网”式的灾害救援行动方案体系。以县域为单位逐步构筑出覆盖全州、灵活精准、互联互通的网式救援机制。</w:t>
            </w:r>
          </w:p>
        </w:tc>
        <w:tc>
          <w:tcPr>
            <w:tcW w:w="134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县（市）应急管理局、行业部门</w:t>
            </w:r>
          </w:p>
        </w:tc>
        <w:tc>
          <w:tcPr>
            <w:tcW w:w="179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02"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7"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6.2</w:t>
            </w:r>
          </w:p>
        </w:tc>
        <w:tc>
          <w:tcPr>
            <w:tcW w:w="232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应急管理业务能力提升培训工程</w:t>
            </w:r>
          </w:p>
        </w:tc>
        <w:tc>
          <w:tcPr>
            <w:tcW w:w="7760"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采取形式多样的培训授课方式，满足不同类别、不同层次的培训需求。开展各级党政干部安全生产、应急救援、防灾减灾救灾管理培训；具体从事安全生产、应急救援、防灾减灾救灾工作人员、执法监察人员、企业管理人员应急管理业务提升培训。</w:t>
            </w:r>
          </w:p>
          <w:p>
            <w:pPr>
              <w:widowControl/>
              <w:spacing w:line="280" w:lineRule="exact"/>
              <w:rPr>
                <w:rFonts w:ascii="Times New Roman" w:hAnsi="Times New Roman" w:eastAsia="仿宋_GB2312"/>
                <w:bCs/>
                <w:color w:val="000000"/>
                <w:sz w:val="24"/>
                <w:szCs w:val="24"/>
              </w:rPr>
            </w:pPr>
          </w:p>
        </w:tc>
        <w:tc>
          <w:tcPr>
            <w:tcW w:w="1343"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w:t>
            </w:r>
          </w:p>
        </w:tc>
        <w:tc>
          <w:tcPr>
            <w:tcW w:w="1791"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402"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w:t>
            </w:r>
          </w:p>
        </w:tc>
      </w:tr>
    </w:tbl>
    <w:p>
      <w:pPr>
        <w:spacing w:line="280" w:lineRule="exact"/>
        <w:jc w:val="center"/>
        <w:rPr>
          <w:rFonts w:ascii="Times New Roman" w:hAnsi="Times New Roman" w:eastAsia="仿宋_GB2312"/>
          <w:bCs/>
          <w:color w:val="000000"/>
          <w:sz w:val="32"/>
          <w:szCs w:val="32"/>
        </w:rPr>
      </w:pPr>
    </w:p>
    <w:p>
      <w:pPr>
        <w:spacing w:line="280" w:lineRule="exact"/>
        <w:jc w:val="center"/>
        <w:rPr>
          <w:rFonts w:ascii="Times New Roman" w:hAnsi="Times New Roman" w:eastAsia="仿宋_GB2312"/>
          <w:bCs/>
          <w:color w:val="000000"/>
          <w:sz w:val="32"/>
          <w:szCs w:val="32"/>
        </w:rPr>
      </w:pPr>
    </w:p>
    <w:p>
      <w:pPr>
        <w:spacing w:line="280" w:lineRule="exact"/>
        <w:jc w:val="center"/>
        <w:rPr>
          <w:rFonts w:ascii="Times New Roman" w:hAnsi="Times New Roman" w:eastAsia="仿宋_GB2312"/>
          <w:bCs/>
          <w:color w:val="000000"/>
          <w:sz w:val="32"/>
          <w:szCs w:val="32"/>
        </w:rPr>
      </w:pPr>
    </w:p>
    <w:p>
      <w:pPr>
        <w:widowControl/>
        <w:spacing w:line="500" w:lineRule="exact"/>
        <w:jc w:val="center"/>
        <w:rPr>
          <w:rFonts w:hint="eastAsia" w:ascii="楷体_GB2312" w:eastAsia="楷体_GB2312"/>
          <w:bCs/>
          <w:color w:val="000000"/>
          <w:sz w:val="32"/>
          <w:szCs w:val="32"/>
        </w:rPr>
      </w:pPr>
      <w:r>
        <w:rPr>
          <w:rFonts w:ascii="Times New Roman" w:hAnsi="Times New Roman" w:eastAsia="仿宋_GB2312"/>
          <w:b/>
          <w:bCs/>
          <w:color w:val="000000"/>
          <w:sz w:val="32"/>
          <w:szCs w:val="32"/>
        </w:rPr>
        <w:br w:type="page"/>
      </w:r>
      <w:r>
        <w:rPr>
          <w:rFonts w:hint="eastAsia" w:ascii="楷体_GB2312" w:eastAsia="楷体_GB2312"/>
          <w:b/>
          <w:bCs/>
          <w:color w:val="000000"/>
          <w:sz w:val="32"/>
          <w:szCs w:val="32"/>
        </w:rPr>
        <w:t>7 应急知识宣传教育工程</w:t>
      </w:r>
    </w:p>
    <w:tbl>
      <w:tblPr>
        <w:tblStyle w:val="13"/>
        <w:tblW w:w="15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39"/>
        <w:gridCol w:w="7728"/>
        <w:gridCol w:w="1338"/>
        <w:gridCol w:w="178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项目编号</w:t>
            </w:r>
          </w:p>
        </w:tc>
        <w:tc>
          <w:tcPr>
            <w:tcW w:w="2339"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项目名称</w:t>
            </w:r>
          </w:p>
        </w:tc>
        <w:tc>
          <w:tcPr>
            <w:tcW w:w="772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主要内容</w:t>
            </w:r>
          </w:p>
        </w:tc>
        <w:tc>
          <w:tcPr>
            <w:tcW w:w="1338"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建设单位</w:t>
            </w:r>
          </w:p>
        </w:tc>
        <w:tc>
          <w:tcPr>
            <w:tcW w:w="1784"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配合单位</w:t>
            </w:r>
          </w:p>
        </w:tc>
        <w:tc>
          <w:tcPr>
            <w:tcW w:w="1396" w:type="dxa"/>
            <w:tcBorders>
              <w:tl2br w:val="nil"/>
              <w:tr2bl w:val="nil"/>
            </w:tcBorders>
            <w:vAlign w:val="center"/>
          </w:tcPr>
          <w:p>
            <w:pPr>
              <w:widowControl/>
              <w:spacing w:line="280" w:lineRule="exact"/>
              <w:jc w:val="center"/>
              <w:rPr>
                <w:rFonts w:ascii="Times New Roman" w:hAnsi="Times New Roman" w:eastAsia="仿宋_GB2312"/>
                <w:b/>
                <w:bCs/>
                <w:color w:val="000000"/>
                <w:sz w:val="24"/>
                <w:szCs w:val="24"/>
              </w:rPr>
            </w:pPr>
            <w:r>
              <w:rPr>
                <w:rFonts w:ascii="Times New Roman" w:hAnsi="Times New Roman" w:eastAsia="仿宋_GB2312"/>
                <w:b/>
                <w:bCs/>
                <w:color w:val="000000"/>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2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7.1</w:t>
            </w:r>
          </w:p>
        </w:tc>
        <w:tc>
          <w:tcPr>
            <w:tcW w:w="2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应急文化教育平台建设工程</w:t>
            </w:r>
          </w:p>
        </w:tc>
        <w:tc>
          <w:tcPr>
            <w:tcW w:w="7728" w:type="dxa"/>
            <w:tcBorders>
              <w:tl2br w:val="nil"/>
              <w:tr2bl w:val="nil"/>
            </w:tcBorders>
            <w:vAlign w:val="center"/>
          </w:tcPr>
          <w:p>
            <w:pPr>
              <w:widowControl/>
              <w:spacing w:line="28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建设一批应急文化阵地。结合城乡环境综合治理、“安全社区”“安全发展示范城市”、国家综合减灾示范县、示范社区等创建工作，建设一批应急文化长廊、应急文化主题广场、应急文化主题公园、社区应急教育橱窗、农家书屋等应急文化阵地。建设网上应急宣传教育培训系统，打造网上应急科普平台，让应急文化影响人们的应急意识和行为。通过科学普及、休闲体验和应急教育相结合的形式，提高全民的防灾减灾避灾意识和应急处置应变能力。</w:t>
            </w:r>
          </w:p>
        </w:tc>
        <w:tc>
          <w:tcPr>
            <w:tcW w:w="133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w:t>
            </w:r>
          </w:p>
        </w:tc>
        <w:tc>
          <w:tcPr>
            <w:tcW w:w="1784"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州文体旅游局、州广电局</w:t>
            </w:r>
          </w:p>
        </w:tc>
        <w:tc>
          <w:tcPr>
            <w:tcW w:w="139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2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7.2</w:t>
            </w:r>
          </w:p>
        </w:tc>
        <w:tc>
          <w:tcPr>
            <w:tcW w:w="2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应急教育体验馆建设工程</w:t>
            </w:r>
          </w:p>
        </w:tc>
        <w:tc>
          <w:tcPr>
            <w:tcW w:w="772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各县（市）依托现有科普及教育培训设施和资源，以应急为主题、以交互式体验为主要形式、以菜单式模拟训练为主要内容，采用声光电和多媒体等技术，模拟地震、洪涝、地质灾害、火灾、溺水、交通事故、危险化学品事故、家居安全、应急救护等灾害和应急场景，建设基于真实三维环境的突发事件模拟仿真设施、沉浸式体验设施、应急装备模拟操作设施、应急自救互救技能演示和训练设施等，鼓励各县（市）先行先试，建设应急教育体验馆（场）。</w:t>
            </w:r>
          </w:p>
        </w:tc>
        <w:tc>
          <w:tcPr>
            <w:tcW w:w="133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县（市）应急管理局</w:t>
            </w:r>
          </w:p>
        </w:tc>
        <w:tc>
          <w:tcPr>
            <w:tcW w:w="1784"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0" w:hRule="atLeast"/>
          <w:jc w:val="center"/>
        </w:trPr>
        <w:tc>
          <w:tcPr>
            <w:tcW w:w="724" w:type="dxa"/>
            <w:tcBorders>
              <w:tl2br w:val="nil"/>
              <w:tr2bl w:val="nil"/>
            </w:tcBorders>
            <w:vAlign w:val="center"/>
          </w:tcPr>
          <w:p>
            <w:pPr>
              <w:widowControl/>
              <w:spacing w:line="280" w:lineRule="exact"/>
              <w:jc w:val="center"/>
              <w:rPr>
                <w:rFonts w:ascii="Times New Roman" w:hAnsi="Times New Roman" w:eastAsia="仿宋_GB2312"/>
                <w:bCs/>
                <w:color w:val="000000"/>
                <w:sz w:val="24"/>
                <w:szCs w:val="24"/>
              </w:rPr>
            </w:pPr>
            <w:r>
              <w:rPr>
                <w:rFonts w:ascii="Times New Roman" w:hAnsi="Times New Roman" w:eastAsia="仿宋_GB2312"/>
                <w:bCs/>
                <w:color w:val="000000"/>
                <w:sz w:val="24"/>
                <w:szCs w:val="24"/>
              </w:rPr>
              <w:t>7.3</w:t>
            </w:r>
          </w:p>
        </w:tc>
        <w:tc>
          <w:tcPr>
            <w:tcW w:w="2339"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color w:val="000000"/>
                <w:sz w:val="24"/>
                <w:szCs w:val="24"/>
              </w:rPr>
              <w:t>“百乡千村”应急知识培训工程</w:t>
            </w:r>
          </w:p>
        </w:tc>
        <w:tc>
          <w:tcPr>
            <w:tcW w:w="772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以每户“参加一次知识培训、拥有一本避险手册”为目标，全面推动防灾减灾救灾知识进机关、进学校、进农村、进牧区、进社区、进家庭、进寺庙。每年重点支持不少于100个行政村（寨），由各县（市）人民政府组织开展防灾避险、自救互救安全知识培训，5年覆盖全州所有村（寨）。州、县（市）两级要充分借助广播电视、互联网、新媒体等平台普及防灾减灾应急知识，明显增强普通公众的危机意识，形成浓厚的学习应急、安全知识社会氛围。</w:t>
            </w:r>
          </w:p>
        </w:tc>
        <w:tc>
          <w:tcPr>
            <w:tcW w:w="1338"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州、</w:t>
            </w:r>
            <w:r>
              <w:rPr>
                <w:rFonts w:ascii="Times New Roman" w:hAnsi="Times New Roman" w:eastAsia="仿宋_GB2312"/>
                <w:color w:val="000000"/>
                <w:sz w:val="24"/>
                <w:szCs w:val="24"/>
              </w:rPr>
              <w:t>县（市）人民政府</w:t>
            </w:r>
          </w:p>
        </w:tc>
        <w:tc>
          <w:tcPr>
            <w:tcW w:w="1784"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p>
        </w:tc>
        <w:tc>
          <w:tcPr>
            <w:tcW w:w="1396" w:type="dxa"/>
            <w:tcBorders>
              <w:tl2br w:val="nil"/>
              <w:tr2bl w:val="nil"/>
            </w:tcBorders>
            <w:vAlign w:val="center"/>
          </w:tcPr>
          <w:p>
            <w:pPr>
              <w:widowControl/>
              <w:spacing w:line="280" w:lineRule="exact"/>
              <w:rPr>
                <w:rFonts w:ascii="Times New Roman" w:hAnsi="Times New Roman" w:eastAsia="仿宋_GB2312"/>
                <w:bCs/>
                <w:color w:val="000000"/>
                <w:sz w:val="24"/>
                <w:szCs w:val="24"/>
              </w:rPr>
            </w:pPr>
            <w:r>
              <w:rPr>
                <w:rFonts w:ascii="Times New Roman" w:hAnsi="Times New Roman" w:eastAsia="仿宋_GB2312"/>
                <w:bCs/>
                <w:color w:val="000000"/>
                <w:sz w:val="24"/>
                <w:szCs w:val="24"/>
              </w:rPr>
              <w:t>2021-2025年</w:t>
            </w:r>
          </w:p>
        </w:tc>
      </w:tr>
    </w:tbl>
    <w:p>
      <w:pPr>
        <w:sectPr>
          <w:footerReference r:id="rId5" w:type="default"/>
          <w:footerReference r:id="rId6" w:type="even"/>
          <w:pgSz w:w="16840" w:h="11907" w:orient="landscape"/>
          <w:pgMar w:top="1588" w:right="2098" w:bottom="1474" w:left="1985" w:header="851" w:footer="1587" w:gutter="0"/>
          <w:pgNumType w:fmt="numberInDash"/>
          <w:cols w:space="720" w:num="1"/>
          <w:docGrid w:type="linesAndChars" w:linePitch="289" w:charSpace="-3628"/>
        </w:sectPr>
      </w:pPr>
    </w:p>
    <w:p>
      <w:pPr>
        <w:pStyle w:val="12"/>
        <w:ind w:left="0" w:leftChars="0" w:firstLine="0" w:firstLineChars="0"/>
        <w:rPr>
          <w:rFonts w:ascii="Times New Roman" w:hAnsi="Times New Roman" w:eastAsia="仿宋_GB2312"/>
          <w:sz w:val="28"/>
          <w:szCs w:val="28"/>
        </w:rPr>
      </w:pPr>
    </w:p>
    <w:p/>
    <w:sectPr>
      <w:pgSz w:w="11907" w:h="16840"/>
      <w:pgMar w:top="2098" w:right="1474" w:bottom="1985" w:left="1588" w:header="851" w:footer="1587" w:gutter="0"/>
      <w:pgNumType w:fmt="numberInDash"/>
      <w:cols w:space="720" w:num="1"/>
      <w:docGrid w:type="linesAndChars" w:linePitch="289" w:charSpace="-36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pBdr>
        <w:top w:val="none" w:color="auto" w:sz="0" w:space="0"/>
        <w:left w:val="none" w:color="auto" w:sz="0" w:space="0"/>
        <w:bottom w:val="none" w:color="auto" w:sz="0" w:space="0"/>
        <w:right w:val="none" w:color="auto" w:sz="0" w:space="0"/>
      </w:pBdr>
      <w:rPr>
        <w:rFonts w:hint="eastAsia" w:ascii="宋体"/>
        <w:sz w:val="28"/>
        <w:szCs w:val="28"/>
        <w:rPrChange w:id="0" w:author="张腾" w:date="2022-10-28T15:46:00Z">
          <w:rPr/>
        </w:rPrChange>
      </w:rPr>
    </w:pPr>
    <w:ins w:id="1" w:author="张腾" w:date="2022-10-28T15:46:00Z">
      <w:r>
        <w:rPr>
          <w:rStyle w:val="15"/>
          <w:rFonts w:hint="eastAsia" w:ascii="宋体"/>
          <w:sz w:val="28"/>
          <w:szCs w:val="28"/>
          <w:lang w:val="en-US" w:eastAsia="zh-CN"/>
          <w:rPrChange w:id="2" w:author="张腾" w:date="2022-10-28T15:46:00Z">
            <w:rPr>
              <w:rStyle w:val="16"/>
              <w:rFonts w:hint="eastAsia" w:ascii="宋体"/>
              <w:sz w:val="28"/>
              <w:szCs w:val="28"/>
              <w:lang w:val="en-US" w:eastAsia="zh-CN"/>
            </w:rPr>
          </w:rPrChange>
        </w:rPr>
        <w:fldChar w:fldCharType="begin"/>
      </w:r>
    </w:ins>
    <w:ins w:id="3" w:author="张腾" w:date="2022-10-28T15:46:00Z">
      <w:r>
        <w:rPr>
          <w:rStyle w:val="15"/>
          <w:rFonts w:hint="eastAsia" w:ascii="宋体"/>
          <w:sz w:val="28"/>
          <w:szCs w:val="28"/>
          <w:lang w:val="en-US" w:eastAsia="zh-CN"/>
          <w:rPrChange w:id="4" w:author="张腾" w:date="2022-10-28T15:46:00Z">
            <w:rPr>
              <w:rStyle w:val="16"/>
              <w:rFonts w:hint="eastAsia" w:ascii="宋体"/>
              <w:sz w:val="28"/>
              <w:szCs w:val="28"/>
              <w:lang w:val="en-US" w:eastAsia="zh-CN"/>
            </w:rPr>
          </w:rPrChange>
        </w:rPr>
        <w:instrText xml:space="preserve">Page</w:instrText>
      </w:r>
    </w:ins>
    <w:ins w:id="5" w:author="张腾" w:date="2022-10-28T15:46:00Z">
      <w:r>
        <w:rPr>
          <w:rStyle w:val="15"/>
          <w:rFonts w:hint="eastAsia" w:ascii="宋体"/>
          <w:sz w:val="28"/>
          <w:szCs w:val="28"/>
          <w:lang w:val="en-US" w:eastAsia="zh-CN"/>
          <w:rPrChange w:id="6" w:author="张腾" w:date="2022-10-28T15:46:00Z">
            <w:rPr>
              <w:rStyle w:val="16"/>
              <w:rFonts w:hint="eastAsia" w:ascii="宋体"/>
              <w:sz w:val="28"/>
              <w:szCs w:val="28"/>
              <w:lang w:val="en-US" w:eastAsia="zh-CN"/>
            </w:rPr>
          </w:rPrChange>
        </w:rPr>
        <w:fldChar w:fldCharType="separate"/>
      </w:r>
    </w:ins>
    <w:ins w:id="7" w:author="张腾" w:date="2022-10-28T15:46:00Z">
      <w:r>
        <w:rPr>
          <w:rStyle w:val="15"/>
          <w:rFonts w:hint="eastAsia" w:ascii="宋体"/>
          <w:sz w:val="28"/>
          <w:szCs w:val="28"/>
          <w:lang w:val="en-US" w:eastAsia="zh-CN"/>
          <w:rPrChange w:id="8" w:author="张腾" w:date="2022-10-28T15:46:00Z">
            <w:rPr>
              <w:rStyle w:val="16"/>
              <w:rFonts w:hint="eastAsia" w:ascii="宋体"/>
              <w:sz w:val="28"/>
              <w:szCs w:val="28"/>
              <w:lang w:val="en-US" w:eastAsia="zh-CN"/>
            </w:rPr>
          </w:rPrChange>
        </w:rPr>
        <w:t>- 1 -</w:t>
      </w:r>
    </w:ins>
    <w:ins w:id="9" w:author="张腾" w:date="2022-10-28T15:46:00Z">
      <w:r>
        <w:rPr>
          <w:rStyle w:val="15"/>
          <w:rFonts w:hint="eastAsia" w:ascii="宋体"/>
          <w:sz w:val="28"/>
          <w:szCs w:val="28"/>
          <w:lang w:val="en-US" w:eastAsia="zh-CN"/>
          <w:rPrChange w:id="10" w:author="张腾" w:date="2022-10-28T15:46:00Z">
            <w:rPr>
              <w:rStyle w:val="16"/>
              <w:rFonts w:hint="eastAsia" w:ascii="宋体"/>
              <w:sz w:val="28"/>
              <w:szCs w:val="28"/>
              <w:lang w:val="en-US" w:eastAsia="zh-CN"/>
            </w:rPr>
          </w:rPrChange>
        </w:rPr>
        <w:fldChar w:fldCharType="end"/>
      </w:r>
    </w:ins>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617" w:y="34"/>
      <w:pBdr>
        <w:top w:val="none" w:color="auto" w:sz="0" w:space="0"/>
        <w:left w:val="none" w:color="auto" w:sz="0" w:space="0"/>
        <w:bottom w:val="none" w:color="auto" w:sz="0" w:space="0"/>
        <w:right w:val="none" w:color="auto" w:sz="0" w:space="0"/>
      </w:pBdr>
      <w:rPr>
        <w:rFonts w:hint="eastAsia" w:ascii="宋体"/>
        <w:sz w:val="28"/>
        <w:szCs w:val="28"/>
        <w:rPrChange w:id="11" w:author="张腾" w:date="2022-10-28T15:46:00Z">
          <w:rPr/>
        </w:rPrChange>
      </w:rPr>
    </w:pPr>
    <w:ins w:id="12" w:author="张腾" w:date="2022-10-28T15:46:00Z">
      <w:r>
        <w:rPr>
          <w:rStyle w:val="15"/>
          <w:rFonts w:hint="eastAsia" w:ascii="宋体"/>
          <w:sz w:val="28"/>
          <w:szCs w:val="28"/>
          <w:lang w:val="en-US" w:eastAsia="zh-CN"/>
          <w:rPrChange w:id="13" w:author="张腾" w:date="2022-10-28T15:46:00Z">
            <w:rPr>
              <w:rStyle w:val="16"/>
              <w:rFonts w:hint="eastAsia" w:ascii="宋体"/>
              <w:sz w:val="28"/>
              <w:szCs w:val="28"/>
              <w:lang w:val="en-US" w:eastAsia="zh-CN"/>
            </w:rPr>
          </w:rPrChange>
        </w:rPr>
        <w:fldChar w:fldCharType="begin"/>
      </w:r>
    </w:ins>
    <w:ins w:id="14" w:author="张腾" w:date="2022-10-28T15:46:00Z">
      <w:r>
        <w:rPr>
          <w:rStyle w:val="15"/>
          <w:rFonts w:hint="eastAsia" w:ascii="宋体"/>
          <w:sz w:val="28"/>
          <w:szCs w:val="28"/>
          <w:lang w:val="en-US" w:eastAsia="zh-CN"/>
          <w:rPrChange w:id="15" w:author="张腾" w:date="2022-10-28T15:46:00Z">
            <w:rPr>
              <w:rStyle w:val="16"/>
              <w:rFonts w:hint="eastAsia" w:ascii="宋体"/>
              <w:sz w:val="28"/>
              <w:szCs w:val="28"/>
              <w:lang w:val="en-US" w:eastAsia="zh-CN"/>
            </w:rPr>
          </w:rPrChange>
        </w:rPr>
        <w:instrText xml:space="preserve">Page</w:instrText>
      </w:r>
    </w:ins>
    <w:ins w:id="16" w:author="张腾" w:date="2022-10-28T15:46:00Z">
      <w:r>
        <w:rPr>
          <w:rStyle w:val="15"/>
          <w:rFonts w:hint="eastAsia" w:ascii="宋体"/>
          <w:sz w:val="28"/>
          <w:szCs w:val="28"/>
          <w:lang w:val="en-US" w:eastAsia="zh-CN"/>
          <w:rPrChange w:id="17" w:author="张腾" w:date="2022-10-28T15:46:00Z">
            <w:rPr>
              <w:rStyle w:val="16"/>
              <w:rFonts w:hint="eastAsia" w:ascii="宋体"/>
              <w:sz w:val="28"/>
              <w:szCs w:val="28"/>
              <w:lang w:val="en-US" w:eastAsia="zh-CN"/>
            </w:rPr>
          </w:rPrChange>
        </w:rPr>
        <w:fldChar w:fldCharType="separate"/>
      </w:r>
    </w:ins>
    <w:ins w:id="18" w:author="张腾" w:date="2022-10-28T15:46:00Z">
      <w:r>
        <w:rPr>
          <w:rStyle w:val="15"/>
          <w:rFonts w:hint="eastAsia" w:ascii="宋体"/>
          <w:sz w:val="28"/>
          <w:szCs w:val="28"/>
          <w:lang w:val="en-US" w:eastAsia="zh-CN"/>
          <w:rPrChange w:id="19" w:author="张腾" w:date="2022-10-28T15:46:00Z">
            <w:rPr>
              <w:rStyle w:val="16"/>
              <w:rFonts w:hint="eastAsia" w:ascii="宋体"/>
              <w:sz w:val="28"/>
              <w:szCs w:val="28"/>
              <w:lang w:val="en-US" w:eastAsia="zh-CN"/>
            </w:rPr>
          </w:rPrChange>
        </w:rPr>
        <w:t>- 2 -</w:t>
      </w:r>
    </w:ins>
    <w:ins w:id="20" w:author="张腾" w:date="2022-10-28T15:46:00Z">
      <w:r>
        <w:rPr>
          <w:rStyle w:val="15"/>
          <w:rFonts w:hint="eastAsia" w:ascii="宋体"/>
          <w:sz w:val="28"/>
          <w:szCs w:val="28"/>
          <w:lang w:val="en-US" w:eastAsia="zh-CN"/>
          <w:rPrChange w:id="21" w:author="张腾" w:date="2022-10-28T15:46:00Z">
            <w:rPr>
              <w:rStyle w:val="16"/>
              <w:rFonts w:hint="eastAsia" w:ascii="宋体"/>
              <w:sz w:val="28"/>
              <w:szCs w:val="28"/>
              <w:lang w:val="en-US" w:eastAsia="zh-CN"/>
            </w:rPr>
          </w:rPrChange>
        </w:rPr>
        <w:fldChar w:fldCharType="end"/>
      </w:r>
    </w:ins>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hint="eastAsia" w:ascii="宋体"/>
        <w:sz w:val="28"/>
        <w:szCs w:val="28"/>
        <w:rPrChange w:id="22" w:author="张腾" w:date="2022-10-28T15:47:00Z">
          <w:rPr/>
        </w:rPrChange>
      </w:rPr>
    </w:pPr>
    <w:r>
      <w:rPr>
        <w:rStyle w:val="15"/>
        <w:rFonts w:hint="eastAsia" w:ascii="宋体"/>
        <w:sz w:val="28"/>
        <w:szCs w:val="28"/>
        <w:rPrChange w:id="23" w:author="张腾" w:date="2022-10-28T15:47:00Z">
          <w:rPr/>
        </w:rPrChange>
      </w:rPr>
      <w:fldChar w:fldCharType="begin"/>
    </w:r>
    <w:r>
      <w:rPr>
        <w:rStyle w:val="15"/>
        <w:rFonts w:hint="eastAsia" w:ascii="宋体"/>
        <w:sz w:val="28"/>
        <w:szCs w:val="28"/>
        <w:rPrChange w:id="24" w:author="张腾" w:date="2022-10-28T15:47:00Z">
          <w:rPr/>
        </w:rPrChange>
      </w:rPr>
      <w:instrText xml:space="preserve">PAGE  </w:instrText>
    </w:r>
    <w:r>
      <w:rPr>
        <w:rStyle w:val="15"/>
        <w:rFonts w:hint="eastAsia" w:ascii="宋体"/>
        <w:sz w:val="28"/>
        <w:szCs w:val="28"/>
        <w:rPrChange w:id="25" w:author="张腾" w:date="2022-10-28T15:47:00Z">
          <w:rPr/>
        </w:rPrChange>
      </w:rPr>
      <w:fldChar w:fldCharType="separate"/>
    </w:r>
    <w:r>
      <w:rPr>
        <w:rStyle w:val="15"/>
        <w:rFonts w:hint="eastAsia" w:ascii="宋体"/>
        <w:sz w:val="28"/>
        <w:szCs w:val="28"/>
        <w:lang w:val="en-US" w:eastAsia="zh-CN"/>
        <w:rPrChange w:id="26" w:author="张腾" w:date="2022-10-28T15:47:00Z">
          <w:rPr/>
        </w:rPrChange>
      </w:rPr>
      <w:t>- 60 -</w:t>
    </w:r>
    <w:r>
      <w:rPr>
        <w:rStyle w:val="15"/>
        <w:rFonts w:hint="eastAsia" w:ascii="宋体"/>
        <w:sz w:val="28"/>
        <w:szCs w:val="28"/>
        <w:rPrChange w:id="27" w:author="张腾" w:date="2022-10-28T15:47:00Z">
          <w:rPr/>
        </w:rPrChange>
      </w:rP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hint="eastAsia" w:ascii="宋体"/>
        <w:sz w:val="28"/>
        <w:szCs w:val="28"/>
        <w:lang w:val="en-US" w:eastAsia="zh-CN"/>
        <w:rPrChange w:id="28" w:author="张腾" w:date="2022-10-28T15:47:00Z">
          <w:rPr>
            <w:rStyle w:val="16"/>
            <w:rFonts w:hint="eastAsia" w:ascii="宋体"/>
            <w:sz w:val="28"/>
            <w:szCs w:val="28"/>
            <w:lang w:val="en-US" w:eastAsia="zh-CN"/>
          </w:rPr>
        </w:rPrChange>
      </w:rPr>
    </w:pPr>
    <w:r>
      <w:rPr>
        <w:rStyle w:val="15"/>
        <w:rFonts w:hint="eastAsia" w:ascii="宋体"/>
        <w:sz w:val="28"/>
        <w:szCs w:val="28"/>
        <w:lang w:val="en-US" w:eastAsia="zh-CN"/>
        <w:rPrChange w:id="29" w:author="张腾" w:date="2022-10-28T15:47:00Z">
          <w:rPr>
            <w:rStyle w:val="16"/>
            <w:rFonts w:hint="eastAsia" w:ascii="宋体"/>
            <w:sz w:val="28"/>
            <w:szCs w:val="28"/>
            <w:lang w:val="en-US" w:eastAsia="zh-CN"/>
          </w:rPr>
        </w:rPrChange>
      </w:rPr>
      <w:fldChar w:fldCharType="begin"/>
    </w:r>
    <w:r>
      <w:rPr>
        <w:rStyle w:val="15"/>
        <w:rFonts w:hint="eastAsia" w:ascii="宋体"/>
        <w:sz w:val="28"/>
        <w:szCs w:val="28"/>
        <w:lang w:val="en-US" w:eastAsia="zh-CN"/>
        <w:rPrChange w:id="30" w:author="张腾" w:date="2022-10-28T15:47:00Z">
          <w:rPr>
            <w:rStyle w:val="16"/>
            <w:rFonts w:hint="eastAsia" w:ascii="宋体"/>
            <w:sz w:val="28"/>
            <w:szCs w:val="28"/>
            <w:lang w:val="en-US" w:eastAsia="zh-CN"/>
          </w:rPr>
        </w:rPrChange>
      </w:rPr>
      <w:instrText xml:space="preserve">PAGE  </w:instrText>
    </w:r>
    <w:r>
      <w:rPr>
        <w:rStyle w:val="15"/>
        <w:rFonts w:hint="eastAsia" w:ascii="宋体"/>
        <w:sz w:val="28"/>
        <w:szCs w:val="28"/>
        <w:lang w:val="en-US" w:eastAsia="zh-CN"/>
        <w:rPrChange w:id="31" w:author="张腾" w:date="2022-10-28T15:47:00Z">
          <w:rPr>
            <w:rStyle w:val="16"/>
            <w:rFonts w:hint="eastAsia" w:ascii="宋体"/>
            <w:sz w:val="28"/>
            <w:szCs w:val="28"/>
            <w:lang w:val="en-US" w:eastAsia="zh-CN"/>
          </w:rPr>
        </w:rPrChange>
      </w:rPr>
      <w:fldChar w:fldCharType="separate"/>
    </w:r>
    <w:r>
      <w:rPr>
        <w:rStyle w:val="15"/>
        <w:rFonts w:hint="eastAsia" w:ascii="宋体"/>
        <w:sz w:val="28"/>
        <w:szCs w:val="28"/>
        <w:lang w:val="en-US" w:eastAsia="zh-CN"/>
      </w:rPr>
      <w:t>- 50 -</w:t>
    </w:r>
    <w:r>
      <w:rPr>
        <w:rStyle w:val="15"/>
        <w:rFonts w:hint="eastAsia" w:ascii="宋体"/>
        <w:sz w:val="28"/>
        <w:szCs w:val="28"/>
        <w:lang w:val="en-US" w:eastAsia="zh-CN"/>
        <w:rPrChange w:id="32" w:author="张腾" w:date="2022-10-28T15:47:00Z">
          <w:rPr>
            <w:rStyle w:val="16"/>
            <w:rFonts w:hint="eastAsia" w:ascii="宋体"/>
            <w:sz w:val="28"/>
            <w:szCs w:val="28"/>
            <w:lang w:val="en-US" w:eastAsia="zh-CN"/>
          </w:rPr>
        </w:rPrChange>
      </w:rPr>
      <w:fldChar w:fldCharType="end"/>
    </w:r>
  </w:p>
  <w:p>
    <w:pPr>
      <w:pStyle w:val="9"/>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腾">
    <w15:presenceInfo w15:providerId="None" w15:userId="张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96"/>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FF5FD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firstLine="200" w:firstLineChars="200"/>
      <w:jc w:val="both"/>
      <w:outlineLvl w:val="0"/>
    </w:pPr>
    <w:rPr>
      <w:rFonts w:ascii="Times New Roman" w:hAnsi="Times New Roman" w:eastAsia="仿宋_GB2312" w:cs="Arial"/>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firstLine="200" w:firstLineChars="200"/>
      <w:jc w:val="both"/>
      <w:outlineLvl w:val="1"/>
    </w:pPr>
    <w:rPr>
      <w:rFonts w:ascii="等线 Light" w:eastAsia="等线 Light" w:cs="Arial"/>
      <w:b/>
      <w:bCs/>
      <w:kern w:val="2"/>
      <w:sz w:val="32"/>
      <w:szCs w:val="32"/>
      <w:lang w:val="en-US" w:eastAsia="zh-CN" w:bidi="ar-SA"/>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Plain Text"/>
    <w:next w:val="6"/>
    <w:qFormat/>
    <w:uiPriority w:val="0"/>
    <w:pPr>
      <w:widowControl w:val="0"/>
      <w:jc w:val="both"/>
    </w:pPr>
    <w:rPr>
      <w:rFonts w:ascii="宋体" w:hAnsi="Times New Roman" w:eastAsia="宋体" w:cs="Courier New"/>
      <w:kern w:val="2"/>
      <w:sz w:val="21"/>
      <w:szCs w:val="21"/>
      <w:lang w:val="en-US" w:eastAsia="zh-CN" w:bidi="ar-SA"/>
    </w:rPr>
  </w:style>
  <w:style w:type="paragraph" w:styleId="6">
    <w:name w:val="index 7"/>
    <w:basedOn w:val="1"/>
    <w:next w:val="1"/>
    <w:qFormat/>
    <w:uiPriority w:val="0"/>
    <w:pPr>
      <w:widowControl w:val="0"/>
      <w:ind w:left="1727" w:hanging="163"/>
      <w:jc w:val="both"/>
    </w:pPr>
    <w:rPr>
      <w:rFonts w:ascii="Calibri" w:hAnsi="Calibri" w:eastAsia="宋体" w:cs="Times New Roman"/>
      <w:kern w:val="2"/>
      <w:sz w:val="21"/>
      <w:szCs w:val="24"/>
      <w:lang w:val="en-US" w:eastAsia="zh-CN" w:bidi="ar-SA"/>
    </w:rPr>
  </w:style>
  <w:style w:type="paragraph" w:styleId="7">
    <w:name w:val="toc 8"/>
    <w:basedOn w:val="1"/>
    <w:next w:val="1"/>
    <w:qFormat/>
    <w:uiPriority w:val="0"/>
    <w:pPr>
      <w:ind w:left="2940"/>
    </w:pPr>
  </w:style>
  <w:style w:type="paragraph" w:styleId="8">
    <w:name w:val="endnote text"/>
    <w:basedOn w:val="1"/>
    <w:qFormat/>
    <w:uiPriority w:val="0"/>
    <w:pPr>
      <w:snapToGrid w:val="0"/>
      <w:jc w:val="left"/>
    </w:pPr>
  </w:style>
  <w:style w:type="paragraph" w:styleId="9">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0">
    <w:name w:val="toc 1"/>
    <w:next w:val="1"/>
    <w:qFormat/>
    <w:uiPriority w:val="0"/>
    <w:pPr>
      <w:spacing w:after="100" w:line="259" w:lineRule="auto"/>
    </w:pPr>
    <w:rPr>
      <w:rFonts w:ascii="楷体_GB2312" w:hAnsi="Times New Roman" w:eastAsia="楷体_GB2312" w:cs="Times New Roman"/>
      <w:sz w:val="32"/>
      <w:szCs w:val="32"/>
      <w:lang w:val="en-US" w:eastAsia="zh-CN" w:bidi="ar-SA"/>
    </w:rPr>
  </w:style>
  <w:style w:type="paragraph" w:styleId="11">
    <w:name w:val="toc 2"/>
    <w:basedOn w:val="1"/>
    <w:next w:val="1"/>
    <w:qFormat/>
    <w:uiPriority w:val="0"/>
    <w:pPr>
      <w:widowControl/>
      <w:spacing w:after="100" w:line="259" w:lineRule="auto"/>
      <w:ind w:left="220"/>
      <w:jc w:val="left"/>
    </w:pPr>
    <w:rPr>
      <w:rFonts w:ascii="楷体_GB2312" w:eastAsia="楷体_GB2312" w:cs="Arial"/>
      <w:kern w:val="0"/>
      <w:sz w:val="22"/>
      <w:szCs w:val="22"/>
      <w:lang w:val="en-US" w:eastAsia="zh-CN" w:bidi="ar-SA"/>
    </w:rPr>
  </w:style>
  <w:style w:type="paragraph" w:styleId="12">
    <w:name w:val="Body Text First Indent 2"/>
    <w:basedOn w:val="1"/>
    <w:next w:val="1"/>
    <w:qFormat/>
    <w:uiPriority w:val="0"/>
    <w:pPr>
      <w:widowControl w:val="0"/>
      <w:spacing w:after="120" w:line="540" w:lineRule="exact"/>
      <w:ind w:left="200" w:leftChars="200" w:firstLine="200" w:firstLineChars="200"/>
      <w:jc w:val="both"/>
      <w:textAlignment w:val="baseline"/>
    </w:pPr>
    <w:rPr>
      <w:rFonts w:ascii="Calibri" w:hAnsi="Calibri" w:eastAsia="宋体" w:cs="Times New Roman"/>
      <w:color w:val="000000"/>
      <w:kern w:val="2"/>
      <w:sz w:val="21"/>
      <w:szCs w:val="24"/>
      <w:u w:val="none" w:color="000000"/>
      <w:lang w:val="en-US" w:eastAsia="zh-CN" w:bidi="ar-SA"/>
    </w:rPr>
  </w:style>
  <w:style w:type="character" w:styleId="15">
    <w:name w:val="page number"/>
    <w:qFormat/>
    <w:uiPriority w:val="0"/>
    <w:rPr>
      <w:rFonts w:ascii="Calibri" w:hAnsi="Calibri" w:eastAsia="宋体" w:cs="Times New Roman"/>
      <w:kern w:val="2"/>
      <w:sz w:val="21"/>
      <w:szCs w:val="24"/>
      <w:lang w:val="en-US" w:eastAsia="zh-CN" w:bidi="ar-SA"/>
    </w:rPr>
  </w:style>
  <w:style w:type="character" w:styleId="16">
    <w:name w:val="line number"/>
    <w:basedOn w:val="14"/>
    <w:qFormat/>
    <w:uiPriority w:val="0"/>
  </w:style>
  <w:style w:type="character" w:customStyle="1" w:styleId="17">
    <w:name w:val="NormalCharacter"/>
    <w:qFormat/>
    <w:uiPriority w:val="0"/>
  </w:style>
  <w:style w:type="paragraph" w:customStyle="1" w:styleId="18">
    <w:name w:val="TOC 标题1"/>
    <w:basedOn w:val="1"/>
    <w:qFormat/>
    <w:uiPriority w:val="0"/>
    <w:pPr>
      <w:keepNext/>
      <w:keepLines/>
      <w:widowControl/>
      <w:spacing w:before="240" w:after="0" w:line="259" w:lineRule="auto"/>
      <w:ind w:firstLine="0"/>
      <w:jc w:val="left"/>
      <w:outlineLvl w:val="9"/>
    </w:pPr>
    <w:rPr>
      <w:rFonts w:ascii="等线 Light" w:eastAsia="等线 Light" w:cs="Arial"/>
      <w:color w:val="2F5496"/>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53</Pages>
  <Words>28592</Words>
  <Characters>29271</Characters>
  <Lines>1482</Lines>
  <Paragraphs>431</Paragraphs>
  <TotalTime>5</TotalTime>
  <ScaleCrop>false</ScaleCrop>
  <LinksUpToDate>false</LinksUpToDate>
  <CharactersWithSpaces>29383</CharactersWithSpaces>
  <Application>WPS Office_11.8.2.1120_F1E327BC-269C-435d-A152-05C5408002CA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2023-01-09T11:10:00Z</dcterms:created>
  <dc:creator>user</dc:creator>
  <cp:lastModifiedBy>user</cp:lastModifiedBy>
  <dcterms:modified xsi:type="dcterms:W3CDTF">2023-05-04T17:13:04Z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52A52C71A3286FD120775364AFA06B14</vt:lpwstr>
  </property>
</Properties>
</file>