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DA15E">
      <w:pPr>
        <w:pStyle w:val="8"/>
        <w:keepNext w:val="0"/>
        <w:keepLines w:val="0"/>
        <w:pageBreakBefore w:val="0"/>
        <w:widowControl w:val="0"/>
        <w:suppressLineNumbers w:val="0"/>
        <w:suppressAutoHyphens w:val="0"/>
        <w:spacing w:line="540" w:lineRule="exact"/>
        <w:ind w:left="0" w:leftChars="0" w:firstLine="0" w:firstLineChars="0"/>
      </w:pPr>
    </w:p>
    <w:p w14:paraId="5A3B7D86">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eastAsia" w:ascii="方正小标宋简体" w:eastAsia="方正小标宋简体"/>
          <w:color w:val="auto"/>
          <w:sz w:val="44"/>
          <w:szCs w:val="44"/>
        </w:rPr>
      </w:pPr>
      <w:r>
        <w:rPr>
          <w:rFonts w:hint="eastAsia" w:ascii="方正小标宋简体" w:eastAsia="方正小标宋简体" w:cs="方正小标宋_GBK"/>
          <w:color w:val="auto"/>
          <w:sz w:val="44"/>
          <w:szCs w:val="44"/>
          <w:lang w:eastAsia="zh-CN" w:bidi="ar-SA"/>
        </w:rPr>
        <w:t>阿</w:t>
      </w:r>
      <w:r>
        <w:rPr>
          <w:rFonts w:hint="eastAsia" w:ascii="方正小标宋简体" w:eastAsia="方正小标宋简体" w:cs="方正小标宋_GBK"/>
          <w:color w:val="auto"/>
          <w:sz w:val="44"/>
          <w:szCs w:val="44"/>
          <w:lang w:bidi="ar-SA"/>
        </w:rPr>
        <w:t>坝州金融业发展“十四五”规划</w:t>
      </w:r>
    </w:p>
    <w:p w14:paraId="087FCE73">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color w:val="auto"/>
          <w:sz w:val="32"/>
          <w:szCs w:val="32"/>
          <w:lang w:bidi="ar-SA"/>
        </w:rPr>
      </w:pPr>
    </w:p>
    <w:p w14:paraId="4F9FA726">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前  言</w:t>
      </w:r>
    </w:p>
    <w:p w14:paraId="7556A769">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仿宋_GB2312"/>
          <w:sz w:val="44"/>
          <w:szCs w:val="44"/>
          <w:lang w:bidi="ar-SA"/>
        </w:rPr>
      </w:pPr>
    </w:p>
    <w:p w14:paraId="41E9E9A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十四五”时期是我国全面开启建设社会主义现代化国家新征程、向第二个百年奋斗目标进军的第一个五年，也是阿坝州落实省委省政府“一干多支、五区协同，四向拓展、全域开放”发展新格局，建设川西北生态示范区、国家生态文明先行示范区和全国民族团结进步示范区的关键五年。金融是现代经济的核心，是现代服务业的重要组成部分，在现代经济发展中起着优化资源配置、调节经济运行的基础性作用。为加快阿坝州金融业在“十四五”时期持续健康发展，促进金融业更好地服务于阿坝州经济社会发展，根据《阿坝藏族羌族自治州国民经济和社会发展第十四个五年规划和二〇三五年远景目标纲要》和《四川省金融业“十四五”发展规划》等，结合阿坝州金融业面临的新形势新任务，制定《阿坝州金融业发展“十四五”规划》。</w:t>
      </w:r>
    </w:p>
    <w:p w14:paraId="3FD2EB4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黑体" w:eastAsia="黑体" w:cs="黑体"/>
          <w:sz w:val="44"/>
          <w:szCs w:val="44"/>
          <w:lang w:bidi="ar-SA"/>
        </w:rPr>
      </w:pPr>
      <w:r>
        <w:rPr>
          <w:rFonts w:hint="eastAsia" w:ascii="仿宋_GB2312" w:eastAsia="仿宋_GB2312" w:cs="仿宋_GB2312"/>
          <w:sz w:val="32"/>
          <w:szCs w:val="32"/>
          <w:lang w:bidi="ar-SA"/>
        </w:rPr>
        <w:t>本规划主要阐明2021至2025年期间阿坝州金融业发展的指导思想、基本原则、发展战略、主要目标、重点任务和保障措施，是指导阿坝州在“十四五”期间乃至更长一个时期金融业发展的行动纲领。</w:t>
      </w:r>
    </w:p>
    <w:p w14:paraId="269F384B">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outlineLvl w:val="9"/>
        <w:rPr>
          <w:rFonts w:hint="eastAsia" w:ascii="方正小标宋简体" w:eastAsia="方正小标宋简体" w:cs="黑体"/>
          <w:sz w:val="44"/>
          <w:szCs w:val="44"/>
          <w:lang w:bidi="ar-SA"/>
        </w:rPr>
      </w:pPr>
    </w:p>
    <w:p w14:paraId="643EBC26">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第一章  规划基础</w:t>
      </w:r>
    </w:p>
    <w:p w14:paraId="7FF37703">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sz w:val="32"/>
          <w:szCs w:val="32"/>
          <w:lang w:bidi="ar-SA"/>
        </w:rPr>
      </w:pPr>
    </w:p>
    <w:p w14:paraId="20F90845">
      <w:pPr>
        <w:keepNext w:val="0"/>
        <w:keepLines w:val="0"/>
        <w:pageBreakBefore w:val="0"/>
        <w:widowControl w:val="0"/>
        <w:kinsoku/>
        <w:wordWrap/>
        <w:overflowPunct/>
        <w:topLinePunct w:val="0"/>
        <w:autoSpaceDE/>
        <w:autoSpaceDN/>
        <w:bidi w:val="0"/>
        <w:adjustRightInd/>
        <w:snapToGrid/>
        <w:spacing w:line="560" w:lineRule="exact"/>
        <w:ind w:left="0" w:right="0" w:firstLine="590"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pacing w:val="-4"/>
          <w:sz w:val="32"/>
          <w:szCs w:val="32"/>
          <w:lang w:bidi="ar-SA"/>
        </w:rPr>
        <w:t>“十三五”时期，阿坝州金融业经受了国内外经济波动的考验。在“党委总揽、政府主导、人行推动、部门联动、监管督导、金融机构参与”的金融工作机制引领下，阿坝金融改革深入推进、金融市场稳步发展、金融监管水平不断提升，为拉动全州经济社会发展作出了积极贡献，为“十四五”期间的金融业发展奠定了坚实的基础。</w:t>
      </w:r>
    </w:p>
    <w:p w14:paraId="67D4757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48F74D9B">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第一节  “十三五”时期发展成就</w:t>
      </w:r>
    </w:p>
    <w:p w14:paraId="1203784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4F87A78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一、金融业发展势头良好，金融总量稳步扩大</w:t>
      </w:r>
    </w:p>
    <w:p w14:paraId="57EA5960">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2020年末，全州金融业从业人数达2833人，比“十二五”末增加138人；金融机构（仅指银行、证券、保险业金融机构）达到17家，较“十二五”末增加3家。其中，银行业机构7家（法人机构1家，非法人二级分支机构 6家）；证券类机构1家；保险类机构9家。截至2020年</w:t>
      </w:r>
      <w:r>
        <w:rPr>
          <w:rFonts w:hint="eastAsia" w:ascii="仿宋_GB2312" w:eastAsia="仿宋_GB2312" w:cs="仿宋_GB2312"/>
          <w:sz w:val="32"/>
          <w:szCs w:val="32"/>
          <w:lang w:eastAsia="zh-CN" w:bidi="ar-SA"/>
        </w:rPr>
        <w:t>末</w:t>
      </w:r>
      <w:r>
        <w:rPr>
          <w:rFonts w:hint="eastAsia" w:ascii="仿宋_GB2312" w:eastAsia="仿宋_GB2312" w:cs="仿宋_GB2312"/>
          <w:sz w:val="32"/>
          <w:szCs w:val="32"/>
          <w:lang w:bidi="ar-SA"/>
        </w:rPr>
        <w:t>，全州地方金融组织8家，小额贷款公司2家，融资性担保公司4家，典当行2家。初步形成了以银行、保险、证券为主体，小贷、融资性担保等为补充，竞争有序、布局合理的金融机构组织体系。</w:t>
      </w:r>
    </w:p>
    <w:p w14:paraId="723C29AC">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ascii="仿宋_GB2312" w:eastAsia="仿宋_GB2312" w:cs="仿宋_GB2312"/>
          <w:b/>
          <w:bCs/>
          <w:sz w:val="24"/>
          <w:szCs w:val="24"/>
          <w:lang w:eastAsia="zh-CN" w:bidi="ar-SA"/>
        </w:rPr>
      </w:pPr>
    </w:p>
    <w:p w14:paraId="2E7DEC4E">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ascii="仿宋_GB2312" w:eastAsia="仿宋_GB2312" w:cs="仿宋_GB2312"/>
          <w:b/>
          <w:bCs/>
          <w:sz w:val="24"/>
          <w:szCs w:val="24"/>
          <w:lang w:eastAsia="zh-CN" w:bidi="ar-SA"/>
        </w:rPr>
      </w:pPr>
    </w:p>
    <w:p w14:paraId="5AD05691">
      <w:pPr>
        <w:keepNext w:val="0"/>
        <w:keepLines w:val="0"/>
        <w:pageBreakBefore w:val="0"/>
        <w:widowControl w:val="0"/>
        <w:kinsoku/>
        <w:wordWrap/>
        <w:overflowPunct/>
        <w:topLinePunct w:val="0"/>
        <w:autoSpaceDE/>
        <w:autoSpaceDN/>
        <w:bidi w:val="0"/>
        <w:adjustRightInd/>
        <w:snapToGrid/>
        <w:spacing w:line="560" w:lineRule="exact"/>
        <w:ind w:left="0" w:right="0" w:firstLine="0"/>
        <w:textAlignment w:val="auto"/>
        <w:outlineLvl w:val="9"/>
        <w:rPr>
          <w:rFonts w:hint="eastAsia" w:ascii="仿宋_GB2312" w:eastAsia="仿宋_GB2312" w:cs="仿宋_GB2312"/>
          <w:b/>
          <w:bCs/>
          <w:sz w:val="24"/>
          <w:szCs w:val="24"/>
          <w:lang w:eastAsia="zh-CN" w:bidi="ar-SA"/>
        </w:rPr>
      </w:pPr>
    </w:p>
    <w:p w14:paraId="583EFB6C">
      <w:pPr>
        <w:keepNext w:val="0"/>
        <w:keepLines w:val="0"/>
        <w:pageBreakBefore w:val="0"/>
        <w:widowControl w:val="0"/>
        <w:kinsoku/>
        <w:wordWrap/>
        <w:overflowPunct/>
        <w:topLinePunct w:val="0"/>
        <w:autoSpaceDE/>
        <w:autoSpaceDN/>
        <w:adjustRightInd/>
        <w:snapToGrid/>
        <w:spacing w:line="560" w:lineRule="exact"/>
        <w:ind w:left="0" w:firstLine="0"/>
        <w:jc w:val="center"/>
        <w:rPr>
          <w:rFonts w:hint="eastAsia" w:ascii="仿宋_GB2312" w:eastAsia="仿宋_GB2312" w:cs="仿宋_GB2312"/>
          <w:b/>
          <w:bCs/>
          <w:sz w:val="24"/>
          <w:lang w:bidi="ar-SA"/>
        </w:rPr>
      </w:pPr>
      <w:r>
        <w:rPr>
          <w:rFonts w:hint="eastAsia" w:ascii="仿宋_GB2312" w:eastAsia="仿宋_GB2312" w:cs="仿宋_GB2312"/>
          <w:b/>
          <w:bCs/>
          <w:sz w:val="24"/>
          <w:szCs w:val="24"/>
          <w:lang w:eastAsia="zh-CN" w:bidi="ar-SA"/>
        </w:rPr>
        <w:t>图</w:t>
      </w:r>
      <w:r>
        <w:rPr>
          <w:rFonts w:hint="eastAsia" w:ascii="仿宋_GB2312" w:eastAsia="仿宋_GB2312" w:cs="仿宋_GB2312"/>
          <w:b/>
          <w:bCs/>
          <w:sz w:val="24"/>
          <w:szCs w:val="24"/>
          <w:lang w:val="en-US" w:eastAsia="zh-CN" w:bidi="ar-SA"/>
        </w:rPr>
        <w:t>1  全州金融业机构“十三五”期间发展情况</w:t>
      </w:r>
    </w:p>
    <w:p w14:paraId="58FB268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ascii="仿宋_GB2312" w:eastAsia="仿宋_GB2312" w:cs="仿宋_GB2312"/>
          <w:sz w:val="32"/>
          <w:szCs w:val="32"/>
          <w:lang w:bidi="ar-SA"/>
        </w:rPr>
        <w:pict>
          <v:shape id="_x0000_s1026" o:spid="_x0000_s1026" o:spt="75" type="#_x0000_t75" style="position:absolute;left:0pt;margin-left:43pt;margin-top:2.65pt;height:213.1pt;width:366.75pt;mso-wrap-distance-left:6.65pt;mso-wrap-distance-right:6.65pt;z-index:251659264;mso-width-relative:page;mso-height-relative:page;" o:ole="t" filled="f" o:preferrelative="t" stroked="f" coordsize="21600,21600" wrapcoords="-7 -30 -7 21559 21592 21559 21592 -30 -7 -30">
            <v:path/>
            <v:fill on="f" focussize="0,0"/>
            <v:stroke on="f" color="#000000"/>
            <v:imagedata r:id="rId7" o:title="1581227298"/>
            <o:lock v:ext="edit" aspectratio="t"/>
            <w10:wrap type="tight"/>
          </v:shape>
          <o:OLEObject Type="Embed" ProgID="Package" ShapeID="_x0000_s1026" DrawAspect="Content" ObjectID="_1468075725" r:id="rId6">
            <o:LockedField>false</o:LockedField>
          </o:OLEObject>
        </w:pict>
      </w:r>
    </w:p>
    <w:p w14:paraId="226C11F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4D295DC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1DF9A57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2BACA2E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5D28AFC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3E6E041A">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_GB2312" w:eastAsia="仿宋_GB2312" w:cs="仿宋_GB2312"/>
          <w:sz w:val="32"/>
          <w:szCs w:val="32"/>
          <w:lang w:bidi="ar-SA"/>
        </w:rPr>
      </w:pPr>
    </w:p>
    <w:p w14:paraId="59EDF99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highlight w:val="none"/>
          <w:lang w:eastAsia="zh-CN" w:bidi="ar-SA"/>
        </w:rPr>
      </w:pPr>
      <w:r>
        <w:rPr>
          <w:rFonts w:hint="eastAsia" w:ascii="仿宋_GB2312" w:eastAsia="仿宋_GB2312" w:cs="仿宋_GB2312"/>
          <w:sz w:val="32"/>
          <w:szCs w:val="32"/>
          <w:lang w:bidi="ar-SA"/>
        </w:rPr>
        <w:t>2020年末，全州各项存款余额738.3亿元，较“十二五”末增加202.9亿元，同比增长11.1 %。其中，个人存款、企业存款、机关团体和财政性存款余额分别为315.7亿元、98亿元、277.5亿元、47.1亿元，分别比“十二五”</w:t>
      </w:r>
      <w:r>
        <w:rPr>
          <w:rFonts w:hint="eastAsia" w:ascii="仿宋_GB2312" w:eastAsia="仿宋_GB2312" w:cs="仿宋_GB2312"/>
          <w:sz w:val="32"/>
          <w:szCs w:val="32"/>
          <w:highlight w:val="none"/>
          <w:lang w:bidi="ar-SA"/>
        </w:rPr>
        <w:t>末增加129.3亿元、31.4亿元、104.6亿元、9.4亿元</w:t>
      </w:r>
      <w:r>
        <w:rPr>
          <w:rFonts w:hint="eastAsia" w:ascii="仿宋_GB2312" w:eastAsia="仿宋_GB2312" w:cs="仿宋_GB2312"/>
          <w:sz w:val="32"/>
          <w:szCs w:val="32"/>
          <w:highlight w:val="none"/>
          <w:lang w:eastAsia="zh-CN" w:bidi="ar-SA"/>
        </w:rPr>
        <w:t>。</w:t>
      </w:r>
    </w:p>
    <w:p w14:paraId="4B0FA0D8">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ascii="仿宋_GB2312" w:eastAsia="仿宋_GB2312" w:cs="仿宋_GB2312"/>
          <w:b/>
          <w:bCs/>
          <w:sz w:val="24"/>
          <w:szCs w:val="24"/>
          <w:lang w:val="en-US" w:eastAsia="zh-CN" w:bidi="ar-SA"/>
        </w:rPr>
      </w:pPr>
      <w:r>
        <w:rPr>
          <w:rFonts w:hint="eastAsia" w:ascii="仿宋_GB2312" w:eastAsia="仿宋_GB2312" w:cs="仿宋_GB2312"/>
          <w:b/>
          <w:bCs/>
          <w:sz w:val="24"/>
          <w:szCs w:val="24"/>
          <w:highlight w:val="none"/>
          <w:lang w:eastAsia="zh-CN" w:bidi="ar-SA"/>
        </w:rPr>
        <w:t>图</w:t>
      </w:r>
      <w:r>
        <w:rPr>
          <w:rFonts w:hint="eastAsia" w:ascii="仿宋_GB2312" w:eastAsia="仿宋_GB2312" w:cs="仿宋_GB2312"/>
          <w:b/>
          <w:bCs/>
          <w:sz w:val="24"/>
          <w:szCs w:val="24"/>
          <w:highlight w:val="none"/>
          <w:lang w:val="en-US" w:eastAsia="zh-CN" w:bidi="ar-SA"/>
        </w:rPr>
        <w:t xml:space="preserve">2  </w:t>
      </w:r>
      <w:r>
        <w:rPr>
          <w:rFonts w:hint="eastAsia" w:ascii="仿宋_GB2312" w:eastAsia="仿宋_GB2312" w:cs="仿宋_GB2312"/>
          <w:b/>
          <w:bCs/>
          <w:sz w:val="24"/>
          <w:szCs w:val="24"/>
          <w:lang w:val="en-US" w:eastAsia="zh-CN" w:bidi="ar-SA"/>
        </w:rPr>
        <w:t>全州“十三五”期间存贷款增长情况</w:t>
      </w:r>
    </w:p>
    <w:p w14:paraId="2D6297AC">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ascii="仿宋_GB2312" w:eastAsia="仿宋_GB2312" w:cs="仿宋_GB2312"/>
          <w:sz w:val="32"/>
          <w:szCs w:val="32"/>
          <w:lang w:val="en-US" w:eastAsia="zh-CN" w:bidi="ar-SA"/>
        </w:rPr>
      </w:pPr>
      <w:r>
        <w:rPr>
          <w:rFonts w:ascii="仿宋_GB2312" w:eastAsia="仿宋_GB2312" w:cs="仿宋_GB2312"/>
          <w:sz w:val="32"/>
          <w:szCs w:val="32"/>
          <w:lang w:bidi="ar-SA"/>
        </w:rPr>
        <w:pict>
          <v:shape id="_x0000_s1027" o:spid="_x0000_s1027" o:spt="75" type="#_x0000_t75" style="position:absolute;left:0pt;margin-left:43.45pt;margin-top:6.5pt;height:222.75pt;width:366.75pt;mso-wrap-distance-left:6.65pt;mso-wrap-distance-right:6.65pt;z-index:251659264;mso-width-relative:page;mso-height-relative:page;" o:ole="t" filled="f" o:preferrelative="t" stroked="f" coordsize="21600,21600" wrapcoords="-8 -39 -8 21560 21590 21560 21590 -39 -8 -39">
            <v:path/>
            <v:fill on="f" focussize="0,0"/>
            <v:stroke on="f" color="#000000"/>
            <v:imagedata r:id="rId9" o:title="1611968932"/>
            <o:lock v:ext="edit" aspectratio="t"/>
            <w10:wrap type="tight"/>
          </v:shape>
          <o:OLEObject Type="Embed" ProgID="Package" ShapeID="_x0000_s1027" DrawAspect="Content" ObjectID="_1468075726" r:id="rId8">
            <o:LockedField>false</o:LockedField>
          </o:OLEObject>
        </w:pict>
      </w:r>
    </w:p>
    <w:p w14:paraId="7DA3B86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3E2BFD5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6C71726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173C8840">
      <w:pPr>
        <w:pStyle w:val="8"/>
        <w:keepNext w:val="0"/>
        <w:keepLines w:val="0"/>
        <w:pageBreakBefore w:val="0"/>
        <w:widowControl w:val="0"/>
        <w:suppressLineNumbers w:val="0"/>
        <w:suppressAutoHyphens w:val="0"/>
        <w:bidi w:val="0"/>
        <w:spacing w:line="540" w:lineRule="exact"/>
        <w:ind w:left="386" w:leftChars="200" w:firstLine="386" w:firstLineChars="200"/>
        <w:textAlignment w:val="baseline"/>
      </w:pPr>
    </w:p>
    <w:p w14:paraId="4C8AC7E0">
      <w:pPr>
        <w:keepNext w:val="0"/>
        <w:keepLines w:val="0"/>
        <w:pageBreakBefore w:val="0"/>
        <w:widowControl w:val="0"/>
        <w:suppressLineNumbers w:val="0"/>
        <w:suppressAutoHyphens w:val="0"/>
        <w:bidi w:val="0"/>
      </w:pPr>
    </w:p>
    <w:p w14:paraId="338D7773">
      <w:pPr>
        <w:pStyle w:val="8"/>
        <w:keepNext w:val="0"/>
        <w:keepLines w:val="0"/>
        <w:pageBreakBefore w:val="0"/>
        <w:widowControl w:val="0"/>
        <w:suppressLineNumbers w:val="0"/>
        <w:suppressAutoHyphens w:val="0"/>
        <w:bidi w:val="0"/>
      </w:pPr>
    </w:p>
    <w:p w14:paraId="26117460">
      <w:pPr>
        <w:keepNext w:val="0"/>
        <w:keepLines w:val="0"/>
        <w:pageBreakBefore w:val="0"/>
        <w:widowControl w:val="0"/>
        <w:suppressLineNumbers w:val="0"/>
        <w:suppressAutoHyphens w:val="0"/>
        <w:bidi w:val="0"/>
      </w:pPr>
    </w:p>
    <w:p w14:paraId="1DE4B979">
      <w:pPr>
        <w:keepNext w:val="0"/>
        <w:keepLines w:val="0"/>
        <w:pageBreakBefore w:val="0"/>
        <w:widowControl w:val="0"/>
        <w:suppressLineNumbers w:val="0"/>
        <w:suppressAutoHyphens w:val="0"/>
        <w:bidi w:val="0"/>
      </w:pPr>
    </w:p>
    <w:p w14:paraId="3C0C782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2020年末，全州实现保费收入9.2亿元，证券交易额40.5亿元。金融总量实现稳步增长，金融竞争力不断提升。</w:t>
      </w:r>
    </w:p>
    <w:p w14:paraId="2ABB87E0">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eastAsia" w:ascii="仿宋_GB2312" w:eastAsia="仿宋_GB2312" w:cs="仿宋_GB2312"/>
          <w:b/>
          <w:bCs/>
          <w:sz w:val="24"/>
          <w:szCs w:val="24"/>
          <w:lang w:bidi="ar-SA"/>
        </w:rPr>
      </w:pPr>
      <w:r>
        <w:rPr>
          <w:rFonts w:hint="eastAsia" w:ascii="仿宋_GB2312" w:eastAsia="仿宋_GB2312" w:cs="仿宋_GB2312"/>
          <w:b/>
          <w:bCs/>
          <w:sz w:val="24"/>
          <w:szCs w:val="24"/>
          <w:lang w:bidi="ar-SA"/>
        </w:rPr>
        <w:t>表1  全州金融业“十三五”发展成果对比表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971"/>
        <w:gridCol w:w="1558"/>
        <w:gridCol w:w="1603"/>
      </w:tblGrid>
      <w:tr w14:paraId="5059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5355" w:type="dxa"/>
            <w:gridSpan w:val="2"/>
            <w:tcBorders>
              <w:tl2br w:val="nil"/>
              <w:tr2bl w:val="nil"/>
            </w:tcBorders>
          </w:tcPr>
          <w:p w14:paraId="55A9077B">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指标</w:t>
            </w:r>
          </w:p>
        </w:tc>
        <w:tc>
          <w:tcPr>
            <w:tcW w:w="1558" w:type="dxa"/>
            <w:tcBorders>
              <w:tl2br w:val="nil"/>
              <w:tr2bl w:val="nil"/>
            </w:tcBorders>
          </w:tcPr>
          <w:p w14:paraId="361D798B">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“十二五”末</w:t>
            </w:r>
          </w:p>
        </w:tc>
        <w:tc>
          <w:tcPr>
            <w:tcW w:w="1603" w:type="dxa"/>
            <w:tcBorders>
              <w:tl2br w:val="nil"/>
              <w:tr2bl w:val="nil"/>
            </w:tcBorders>
          </w:tcPr>
          <w:p w14:paraId="164ECE16">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“十三五”末</w:t>
            </w:r>
          </w:p>
        </w:tc>
      </w:tr>
      <w:tr w14:paraId="629D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l2br w:val="nil"/>
              <w:tr2bl w:val="nil"/>
            </w:tcBorders>
            <w:vAlign w:val="center"/>
          </w:tcPr>
          <w:p w14:paraId="58B2370E">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总体指标</w:t>
            </w:r>
          </w:p>
        </w:tc>
        <w:tc>
          <w:tcPr>
            <w:tcW w:w="3971" w:type="dxa"/>
            <w:tcBorders>
              <w:tl2br w:val="nil"/>
              <w:tr2bl w:val="nil"/>
            </w:tcBorders>
          </w:tcPr>
          <w:p w14:paraId="10A29EF2">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1</w:t>
            </w:r>
            <w:r>
              <w:rPr>
                <w:rFonts w:hint="eastAsia" w:ascii="仿宋_GB2312" w:eastAsia="仿宋_GB2312" w:cs="仿宋_GB2312"/>
                <w:color w:val="auto"/>
                <w:kern w:val="0"/>
                <w:sz w:val="24"/>
                <w:lang w:bidi="ar-SA"/>
              </w:rPr>
              <w:t xml:space="preserve">．金融机构总数（家） </w:t>
            </w:r>
          </w:p>
        </w:tc>
        <w:tc>
          <w:tcPr>
            <w:tcW w:w="1558" w:type="dxa"/>
            <w:tcBorders>
              <w:tl2br w:val="nil"/>
              <w:tr2bl w:val="nil"/>
            </w:tcBorders>
          </w:tcPr>
          <w:p w14:paraId="100E3D0F">
            <w:pPr>
              <w:spacing w:line="280" w:lineRule="exact"/>
              <w:ind w:firstLine="0"/>
              <w:jc w:val="center"/>
              <w:rPr>
                <w:rFonts w:hint="eastAsia" w:ascii="仿宋_GB2312" w:eastAsia="仿宋_GB2312" w:cs="仿宋_GB2312"/>
                <w:color w:val="auto"/>
                <w:sz w:val="24"/>
                <w:lang w:eastAsia="zh-CN" w:bidi="ar-SA"/>
              </w:rPr>
            </w:pPr>
            <w:r>
              <w:rPr>
                <w:rFonts w:hint="eastAsia" w:ascii="仿宋_GB2312" w:eastAsia="仿宋_GB2312" w:cs="仿宋_GB2312"/>
                <w:color w:val="auto"/>
                <w:sz w:val="24"/>
                <w:lang w:val="en-US" w:eastAsia="zh-CN" w:bidi="ar-SA"/>
              </w:rPr>
              <w:t>28</w:t>
            </w:r>
          </w:p>
        </w:tc>
        <w:tc>
          <w:tcPr>
            <w:tcW w:w="1603" w:type="dxa"/>
            <w:tcBorders>
              <w:tl2br w:val="nil"/>
              <w:tr2bl w:val="nil"/>
            </w:tcBorders>
          </w:tcPr>
          <w:p w14:paraId="4B79CD12">
            <w:pPr>
              <w:spacing w:line="280" w:lineRule="exact"/>
              <w:ind w:firstLine="0"/>
              <w:jc w:val="center"/>
              <w:rPr>
                <w:rFonts w:hint="eastAsia" w:ascii="仿宋_GB2312" w:eastAsia="仿宋_GB2312" w:cs="仿宋_GB2312"/>
                <w:color w:val="auto"/>
                <w:sz w:val="24"/>
                <w:lang w:eastAsia="zh-CN" w:bidi="ar-SA"/>
              </w:rPr>
            </w:pPr>
            <w:r>
              <w:rPr>
                <w:rFonts w:hint="eastAsia" w:ascii="仿宋_GB2312" w:eastAsia="仿宋_GB2312" w:cs="仿宋_GB2312"/>
                <w:color w:val="auto"/>
                <w:sz w:val="24"/>
                <w:lang w:val="en-US" w:eastAsia="zh-CN" w:bidi="ar-SA"/>
              </w:rPr>
              <w:t>27</w:t>
            </w:r>
          </w:p>
        </w:tc>
      </w:tr>
      <w:tr w14:paraId="2954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vMerge w:val="restart"/>
            <w:tcBorders>
              <w:tl2br w:val="nil"/>
              <w:tr2bl w:val="nil"/>
            </w:tcBorders>
            <w:vAlign w:val="center"/>
          </w:tcPr>
          <w:p w14:paraId="320E1D2C">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银行业</w:t>
            </w:r>
          </w:p>
        </w:tc>
        <w:tc>
          <w:tcPr>
            <w:tcW w:w="3971" w:type="dxa"/>
            <w:tcBorders>
              <w:tl2br w:val="nil"/>
              <w:tr2bl w:val="nil"/>
            </w:tcBorders>
          </w:tcPr>
          <w:p w14:paraId="51A793E9">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2</w:t>
            </w:r>
            <w:r>
              <w:rPr>
                <w:rFonts w:hint="eastAsia" w:ascii="仿宋_GB2312" w:eastAsia="仿宋_GB2312" w:cs="仿宋_GB2312"/>
                <w:color w:val="auto"/>
                <w:kern w:val="0"/>
                <w:sz w:val="24"/>
                <w:lang w:bidi="ar-SA"/>
              </w:rPr>
              <w:t xml:space="preserve">．银行业金融机构（家） </w:t>
            </w:r>
          </w:p>
        </w:tc>
        <w:tc>
          <w:tcPr>
            <w:tcW w:w="1558" w:type="dxa"/>
            <w:tcBorders>
              <w:tl2br w:val="nil"/>
              <w:tr2bl w:val="nil"/>
            </w:tcBorders>
          </w:tcPr>
          <w:p w14:paraId="25C42349">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6</w:t>
            </w:r>
          </w:p>
        </w:tc>
        <w:tc>
          <w:tcPr>
            <w:tcW w:w="1603" w:type="dxa"/>
            <w:tcBorders>
              <w:tl2br w:val="nil"/>
              <w:tr2bl w:val="nil"/>
            </w:tcBorders>
          </w:tcPr>
          <w:p w14:paraId="0FF4553C">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7</w:t>
            </w:r>
          </w:p>
        </w:tc>
      </w:tr>
      <w:tr w14:paraId="6853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671E162"/>
        </w:tc>
        <w:tc>
          <w:tcPr>
            <w:tcW w:w="3971" w:type="dxa"/>
            <w:tcBorders>
              <w:tl2br w:val="nil"/>
              <w:tr2bl w:val="nil"/>
            </w:tcBorders>
          </w:tcPr>
          <w:p w14:paraId="377C7594">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3</w:t>
            </w:r>
            <w:r>
              <w:rPr>
                <w:rFonts w:hint="eastAsia" w:ascii="仿宋_GB2312" w:eastAsia="仿宋_GB2312" w:cs="仿宋_GB2312"/>
                <w:color w:val="auto"/>
                <w:kern w:val="0"/>
                <w:sz w:val="24"/>
                <w:lang w:bidi="ar-SA"/>
              </w:rPr>
              <w:t>．本外币存款规模（亿元）</w:t>
            </w:r>
          </w:p>
        </w:tc>
        <w:tc>
          <w:tcPr>
            <w:tcW w:w="1558" w:type="dxa"/>
            <w:tcBorders>
              <w:tl2br w:val="nil"/>
              <w:tr2bl w:val="nil"/>
            </w:tcBorders>
          </w:tcPr>
          <w:p w14:paraId="18919184">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535.4</w:t>
            </w:r>
          </w:p>
        </w:tc>
        <w:tc>
          <w:tcPr>
            <w:tcW w:w="1603" w:type="dxa"/>
            <w:tcBorders>
              <w:tl2br w:val="nil"/>
              <w:tr2bl w:val="nil"/>
            </w:tcBorders>
          </w:tcPr>
          <w:p w14:paraId="5F20B399">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738.3</w:t>
            </w:r>
          </w:p>
        </w:tc>
      </w:tr>
      <w:tr w14:paraId="01B8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0AB0A5F6"/>
        </w:tc>
        <w:tc>
          <w:tcPr>
            <w:tcW w:w="3971" w:type="dxa"/>
            <w:tcBorders>
              <w:tl2br w:val="nil"/>
              <w:tr2bl w:val="nil"/>
            </w:tcBorders>
          </w:tcPr>
          <w:p w14:paraId="66EBD34A">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4</w:t>
            </w:r>
            <w:r>
              <w:rPr>
                <w:rFonts w:hint="eastAsia" w:ascii="仿宋_GB2312" w:eastAsia="仿宋_GB2312" w:cs="仿宋_GB2312"/>
                <w:color w:val="auto"/>
                <w:kern w:val="0"/>
                <w:sz w:val="24"/>
                <w:lang w:bidi="ar-SA"/>
              </w:rPr>
              <w:t>．本外币贷款规模（亿元）</w:t>
            </w:r>
          </w:p>
        </w:tc>
        <w:tc>
          <w:tcPr>
            <w:tcW w:w="1558" w:type="dxa"/>
            <w:tcBorders>
              <w:tl2br w:val="nil"/>
              <w:tr2bl w:val="nil"/>
            </w:tcBorders>
          </w:tcPr>
          <w:p w14:paraId="0A39845D">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221.6</w:t>
            </w:r>
          </w:p>
        </w:tc>
        <w:tc>
          <w:tcPr>
            <w:tcW w:w="1603" w:type="dxa"/>
            <w:tcBorders>
              <w:tl2br w:val="nil"/>
              <w:tr2bl w:val="nil"/>
            </w:tcBorders>
          </w:tcPr>
          <w:p w14:paraId="50C30F2E">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375.5</w:t>
            </w:r>
          </w:p>
        </w:tc>
      </w:tr>
      <w:tr w14:paraId="2F56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739FE068"/>
        </w:tc>
        <w:tc>
          <w:tcPr>
            <w:tcW w:w="3971" w:type="dxa"/>
            <w:tcBorders>
              <w:tl2br w:val="nil"/>
              <w:tr2bl w:val="nil"/>
            </w:tcBorders>
          </w:tcPr>
          <w:p w14:paraId="4D81CF88">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5</w:t>
            </w:r>
            <w:r>
              <w:rPr>
                <w:rFonts w:hint="eastAsia" w:ascii="仿宋_GB2312" w:eastAsia="仿宋_GB2312" w:cs="仿宋_GB2312"/>
                <w:color w:val="auto"/>
                <w:kern w:val="0"/>
                <w:sz w:val="24"/>
                <w:lang w:bidi="ar-SA"/>
              </w:rPr>
              <w:t>．不良贷款率（%）</w:t>
            </w:r>
          </w:p>
        </w:tc>
        <w:tc>
          <w:tcPr>
            <w:tcW w:w="1558" w:type="dxa"/>
            <w:tcBorders>
              <w:tl2br w:val="nil"/>
              <w:tr2bl w:val="nil"/>
            </w:tcBorders>
          </w:tcPr>
          <w:p w14:paraId="6626F2C5">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7.6</w:t>
            </w:r>
          </w:p>
        </w:tc>
        <w:tc>
          <w:tcPr>
            <w:tcW w:w="1603" w:type="dxa"/>
            <w:tcBorders>
              <w:tl2br w:val="nil"/>
              <w:tr2bl w:val="nil"/>
            </w:tcBorders>
          </w:tcPr>
          <w:p w14:paraId="0C4CDABD">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2.04</w:t>
            </w:r>
          </w:p>
        </w:tc>
      </w:tr>
      <w:tr w14:paraId="77E3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tcBorders>
              <w:tl2br w:val="nil"/>
              <w:tr2bl w:val="nil"/>
            </w:tcBorders>
            <w:vAlign w:val="center"/>
          </w:tcPr>
          <w:p w14:paraId="6FB61CFB">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保险业</w:t>
            </w:r>
          </w:p>
        </w:tc>
        <w:tc>
          <w:tcPr>
            <w:tcW w:w="3971" w:type="dxa"/>
            <w:tcBorders>
              <w:tl2br w:val="nil"/>
              <w:tr2bl w:val="nil"/>
            </w:tcBorders>
          </w:tcPr>
          <w:p w14:paraId="5448B59A">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6</w:t>
            </w:r>
            <w:r>
              <w:rPr>
                <w:rFonts w:hint="eastAsia" w:ascii="仿宋_GB2312" w:eastAsia="仿宋_GB2312" w:cs="仿宋_GB2312"/>
                <w:color w:val="auto"/>
                <w:kern w:val="0"/>
                <w:sz w:val="24"/>
                <w:lang w:bidi="ar-SA"/>
              </w:rPr>
              <w:t>．保险公司数量（家）</w:t>
            </w:r>
          </w:p>
        </w:tc>
        <w:tc>
          <w:tcPr>
            <w:tcW w:w="1558" w:type="dxa"/>
            <w:tcBorders>
              <w:tl2br w:val="nil"/>
              <w:tr2bl w:val="nil"/>
            </w:tcBorders>
          </w:tcPr>
          <w:p w14:paraId="05C9A75E">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9</w:t>
            </w:r>
          </w:p>
        </w:tc>
        <w:tc>
          <w:tcPr>
            <w:tcW w:w="1603" w:type="dxa"/>
            <w:tcBorders>
              <w:tl2br w:val="nil"/>
              <w:tr2bl w:val="nil"/>
            </w:tcBorders>
          </w:tcPr>
          <w:p w14:paraId="424329EA">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9</w:t>
            </w:r>
          </w:p>
        </w:tc>
      </w:tr>
      <w:tr w14:paraId="7C1A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3A5899EA"/>
        </w:tc>
        <w:tc>
          <w:tcPr>
            <w:tcW w:w="3971" w:type="dxa"/>
            <w:tcBorders>
              <w:tl2br w:val="nil"/>
              <w:tr2bl w:val="nil"/>
            </w:tcBorders>
          </w:tcPr>
          <w:p w14:paraId="574F8D2E">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7</w:t>
            </w:r>
            <w:r>
              <w:rPr>
                <w:rFonts w:hint="eastAsia" w:ascii="仿宋_GB2312" w:eastAsia="仿宋_GB2312" w:cs="仿宋_GB2312"/>
                <w:color w:val="auto"/>
                <w:kern w:val="0"/>
                <w:sz w:val="24"/>
                <w:lang w:bidi="ar-SA"/>
              </w:rPr>
              <w:t>．保费收入（亿元）</w:t>
            </w:r>
          </w:p>
        </w:tc>
        <w:tc>
          <w:tcPr>
            <w:tcW w:w="1558" w:type="dxa"/>
            <w:tcBorders>
              <w:tl2br w:val="nil"/>
              <w:tr2bl w:val="nil"/>
            </w:tcBorders>
          </w:tcPr>
          <w:p w14:paraId="1C9857B2">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5.2</w:t>
            </w:r>
          </w:p>
        </w:tc>
        <w:tc>
          <w:tcPr>
            <w:tcW w:w="1603" w:type="dxa"/>
            <w:tcBorders>
              <w:tl2br w:val="nil"/>
              <w:tr2bl w:val="nil"/>
            </w:tcBorders>
          </w:tcPr>
          <w:p w14:paraId="3274064B">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9.2</w:t>
            </w:r>
          </w:p>
        </w:tc>
      </w:tr>
      <w:tr w14:paraId="0F3A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384" w:type="dxa"/>
            <w:vMerge w:val="restart"/>
            <w:tcBorders>
              <w:tl2br w:val="nil"/>
              <w:tr2bl w:val="nil"/>
            </w:tcBorders>
            <w:vAlign w:val="center"/>
          </w:tcPr>
          <w:p w14:paraId="57D5CA86">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证券及私募基金业</w:t>
            </w:r>
          </w:p>
        </w:tc>
        <w:tc>
          <w:tcPr>
            <w:tcW w:w="3971" w:type="dxa"/>
            <w:tcBorders>
              <w:tl2br w:val="nil"/>
              <w:tr2bl w:val="nil"/>
            </w:tcBorders>
          </w:tcPr>
          <w:p w14:paraId="2295180A">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8</w:t>
            </w:r>
            <w:r>
              <w:rPr>
                <w:rFonts w:hint="eastAsia" w:ascii="仿宋_GB2312" w:eastAsia="仿宋_GB2312" w:cs="仿宋_GB2312"/>
                <w:color w:val="auto"/>
                <w:kern w:val="0"/>
                <w:sz w:val="24"/>
                <w:lang w:bidi="ar-SA"/>
              </w:rPr>
              <w:t>．证券期货机构数量（家）</w:t>
            </w:r>
          </w:p>
        </w:tc>
        <w:tc>
          <w:tcPr>
            <w:tcW w:w="1558" w:type="dxa"/>
            <w:tcBorders>
              <w:tl2br w:val="nil"/>
              <w:tr2bl w:val="nil"/>
            </w:tcBorders>
          </w:tcPr>
          <w:p w14:paraId="72FA976D">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w:t>
            </w:r>
          </w:p>
        </w:tc>
        <w:tc>
          <w:tcPr>
            <w:tcW w:w="1603" w:type="dxa"/>
            <w:tcBorders>
              <w:tl2br w:val="nil"/>
              <w:tr2bl w:val="nil"/>
            </w:tcBorders>
          </w:tcPr>
          <w:p w14:paraId="0D0AB015">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w:t>
            </w:r>
          </w:p>
        </w:tc>
      </w:tr>
      <w:tr w14:paraId="6CF5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vAlign w:val="center"/>
          </w:tcPr>
          <w:p w14:paraId="79B6509B"/>
        </w:tc>
        <w:tc>
          <w:tcPr>
            <w:tcW w:w="3971" w:type="dxa"/>
            <w:tcBorders>
              <w:tl2br w:val="nil"/>
              <w:tr2bl w:val="nil"/>
            </w:tcBorders>
          </w:tcPr>
          <w:p w14:paraId="783B074D">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kern w:val="0"/>
                <w:sz w:val="24"/>
                <w:lang w:val="en-US" w:eastAsia="zh-CN" w:bidi="ar-SA"/>
              </w:rPr>
              <w:t>9</w:t>
            </w:r>
            <w:r>
              <w:rPr>
                <w:rFonts w:hint="eastAsia" w:ascii="仿宋_GB2312" w:eastAsia="仿宋_GB2312" w:cs="仿宋_GB2312"/>
                <w:color w:val="auto"/>
                <w:kern w:val="0"/>
                <w:sz w:val="24"/>
                <w:lang w:bidi="ar-SA"/>
              </w:rPr>
              <w:t>.登记私募基金管理人（家）</w:t>
            </w:r>
          </w:p>
        </w:tc>
        <w:tc>
          <w:tcPr>
            <w:tcW w:w="1558" w:type="dxa"/>
            <w:tcBorders>
              <w:tl2br w:val="nil"/>
              <w:tr2bl w:val="nil"/>
            </w:tcBorders>
          </w:tcPr>
          <w:p w14:paraId="445258D6">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0</w:t>
            </w:r>
          </w:p>
        </w:tc>
        <w:tc>
          <w:tcPr>
            <w:tcW w:w="1603" w:type="dxa"/>
            <w:tcBorders>
              <w:tl2br w:val="nil"/>
              <w:tr2bl w:val="nil"/>
            </w:tcBorders>
          </w:tcPr>
          <w:p w14:paraId="779FD8DC">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w:t>
            </w:r>
          </w:p>
        </w:tc>
      </w:tr>
      <w:tr w14:paraId="177A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1384" w:type="dxa"/>
            <w:vMerge w:val="restart"/>
            <w:tcBorders>
              <w:tl2br w:val="nil"/>
              <w:tr2bl w:val="nil"/>
            </w:tcBorders>
            <w:vAlign w:val="center"/>
          </w:tcPr>
          <w:p w14:paraId="5201AA75">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地方金融组织机构</w:t>
            </w:r>
          </w:p>
        </w:tc>
        <w:tc>
          <w:tcPr>
            <w:tcW w:w="3971" w:type="dxa"/>
            <w:tcBorders>
              <w:tl2br w:val="nil"/>
              <w:tr2bl w:val="nil"/>
            </w:tcBorders>
          </w:tcPr>
          <w:p w14:paraId="39725A18">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sz w:val="24"/>
                <w:lang w:val="en-US" w:eastAsia="zh-CN" w:bidi="ar-SA"/>
              </w:rPr>
              <w:t>10</w:t>
            </w:r>
            <w:r>
              <w:rPr>
                <w:rFonts w:hint="eastAsia" w:ascii="仿宋_GB2312" w:eastAsia="仿宋_GB2312" w:cs="仿宋_GB2312"/>
                <w:color w:val="auto"/>
                <w:sz w:val="24"/>
                <w:lang w:bidi="ar-SA"/>
              </w:rPr>
              <w:t>.小额贷款公司（家）</w:t>
            </w:r>
          </w:p>
        </w:tc>
        <w:tc>
          <w:tcPr>
            <w:tcW w:w="1558" w:type="dxa"/>
            <w:tcBorders>
              <w:tl2br w:val="nil"/>
              <w:tr2bl w:val="nil"/>
            </w:tcBorders>
          </w:tcPr>
          <w:p w14:paraId="4DC6FCFC">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6</w:t>
            </w:r>
          </w:p>
        </w:tc>
        <w:tc>
          <w:tcPr>
            <w:tcW w:w="1603" w:type="dxa"/>
            <w:tcBorders>
              <w:tl2br w:val="nil"/>
              <w:tr2bl w:val="nil"/>
            </w:tcBorders>
          </w:tcPr>
          <w:p w14:paraId="31357408">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w:t>
            </w:r>
          </w:p>
        </w:tc>
      </w:tr>
      <w:tr w14:paraId="023F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tcPr>
          <w:p w14:paraId="31D3A3DE"/>
        </w:tc>
        <w:tc>
          <w:tcPr>
            <w:tcW w:w="3971" w:type="dxa"/>
            <w:tcBorders>
              <w:tl2br w:val="nil"/>
              <w:tr2bl w:val="nil"/>
            </w:tcBorders>
          </w:tcPr>
          <w:p w14:paraId="7D1501E1">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w:t>
            </w:r>
            <w:r>
              <w:rPr>
                <w:rFonts w:hint="eastAsia" w:ascii="仿宋_GB2312" w:eastAsia="仿宋_GB2312" w:cs="仿宋_GB2312"/>
                <w:color w:val="auto"/>
                <w:sz w:val="24"/>
                <w:lang w:val="en-US" w:eastAsia="zh-CN" w:bidi="ar-SA"/>
              </w:rPr>
              <w:t>1</w:t>
            </w:r>
            <w:r>
              <w:rPr>
                <w:rFonts w:hint="eastAsia" w:ascii="仿宋_GB2312" w:eastAsia="仿宋_GB2312" w:cs="仿宋_GB2312"/>
                <w:color w:val="auto"/>
                <w:sz w:val="24"/>
                <w:lang w:bidi="ar-SA"/>
              </w:rPr>
              <w:t>.融资性担保公司（家）</w:t>
            </w:r>
          </w:p>
        </w:tc>
        <w:tc>
          <w:tcPr>
            <w:tcW w:w="1558" w:type="dxa"/>
            <w:tcBorders>
              <w:tl2br w:val="nil"/>
              <w:tr2bl w:val="nil"/>
            </w:tcBorders>
          </w:tcPr>
          <w:p w14:paraId="5D703DAD">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4</w:t>
            </w:r>
          </w:p>
        </w:tc>
        <w:tc>
          <w:tcPr>
            <w:tcW w:w="1603" w:type="dxa"/>
            <w:tcBorders>
              <w:tl2br w:val="nil"/>
              <w:tr2bl w:val="nil"/>
            </w:tcBorders>
          </w:tcPr>
          <w:p w14:paraId="392A84CC">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4</w:t>
            </w:r>
          </w:p>
        </w:tc>
      </w:tr>
      <w:tr w14:paraId="41B2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tcBorders>
              <w:tl2br w:val="nil"/>
              <w:tr2bl w:val="nil"/>
            </w:tcBorders>
          </w:tcPr>
          <w:p w14:paraId="23D94B9C"/>
        </w:tc>
        <w:tc>
          <w:tcPr>
            <w:tcW w:w="3971" w:type="dxa"/>
            <w:tcBorders>
              <w:tl2br w:val="nil"/>
              <w:tr2bl w:val="nil"/>
            </w:tcBorders>
          </w:tcPr>
          <w:p w14:paraId="765519CB">
            <w:pPr>
              <w:spacing w:line="280" w:lineRule="exact"/>
              <w:ind w:firstLine="0"/>
              <w:jc w:val="left"/>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w:t>
            </w:r>
            <w:r>
              <w:rPr>
                <w:rFonts w:hint="eastAsia" w:ascii="仿宋_GB2312" w:eastAsia="仿宋_GB2312" w:cs="仿宋_GB2312"/>
                <w:color w:val="auto"/>
                <w:sz w:val="24"/>
                <w:lang w:val="en-US" w:eastAsia="zh-CN" w:bidi="ar-SA"/>
              </w:rPr>
              <w:t>2</w:t>
            </w:r>
            <w:r>
              <w:rPr>
                <w:rFonts w:hint="eastAsia" w:ascii="仿宋_GB2312" w:eastAsia="仿宋_GB2312" w:cs="仿宋_GB2312"/>
                <w:color w:val="auto"/>
                <w:sz w:val="24"/>
                <w:lang w:bidi="ar-SA"/>
              </w:rPr>
              <w:t>.典当行（家）</w:t>
            </w:r>
          </w:p>
        </w:tc>
        <w:tc>
          <w:tcPr>
            <w:tcW w:w="1558" w:type="dxa"/>
            <w:tcBorders>
              <w:tl2br w:val="nil"/>
              <w:tr2bl w:val="nil"/>
            </w:tcBorders>
          </w:tcPr>
          <w:p w14:paraId="436470A5">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w:t>
            </w:r>
          </w:p>
        </w:tc>
        <w:tc>
          <w:tcPr>
            <w:tcW w:w="1603" w:type="dxa"/>
            <w:tcBorders>
              <w:tl2br w:val="nil"/>
              <w:tr2bl w:val="nil"/>
            </w:tcBorders>
          </w:tcPr>
          <w:p w14:paraId="0155852A">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w:t>
            </w:r>
          </w:p>
        </w:tc>
      </w:tr>
    </w:tbl>
    <w:p w14:paraId="34F14A3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b/>
          <w:bCs/>
          <w:sz w:val="32"/>
          <w:szCs w:val="32"/>
          <w:lang w:bidi="ar-SA"/>
        </w:rPr>
      </w:pPr>
      <w:r>
        <w:rPr>
          <w:rFonts w:hint="eastAsia" w:ascii="仿宋_GB2312" w:eastAsia="仿宋_GB2312" w:cs="黑体"/>
          <w:b/>
          <w:bCs/>
          <w:sz w:val="32"/>
          <w:szCs w:val="32"/>
          <w:lang w:bidi="ar-SA"/>
        </w:rPr>
        <w:t>二、社会融资规模不断扩大，金融服务质效持续提升</w:t>
      </w:r>
    </w:p>
    <w:p w14:paraId="444E6D2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2020年末，全州贷款余额375.5亿元，新增38.5亿元，增长11.4%，高于GDP增速8.1个百分点。其中，个人贷款余额77.8亿元，比“十二五”末增加1</w:t>
      </w:r>
      <w:r>
        <w:rPr>
          <w:rFonts w:hint="eastAsia" w:ascii="仿宋_GB2312" w:eastAsia="仿宋_GB2312" w:cs="仿宋_GB2312"/>
          <w:sz w:val="32"/>
          <w:szCs w:val="32"/>
          <w:lang w:val="en-US" w:eastAsia="zh-CN" w:bidi="ar-SA"/>
        </w:rPr>
        <w:t>1.9</w:t>
      </w:r>
      <w:r>
        <w:rPr>
          <w:rFonts w:hint="eastAsia" w:ascii="仿宋_GB2312" w:eastAsia="仿宋_GB2312" w:cs="仿宋_GB2312"/>
          <w:sz w:val="32"/>
          <w:szCs w:val="32"/>
          <w:lang w:bidi="ar-SA"/>
        </w:rPr>
        <w:t>亿元；单位贷款余额297.7亿元，比“十二五”末增加</w:t>
      </w:r>
      <w:r>
        <w:rPr>
          <w:rFonts w:hint="eastAsia" w:ascii="仿宋_GB2312" w:eastAsia="仿宋_GB2312" w:cs="仿宋_GB2312"/>
          <w:sz w:val="32"/>
          <w:szCs w:val="32"/>
          <w:lang w:val="en-US" w:eastAsia="zh-CN" w:bidi="ar-SA"/>
        </w:rPr>
        <w:t>144.9</w:t>
      </w:r>
      <w:r>
        <w:rPr>
          <w:rFonts w:hint="eastAsia" w:ascii="仿宋_GB2312" w:eastAsia="仿宋_GB2312" w:cs="仿宋_GB2312"/>
          <w:sz w:val="32"/>
          <w:szCs w:val="32"/>
          <w:lang w:bidi="ar-SA"/>
        </w:rPr>
        <w:t>亿元。分期限看，短期贷款余额43.5亿元，同比增长</w:t>
      </w:r>
      <w:r>
        <w:rPr>
          <w:rFonts w:hint="eastAsia" w:ascii="仿宋_GB2312" w:eastAsia="仿宋_GB2312" w:cs="仿宋_GB2312"/>
          <w:sz w:val="32"/>
          <w:szCs w:val="32"/>
          <w:lang w:val="en-US" w:eastAsia="zh-CN" w:bidi="ar-SA"/>
        </w:rPr>
        <w:t>32.9</w:t>
      </w:r>
      <w:r>
        <w:rPr>
          <w:rFonts w:hint="eastAsia" w:ascii="仿宋_GB2312" w:eastAsia="仿宋_GB2312" w:cs="仿宋_GB2312"/>
          <w:sz w:val="32"/>
          <w:szCs w:val="32"/>
          <w:lang w:bidi="ar-SA"/>
        </w:rPr>
        <w:t>%；中长期贷款余额315.7亿元，同比增长7.9%；累计发放短期贷款72亿元，同比增长72.7%。得益于短期贷款的快速增长，消费信贷、个人信用贷、中小企业贷等普惠金融得到长足发展。分片区看，西南清洁能源产业示范带贷款同比增长17.7%，西北草原特色产业示范带贷款同比增长8.3%，东北精品文化旅游示范带贷款同比增长8.7%，东南绿色经济先行示范带贷款同比增长7.7%，贷款规模、品种、结构持续优化。</w:t>
      </w:r>
    </w:p>
    <w:p w14:paraId="7F5AFF1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2020年末，全州小额贷款公司贷款余额1.6亿元，融资性担保公司在保责任余额7.1亿元，成为银行贷款的有益补充。发放“战疫贷”、“稳保贷”、“民贸民品贷”2.5亿元，企业实际利率负担不超过4%。经统计，全州新发放贷款中贷款市场报价利率（LPR）应用占比达到100%，再贷款、再贴现资金发放的贷款平均利率4.55%， 2020年阿坝州贷款加权平均利率4.26%，贷款价格为全省第二低。在社会融资规模不断扩大的同时，实现金融服务质效的持续提升。</w:t>
      </w:r>
    </w:p>
    <w:p w14:paraId="2BC2AA3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三、坚持党的领导不断强化，经济金融实现良性互动</w:t>
      </w:r>
    </w:p>
    <w:p w14:paraId="5CE58A2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十三五”以来，党对金融工作的领导不断强化，金融回归本源态势不断巩固。阿坝州金融业立足坚持党的领导，坚守金融服务实体经济问题导向，全面总结金融运行得失经验。在金融支持脱贫攻坚、金融支持民营小微企业、金融支持战疫抗疫、金融支持生态示范区建设以及重大金融风险化解等重要领域，认真贯彻落实州委、州政府关于经济发展的决策部署，不断将坚持党的领导具体化，逐渐形成“党委总揽、政府主导、人行推动、部门联动、监管督促、金融机构参与”的工作机制。</w:t>
      </w:r>
    </w:p>
    <w:p w14:paraId="56BA3E6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在机制的引领下，面对复杂经济格局，实现金融逆周期调控，有效克服复杂经济形势下市场失灵等弊端，确保金融对实体经济的支持力度。“十三五”期间，以信贷为主体的社会融资规模稳步提升，信贷年均增长超过11</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%，高于GDP年均增速</w:t>
      </w:r>
      <w:r>
        <w:rPr>
          <w:rFonts w:hint="eastAsia" w:ascii="仿宋_GB2312" w:eastAsia="仿宋_GB2312" w:cs="仿宋_GB2312"/>
          <w:sz w:val="32"/>
          <w:szCs w:val="32"/>
          <w:lang w:val="en-US" w:eastAsia="zh-CN" w:bidi="ar-SA"/>
        </w:rPr>
        <w:t>2.7</w:t>
      </w:r>
      <w:r>
        <w:rPr>
          <w:rFonts w:hint="eastAsia" w:ascii="仿宋_GB2312" w:eastAsia="仿宋_GB2312" w:cs="仿宋_GB2312"/>
          <w:sz w:val="32"/>
          <w:szCs w:val="32"/>
          <w:lang w:bidi="ar-SA"/>
        </w:rPr>
        <w:t>个百分点，有力地支持了阿坝经济社会发展。</w:t>
      </w:r>
    </w:p>
    <w:p w14:paraId="696E8AE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四、金融助推脱贫攻坚收官，金融支持乡村振兴开启</w:t>
      </w:r>
    </w:p>
    <w:p w14:paraId="2FD3971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2016年以来，人行阿坝州中心支行累计投放扶贫再贷款30.2亿元，发放金融扶贫贷款210亿元，金融机构发放扶贫小额信贷6亿元，金融精准扶贫贷款余额达到19</w:t>
      </w:r>
      <w:r>
        <w:rPr>
          <w:rFonts w:hint="eastAsia" w:ascii="仿宋_GB2312" w:eastAsia="仿宋_GB2312" w:cs="仿宋_GB2312"/>
          <w:sz w:val="32"/>
          <w:szCs w:val="32"/>
          <w:lang w:val="en-US" w:eastAsia="zh-CN" w:bidi="ar-SA"/>
        </w:rPr>
        <w:t>6.5</w:t>
      </w:r>
      <w:r>
        <w:rPr>
          <w:rFonts w:hint="eastAsia" w:ascii="仿宋_GB2312" w:eastAsia="仿宋_GB2312" w:cs="仿宋_GB2312"/>
          <w:sz w:val="32"/>
          <w:szCs w:val="32"/>
          <w:lang w:bidi="ar-SA"/>
        </w:rPr>
        <w:t>亿元。建成106个金融精准扶贫产业基地，投放贷款28.3亿元，带动建档立卡贫困户3529户，扶贫小额信贷覆盖率达49.06%，保质保量完成金融扶贫任务。</w:t>
      </w:r>
    </w:p>
    <w:p w14:paraId="71C904E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截至2020年末，全州到位乡村振兴农业产业发展贷款风险补偿资金9452万元，撬动银行机构累计投放贷款2.95亿元。推动全部州县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实现12类中央财政补贴型农业保险全覆盖。推动金融机构合力打造“金融支持乡村振兴产业基地”,累计投放贷款4.11亿元。其中，使用人民银行再贷款资金支持9100万元，带动已脱贫户546户1639人，辐射带动一般农户4394户13253人。初步实现金融助推脱贫攻坚与金融支持乡村振兴的有机衔接。</w:t>
      </w:r>
    </w:p>
    <w:p w14:paraId="09F3C38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五、金融支持疫情防控及时，金融支持全域旅游起步</w:t>
      </w:r>
    </w:p>
    <w:p w14:paraId="77A04DA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疫情爆发以来，办理应急防疫资金清算3213.5万元，提供防疫应急现金支付服务56次、268.5万元。快速落地疫情防控专项再贷款，为纳入全国疫情防控重点企业名单的4户企业发放贷款1.1亿元，为1户全省应急保障骨干商贸流通企业发放贷款800万元。贴息后企业实际融资成本低于1.5%。为受困企业和工商户及时开通支付清算、国库、征信“绿色通道”，全面跟进疫情防控金融服务需求。</w:t>
      </w:r>
    </w:p>
    <w:p w14:paraId="482D152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截</w:t>
      </w:r>
      <w:r>
        <w:rPr>
          <w:rFonts w:hint="eastAsia" w:ascii="仿宋_GB2312" w:eastAsia="仿宋_GB2312" w:cs="仿宋_GB2312"/>
          <w:sz w:val="32"/>
          <w:szCs w:val="32"/>
          <w:lang w:eastAsia="zh-CN" w:bidi="ar-SA"/>
        </w:rPr>
        <w:t>至</w:t>
      </w:r>
      <w:r>
        <w:rPr>
          <w:rFonts w:hint="eastAsia" w:ascii="仿宋_GB2312" w:eastAsia="仿宋_GB2312" w:cs="仿宋_GB2312"/>
          <w:sz w:val="32"/>
          <w:szCs w:val="32"/>
          <w:lang w:bidi="ar-SA"/>
        </w:rPr>
        <w:t>2020年末，全州金融机构支持旅游业（不含个人）贷款余额约为65.5亿元，</w:t>
      </w:r>
      <w:r>
        <w:rPr>
          <w:rFonts w:hint="eastAsia" w:ascii="仿宋_GB2312" w:eastAsia="仿宋_GB2312" w:cs="仿宋_GB2312"/>
          <w:sz w:val="32"/>
          <w:szCs w:val="32"/>
          <w:lang w:eastAsia="zh-CN" w:bidi="ar-SA"/>
        </w:rPr>
        <w:t>较上年</w:t>
      </w:r>
      <w:r>
        <w:rPr>
          <w:rFonts w:hint="eastAsia" w:ascii="仿宋_GB2312" w:eastAsia="仿宋_GB2312" w:cs="仿宋_GB2312"/>
          <w:sz w:val="32"/>
          <w:szCs w:val="32"/>
          <w:lang w:bidi="ar-SA"/>
        </w:rPr>
        <w:t>同比增长 23.6%，较各项贷款增速快12.3个百分点。其中，金融支持住宿餐饮企业96户248笔，余额31亿元，低于基准利率的贷款笔数占比达到31.9%，总体利率处于较低水平。金融支持文化企业8户11笔，余额1.3亿元，贷款利率低于同类划型企业全部贷款利率的平均水平。为全域旅游探索提供了相应的金融支持。</w:t>
      </w:r>
    </w:p>
    <w:p w14:paraId="6532ACC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六、金融基础设施持续改善，区域金融风险防范有力</w:t>
      </w:r>
    </w:p>
    <w:p w14:paraId="76695E0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截至2020年末，全州建成助农取款点2493个，农村金融综合服务平台8个，农村金融综合服务示范站14个，国库惠民服务平台697个，有效拓宽金融服务半径。积极开展“政银携手、促进消费”专项行动，发放消费券18.1万张，覆盖全州9524家个商户，惠及群众消费优惠1072万元，带动消费6000万元。进一步深化农村信用体系建设，完成行政村ABCD评级授信全覆盖，评出星级信用农户31365户，授信金额超过60.72亿元。</w:t>
      </w:r>
    </w:p>
    <w:p w14:paraId="6B0741B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截至2020年末，全州不良贷款率2.04%。高风险机构不良贷款率、资本充足率、拨备覆盖率等关键指标明显好转，央行评级等级提升，退出高风险机构序列。以打击非法集资为重点，严密防控网络借贷等非法金融活动，无金融大案要案发生。人行阿坝州中心支行积极发挥金融监管协调办公室职责，推动各方齐心协力、履职尽责，金融风险防范化解取得阶段性成效。</w:t>
      </w:r>
    </w:p>
    <w:p w14:paraId="3AB5C9C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七、信用支撑能力显著增强，融资“难贵慢”不断改善</w:t>
      </w:r>
    </w:p>
    <w:p w14:paraId="31C10A5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十三五”时期，全州金融业紧紧围绕缓解“融资难、融资贵”工作目标，形成“资源统筹抓管理、信用先行控风险、评级授信筑基石、融资对接强带动、诚信宣教育文化、信用重建助发展”六位一体的信用体系建设格局。探索建立“事前预防+事中管理+事后督导+全程培育”的信用风险防控网和“信用+信贷+贫困户+N产业”的信用助推金融扶贫长效机制，创新“信用村ABCD+星级信用农户”信用评定机制，丰富农村信用体系建设的内涵外延。推动建设阿坝州信用信息平台，统一归集全州各行业信用数据，对接“天府信用通”平台共享运用，有效打破数据壁垒、丰富共享数据、提升信用评定效率，增强市场主体信用“画像”精准度，为破解银企信息不对称奠定了坚实基础，为缓解“融资难、融资贵、融资慢”提供了坚强保障，夯实了信用服务脱贫攻坚、乡村振兴和民营小微的基石。</w:t>
      </w:r>
    </w:p>
    <w:p w14:paraId="03C184B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475CBEA1">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第二节  “十三五”时期主要问题</w:t>
      </w:r>
    </w:p>
    <w:p w14:paraId="47BC9F73">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5A668CE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“十三五”以来，阿坝州紧抓脱贫攻坚、川西北生态示范区建设等重大机遇，金融业实现长足发展。虽然完成了“十三五”期间的主要目标，取得显著成绩，但仍然存在需要进一步解决的问题。</w:t>
      </w:r>
    </w:p>
    <w:p w14:paraId="374804C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一、金融机构体系尚不健全，金融业发展水平不高</w:t>
      </w:r>
    </w:p>
    <w:p w14:paraId="6E958A3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从市场主体看，金融机构体系仍不健全。近10年来，仅有工商银行、成都银行两家银行机构入驻，银行网点258个，每万人拥有银行网点数为2.8个，在全省排名较低。服务乡镇的金融机构类型单一，主要以信用社为主，股份制银行占比较低。金融体系以传统的银行业为主，和发达地区相比，保险机构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域服务网点有待加强，证券及新兴金融业务发展滞后。</w:t>
      </w:r>
    </w:p>
    <w:p w14:paraId="5BD0E05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从业务经营看，金融规模总量依然偏小，发展水平仍然偏低。截至2020年末，各项存款余额738.33亿元，在全省</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9.1万亿</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总额中占比仅为0.8%，总量全省最小，比倒数第二的甘孜州少49.7亿元。各项贷款余额375.5亿元，占全省（7.1万亿）比重仅为0.53%，比倒数第二的甘孜州少94.6亿元。保费收入仅占全省0.41%，证券交易额仅占全省0.02%，与其他市（州）相比差距较大。</w:t>
      </w:r>
    </w:p>
    <w:p w14:paraId="257ECA7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二、信贷供需结构性失衡，直接融资发展滞后</w:t>
      </w:r>
    </w:p>
    <w:p w14:paraId="41F0012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十三五”期间，全州贷款年均增速高于GDP年均增速6.3个百分点，金融供给总体充裕，但结构性失衡问题长期存在。投资建设领域财政主导作用突出，大部分储备项目多依赖于上级财政资金拨付，主动融资意愿较弱，信贷供给被动偏弱。产业领域信贷集中化特征明显，全州水电等支柱产业贷款余额占比近半。相较之下，普惠金融贷款占比虽有提升，但市场化推动动力有限，政策引导和监管督导需进一步加强。</w:t>
      </w:r>
    </w:p>
    <w:p w14:paraId="1CB86AF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全州融资主体对银行间接融资过度依赖，符合直接融资要求的优质融资主体不多，对接资本市场融资能力不足，利用资本市场融资发展未取得实质性进展，资源配置不优，解决企业融资需求的创新性投融资渠道不足，债券、股权、基金等融资方式比重偏少，期货、信托、金融租赁、资产证券化、金融消费等融资方式亟待开发。融资企业金融知识匮乏，运用资本市场和债券市场融资的意识和能力不足，导致直接融资发展滞后，充分利用多层次资本市场实现多渠道融资任重道远。</w:t>
      </w:r>
    </w:p>
    <w:p w14:paraId="6EE90B0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三、次生灾害频发，涉旅、小微企业贷款面临风险</w:t>
      </w:r>
    </w:p>
    <w:p w14:paraId="7AC1CA7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九寨沟“8·8”地震以及持续的次生灾害，对全州涉旅企业、小微企业生产经营产生较大影响。一方面，小微企业贷款风险突出。据统计，全州银行机构近十年共核销小微企业贷款109户13.8亿元，其中贷款金额在1000万元以上的小微企业29户，贷款总金额达11.8亿元，核销金额占比达85.5%。在当前不良贷款中，有27户7.3亿元小微企业不良贷款，其中大于1000万元的小微企业贷款17户6.9亿元，金额占比高达94.5%。另一方面，次生灾害频发，旅游企业营收能力降低，容易诱致行业性贷款风险攀升。全州小微企业中涉旅企业占比较高，据统计，2019年末，涉旅企业不良贷款占企业不良贷款总额的70%以上，一旦发生自然灾害，旅游行业极易发生行业性贷款风险。</w:t>
      </w:r>
    </w:p>
    <w:p w14:paraId="10D29FC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四、各类金融人才缺乏，地方金融工作力量支撑不足</w:t>
      </w:r>
    </w:p>
    <w:p w14:paraId="36E2FFCD">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黑体" w:eastAsia="黑体" w:cs="黑体"/>
          <w:sz w:val="32"/>
          <w:szCs w:val="32"/>
          <w:lang w:bidi="ar-SA"/>
        </w:rPr>
      </w:pPr>
      <w:r>
        <w:rPr>
          <w:rFonts w:hint="eastAsia" w:ascii="仿宋_GB2312" w:eastAsia="仿宋_GB2312" w:cs="仿宋_GB2312"/>
          <w:sz w:val="32"/>
          <w:szCs w:val="32"/>
          <w:lang w:bidi="ar-SA"/>
        </w:rPr>
        <w:t>州、县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级金融局（办、服务中心）机构设立不完整、人员配备不足，职能不强，</w:t>
      </w:r>
      <w:r>
        <w:rPr>
          <w:rFonts w:hint="eastAsia" w:ascii="仿宋_GB2312" w:eastAsia="仿宋_GB2312" w:cs="仿宋_GB2312"/>
          <w:color w:val="000000"/>
          <w:sz w:val="32"/>
          <w:szCs w:val="32"/>
          <w:lang w:bidi="ar-SA"/>
        </w:rPr>
        <w:t>与地方金融风险管理工作的迫切性、复杂性要求不符。</w:t>
      </w:r>
      <w:r>
        <w:rPr>
          <w:rFonts w:hint="eastAsia" w:ascii="仿宋_GB2312" w:eastAsia="仿宋_GB2312" w:cs="仿宋_GB2312"/>
          <w:sz w:val="32"/>
          <w:szCs w:val="32"/>
          <w:lang w:bidi="ar-SA"/>
        </w:rPr>
        <w:t>与发达地区相比，各级领导班子中懂得现代金融知识和资本运作的专业人才仍显不足，缺乏通过金融杠杆放大投资规模和发展速度的能力。高层次的金融管理人才和高素质的专家级金融人才数量与全州金融业的快速发展不匹配、不适应。金融精算师、金融分析师、金融投行人才、金融科技人才等专业类金融人才匮乏，已成为制约阿坝州激活金融机制、创新金融产品、提升金融服务的重要障碍。</w:t>
      </w:r>
    </w:p>
    <w:p w14:paraId="04691452">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第二章  发展形势</w:t>
      </w:r>
    </w:p>
    <w:p w14:paraId="4A3A774B">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黑体"/>
          <w:sz w:val="44"/>
          <w:szCs w:val="44"/>
          <w:lang w:bidi="ar-SA"/>
        </w:rPr>
      </w:pPr>
    </w:p>
    <w:p w14:paraId="4D9884BB">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第一节  “十四五”时期发展机遇</w:t>
      </w:r>
    </w:p>
    <w:p w14:paraId="35E9BB8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立足当前形势，展望未来五年，阿坝州金融业发展迎来了难得的历史性机遇。</w:t>
      </w:r>
    </w:p>
    <w:p w14:paraId="0D48989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一、多项国家战略叠加实施产生了集合效应</w:t>
      </w:r>
    </w:p>
    <w:p w14:paraId="085CC29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阿坝州是长江黄河上游重要的生态屏障，是川西北重要的生态经济区。国家深入实施西部大开发、成渝地区双城经济圈建设、“一带一路”建设、乡村振兴等重大战略，推动生产力布局向内陆腹地拓展，金融支撑作用重大，产业溢出效应明显。国家持续推进长江经济带发展、促进黄河流域生态保护和高质量发展，为阿坝州筑牢长江黄河上游生态安全屏障提供了有力支撑，对加快以旅游、清洁能源和生态农牧业为支柱的生态产业发展，尽快形成以生态经济为主导的特色产业体系，加快形成以绿色金融为主要特色的金融体系，提供了重大发展机遇。国家加快构建以国内大循环为主体、国内国际双循环相互促进的新发展格局，为金融业持续健康高质量发展创造了有利条件。中央第七次西藏工作座谈会和省委涉藏工作会议出台的系列政策举措，继续支持涉藏地区发展，为金融业加快发展提供了强大的政策保障。</w:t>
      </w:r>
    </w:p>
    <w:p w14:paraId="13B410E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二、双碳目标带来了绿色金融发展的新机会</w:t>
      </w:r>
    </w:p>
    <w:p w14:paraId="1BB4E17C">
      <w:pPr>
        <w:keepNext w:val="0"/>
        <w:keepLines w:val="0"/>
        <w:pageBreakBefore w:val="0"/>
        <w:widowControl w:val="0"/>
        <w:kinsoku/>
        <w:wordWrap/>
        <w:overflowPunct/>
        <w:topLinePunct w:val="0"/>
        <w:autoSpaceDE/>
        <w:autoSpaceDN/>
        <w:bidi w:val="0"/>
        <w:adjustRightInd/>
        <w:snapToGrid/>
        <w:spacing w:line="560" w:lineRule="exact"/>
        <w:ind w:left="0" w:right="0" w:firstLine="590"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pacing w:val="-4"/>
          <w:sz w:val="32"/>
          <w:szCs w:val="32"/>
          <w:lang w:bidi="ar-SA"/>
        </w:rPr>
        <w:t>“碳达峰碳中和”目标有利于我国推进生态文明建设和生态环境保护，有利于持续改善生态环境质量，对于加快形成以国内大循环为主体、国内国际双循环相互促进的新发展格局，推动高质量发展，建设美丽中国，具有重要的促进作用。“十四五”时期是实现我国碳达峰的关键期，也是迈向碳中和的重要窗口期，双碳目标和愿景是大力推动经济结构、能源结构、产业结构转型升级，推进新技术、新业态的产生和发展，推动构建绿色低碳循环发展经济体系的新机遇。四川省“一干多支、五区协同”战略布局、支持川西北生态示范区生态经济发展、强化川西北生态示范区特色文化旅游功能，为阿坝州经济社会高质量发展、金融业高质量发展提供了有利的条件。</w:t>
      </w:r>
    </w:p>
    <w:p w14:paraId="4B17BA6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三、加快经济结构转型深化金融体制改革带来了新机遇</w:t>
      </w:r>
    </w:p>
    <w:p w14:paraId="5C384D0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党中央、国务院推进供给侧结构性改革，出台完善宏观审慎管理、创新货币政策工具等系列政策，为阿坝州加快金融结构转型、加快建立现代财税金融体制提供有力政策支撑。省委、省政府出台加快供给侧结构性改革的系列意见，提出要“一企一策”处置资不抵债企业、积极处置不良资产、推进贷款结构优化，为阿坝金融业继续保持健康发展势头创造良好的发展环境。国家加快构建双循环新发展格局，为加快发展特色优势产业、发展具有阿坝特色的金融服务业、释放内需活力等都带来了重大机遇。</w:t>
      </w:r>
    </w:p>
    <w:p w14:paraId="6E19E73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四、社会信用体系建设顶层设计日益完善带来了新契机</w:t>
      </w:r>
    </w:p>
    <w:p w14:paraId="5ABE623B">
      <w:pPr>
        <w:keepNext w:val="0"/>
        <w:keepLines w:val="0"/>
        <w:pageBreakBefore w:val="0"/>
        <w:widowControl w:val="0"/>
        <w:kinsoku/>
        <w:wordWrap/>
        <w:overflowPunct/>
        <w:topLinePunct w:val="0"/>
        <w:autoSpaceDE/>
        <w:autoSpaceDN/>
        <w:adjustRightInd/>
        <w:snapToGrid/>
        <w:spacing w:line="560" w:lineRule="exact"/>
        <w:ind w:left="148" w:leftChars="77" w:firstLine="455" w:firstLineChars="150"/>
        <w:rPr>
          <w:rFonts w:hint="eastAsia" w:ascii="仿宋_GB2312" w:eastAsia="仿宋_GB2312" w:cs="仿宋_GB2312"/>
          <w:sz w:val="32"/>
          <w:szCs w:val="32"/>
          <w:lang w:bidi="ar-SA"/>
        </w:rPr>
      </w:pPr>
      <w:r>
        <w:rPr>
          <w:rFonts w:hint="eastAsia" w:ascii="仿宋_GB2312" w:eastAsia="仿宋_GB2312" w:cs="仿宋_GB2312"/>
          <w:sz w:val="32"/>
          <w:szCs w:val="32"/>
          <w:lang w:bidi="ar-SA"/>
        </w:rPr>
        <w:t xml:space="preserve"> “十四五”时期，《中华人民共和国国民经济和社会发展第十四个五年规划和2035年远景目标纲要》更加重视发挥社会信用体系建设对高质量发展的支撑作用。《中共中央国务院关于新时代加快完善社会主义市场经济体制的意见》（2020年5月11日）明确提出要推动社会信用法律建设，维护公平竞争市场环境。《国务院办公厅关于进一步完善失信约束制度构建诚信建设长效机制的指导意见》（国办发[2020]49号）指出，要坚持遵循法治轨道，加快研究推进社会信用方面法律法规的立法进程，理顺失信惩戒与行政管理措施的关系，夯实法治基础。《法治社会建设实施纲要(2020-2025年)》作出了推动出台信用方面法律的立法规划和安排。国家层面的社会信用体系建设顶层设计日臻完善，严谨顶层设计下制度配套日臻成熟，为征信业提升信用数据归集能力、加工能力、运用能力、管理能力，促进信贷融资形式的发展转变带来了新契机，为加快诚信阿坝建设提供了更有利的条件。</w:t>
      </w:r>
    </w:p>
    <w:p w14:paraId="7E2A412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671A4F1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第二节  “十四五”时期主要挑战</w:t>
      </w:r>
    </w:p>
    <w:p w14:paraId="36C84217">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p>
    <w:p w14:paraId="15094FB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随着宏观经济不确定性因素的长期存在，阿坝金融业发展面临着诸多挑战：</w:t>
      </w:r>
    </w:p>
    <w:p w14:paraId="56BEFC4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一、区域金融资源竞争加大，金融持续增长难度加大</w:t>
      </w:r>
    </w:p>
    <w:p w14:paraId="1E76B63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金融是经济的核心，在现代经济中具有优化资源配置的基础性作用，“金融活，则经济活”。“十四五”规划编制中，各区域竞相将金融作为推动经济发展的重要抓手，在金融机构引进、金融人才引入、金融资源争夺、区域金融中心建设等方面竞争激烈。阿坝州受城市能级和区位条件制约，对金融要素的虹吸效应不强，对金融人才吸引力不足，综合可用财力相对较弱，亟需采取更加有力的举措积极应对区域金融竞争和挑战。同时，随着新冠疫情影响的预期尚不乐观，世界经济衰退风险加大，国内经济转型升级压力加大，金融机构盈利能力大幅压缩，企业投资信心相对不足，阿坝州产业层次相对不高，市场主体实力相对不强的情形下，金融业在“十四五”期间迅速做大规模、提升排位难度加大。</w:t>
      </w:r>
    </w:p>
    <w:p w14:paraId="113238C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二、金融风险复杂化隐蔽化，地方金融监管复杂性加大</w:t>
      </w:r>
    </w:p>
    <w:p w14:paraId="21FADC5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十四五”时期，随着金融经营复杂化、金融业态多元化和金融科技数字化发展，非法集资线上化、金融洗钱数字货币化、金融无序扩张网络化、以及互联网金融名义“美化”下的金融“伪创新”、“乱创新”层出不穷，导致金融风险日益复杂化、隐蔽化，原来行之有效的传统金融监管方式和手段逐渐失效，难以应对跨区域、跨行业和跨市场的金融风险传递，这对全州金融监管机构的监管水平、监管技术、激励机制、组织保障提出了更高要求，地方金融监管的复杂性加大。</w:t>
      </w:r>
    </w:p>
    <w:p w14:paraId="169606F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三、生态价值转换机制和路径缺乏，金融转型面临压力</w:t>
      </w:r>
    </w:p>
    <w:p w14:paraId="7B6EE6ED">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highlight w:val="none"/>
          <w:lang w:bidi="ar-SA"/>
        </w:rPr>
      </w:pPr>
      <w:r>
        <w:rPr>
          <w:rFonts w:hint="eastAsia" w:ascii="仿宋_GB2312" w:eastAsia="仿宋_GB2312" w:cs="仿宋_GB2312"/>
          <w:sz w:val="32"/>
          <w:szCs w:val="32"/>
          <w:lang w:bidi="ar-SA"/>
        </w:rPr>
        <w:t>“十四五”期间，川西北生态示范区建设持续推进，生态引领将是各产业发展的基础和基调。同时，在“碳达峰碳中和”目标的驱动下，金融机构环境信息披露已在绿色金融改革创新试验区展开，金融机构绿色转型迫在眉睫。阿坝州是全省五个绿色金融改革创新试点地区之一，面临的改革任务十分迫切。与金融绿色转型的急迫要求相比，阿坝州生态价值的转换机制和实现路径较为滞后，金融主体参与积极性不高。特别是在长江黄河上游生态保护和高质量发展过程中，结合森林、草原、湿地资源的生态产品开发力度不足，围绕大熊猫公园建设等生态项目形成的经济价值有限</w:t>
      </w:r>
      <w:r>
        <w:rPr>
          <w:rFonts w:hint="eastAsia" w:ascii="仿宋_GB2312" w:eastAsia="仿宋_GB2312" w:cs="仿宋_GB2312"/>
          <w:sz w:val="32"/>
          <w:szCs w:val="32"/>
          <w:highlight w:val="none"/>
          <w:lang w:bidi="ar-SA"/>
        </w:rPr>
        <w:t>，制约了生态价值的</w:t>
      </w:r>
      <w:r>
        <w:rPr>
          <w:rFonts w:hint="eastAsia" w:ascii="仿宋_GB2312" w:eastAsia="仿宋_GB2312" w:cs="仿宋_GB2312"/>
          <w:sz w:val="32"/>
          <w:szCs w:val="32"/>
          <w:highlight w:val="none"/>
          <w:lang w:eastAsia="zh-CN" w:bidi="ar-SA"/>
        </w:rPr>
        <w:t>有效</w:t>
      </w:r>
      <w:r>
        <w:rPr>
          <w:rFonts w:hint="eastAsia" w:ascii="仿宋_GB2312" w:eastAsia="仿宋_GB2312" w:cs="仿宋_GB2312"/>
          <w:sz w:val="32"/>
          <w:szCs w:val="32"/>
          <w:highlight w:val="none"/>
          <w:lang w:bidi="ar-SA"/>
        </w:rPr>
        <w:t>转换。</w:t>
      </w:r>
    </w:p>
    <w:p w14:paraId="35DF30A8">
      <w:pPr>
        <w:pStyle w:val="8"/>
        <w:keepNext w:val="0"/>
        <w:keepLines w:val="0"/>
        <w:pageBreakBefore w:val="0"/>
        <w:widowControl w:val="0"/>
        <w:suppressLineNumbers w:val="0"/>
        <w:suppressAutoHyphens w:val="0"/>
        <w:spacing w:line="540" w:lineRule="exact"/>
        <w:ind w:left="386" w:leftChars="200" w:firstLine="386" w:firstLineChars="200"/>
      </w:pPr>
    </w:p>
    <w:p w14:paraId="103419E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第三章  指导思想、基本原则、发展战略和</w:t>
      </w:r>
    </w:p>
    <w:p w14:paraId="069D486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主要目标</w:t>
      </w:r>
    </w:p>
    <w:p w14:paraId="7BD34EBD">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sz w:val="32"/>
          <w:szCs w:val="32"/>
          <w:lang w:bidi="ar-SA"/>
        </w:rPr>
      </w:pPr>
    </w:p>
    <w:p w14:paraId="09A23F2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第一节  指导思想</w:t>
      </w:r>
    </w:p>
    <w:p w14:paraId="6C0C1075">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4A671D8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坚持以习近平新时代中国特色社会主义思想为指导，全面贯彻习近平总书记对四川工作系列重要指示精神和关于涉藏工作的重要论述，深入落实新时代党的治藏方略和省委涉藏工作部署，统筹推进“五位一体”总体布局，协调推进“四个全面”战略布局，坚定贯彻新发展理念，坚持稳中求进工作总基调，以深化供给侧结构性改革为主线，以推动金融业高质量发展为主题，以追求规模向追求高质量发展为方向，以金融服务实体经济为根本宗旨，以金融改革创新为根本动力，以金融机构提升服务能力为根本支撑，以满足人民群众日益增长的金融服务需求为目的，以不发生区域性系统性金融风险为底线，推进金融业高质量发展、扩大金融业高水平开放、提升金融高水平治理，为阿坝经济社会发展作出新的更大贡献。</w:t>
      </w:r>
    </w:p>
    <w:p w14:paraId="1372A003">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278BC733">
      <w:pPr>
        <w:pStyle w:val="8"/>
        <w:keepNext w:val="0"/>
        <w:keepLines w:val="0"/>
        <w:pageBreakBefore w:val="0"/>
        <w:widowControl w:val="0"/>
        <w:suppressLineNumbers w:val="0"/>
        <w:suppressAutoHyphens w:val="0"/>
        <w:bidi w:val="0"/>
        <w:spacing w:line="540" w:lineRule="exact"/>
        <w:ind w:left="386" w:leftChars="200"/>
        <w:textAlignment w:val="baseline"/>
      </w:pPr>
    </w:p>
    <w:p w14:paraId="14768E65">
      <w:pPr>
        <w:keepNext w:val="0"/>
        <w:keepLines w:val="0"/>
        <w:pageBreakBefore w:val="0"/>
        <w:widowControl w:val="0"/>
        <w:suppressLineNumbers w:val="0"/>
        <w:suppressAutoHyphens w:val="0"/>
        <w:bidi w:val="0"/>
        <w:rPr>
          <w:rFonts w:hint="eastAsia"/>
        </w:rPr>
      </w:pPr>
    </w:p>
    <w:p w14:paraId="72E97078">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第二节  基本原则</w:t>
      </w:r>
    </w:p>
    <w:p w14:paraId="6B3D0C0B">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6A785DD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一、坚持金融服务实体经济原则</w:t>
      </w:r>
    </w:p>
    <w:p w14:paraId="3234C50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牢固树立金融为实体经济服务的重要导向，把为实体经济服务作为出发点和落脚点，将更多金融资源配置到经济社会发展的重要领域和薄弱环节，更好地满足人民群众和实体经济多样化的金融需求。始终坚持经济与金融良性互动的核心原则，准确把握全州实体经济发展方向，始终坚守“一屏四带”产业布局，紧紧围绕清洁能源、生态农牧业、全域旅游几条主线。确保资金流向“一州两区三家园”“川西北阿坝生态示范区”建设等战略领域，严防金融脱实向虚，构建金融与经济相互促进、协调发展的双赢格局。</w:t>
      </w:r>
    </w:p>
    <w:p w14:paraId="0ED9D0A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二、坚持财政金融互动发展原则</w:t>
      </w:r>
    </w:p>
    <w:p w14:paraId="3589115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highlight w:val="none"/>
          <w:lang w:bidi="ar-SA"/>
        </w:rPr>
      </w:pPr>
      <w:r>
        <w:rPr>
          <w:rFonts w:hint="eastAsia" w:ascii="仿宋_GB2312" w:eastAsia="仿宋_GB2312" w:cs="仿宋_GB2312"/>
          <w:sz w:val="32"/>
          <w:szCs w:val="32"/>
          <w:highlight w:val="none"/>
          <w:lang w:bidi="ar-SA"/>
        </w:rPr>
        <w:t>高度重视发挥财政杠杆效应</w:t>
      </w:r>
      <w:r>
        <w:rPr>
          <w:rFonts w:hint="eastAsia" w:ascii="仿宋_GB2312" w:eastAsia="仿宋_GB2312" w:cs="仿宋_GB2312"/>
          <w:sz w:val="32"/>
          <w:szCs w:val="32"/>
          <w:highlight w:val="none"/>
          <w:lang w:eastAsia="zh-CN" w:bidi="ar-SA"/>
        </w:rPr>
        <w:t>，</w:t>
      </w:r>
      <w:r>
        <w:rPr>
          <w:rFonts w:hint="eastAsia" w:ascii="仿宋_GB2312" w:eastAsia="仿宋_GB2312" w:cs="仿宋_GB2312"/>
          <w:sz w:val="32"/>
          <w:szCs w:val="32"/>
          <w:highlight w:val="none"/>
          <w:lang w:bidi="ar-SA"/>
        </w:rPr>
        <w:t>积极争取</w:t>
      </w:r>
      <w:r>
        <w:rPr>
          <w:rFonts w:hint="eastAsia" w:ascii="仿宋_GB2312" w:eastAsia="仿宋_GB2312" w:cs="仿宋_GB2312"/>
          <w:sz w:val="32"/>
          <w:szCs w:val="32"/>
          <w:highlight w:val="none"/>
          <w:lang w:eastAsia="zh-CN" w:bidi="ar-SA"/>
        </w:rPr>
        <w:t>政策和</w:t>
      </w:r>
      <w:r>
        <w:rPr>
          <w:rFonts w:hint="eastAsia" w:ascii="仿宋_GB2312" w:eastAsia="仿宋_GB2312" w:cs="仿宋_GB2312"/>
          <w:sz w:val="32"/>
          <w:szCs w:val="32"/>
          <w:highlight w:val="none"/>
          <w:lang w:bidi="ar-SA"/>
        </w:rPr>
        <w:t>资金支持，完善全州财政金融互动政策协调机制、执行机制、落实机制和监督评价机制。支持做大金融产业，扩大信贷增量，健全融资风险控制机制，完善融资担保体系。坚持“政府引导、市场运作”原则，完善政府激励金融支持产业发展的政策传导机制。以撬动金融资源投放为目标，以做大信贷规模、优化信贷结构为核心，运用激励奖补、风险分担等多种政策，提高金融资源配置水平。</w:t>
      </w:r>
    </w:p>
    <w:p w14:paraId="4A37B08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三、坚持部门联动统筹协调原则</w:t>
      </w:r>
    </w:p>
    <w:p w14:paraId="22575DD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将“党委总揽、政府主导、人行推动、部门联动、监管督导、金融机构参与”的工作机制贯穿到经济金融互动始终，不断完善“政府搭平台、市场唱主角、产业为支撑、金融添支持、风险为导向”的实践模式和路径，促进产业、财政、金融在机制框架内有机融合、互为支撑。通过制度设计，把社会主义制度优越性和市场经济独特价值结合起来，让金融资源流向最迫切、最需要的领域。</w:t>
      </w:r>
    </w:p>
    <w:p w14:paraId="14460AFF">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_GB2312" w:eastAsia="仿宋_GB2312" w:cs="仿宋_GB2312"/>
          <w:sz w:val="32"/>
          <w:szCs w:val="32"/>
          <w:lang w:bidi="ar-SA"/>
        </w:rPr>
      </w:pPr>
    </w:p>
    <w:p w14:paraId="39097C91">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第三节  发展战略</w:t>
      </w:r>
    </w:p>
    <w:p w14:paraId="09F6585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仿宋_GB2312"/>
          <w:sz w:val="32"/>
          <w:szCs w:val="32"/>
          <w:lang w:bidi="ar-SA"/>
        </w:rPr>
      </w:pPr>
    </w:p>
    <w:p w14:paraId="3B7ABB8D">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pacing w:val="-6"/>
          <w:sz w:val="32"/>
          <w:szCs w:val="32"/>
          <w:lang w:bidi="ar-SA"/>
        </w:rPr>
      </w:pPr>
      <w:r>
        <w:rPr>
          <w:rFonts w:hint="eastAsia" w:ascii="仿宋_GB2312" w:eastAsia="仿宋_GB2312" w:cs="仿宋_GB2312"/>
          <w:sz w:val="32"/>
          <w:szCs w:val="32"/>
          <w:lang w:bidi="ar-SA"/>
        </w:rPr>
        <w:t>围绕“一州两区三家园”战略部署，抢抓发展机遇，发挥区域优势，坚持市场化推进与政府引导相结合，以健全金融体系、培育金融市场、加快金融改革创新、改善融资结构、优化金融环境为重点，以大数据、云计算、区块链等金融科技兴起为契机，创新发展科技金融、数据金融；以阿坝州被列为全省绿色金融创新试点地区为契机，加快发展绿色金融；以国家推行乡村振兴战略和支持涉藏地区发展为机遇，加快发展普惠金融、旅游金融。大力发展银行、证券、保险、担保业，壮大地方法人金融机构，发展小额贷款公司、融资性担保公司，支持地方政府融资平台建设，支持引进外地金融机构以及中介机构来州设立分支机构，加快建设信贷市场、票据市场和金融中介市场，加快金融资源聚集，推动阿坝金融建设。逐步建成川西北绿色金融示范区、高原脱贫地区金融支持乡村振兴先行区、全省金融支持全域旅游试点区。</w:t>
      </w:r>
    </w:p>
    <w:p w14:paraId="7BF6D1B4">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p>
    <w:p w14:paraId="74C77875">
      <w:pPr>
        <w:pStyle w:val="8"/>
        <w:keepNext w:val="0"/>
        <w:keepLines w:val="0"/>
        <w:pageBreakBefore w:val="0"/>
        <w:widowControl w:val="0"/>
        <w:suppressLineNumbers w:val="0"/>
        <w:suppressAutoHyphens w:val="0"/>
        <w:bidi w:val="0"/>
        <w:spacing w:line="540" w:lineRule="exact"/>
        <w:ind w:left="386" w:leftChars="200"/>
        <w:textAlignment w:val="baseline"/>
        <w:rPr>
          <w:rFonts w:hint="eastAsia"/>
        </w:rPr>
      </w:pPr>
    </w:p>
    <w:p w14:paraId="7CB247E7">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第四节  主要目标</w:t>
      </w:r>
    </w:p>
    <w:p w14:paraId="2402ED0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4AEB0FF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一、总体目标</w:t>
      </w:r>
    </w:p>
    <w:p w14:paraId="7C1B14D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基本形成金融产业特色突出、金融生态良好、空间布局合理的金融机构体系，形成服务于阿坝经济社会发展的区域金融发展框架。基本实现金融业整体实力和竞争力显著增强、金融规模稳步扩大、融资渠道更加多元、金融集聚能力进一步增强、普惠金融服务进一步深化的金融服务体系。绿色金融取得突破性发展，金融支持乡村振兴取得阶段性进展，金融支持全域旅游取得初步成效，主要金融指标在全省同类地区力争处于靠前位置。到2035年末，全州金融业体系建设取得新成果、金融业整体实力和竞争能力达到新水平、金融资源集聚能力和配置效率显著提高、金融业发展支撑全州实现共同富裕目标的能力进一步加强。</w:t>
      </w:r>
    </w:p>
    <w:p w14:paraId="180DC2B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二、区域发展目标</w:t>
      </w:r>
    </w:p>
    <w:p w14:paraId="1FD5E9D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结合“一屏四带”战略布局，持续优化“东南绿色经济、东北文化旅游、西北草原特色、西南清洁能源”四大经济带的金融服务能力，突出区域金融特色。</w:t>
      </w:r>
    </w:p>
    <w:p w14:paraId="2F482A1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1.持续增强东南绿色经济先行示范带金融服务能力</w:t>
      </w:r>
      <w:r>
        <w:rPr>
          <w:rFonts w:hint="eastAsia" w:ascii="仿宋_GB2312" w:eastAsia="仿宋_GB2312" w:cs="仿宋_GB2312"/>
          <w:sz w:val="32"/>
          <w:szCs w:val="32"/>
          <w:lang w:eastAsia="zh-CN" w:bidi="ar-SA"/>
        </w:rPr>
        <w:t>。</w:t>
      </w:r>
    </w:p>
    <w:p w14:paraId="10329E21">
      <w:pPr>
        <w:keepNext w:val="0"/>
        <w:keepLines w:val="0"/>
        <w:pageBreakBefore w:val="0"/>
        <w:widowControl w:val="0"/>
        <w:kinsoku/>
        <w:wordWrap/>
        <w:overflowPunct/>
        <w:topLinePunct w:val="0"/>
        <w:autoSpaceDE/>
        <w:autoSpaceDN/>
        <w:bidi w:val="0"/>
        <w:adjustRightInd/>
        <w:snapToGrid/>
        <w:spacing w:line="560" w:lineRule="exact"/>
        <w:ind w:left="0" w:right="0" w:firstLine="582" w:firstLineChars="200"/>
        <w:jc w:val="both"/>
        <w:textAlignment w:val="auto"/>
        <w:outlineLvl w:val="9"/>
        <w:rPr>
          <w:rFonts w:hint="eastAsia" w:ascii="仿宋_GB2312" w:eastAsia="仿宋_GB2312" w:cs="仿宋_GB2312"/>
          <w:spacing w:val="-6"/>
          <w:sz w:val="32"/>
          <w:szCs w:val="32"/>
          <w:lang w:bidi="ar-SA"/>
        </w:rPr>
      </w:pPr>
      <w:r>
        <w:rPr>
          <w:rFonts w:hint="eastAsia" w:ascii="仿宋_GB2312" w:eastAsia="仿宋_GB2312" w:cs="仿宋_GB2312"/>
          <w:spacing w:val="-6"/>
          <w:sz w:val="32"/>
          <w:szCs w:val="32"/>
          <w:lang w:bidi="ar-SA"/>
        </w:rPr>
        <w:t>贯彻《阿坝藏族羌族自治州国民经济和社会发展第十四个五年规划和二〇三五年远景目标纲要》关于汶理茂一体化协同发展的区域发展战略布局，围绕培育壮大新兴产业的目标，深化金融配套服务，推进传统工业向绿色工业转型升级，形成汶理茂等东南经济片区优势产业集群，建成现代绿色工业基地，培育壮大全州经济社会发展的主引擎和增长极。加大驻州金融机构与上级机构协调力度，加大金融产品创新力度，加强资金倾斜力度，全力支持汶理茂等东南经济片区交通互联互通，加快理县—茂县旅游通道、理县杂谷脑—汶川草坡或耿达应急通道等工程建设，打造汶理茂等东南经济片区半小时交通通勤圈。创新金融旅游产品开发力度，支持汶理茂旅游一体化发展，充分发挥民族特色、地域特色，合力将汶理茂片区打造为成渝地区双城经济圈“后花园”。</w:t>
      </w:r>
    </w:p>
    <w:p w14:paraId="587EB08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2.重点发展东北精品文化旅游示范带金融服务能力</w:t>
      </w:r>
      <w:r>
        <w:rPr>
          <w:rFonts w:hint="eastAsia" w:ascii="仿宋_GB2312" w:eastAsia="仿宋_GB2312" w:cs="仿宋_GB2312"/>
          <w:sz w:val="32"/>
          <w:szCs w:val="32"/>
          <w:lang w:eastAsia="zh-CN" w:bidi="ar-SA"/>
        </w:rPr>
        <w:t>。</w:t>
      </w:r>
    </w:p>
    <w:p w14:paraId="6F0DE81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聚焦“大九寨、大冰川、大彩林”等大品牌，支持国企主导建立旅游产业引导基金，投资生态效益较强的旅游主体，提升九寨—黄龙世界遗产精品“九环线”，加强九黄机场经济圈中转枢纽中心建设。按照“产业围绕旅游转、产品围绕旅游造、结构围绕旅游调”思路，邀请专业团队并联合金融机构，突破地域限制打包、增强项目收益。引进成熟大型旅游企业投资，发挥龙头带动效应，做好项目对接，推进松潘、九寨沟、黑水东北经济片区全域旅游和旅游一体化发展。深入实施“旅游+”战略，在旅游领域推广政府和社会资本合作等融资模式，支持松九黑东北经济片区特色产业基地景观化打造、“净土阿坝”特色农产品打造、农业全产业链绿色标准化建设，实现传统农业产业提档升级。</w:t>
      </w:r>
    </w:p>
    <w:p w14:paraId="4F2F0CC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3.大力提升西北草原特色产业示范带金融服务能力</w:t>
      </w:r>
      <w:r>
        <w:rPr>
          <w:rFonts w:hint="eastAsia" w:ascii="仿宋_GB2312" w:eastAsia="仿宋_GB2312" w:cs="仿宋_GB2312"/>
          <w:sz w:val="32"/>
          <w:szCs w:val="32"/>
          <w:lang w:eastAsia="zh-CN" w:bidi="ar-SA"/>
        </w:rPr>
        <w:t>。</w:t>
      </w:r>
    </w:p>
    <w:p w14:paraId="182CD3A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提供更加适应生态产业化和产业生态化发展需求的金融服务，助力阿坝、红原、若尔盖、壤塘</w:t>
      </w:r>
      <w:r>
        <w:rPr>
          <w:rFonts w:hint="eastAsia" w:ascii="仿宋_GB2312" w:eastAsia="仿宋_GB2312" w:cs="仿宋_GB2312"/>
          <w:sz w:val="32"/>
          <w:szCs w:val="32"/>
          <w:lang w:eastAsia="zh-CN" w:bidi="ar-SA"/>
        </w:rPr>
        <w:t>县</w:t>
      </w:r>
      <w:r>
        <w:rPr>
          <w:rFonts w:hint="eastAsia" w:ascii="仿宋_GB2312" w:eastAsia="仿宋_GB2312" w:cs="仿宋_GB2312"/>
          <w:sz w:val="32"/>
          <w:szCs w:val="32"/>
          <w:lang w:bidi="ar-SA"/>
        </w:rPr>
        <w:t>西北经济片区建设成为西北草原特色产业示范带、川甘青区域草原经济示范基地，重点发展现代草原畜牧业、红色旅游、草原观光和游牧文化旅游、藏医药等特色产业。强化长江黄河上游水源涵养功能，充分发挥河源保护、北向开放作用。引导金融机构在优化产业结构、改善生态环境、促进构建川西北阿坝生态示范区方面发挥引领推动作用。抢抓黄河流域生态保护上升为国家战略，川甘青结合部区域发展受到国家层面重视的机遇，支持西北经济片区深度参与川甘青区域协同发展。以绿色信贷、绿色保险等多种金融产品创新为主导，以证券市场等多层次资本市场为支撑，探索建立服务于川西北阿坝生态示范建设的发展基金，鼓励各级政府整合资金、发挥财政资金引导作用，加大支持川甘青结合部交通枢纽建设的力度，尽快形成联接大西北与大西南的大通道，将西北经济片区打造成川甘青三省交界地区生态文化旅游集散中心、四川连接北方丝绸之路的桥头堡。</w:t>
      </w:r>
    </w:p>
    <w:p w14:paraId="32A6EEF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4.协调发展西南清洁能源产业示范带金融服务能力</w:t>
      </w:r>
      <w:r>
        <w:rPr>
          <w:rFonts w:hint="eastAsia" w:ascii="仿宋_GB2312" w:eastAsia="仿宋_GB2312" w:cs="仿宋_GB2312"/>
          <w:sz w:val="32"/>
          <w:szCs w:val="32"/>
          <w:lang w:eastAsia="zh-CN" w:bidi="ar-SA"/>
        </w:rPr>
        <w:t>。</w:t>
      </w:r>
    </w:p>
    <w:p w14:paraId="0B7745C6">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黑体" w:eastAsia="黑体" w:cs="黑体"/>
          <w:b/>
          <w:bCs/>
          <w:color w:val="0000FF"/>
          <w:sz w:val="30"/>
          <w:szCs w:val="30"/>
          <w:lang w:bidi="ar-SA"/>
        </w:rPr>
      </w:pPr>
      <w:r>
        <w:rPr>
          <w:rFonts w:hint="eastAsia" w:ascii="仿宋_GB2312" w:eastAsia="仿宋_GB2312" w:cs="仿宋_GB2312"/>
          <w:sz w:val="32"/>
          <w:szCs w:val="32"/>
          <w:lang w:bidi="ar-SA"/>
        </w:rPr>
        <w:t>围绕建设国家级清洁能源基地，大力开展针对水能、光能、风能和锂辉矿等优势资源开发的金融服务。针对绿色、循环、低碳、节能、节水以及支持自然保护、生态治理等绿色生产消费和生态保护用途的市场主体的融资需求，鼓励金融机构给予信贷额度和利率的倾斜。鼓励金融机构支持马尔康市、金川县、小金县西南经济片区水电合理积聚、大渡河流域梯级水电、西北部新能源开发</w:t>
      </w:r>
      <w:r>
        <w:rPr>
          <w:rFonts w:hint="eastAsia" w:ascii="仿宋_GB2312" w:eastAsia="仿宋_GB2312" w:cs="仿宋_GB2312"/>
          <w:sz w:val="32"/>
          <w:szCs w:val="32"/>
          <w:highlight w:val="none"/>
          <w:lang w:bidi="ar-SA"/>
        </w:rPr>
        <w:t>及配套送出骨架电网加快建</w:t>
      </w:r>
      <w:r>
        <w:rPr>
          <w:rFonts w:hint="eastAsia" w:ascii="仿宋_GB2312" w:eastAsia="仿宋_GB2312" w:cs="仿宋_GB2312"/>
          <w:sz w:val="32"/>
          <w:szCs w:val="32"/>
          <w:lang w:bidi="ar-SA"/>
        </w:rPr>
        <w:t>设。继续加大对大中型水电项目建设的金融支持，合理满足集中式光伏开发建设的金融需求，准确掌握风场建设需求。推动碳减排项目积极参与全国、全省碳汇交易。探索发展各类碳金融产品，在全国统一碳排放权市场建设的基础上，鼓励金融机构参与碳市场交易，强化绿色产品价格发现功能。</w:t>
      </w:r>
      <w:r>
        <w:rPr>
          <w:rFonts w:hint="eastAsia" w:ascii="仿宋_GB2312" w:eastAsia="仿宋_GB2312" w:cs="仿宋_GB2312"/>
          <w:sz w:val="32"/>
          <w:szCs w:val="32"/>
          <w:highlight w:val="none"/>
          <w:lang w:eastAsia="zh-CN" w:bidi="ar-SA"/>
        </w:rPr>
        <w:t>围绕</w:t>
      </w:r>
      <w:r>
        <w:rPr>
          <w:rFonts w:hint="eastAsia" w:ascii="仿宋_GB2312" w:eastAsia="仿宋_GB2312" w:cs="仿宋_GB2312"/>
          <w:sz w:val="32"/>
          <w:szCs w:val="32"/>
          <w:highlight w:val="none"/>
          <w:lang w:bidi="ar-SA"/>
        </w:rPr>
        <w:t>绿色电力证书交易</w:t>
      </w:r>
      <w:r>
        <w:rPr>
          <w:rFonts w:hint="eastAsia" w:ascii="仿宋_GB2312" w:eastAsia="仿宋_GB2312" w:cs="仿宋_GB2312"/>
          <w:sz w:val="32"/>
          <w:szCs w:val="32"/>
          <w:highlight w:val="none"/>
          <w:lang w:eastAsia="zh-CN" w:bidi="ar-SA"/>
        </w:rPr>
        <w:t>推进</w:t>
      </w:r>
      <w:r>
        <w:rPr>
          <w:rFonts w:hint="eastAsia" w:ascii="仿宋_GB2312" w:eastAsia="仿宋_GB2312" w:cs="仿宋_GB2312"/>
          <w:sz w:val="32"/>
          <w:szCs w:val="32"/>
          <w:highlight w:val="none"/>
          <w:lang w:bidi="ar-SA"/>
        </w:rPr>
        <w:t>，</w:t>
      </w:r>
      <w:r>
        <w:rPr>
          <w:rFonts w:hint="eastAsia" w:ascii="仿宋_GB2312" w:eastAsia="仿宋_GB2312" w:cs="仿宋_GB2312"/>
          <w:sz w:val="32"/>
          <w:szCs w:val="32"/>
          <w:highlight w:val="none"/>
          <w:lang w:eastAsia="zh-CN" w:bidi="ar-SA"/>
        </w:rPr>
        <w:t>探索对</w:t>
      </w:r>
      <w:r>
        <w:rPr>
          <w:rFonts w:hint="eastAsia" w:ascii="仿宋_GB2312" w:eastAsia="仿宋_GB2312" w:cs="仿宋_GB2312"/>
          <w:sz w:val="32"/>
          <w:szCs w:val="32"/>
          <w:highlight w:val="none"/>
          <w:lang w:bidi="ar-SA"/>
        </w:rPr>
        <w:t>光伏等清洁能源发电企业的</w:t>
      </w:r>
      <w:r>
        <w:rPr>
          <w:rFonts w:hint="eastAsia" w:ascii="仿宋_GB2312" w:eastAsia="仿宋_GB2312" w:cs="仿宋_GB2312"/>
          <w:sz w:val="32"/>
          <w:szCs w:val="32"/>
          <w:highlight w:val="none"/>
          <w:lang w:eastAsia="zh-CN" w:bidi="ar-SA"/>
        </w:rPr>
        <w:t>金融</w:t>
      </w:r>
      <w:r>
        <w:rPr>
          <w:rFonts w:hint="eastAsia" w:ascii="仿宋_GB2312" w:eastAsia="仿宋_GB2312" w:cs="仿宋_GB2312"/>
          <w:sz w:val="32"/>
          <w:szCs w:val="32"/>
          <w:highlight w:val="none"/>
          <w:lang w:bidi="ar-SA"/>
        </w:rPr>
        <w:t>扶持</w:t>
      </w:r>
      <w:r>
        <w:rPr>
          <w:rFonts w:hint="eastAsia" w:ascii="仿宋_GB2312" w:eastAsia="仿宋_GB2312" w:cs="仿宋_GB2312"/>
          <w:sz w:val="32"/>
          <w:szCs w:val="32"/>
          <w:highlight w:val="none"/>
          <w:lang w:eastAsia="zh-CN" w:bidi="ar-SA"/>
        </w:rPr>
        <w:t>措施</w:t>
      </w:r>
      <w:r>
        <w:rPr>
          <w:rFonts w:hint="eastAsia" w:ascii="仿宋_GB2312" w:eastAsia="仿宋_GB2312" w:cs="仿宋_GB2312"/>
          <w:sz w:val="32"/>
          <w:szCs w:val="32"/>
          <w:highlight w:val="none"/>
          <w:lang w:bidi="ar-SA"/>
        </w:rPr>
        <w:t>。结合电力体制改革，助</w:t>
      </w:r>
      <w:r>
        <w:rPr>
          <w:rFonts w:hint="eastAsia" w:ascii="仿宋_GB2312" w:eastAsia="仿宋_GB2312" w:cs="仿宋_GB2312"/>
          <w:sz w:val="32"/>
          <w:szCs w:val="32"/>
          <w:lang w:bidi="ar-SA"/>
        </w:rPr>
        <w:t>推支持电网瓶颈县（市）推进“专线供电、直供电”水电消纳产业试点工作。大力支持金川新能源新材料锂辉矿产业发展。大力推动符合条件的企业用好绿色公司债券“即报即审”政策，发行绿色公司债券募集资金。支持融资规模大、期限长的绿色生态项目利用永续票据、可续期债券拓宽融资渠道。</w:t>
      </w:r>
    </w:p>
    <w:p w14:paraId="38C8EBEB">
      <w:pPr>
        <w:keepNext w:val="0"/>
        <w:keepLines w:val="0"/>
        <w:pageBreakBefore w:val="0"/>
        <w:widowControl w:val="0"/>
        <w:kinsoku/>
        <w:wordWrap/>
        <w:overflowPunct/>
        <w:topLinePunct w:val="0"/>
        <w:autoSpaceDE/>
        <w:autoSpaceDN/>
        <w:adjustRightInd/>
        <w:snapToGrid/>
        <w:spacing w:line="560" w:lineRule="exact"/>
        <w:jc w:val="center"/>
        <w:rPr>
          <w:rFonts w:hint="eastAsia" w:ascii="仿宋_GB2312" w:eastAsia="仿宋_GB2312" w:cs="仿宋_GB2312"/>
          <w:b/>
          <w:bCs/>
          <w:sz w:val="24"/>
          <w:lang w:bidi="ar-SA"/>
        </w:rPr>
      </w:pPr>
      <w:r>
        <w:rPr>
          <w:rFonts w:hint="eastAsia" w:ascii="仿宋_GB2312" w:eastAsia="仿宋_GB2312" w:cs="仿宋_GB2312"/>
          <w:b/>
          <w:bCs/>
          <w:color w:val="auto"/>
          <w:sz w:val="24"/>
          <w:szCs w:val="24"/>
          <w:lang w:eastAsia="zh-CN" w:bidi="ar-SA"/>
        </w:rPr>
        <w:t>图</w:t>
      </w:r>
      <w:r>
        <w:rPr>
          <w:rFonts w:hint="eastAsia" w:ascii="仿宋_GB2312" w:eastAsia="仿宋_GB2312" w:cs="仿宋_GB2312"/>
          <w:b/>
          <w:bCs/>
          <w:color w:val="auto"/>
          <w:sz w:val="24"/>
          <w:szCs w:val="24"/>
          <w:lang w:val="en-US" w:eastAsia="zh-CN" w:bidi="ar-SA"/>
        </w:rPr>
        <w:t>3</w:t>
      </w:r>
      <w:r>
        <w:rPr>
          <w:rFonts w:hint="eastAsia" w:ascii="仿宋_GB2312" w:eastAsia="仿宋_GB2312" w:cs="仿宋_GB2312"/>
          <w:b/>
          <w:bCs/>
          <w:color w:val="auto"/>
          <w:sz w:val="24"/>
          <w:szCs w:val="24"/>
          <w:lang w:eastAsia="zh-CN" w:bidi="ar-SA"/>
        </w:rPr>
        <w:t>：阿坝州“十四五”时期金融业发展空间区域布局</w:t>
      </w:r>
    </w:p>
    <w:p w14:paraId="6FDB25C7">
      <w:pPr>
        <w:keepNext w:val="0"/>
        <w:keepLines w:val="0"/>
        <w:pageBreakBefore w:val="0"/>
        <w:widowControl w:val="0"/>
        <w:suppressLineNumbers w:val="0"/>
        <w:suppressAutoHyphens w:val="0"/>
        <w:bidi w:val="0"/>
      </w:pPr>
      <w:r>
        <w:rPr>
          <w:rFonts w:hint="eastAsia" w:ascii="仿宋_GB2312" w:eastAsia="仿宋_GB2312" w:cs="仿宋_GB2312"/>
          <w:sz w:val="32"/>
          <w:szCs w:val="32"/>
          <w:lang w:bidi="ar-SA"/>
        </w:rPr>
        <w:drawing>
          <wp:anchor distT="0" distB="0" distL="84455" distR="84455" simplePos="0" relativeHeight="251659264" behindDoc="0" locked="0" layoutInCell="1" allowOverlap="1">
            <wp:simplePos x="0" y="0"/>
            <wp:positionH relativeFrom="column">
              <wp:posOffset>116205</wp:posOffset>
            </wp:positionH>
            <wp:positionV relativeFrom="paragraph">
              <wp:posOffset>130810</wp:posOffset>
            </wp:positionV>
            <wp:extent cx="5269865" cy="3602355"/>
            <wp:effectExtent l="0" t="0" r="0" b="0"/>
            <wp:wrapTight wrapText="bothSides">
              <wp:wrapPolygon>
                <wp:start x="-2" y="-14"/>
                <wp:lineTo x="-2" y="21571"/>
                <wp:lineTo x="21586" y="21571"/>
                <wp:lineTo x="21586" y="-14"/>
                <wp:lineTo x="-2" y="-14"/>
              </wp:wrapPolygon>
            </wp:wrapTight>
            <wp:docPr id="5"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67"/>
                    <pic:cNvPicPr>
                      <a:picLocks noChangeAspect="1"/>
                    </pic:cNvPicPr>
                  </pic:nvPicPr>
                  <pic:blipFill>
                    <a:blip r:embed="rId10"/>
                    <a:stretch>
                      <a:fillRect/>
                    </a:stretch>
                  </pic:blipFill>
                  <pic:spPr>
                    <a:xfrm>
                      <a:off x="0" y="0"/>
                      <a:ext cx="5269865" cy="3602355"/>
                    </a:xfrm>
                    <a:prstGeom prst="rect">
                      <a:avLst/>
                    </a:prstGeom>
                    <a:noFill/>
                    <a:ln w="9525" cap="flat" cmpd="sng">
                      <a:noFill/>
                      <a:prstDash val="solid"/>
                      <a:miter/>
                    </a:ln>
                  </pic:spPr>
                </pic:pic>
              </a:graphicData>
            </a:graphic>
          </wp:anchor>
        </w:drawing>
      </w:r>
    </w:p>
    <w:p w14:paraId="05549570">
      <w:pPr>
        <w:pStyle w:val="8"/>
        <w:keepNext w:val="0"/>
        <w:keepLines w:val="0"/>
        <w:pageBreakBefore w:val="0"/>
        <w:widowControl w:val="0"/>
        <w:suppressLineNumbers w:val="0"/>
        <w:suppressAutoHyphens w:val="0"/>
        <w:bidi w:val="0"/>
      </w:pPr>
    </w:p>
    <w:p w14:paraId="0EE2163B">
      <w:pPr>
        <w:keepNext w:val="0"/>
        <w:keepLines w:val="0"/>
        <w:pageBreakBefore w:val="0"/>
        <w:widowControl w:val="0"/>
        <w:suppressLineNumbers w:val="0"/>
        <w:suppressAutoHyphens w:val="0"/>
        <w:bidi w:val="0"/>
      </w:pPr>
    </w:p>
    <w:p w14:paraId="61866386">
      <w:pPr>
        <w:keepNext w:val="0"/>
        <w:keepLines w:val="0"/>
        <w:pageBreakBefore w:val="0"/>
        <w:widowControl w:val="0"/>
        <w:suppressLineNumbers w:val="0"/>
        <w:suppressAutoHyphens w:val="0"/>
        <w:bidi w:val="0"/>
        <w:ind w:left="40" w:firstLine="0"/>
      </w:pPr>
    </w:p>
    <w:p w14:paraId="4F84167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三、行业绩效目标</w:t>
      </w:r>
    </w:p>
    <w:p w14:paraId="4842B95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1.基础金融服务体系目标</w:t>
      </w:r>
      <w:r>
        <w:rPr>
          <w:rFonts w:hint="eastAsia" w:ascii="仿宋_GB2312" w:eastAsia="仿宋_GB2312" w:cs="仿宋_GB2312"/>
          <w:sz w:val="32"/>
          <w:szCs w:val="32"/>
          <w:lang w:eastAsia="zh-CN" w:bidi="ar-SA"/>
        </w:rPr>
        <w:t>。</w:t>
      </w:r>
    </w:p>
    <w:p w14:paraId="0E48BF8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到2025年末，全州基础金融服务体系进一步健全。力争实现县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域银行机构类型进一步拓展，邮储银行分支机构县域全覆盖。确保乡（镇）银行服务质效持续提升，力争实现乡（镇）银行服务网点（含简易网点、定时定点服务等）全覆盖，“存、贷、汇、转、取”基本服务功能全具备。推动保险机构设置进一步优化，力争实现每县（市）保险分支机构不低于3家，乡镇保险服务全覆盖。</w:t>
      </w:r>
    </w:p>
    <w:p w14:paraId="4B556C7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2.金融业绩效目标</w:t>
      </w:r>
      <w:r>
        <w:rPr>
          <w:rFonts w:hint="eastAsia" w:ascii="仿宋_GB2312" w:eastAsia="仿宋_GB2312" w:cs="仿宋_GB2312"/>
          <w:sz w:val="32"/>
          <w:szCs w:val="32"/>
          <w:lang w:eastAsia="zh-CN" w:bidi="ar-SA"/>
        </w:rPr>
        <w:t>。</w:t>
      </w:r>
    </w:p>
    <w:p w14:paraId="5B9ABD0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全州金融总量保持平稳较快增长。力争实现：银行业总体经营规模稳步提升，各项贷款余额突破600亿元，年均增长11.5%以上；保险业获得长足发展，保险密度达到1536.2元/人、保险深度达到3%；证券业发展取得突破，直接融资比例得到提高，培育合格企业到主板、新三板、北交所、天府（四川）股权交易中心上市、挂牌或交易。金融业增加值稳步增长，占全州GDP的比重进一步提升。</w:t>
      </w:r>
    </w:p>
    <w:p w14:paraId="7B69BA5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小额贷款公司、融资担保公司等地方金融进一步发展。力争实现小额贷款公司业务年均增长6.5 %以上，在贷客户争取达到119户，贷款余额达到2.2亿元。增强融资担保公司的担保能力，注册资金1亿元以上融资性担保公司达到3家；放大融资性担保倍数、扩大担保影响，担保总额达到9.7亿元。</w:t>
      </w:r>
    </w:p>
    <w:p w14:paraId="13C7B30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到2025年末，力争新型金融业建设取得突破。积极推动资产管理公司、信托公司、金融租赁公司、消费金融公司、汽车金融公司等在州设立分公司或分支机构；积极发展股权投资机构。</w:t>
      </w:r>
    </w:p>
    <w:p w14:paraId="5B50438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3.其他金融服务目标</w:t>
      </w:r>
      <w:r>
        <w:rPr>
          <w:rFonts w:hint="eastAsia" w:ascii="仿宋_GB2312" w:eastAsia="仿宋_GB2312" w:cs="仿宋_GB2312"/>
          <w:sz w:val="32"/>
          <w:szCs w:val="32"/>
          <w:lang w:eastAsia="zh-CN" w:bidi="ar-SA"/>
        </w:rPr>
        <w:t>。</w:t>
      </w:r>
    </w:p>
    <w:p w14:paraId="07A0636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到2025年末，争取在区域性票据市场、资本要素市场、产权交易市场等区域性特色金融市场建设方面有所突破，在1-2个重点领域建设有区域影响力的特色金融市场。</w:t>
      </w:r>
    </w:p>
    <w:p w14:paraId="38F32FF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到2025年末，重点特色信贷指标进一步提升，力争实现绿色贷款余额达到140亿元，小微企业贷款余额达到178.2亿元，新型农业经营主体贷款余额达到22.1亿元。</w:t>
      </w:r>
    </w:p>
    <w:p w14:paraId="147A78C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到2025年末，普惠金融服务质效进一步优化，力争实现自助服务终端在各类经营主体覆盖面达80%，成功创建省级现金服务示范区4个，省级现金服务示范网点2个。</w:t>
      </w:r>
    </w:p>
    <w:p w14:paraId="58DC030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到2025年末，农村信用体系建设进一步深化，建成</w:t>
      </w:r>
      <w:r>
        <w:rPr>
          <w:rFonts w:hint="eastAsia" w:ascii="仿宋_GB2312" w:eastAsia="仿宋_GB2312" w:cs="仿宋_GB2312"/>
          <w:sz w:val="32"/>
          <w:szCs w:val="32"/>
          <w:lang w:eastAsia="zh-CN" w:bidi="ar-SA"/>
        </w:rPr>
        <w:t>州、</w:t>
      </w:r>
      <w:r>
        <w:rPr>
          <w:rFonts w:hint="eastAsia" w:ascii="仿宋_GB2312" w:eastAsia="仿宋_GB2312" w:cs="仿宋_GB2312"/>
          <w:sz w:val="32"/>
          <w:szCs w:val="32"/>
          <w:lang w:bidi="ar-SA"/>
        </w:rPr>
        <w:t>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共享的涉农信用信息数据库，健全新型农业经营主体信用体系，农户信用档案建档率及新型农业经营主体信用档案建档率均力争达到100%。</w:t>
      </w:r>
    </w:p>
    <w:p w14:paraId="6A15D9CA">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eastAsia" w:ascii="仿宋_GB2312" w:eastAsia="仿宋_GB2312" w:cs="仿宋_GB2312"/>
          <w:b/>
          <w:bCs/>
          <w:sz w:val="24"/>
          <w:szCs w:val="24"/>
          <w:lang w:bidi="ar-SA"/>
        </w:rPr>
      </w:pPr>
      <w:r>
        <w:rPr>
          <w:rFonts w:hint="eastAsia" w:ascii="仿宋_GB2312" w:eastAsia="仿宋_GB2312" w:cs="仿宋_GB2312"/>
          <w:b/>
          <w:bCs/>
          <w:sz w:val="24"/>
          <w:szCs w:val="24"/>
          <w:lang w:bidi="ar-SA"/>
        </w:rPr>
        <w:t>表2  阿坝州“十四五”金融业发展主要规划指标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992"/>
        <w:gridCol w:w="4253"/>
        <w:gridCol w:w="992"/>
        <w:gridCol w:w="1039"/>
      </w:tblGrid>
      <w:tr w14:paraId="3BDD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924"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2376F2B8">
            <w:pPr>
              <w:adjustRightInd w:val="0"/>
              <w:snapToGrid w:val="0"/>
              <w:spacing w:line="280" w:lineRule="exact"/>
              <w:ind w:firstLine="482"/>
              <w:jc w:val="center"/>
              <w:rPr>
                <w:rFonts w:hint="eastAsia" w:ascii="仿宋_GB2312" w:eastAsia="仿宋_GB2312" w:cs="仿宋_GB2312"/>
                <w:b/>
                <w:bCs/>
                <w:color w:val="auto"/>
                <w:sz w:val="24"/>
                <w:lang w:eastAsia="ja-JP" w:bidi="ar-SA"/>
              </w:rPr>
            </w:pPr>
            <w:r>
              <w:rPr>
                <w:rFonts w:hint="eastAsia" w:ascii="仿宋_GB2312" w:eastAsia="仿宋_GB2312" w:cs="仿宋_GB2312"/>
                <w:b/>
                <w:bCs/>
                <w:color w:val="auto"/>
                <w:sz w:val="24"/>
                <w:lang w:bidi="ar-SA"/>
              </w:rPr>
              <w:t>指</w:t>
            </w:r>
            <w:r>
              <w:rPr>
                <w:rFonts w:hint="eastAsia" w:ascii="仿宋_GB2312" w:eastAsia="仿宋_GB2312" w:cs="仿宋_GB2312"/>
                <w:b/>
                <w:bCs/>
                <w:color w:val="auto"/>
                <w:sz w:val="24"/>
                <w:lang w:val="en-US" w:eastAsia="zh-CN" w:bidi="ar-SA"/>
              </w:rPr>
              <w:t xml:space="preserve">   </w:t>
            </w:r>
            <w:r>
              <w:rPr>
                <w:rFonts w:hint="eastAsia" w:ascii="仿宋_GB2312" w:eastAsia="仿宋_GB2312" w:cs="仿宋_GB2312"/>
                <w:b/>
                <w:bCs/>
                <w:color w:val="auto"/>
                <w:sz w:val="24"/>
                <w:lang w:bidi="ar-SA"/>
              </w:rPr>
              <w:t>标</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05BA5505">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2020年</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703FA8BC">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2025年</w:t>
            </w:r>
          </w:p>
        </w:tc>
      </w:tr>
      <w:tr w14:paraId="11F3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1" w:type="dxa"/>
            <w:gridSpan w:val="2"/>
            <w:vMerge w:val="restart"/>
            <w:tcBorders>
              <w:top w:val="single" w:color="auto" w:sz="4" w:space="0"/>
              <w:left w:val="single" w:color="auto" w:sz="4" w:space="0"/>
              <w:bottom w:val="single" w:color="auto" w:sz="4" w:space="0"/>
              <w:right w:val="single" w:color="auto" w:sz="4" w:space="0"/>
              <w:tl2br w:val="nil"/>
              <w:tr2bl w:val="nil"/>
            </w:tcBorders>
            <w:vAlign w:val="center"/>
          </w:tcPr>
          <w:p w14:paraId="11F860D5">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基础金融服</w:t>
            </w:r>
          </w:p>
          <w:p w14:paraId="44F9C07A">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b/>
                <w:bCs/>
                <w:color w:val="auto"/>
                <w:sz w:val="24"/>
                <w:lang w:bidi="ar-SA"/>
              </w:rPr>
              <w:t>务体系目标</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7307C3D9">
            <w:pPr>
              <w:spacing w:line="280" w:lineRule="exact"/>
              <w:ind w:firstLine="0"/>
              <w:jc w:val="left"/>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县域银行机构网点数量（个）</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3841C553">
            <w:pPr>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270</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3B2AAA93">
            <w:pPr>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277</w:t>
            </w:r>
          </w:p>
        </w:tc>
      </w:tr>
      <w:tr w14:paraId="7103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671" w:type="dxa"/>
            <w:gridSpan w:val="2"/>
            <w:vMerge w:val="continue"/>
            <w:tcBorders>
              <w:left w:val="single" w:color="auto" w:sz="4" w:space="0"/>
              <w:right w:val="single" w:color="auto" w:sz="4" w:space="0"/>
              <w:tl2br w:val="nil"/>
              <w:tr2bl w:val="nil"/>
            </w:tcBorders>
            <w:vAlign w:val="center"/>
          </w:tcPr>
          <w:p w14:paraId="2080CE72"/>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6986D397">
            <w:pPr>
              <w:spacing w:line="280" w:lineRule="exact"/>
              <w:ind w:firstLine="0"/>
              <w:jc w:val="left"/>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县域保险服务网点（个）</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71B553C4">
            <w:pPr>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44</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0C7353F4">
            <w:pPr>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47</w:t>
            </w:r>
          </w:p>
        </w:tc>
      </w:tr>
      <w:tr w14:paraId="7BB8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79" w:type="dxa"/>
            <w:vMerge w:val="restart"/>
            <w:tcBorders>
              <w:top w:val="single" w:color="auto" w:sz="4" w:space="0"/>
              <w:left w:val="single" w:color="auto" w:sz="4" w:space="0"/>
              <w:right w:val="single" w:color="auto" w:sz="4" w:space="0"/>
              <w:tl2br w:val="nil"/>
              <w:tr2bl w:val="nil"/>
            </w:tcBorders>
            <w:vAlign w:val="center"/>
          </w:tcPr>
          <w:p w14:paraId="0E7A2DD1">
            <w:pPr>
              <w:spacing w:line="280" w:lineRule="exact"/>
              <w:ind w:firstLine="0"/>
              <w:jc w:val="center"/>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eastAsia="zh-CN" w:bidi="ar-SA"/>
              </w:rPr>
              <w:t>金融</w:t>
            </w:r>
            <w:r>
              <w:rPr>
                <w:rFonts w:hint="eastAsia" w:ascii="仿宋_GB2312" w:eastAsia="仿宋_GB2312" w:cs="仿宋_GB2312"/>
                <w:b/>
                <w:bCs/>
                <w:color w:val="auto"/>
                <w:sz w:val="24"/>
                <w:lang w:bidi="ar-SA"/>
              </w:rPr>
              <w:t>业</w:t>
            </w:r>
            <w:r>
              <w:rPr>
                <w:rFonts w:hint="eastAsia" w:ascii="仿宋_GB2312" w:eastAsia="仿宋_GB2312" w:cs="仿宋_GB2312"/>
                <w:b/>
                <w:bCs/>
                <w:color w:val="auto"/>
                <w:sz w:val="24"/>
                <w:lang w:eastAsia="zh-CN" w:bidi="ar-SA"/>
              </w:rPr>
              <w:t>绩效</w:t>
            </w:r>
            <w:r>
              <w:rPr>
                <w:rFonts w:hint="eastAsia" w:ascii="仿宋_GB2312" w:eastAsia="仿宋_GB2312" w:cs="仿宋_GB2312"/>
                <w:b/>
                <w:bCs/>
                <w:color w:val="auto"/>
                <w:sz w:val="24"/>
                <w:lang w:bidi="ar-SA"/>
              </w:rPr>
              <w:t>目标</w:t>
            </w:r>
          </w:p>
        </w:tc>
        <w:tc>
          <w:tcPr>
            <w:tcW w:w="992" w:type="dxa"/>
            <w:vMerge w:val="restart"/>
            <w:tcBorders>
              <w:top w:val="single" w:color="auto" w:sz="4" w:space="0"/>
              <w:left w:val="single" w:color="auto" w:sz="4" w:space="0"/>
              <w:right w:val="single" w:color="auto" w:sz="4" w:space="0"/>
              <w:tl2br w:val="nil"/>
              <w:tr2bl w:val="nil"/>
            </w:tcBorders>
            <w:vAlign w:val="center"/>
          </w:tcPr>
          <w:p w14:paraId="15229066">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银行业</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179D4679">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本外币贷款余额（亿元）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1F2569B6">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375.5</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2E2011AF">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604.7</w:t>
            </w:r>
          </w:p>
        </w:tc>
      </w:tr>
      <w:tr w14:paraId="6486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9" w:type="dxa"/>
            <w:vMerge w:val="continue"/>
            <w:tcBorders>
              <w:left w:val="single" w:color="auto" w:sz="4" w:space="0"/>
              <w:right w:val="single" w:color="auto" w:sz="4" w:space="0"/>
              <w:tl2br w:val="nil"/>
              <w:tr2bl w:val="nil"/>
            </w:tcBorders>
            <w:vAlign w:val="center"/>
          </w:tcPr>
          <w:p w14:paraId="0031D163"/>
        </w:tc>
        <w:tc>
          <w:tcPr>
            <w:tcW w:w="992" w:type="dxa"/>
            <w:vMerge w:val="continue"/>
            <w:tcBorders>
              <w:left w:val="single" w:color="auto" w:sz="4" w:space="0"/>
              <w:right w:val="single" w:color="auto" w:sz="4" w:space="0"/>
              <w:tl2br w:val="nil"/>
              <w:tr2bl w:val="nil"/>
            </w:tcBorders>
            <w:vAlign w:val="center"/>
          </w:tcPr>
          <w:p w14:paraId="39E56F60"/>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36A6D63B">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eastAsia="zh-CN" w:bidi="ar-SA"/>
              </w:rPr>
              <w:t>贷款</w:t>
            </w:r>
            <w:r>
              <w:rPr>
                <w:rFonts w:hint="eastAsia" w:ascii="仿宋_GB2312" w:eastAsia="仿宋_GB2312" w:cs="仿宋_GB2312"/>
                <w:color w:val="auto"/>
                <w:sz w:val="24"/>
                <w:lang w:bidi="ar-SA"/>
              </w:rPr>
              <w:t>年均增长</w:t>
            </w:r>
            <w:r>
              <w:rPr>
                <w:rFonts w:hint="eastAsia" w:ascii="仿宋_GB2312" w:eastAsia="仿宋_GB2312" w:cs="仿宋_GB2312"/>
                <w:color w:val="auto"/>
                <w:sz w:val="24"/>
                <w:lang w:eastAsia="zh-CN" w:bidi="ar-SA"/>
              </w:rPr>
              <w:t>（</w:t>
            </w:r>
            <w:r>
              <w:rPr>
                <w:rFonts w:hint="eastAsia" w:ascii="仿宋_GB2312" w:eastAsia="仿宋_GB2312" w:cs="仿宋_GB2312"/>
                <w:color w:val="auto"/>
                <w:sz w:val="24"/>
                <w:lang w:val="en-US" w:eastAsia="zh-CN" w:bidi="ar-SA"/>
              </w:rPr>
              <w:t>%</w:t>
            </w:r>
            <w:r>
              <w:rPr>
                <w:rFonts w:hint="eastAsia" w:ascii="仿宋_GB2312" w:eastAsia="仿宋_GB2312" w:cs="仿宋_GB2312"/>
                <w:color w:val="auto"/>
                <w:sz w:val="24"/>
                <w:lang w:eastAsia="zh-CN" w:bidi="ar-SA"/>
              </w:rPr>
              <w:t>）</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62BBED46">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8.5</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678E3CB9">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11.</w:t>
            </w:r>
            <w:r>
              <w:rPr>
                <w:rFonts w:hint="eastAsia" w:ascii="仿宋_GB2312" w:eastAsia="仿宋_GB2312" w:cs="仿宋_GB2312"/>
                <w:color w:val="auto"/>
                <w:sz w:val="24"/>
                <w:lang w:val="en-US" w:eastAsia="zh-CN" w:bidi="ar-SA"/>
              </w:rPr>
              <w:t>5</w:t>
            </w:r>
          </w:p>
        </w:tc>
      </w:tr>
      <w:tr w14:paraId="1AAB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79" w:type="dxa"/>
            <w:vMerge w:val="continue"/>
            <w:tcBorders>
              <w:left w:val="single" w:color="auto" w:sz="4" w:space="0"/>
              <w:right w:val="single" w:color="auto" w:sz="4" w:space="0"/>
              <w:tl2br w:val="nil"/>
              <w:tr2bl w:val="nil"/>
            </w:tcBorders>
            <w:vAlign w:val="center"/>
          </w:tcPr>
          <w:p w14:paraId="7E1AEF29"/>
        </w:tc>
        <w:tc>
          <w:tcPr>
            <w:tcW w:w="992" w:type="dxa"/>
            <w:vMerge w:val="restart"/>
            <w:tcBorders>
              <w:top w:val="single" w:color="auto" w:sz="4" w:space="0"/>
              <w:left w:val="single" w:color="auto" w:sz="4" w:space="0"/>
              <w:right w:val="single" w:color="auto" w:sz="4" w:space="0"/>
              <w:tl2br w:val="nil"/>
              <w:tr2bl w:val="nil"/>
            </w:tcBorders>
            <w:vAlign w:val="center"/>
          </w:tcPr>
          <w:p w14:paraId="0423791A">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保险业</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5D13BE6B">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保险</w:t>
            </w:r>
            <w:r>
              <w:rPr>
                <w:rFonts w:hint="eastAsia" w:ascii="仿宋_GB2312" w:eastAsia="仿宋_GB2312" w:cs="仿宋_GB2312"/>
                <w:color w:val="auto"/>
                <w:sz w:val="24"/>
                <w:lang w:eastAsia="zh-CN" w:bidi="ar-SA"/>
              </w:rPr>
              <w:t>密度</w:t>
            </w:r>
            <w:r>
              <w:rPr>
                <w:rFonts w:hint="eastAsia" w:ascii="仿宋_GB2312" w:eastAsia="仿宋_GB2312" w:cs="仿宋_GB2312"/>
                <w:color w:val="auto"/>
                <w:sz w:val="24"/>
                <w:lang w:bidi="ar-SA"/>
              </w:rPr>
              <w:t>（元/人）</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4D1070CB">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1118.4</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34FB1C50">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1536.2</w:t>
            </w:r>
          </w:p>
        </w:tc>
      </w:tr>
      <w:tr w14:paraId="6191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79" w:type="dxa"/>
            <w:vMerge w:val="continue"/>
            <w:tcBorders>
              <w:left w:val="single" w:color="auto" w:sz="4" w:space="0"/>
              <w:right w:val="single" w:color="auto" w:sz="4" w:space="0"/>
              <w:tl2br w:val="nil"/>
              <w:tr2bl w:val="nil"/>
            </w:tcBorders>
            <w:vAlign w:val="center"/>
          </w:tcPr>
          <w:p w14:paraId="29EA581D"/>
        </w:tc>
        <w:tc>
          <w:tcPr>
            <w:tcW w:w="992" w:type="dxa"/>
            <w:vMerge w:val="continue"/>
            <w:tcBorders>
              <w:left w:val="single" w:color="auto" w:sz="4" w:space="0"/>
              <w:right w:val="single" w:color="auto" w:sz="4" w:space="0"/>
              <w:tl2br w:val="nil"/>
              <w:tr2bl w:val="nil"/>
            </w:tcBorders>
            <w:vAlign w:val="center"/>
          </w:tcPr>
          <w:p w14:paraId="577658B9"/>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57A9A5D5">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保费收入（亿元）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0070C36D">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9.2</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2F7EEC5E">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16.2</w:t>
            </w:r>
          </w:p>
        </w:tc>
      </w:tr>
      <w:tr w14:paraId="5421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79" w:type="dxa"/>
            <w:vMerge w:val="continue"/>
            <w:tcBorders>
              <w:left w:val="single" w:color="auto" w:sz="4" w:space="0"/>
              <w:right w:val="single" w:color="auto" w:sz="4" w:space="0"/>
              <w:tl2br w:val="nil"/>
              <w:tr2bl w:val="nil"/>
            </w:tcBorders>
            <w:vAlign w:val="center"/>
          </w:tcPr>
          <w:p w14:paraId="56B87247"/>
        </w:tc>
        <w:tc>
          <w:tcPr>
            <w:tcW w:w="992" w:type="dxa"/>
            <w:vMerge w:val="continue"/>
            <w:tcBorders>
              <w:left w:val="single" w:color="auto" w:sz="4" w:space="0"/>
              <w:right w:val="single" w:color="auto" w:sz="4" w:space="0"/>
              <w:tl2br w:val="nil"/>
              <w:tr2bl w:val="nil"/>
            </w:tcBorders>
            <w:vAlign w:val="center"/>
          </w:tcPr>
          <w:p w14:paraId="5A3258EA"/>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27C8B21E">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保险深度（</w:t>
            </w:r>
            <w:r>
              <w:rPr>
                <w:rFonts w:hint="eastAsia" w:ascii="仿宋_GB2312" w:eastAsia="仿宋_GB2312" w:cs="仿宋_GB2312"/>
                <w:color w:val="auto"/>
                <w:sz w:val="24"/>
                <w:lang w:val="en-US" w:eastAsia="zh-CN" w:bidi="ar-SA"/>
              </w:rPr>
              <w:t>%</w:t>
            </w:r>
            <w:r>
              <w:rPr>
                <w:rFonts w:hint="eastAsia" w:ascii="仿宋_GB2312" w:eastAsia="仿宋_GB2312" w:cs="仿宋_GB2312"/>
                <w:color w:val="auto"/>
                <w:sz w:val="24"/>
                <w:lang w:eastAsia="zh-CN" w:bidi="ar-SA"/>
              </w:rPr>
              <w:t>）</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17347B65">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2.4</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723EF2B3">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3</w:t>
            </w:r>
          </w:p>
        </w:tc>
      </w:tr>
      <w:tr w14:paraId="4996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679" w:type="dxa"/>
            <w:vMerge w:val="continue"/>
            <w:tcBorders>
              <w:left w:val="single" w:color="auto" w:sz="4" w:space="0"/>
              <w:right w:val="single" w:color="auto" w:sz="4" w:space="0"/>
              <w:tl2br w:val="nil"/>
              <w:tr2bl w:val="nil"/>
            </w:tcBorders>
            <w:vAlign w:val="center"/>
          </w:tcPr>
          <w:p w14:paraId="33A69DE2"/>
        </w:tc>
        <w:tc>
          <w:tcPr>
            <w:tcW w:w="992" w:type="dxa"/>
            <w:vMerge w:val="restart"/>
            <w:tcBorders>
              <w:left w:val="single" w:color="auto" w:sz="4" w:space="0"/>
              <w:right w:val="single" w:color="auto" w:sz="4" w:space="0"/>
              <w:tl2br w:val="nil"/>
              <w:tr2bl w:val="nil"/>
            </w:tcBorders>
            <w:vAlign w:val="center"/>
          </w:tcPr>
          <w:p w14:paraId="704929DC">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证券业</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6E109E31">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培育上市公司（家）</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688B7E9D">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0</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12C28EC3">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1</w:t>
            </w:r>
          </w:p>
        </w:tc>
      </w:tr>
      <w:tr w14:paraId="6EDB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79" w:type="dxa"/>
            <w:vMerge w:val="continue"/>
            <w:tcBorders>
              <w:left w:val="single" w:color="auto" w:sz="4" w:space="0"/>
              <w:right w:val="single" w:color="auto" w:sz="4" w:space="0"/>
              <w:tl2br w:val="nil"/>
              <w:tr2bl w:val="nil"/>
            </w:tcBorders>
            <w:vAlign w:val="center"/>
          </w:tcPr>
          <w:p w14:paraId="7AA3ED74"/>
        </w:tc>
        <w:tc>
          <w:tcPr>
            <w:tcW w:w="992" w:type="dxa"/>
            <w:vMerge w:val="continue"/>
            <w:tcBorders>
              <w:left w:val="single" w:color="auto" w:sz="4" w:space="0"/>
              <w:bottom w:val="single" w:color="auto" w:sz="4" w:space="0"/>
              <w:right w:val="single" w:color="auto" w:sz="4" w:space="0"/>
              <w:tl2br w:val="nil"/>
              <w:tr2bl w:val="nil"/>
            </w:tcBorders>
            <w:vAlign w:val="center"/>
          </w:tcPr>
          <w:p w14:paraId="76B1B9CF"/>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6FB2030E">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天府股权交易中心挂牌企业（家）</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4B84B4E4">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0</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0F004F11">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5</w:t>
            </w:r>
          </w:p>
        </w:tc>
      </w:tr>
      <w:tr w14:paraId="3368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79" w:type="dxa"/>
            <w:vMerge w:val="continue"/>
            <w:tcBorders>
              <w:left w:val="single" w:color="auto" w:sz="4" w:space="0"/>
              <w:right w:val="single" w:color="auto" w:sz="4" w:space="0"/>
              <w:tl2br w:val="nil"/>
              <w:tr2bl w:val="nil"/>
            </w:tcBorders>
            <w:vAlign w:val="center"/>
          </w:tcPr>
          <w:p w14:paraId="0C1C9C19"/>
        </w:tc>
        <w:tc>
          <w:tcPr>
            <w:tcW w:w="992" w:type="dxa"/>
            <w:vMerge w:val="restart"/>
            <w:tcBorders>
              <w:top w:val="single" w:color="auto" w:sz="4" w:space="0"/>
              <w:left w:val="single" w:color="auto" w:sz="4" w:space="0"/>
              <w:right w:val="single" w:color="auto" w:sz="4" w:space="0"/>
              <w:tl2br w:val="nil"/>
              <w:tr2bl w:val="nil"/>
            </w:tcBorders>
            <w:vAlign w:val="center"/>
          </w:tcPr>
          <w:p w14:paraId="6C8E4B1D">
            <w:pPr>
              <w:adjustRightInd w:val="0"/>
              <w:snapToGrid w:val="0"/>
              <w:spacing w:line="280" w:lineRule="exact"/>
              <w:ind w:firstLine="0"/>
              <w:jc w:val="center"/>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地方</w:t>
            </w:r>
          </w:p>
          <w:p w14:paraId="68859382">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金融</w:t>
            </w:r>
          </w:p>
          <w:p w14:paraId="623CED67">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业</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235EBA0E">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小额贷款公司在贷客户数量（户）</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247E0B0A">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87</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11EAF4FF">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119</w:t>
            </w:r>
          </w:p>
        </w:tc>
      </w:tr>
      <w:tr w14:paraId="4B31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679" w:type="dxa"/>
            <w:vMerge w:val="continue"/>
            <w:tcBorders>
              <w:left w:val="single" w:color="auto" w:sz="4" w:space="0"/>
              <w:right w:val="single" w:color="auto" w:sz="4" w:space="0"/>
              <w:tl2br w:val="nil"/>
              <w:tr2bl w:val="nil"/>
            </w:tcBorders>
            <w:vAlign w:val="center"/>
          </w:tcPr>
          <w:p w14:paraId="42287B11"/>
        </w:tc>
        <w:tc>
          <w:tcPr>
            <w:tcW w:w="992" w:type="dxa"/>
            <w:vMerge w:val="continue"/>
            <w:tcBorders>
              <w:left w:val="single" w:color="auto" w:sz="4" w:space="0"/>
              <w:right w:val="single" w:color="auto" w:sz="4" w:space="0"/>
              <w:tl2br w:val="nil"/>
              <w:tr2bl w:val="nil"/>
            </w:tcBorders>
            <w:vAlign w:val="center"/>
          </w:tcPr>
          <w:p w14:paraId="73648229"/>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573C3280">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小额贷款公司贷款余额（亿元）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09C96DB2">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1.6</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55D68FE4">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2.2</w:t>
            </w:r>
          </w:p>
        </w:tc>
      </w:tr>
      <w:tr w14:paraId="22BC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9" w:type="dxa"/>
            <w:vMerge w:val="continue"/>
            <w:tcBorders>
              <w:left w:val="single" w:color="auto" w:sz="4" w:space="0"/>
              <w:right w:val="single" w:color="auto" w:sz="4" w:space="0"/>
              <w:tl2br w:val="nil"/>
              <w:tr2bl w:val="nil"/>
            </w:tcBorders>
            <w:vAlign w:val="center"/>
          </w:tcPr>
          <w:p w14:paraId="4D76226F"/>
        </w:tc>
        <w:tc>
          <w:tcPr>
            <w:tcW w:w="992" w:type="dxa"/>
            <w:vMerge w:val="continue"/>
            <w:tcBorders>
              <w:left w:val="single" w:color="auto" w:sz="4" w:space="0"/>
              <w:right w:val="single" w:color="auto" w:sz="4" w:space="0"/>
              <w:tl2br w:val="nil"/>
              <w:tr2bl w:val="nil"/>
            </w:tcBorders>
            <w:vAlign w:val="center"/>
          </w:tcPr>
          <w:p w14:paraId="44E0B027"/>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5343595B">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注册资金</w:t>
            </w:r>
            <w:r>
              <w:rPr>
                <w:rFonts w:hint="eastAsia" w:ascii="仿宋_GB2312" w:eastAsia="仿宋_GB2312" w:cs="仿宋_GB2312"/>
                <w:color w:val="auto"/>
                <w:sz w:val="24"/>
                <w:lang w:val="en-US" w:eastAsia="zh-CN" w:bidi="ar-SA"/>
              </w:rPr>
              <w:t>1亿元以上融资担保公司（家）</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5F1DA18C">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03123DB3">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3</w:t>
            </w:r>
          </w:p>
        </w:tc>
      </w:tr>
      <w:tr w14:paraId="4BA1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9" w:type="dxa"/>
            <w:vMerge w:val="continue"/>
            <w:tcBorders>
              <w:left w:val="single" w:color="auto" w:sz="4" w:space="0"/>
              <w:right w:val="single" w:color="auto" w:sz="4" w:space="0"/>
              <w:tl2br w:val="nil"/>
              <w:tr2bl w:val="nil"/>
            </w:tcBorders>
            <w:vAlign w:val="center"/>
          </w:tcPr>
          <w:p w14:paraId="375B729A"/>
        </w:tc>
        <w:tc>
          <w:tcPr>
            <w:tcW w:w="992" w:type="dxa"/>
            <w:vMerge w:val="continue"/>
            <w:tcBorders>
              <w:left w:val="single" w:color="auto" w:sz="4" w:space="0"/>
              <w:bottom w:val="single" w:color="auto" w:sz="4" w:space="0"/>
              <w:right w:val="single" w:color="auto" w:sz="4" w:space="0"/>
              <w:tl2br w:val="nil"/>
              <w:tr2bl w:val="nil"/>
            </w:tcBorders>
            <w:vAlign w:val="center"/>
          </w:tcPr>
          <w:p w14:paraId="0F851B5F"/>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060957F6">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融资担保总额（亿元）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45665025">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7.1</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70484F64">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9.7</w:t>
            </w:r>
          </w:p>
        </w:tc>
      </w:tr>
      <w:tr w14:paraId="0A02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9" w:type="dxa"/>
            <w:vMerge w:val="restart"/>
            <w:tcBorders>
              <w:left w:val="single" w:color="auto" w:sz="4" w:space="0"/>
              <w:right w:val="single" w:color="auto" w:sz="4" w:space="0"/>
              <w:tl2br w:val="nil"/>
              <w:tr2bl w:val="nil"/>
            </w:tcBorders>
            <w:vAlign w:val="center"/>
          </w:tcPr>
          <w:p w14:paraId="5068168B">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b/>
                <w:bCs/>
                <w:color w:val="auto"/>
                <w:sz w:val="24"/>
                <w:lang w:eastAsia="zh-CN" w:bidi="ar-SA"/>
              </w:rPr>
              <w:t>其他目标</w:t>
            </w:r>
          </w:p>
        </w:tc>
        <w:tc>
          <w:tcPr>
            <w:tcW w:w="992" w:type="dxa"/>
            <w:vMerge w:val="restart"/>
            <w:tcBorders>
              <w:left w:val="single" w:color="auto" w:sz="4" w:space="0"/>
              <w:right w:val="single" w:color="auto" w:sz="4" w:space="0"/>
              <w:tl2br w:val="nil"/>
              <w:tr2bl w:val="nil"/>
            </w:tcBorders>
            <w:vAlign w:val="center"/>
          </w:tcPr>
          <w:p w14:paraId="7F8275C1">
            <w:pPr>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重点特色信贷</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15636205">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bidi="ar-SA"/>
              </w:rPr>
              <w:t>绿色贷款（亿元）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2CD3E97A">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67.8</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5D54C2A5">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bidi="ar-SA"/>
              </w:rPr>
              <w:t>140</w:t>
            </w:r>
          </w:p>
        </w:tc>
      </w:tr>
      <w:tr w14:paraId="102F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79" w:type="dxa"/>
            <w:vMerge w:val="continue"/>
            <w:tcBorders>
              <w:left w:val="single" w:color="auto" w:sz="4" w:space="0"/>
              <w:right w:val="single" w:color="auto" w:sz="4" w:space="0"/>
              <w:tl2br w:val="nil"/>
              <w:tr2bl w:val="nil"/>
            </w:tcBorders>
            <w:vAlign w:val="center"/>
          </w:tcPr>
          <w:p w14:paraId="220A50C5"/>
        </w:tc>
        <w:tc>
          <w:tcPr>
            <w:tcW w:w="992" w:type="dxa"/>
            <w:vMerge w:val="continue"/>
            <w:tcBorders>
              <w:left w:val="single" w:color="auto" w:sz="4" w:space="0"/>
              <w:right w:val="single" w:color="auto" w:sz="4" w:space="0"/>
              <w:tl2br w:val="nil"/>
              <w:tr2bl w:val="nil"/>
            </w:tcBorders>
            <w:vAlign w:val="center"/>
          </w:tcPr>
          <w:p w14:paraId="1220F3BB"/>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32362F4D">
            <w:pPr>
              <w:adjustRightInd w:val="0"/>
              <w:snapToGrid w:val="0"/>
              <w:spacing w:line="280" w:lineRule="exact"/>
              <w:ind w:firstLine="0"/>
              <w:rPr>
                <w:rFonts w:hint="eastAsia" w:ascii="仿宋_GB2312" w:eastAsia="仿宋_GB2312" w:cs="仿宋_GB2312"/>
                <w:color w:val="auto"/>
                <w:sz w:val="24"/>
                <w:lang w:eastAsia="zh-CN" w:bidi="ar-SA"/>
              </w:rPr>
            </w:pPr>
            <w:r>
              <w:rPr>
                <w:rFonts w:hint="eastAsia" w:ascii="仿宋_GB2312" w:eastAsia="仿宋_GB2312" w:cs="仿宋_GB2312"/>
                <w:color w:val="auto"/>
                <w:sz w:val="24"/>
                <w:lang w:bidi="ar-SA"/>
              </w:rPr>
              <w:t>小微贷款余额</w:t>
            </w:r>
            <w:r>
              <w:rPr>
                <w:rFonts w:hint="eastAsia" w:ascii="仿宋_GB2312" w:eastAsia="仿宋_GB2312" w:cs="仿宋_GB2312"/>
                <w:color w:val="auto"/>
                <w:sz w:val="24"/>
                <w:lang w:eastAsia="zh-CN" w:bidi="ar-SA"/>
              </w:rPr>
              <w:t>（亿元）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24C08188">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126.5</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1D1341FE">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178.2</w:t>
            </w:r>
          </w:p>
        </w:tc>
      </w:tr>
      <w:tr w14:paraId="0FE5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79" w:type="dxa"/>
            <w:vMerge w:val="continue"/>
            <w:tcBorders>
              <w:left w:val="single" w:color="auto" w:sz="4" w:space="0"/>
              <w:right w:val="single" w:color="auto" w:sz="4" w:space="0"/>
              <w:tl2br w:val="nil"/>
              <w:tr2bl w:val="nil"/>
            </w:tcBorders>
            <w:vAlign w:val="center"/>
          </w:tcPr>
          <w:p w14:paraId="14BDC434"/>
        </w:tc>
        <w:tc>
          <w:tcPr>
            <w:tcW w:w="992" w:type="dxa"/>
            <w:vMerge w:val="continue"/>
            <w:tcBorders>
              <w:left w:val="single" w:color="auto" w:sz="4" w:space="0"/>
              <w:bottom w:val="single" w:color="auto" w:sz="4" w:space="0"/>
              <w:right w:val="single" w:color="auto" w:sz="4" w:space="0"/>
              <w:tl2br w:val="nil"/>
              <w:tr2bl w:val="nil"/>
            </w:tcBorders>
            <w:vAlign w:val="center"/>
          </w:tcPr>
          <w:p w14:paraId="431F4AF6"/>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04278FAD">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val="en-US" w:eastAsia="zh-CN" w:bidi="ar-SA"/>
              </w:rPr>
              <w:t>新型农业经营主体贷款余额（亿元）</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55F7718F">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8.3</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2FF53B20">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22.1</w:t>
            </w:r>
          </w:p>
        </w:tc>
      </w:tr>
      <w:tr w14:paraId="4242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9" w:type="dxa"/>
            <w:vMerge w:val="continue"/>
            <w:tcBorders>
              <w:left w:val="single" w:color="auto" w:sz="4" w:space="0"/>
              <w:right w:val="single" w:color="auto" w:sz="4" w:space="0"/>
              <w:tl2br w:val="nil"/>
              <w:tr2bl w:val="nil"/>
            </w:tcBorders>
            <w:vAlign w:val="center"/>
          </w:tcPr>
          <w:p w14:paraId="20562E41"/>
        </w:tc>
        <w:tc>
          <w:tcPr>
            <w:tcW w:w="992" w:type="dxa"/>
            <w:vMerge w:val="restart"/>
            <w:tcBorders>
              <w:top w:val="single" w:color="auto" w:sz="4" w:space="0"/>
              <w:left w:val="single" w:color="auto" w:sz="4" w:space="0"/>
              <w:right w:val="single" w:color="auto" w:sz="4" w:space="0"/>
              <w:tl2br w:val="nil"/>
              <w:tr2bl w:val="nil"/>
            </w:tcBorders>
            <w:vAlign w:val="center"/>
          </w:tcPr>
          <w:p w14:paraId="6070DD4D">
            <w:pPr>
              <w:adjustRightInd w:val="0"/>
              <w:snapToGrid w:val="0"/>
              <w:spacing w:line="280" w:lineRule="exact"/>
              <w:ind w:firstLine="0"/>
              <w:jc w:val="center"/>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普惠</w:t>
            </w:r>
          </w:p>
          <w:p w14:paraId="69EDCC02">
            <w:pPr>
              <w:adjustRightInd w:val="0"/>
              <w:snapToGrid w:val="0"/>
              <w:spacing w:line="280" w:lineRule="exact"/>
              <w:ind w:firstLine="0"/>
              <w:jc w:val="center"/>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金融</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45C854AD">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自助终端</w:t>
            </w:r>
            <w:r>
              <w:rPr>
                <w:rFonts w:hint="eastAsia" w:ascii="仿宋_GB2312" w:eastAsia="仿宋_GB2312" w:cs="仿宋_GB2312"/>
                <w:color w:val="auto"/>
                <w:sz w:val="24"/>
                <w:lang w:eastAsia="zh-CN" w:bidi="ar-SA"/>
              </w:rPr>
              <w:t>服务</w:t>
            </w:r>
            <w:r>
              <w:rPr>
                <w:rFonts w:hint="eastAsia" w:ascii="仿宋_GB2312" w:eastAsia="仿宋_GB2312" w:cs="仿宋_GB2312"/>
                <w:color w:val="auto"/>
                <w:sz w:val="24"/>
                <w:lang w:bidi="ar-SA"/>
              </w:rPr>
              <w:t>覆盖面</w:t>
            </w:r>
            <w:r>
              <w:rPr>
                <w:rFonts w:hint="eastAsia" w:ascii="仿宋_GB2312" w:eastAsia="仿宋_GB2312" w:cs="仿宋_GB2312"/>
                <w:color w:val="auto"/>
                <w:sz w:val="24"/>
                <w:lang w:eastAsia="zh-CN" w:bidi="ar-SA"/>
              </w:rPr>
              <w:t>（</w:t>
            </w:r>
            <w:r>
              <w:rPr>
                <w:rFonts w:hint="eastAsia" w:ascii="仿宋_GB2312" w:eastAsia="仿宋_GB2312" w:cs="仿宋_GB2312"/>
                <w:color w:val="auto"/>
                <w:sz w:val="24"/>
                <w:lang w:val="en-US" w:eastAsia="zh-CN" w:bidi="ar-SA"/>
              </w:rPr>
              <w:t>%</w:t>
            </w:r>
            <w:r>
              <w:rPr>
                <w:rFonts w:hint="eastAsia" w:ascii="仿宋_GB2312" w:eastAsia="仿宋_GB2312" w:cs="仿宋_GB2312"/>
                <w:color w:val="auto"/>
                <w:sz w:val="24"/>
                <w:lang w:eastAsia="zh-CN" w:bidi="ar-SA"/>
              </w:rPr>
              <w:t>）</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7804D263">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40</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269B5B03">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bidi="ar-SA"/>
              </w:rPr>
              <w:t>80</w:t>
            </w:r>
          </w:p>
        </w:tc>
      </w:tr>
      <w:tr w14:paraId="500F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9" w:type="dxa"/>
            <w:vMerge w:val="continue"/>
            <w:tcBorders>
              <w:left w:val="single" w:color="auto" w:sz="4" w:space="0"/>
              <w:right w:val="single" w:color="auto" w:sz="4" w:space="0"/>
              <w:tl2br w:val="nil"/>
              <w:tr2bl w:val="nil"/>
            </w:tcBorders>
            <w:vAlign w:val="center"/>
          </w:tcPr>
          <w:p w14:paraId="203B3521"/>
        </w:tc>
        <w:tc>
          <w:tcPr>
            <w:tcW w:w="992" w:type="dxa"/>
            <w:vMerge w:val="continue"/>
            <w:tcBorders>
              <w:left w:val="single" w:color="auto" w:sz="4" w:space="0"/>
              <w:right w:val="single" w:color="auto" w:sz="4" w:space="0"/>
              <w:tl2br w:val="nil"/>
              <w:tr2bl w:val="nil"/>
            </w:tcBorders>
            <w:vAlign w:val="center"/>
          </w:tcPr>
          <w:p w14:paraId="3949753A"/>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3C03DC3D">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省级现金服务示范区</w:t>
            </w:r>
            <w:r>
              <w:rPr>
                <w:rFonts w:hint="eastAsia" w:ascii="仿宋_GB2312" w:eastAsia="仿宋_GB2312" w:cs="仿宋_GB2312"/>
                <w:color w:val="auto"/>
                <w:sz w:val="24"/>
                <w:lang w:eastAsia="zh-CN" w:bidi="ar-SA"/>
              </w:rPr>
              <w:t>（个）</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064341FF">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0</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6E94A2DB">
            <w:pPr>
              <w:adjustRightInd w:val="0"/>
              <w:snapToGrid w:val="0"/>
              <w:spacing w:line="280" w:lineRule="exact"/>
              <w:ind w:firstLine="0"/>
              <w:jc w:val="center"/>
              <w:rPr>
                <w:rFonts w:hint="eastAsia" w:ascii="仿宋_GB2312" w:eastAsia="仿宋_GB2312" w:cs="仿宋_GB2312"/>
                <w:color w:val="auto"/>
                <w:sz w:val="24"/>
                <w:lang w:bidi="ar-SA"/>
              </w:rPr>
            </w:pPr>
            <w:r>
              <w:rPr>
                <w:rFonts w:hint="eastAsia" w:ascii="仿宋_GB2312" w:eastAsia="仿宋_GB2312" w:cs="仿宋_GB2312"/>
                <w:color w:val="auto"/>
                <w:sz w:val="24"/>
                <w:lang w:val="en-US" w:eastAsia="zh-CN" w:bidi="ar-SA"/>
              </w:rPr>
              <w:t>4</w:t>
            </w:r>
          </w:p>
        </w:tc>
      </w:tr>
      <w:tr w14:paraId="1722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9" w:type="dxa"/>
            <w:vMerge w:val="continue"/>
            <w:tcBorders>
              <w:left w:val="single" w:color="auto" w:sz="4" w:space="0"/>
              <w:right w:val="single" w:color="auto" w:sz="4" w:space="0"/>
              <w:tl2br w:val="nil"/>
              <w:tr2bl w:val="nil"/>
            </w:tcBorders>
            <w:vAlign w:val="center"/>
          </w:tcPr>
          <w:p w14:paraId="0E92408B"/>
        </w:tc>
        <w:tc>
          <w:tcPr>
            <w:tcW w:w="992" w:type="dxa"/>
            <w:vMerge w:val="continue"/>
            <w:tcBorders>
              <w:left w:val="single" w:color="auto" w:sz="4" w:space="0"/>
              <w:bottom w:val="single" w:color="auto" w:sz="4" w:space="0"/>
              <w:right w:val="single" w:color="auto" w:sz="4" w:space="0"/>
              <w:tl2br w:val="nil"/>
              <w:tr2bl w:val="nil"/>
            </w:tcBorders>
            <w:vAlign w:val="center"/>
          </w:tcPr>
          <w:p w14:paraId="1C026C43"/>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071BBFB5">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省级现金服务示范网点</w:t>
            </w:r>
            <w:r>
              <w:rPr>
                <w:rFonts w:hint="eastAsia" w:ascii="仿宋_GB2312" w:eastAsia="仿宋_GB2312" w:cs="仿宋_GB2312"/>
                <w:color w:val="auto"/>
                <w:sz w:val="24"/>
                <w:lang w:eastAsia="zh-CN" w:bidi="ar-SA"/>
              </w:rPr>
              <w:t>（</w:t>
            </w:r>
            <w:r>
              <w:rPr>
                <w:rFonts w:hint="eastAsia" w:ascii="仿宋_GB2312" w:eastAsia="仿宋_GB2312" w:cs="仿宋_GB2312"/>
                <w:color w:val="auto"/>
                <w:sz w:val="24"/>
                <w:lang w:bidi="ar-SA"/>
              </w:rPr>
              <w:t>个</w:t>
            </w:r>
            <w:r>
              <w:rPr>
                <w:rFonts w:hint="eastAsia" w:ascii="仿宋_GB2312" w:eastAsia="仿宋_GB2312" w:cs="仿宋_GB2312"/>
                <w:color w:val="auto"/>
                <w:sz w:val="24"/>
                <w:lang w:eastAsia="zh-CN" w:bidi="ar-SA"/>
              </w:rPr>
              <w:t>）</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08DEDACF">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0</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787BA7B2">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w:t>
            </w:r>
          </w:p>
        </w:tc>
      </w:tr>
      <w:tr w14:paraId="7B01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9" w:type="dxa"/>
            <w:vMerge w:val="continue"/>
            <w:tcBorders>
              <w:left w:val="single" w:color="auto" w:sz="4" w:space="0"/>
              <w:right w:val="single" w:color="auto" w:sz="4" w:space="0"/>
              <w:tl2br w:val="nil"/>
              <w:tr2bl w:val="nil"/>
            </w:tcBorders>
            <w:vAlign w:val="center"/>
          </w:tcPr>
          <w:p w14:paraId="7C8169CD"/>
        </w:tc>
        <w:tc>
          <w:tcPr>
            <w:tcW w:w="992" w:type="dxa"/>
            <w:vMerge w:val="restart"/>
            <w:tcBorders>
              <w:top w:val="single" w:color="auto" w:sz="4" w:space="0"/>
              <w:left w:val="single" w:color="auto" w:sz="4" w:space="0"/>
              <w:right w:val="single" w:color="auto" w:sz="4" w:space="0"/>
              <w:tl2br w:val="nil"/>
              <w:tr2bl w:val="nil"/>
            </w:tcBorders>
            <w:vAlign w:val="center"/>
          </w:tcPr>
          <w:p w14:paraId="4D5C1840">
            <w:pPr>
              <w:adjustRightInd w:val="0"/>
              <w:snapToGrid w:val="0"/>
              <w:spacing w:line="280" w:lineRule="exact"/>
              <w:ind w:firstLine="0"/>
              <w:jc w:val="center"/>
              <w:rPr>
                <w:rFonts w:hint="eastAsia" w:ascii="仿宋_GB2312" w:eastAsia="仿宋_GB2312" w:cs="仿宋_GB2312"/>
                <w:color w:val="auto"/>
                <w:sz w:val="24"/>
                <w:lang w:eastAsia="zh-CN" w:bidi="ar-SA"/>
              </w:rPr>
            </w:pPr>
            <w:r>
              <w:rPr>
                <w:rFonts w:hint="eastAsia" w:ascii="仿宋_GB2312" w:eastAsia="仿宋_GB2312" w:cs="仿宋_GB2312"/>
                <w:color w:val="auto"/>
                <w:sz w:val="24"/>
                <w:lang w:eastAsia="zh-CN" w:bidi="ar-SA"/>
              </w:rPr>
              <w:t>农村信用体系建设</w:t>
            </w:r>
          </w:p>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31EEFE7F">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农户信用档案建档率</w:t>
            </w:r>
            <w:r>
              <w:rPr>
                <w:rFonts w:hint="eastAsia" w:ascii="仿宋_GB2312" w:eastAsia="仿宋_GB2312" w:cs="仿宋_GB2312"/>
                <w:color w:val="auto"/>
                <w:sz w:val="24"/>
                <w:lang w:eastAsia="zh-CN" w:bidi="ar-SA"/>
              </w:rPr>
              <w:t>（</w:t>
            </w:r>
            <w:r>
              <w:rPr>
                <w:rFonts w:hint="eastAsia" w:ascii="仿宋_GB2312" w:eastAsia="仿宋_GB2312" w:cs="仿宋_GB2312"/>
                <w:color w:val="auto"/>
                <w:sz w:val="24"/>
                <w:lang w:val="en-US" w:eastAsia="zh-CN" w:bidi="ar-SA"/>
              </w:rPr>
              <w:t>%</w:t>
            </w:r>
            <w:r>
              <w:rPr>
                <w:rFonts w:hint="eastAsia" w:ascii="仿宋_GB2312" w:eastAsia="仿宋_GB2312" w:cs="仿宋_GB2312"/>
                <w:color w:val="auto"/>
                <w:sz w:val="24"/>
                <w:lang w:eastAsia="zh-CN" w:bidi="ar-SA"/>
              </w:rPr>
              <w:t>）</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6F2A56F5">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89.7</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5E769FAA">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bidi="ar-SA"/>
              </w:rPr>
              <w:t>100</w:t>
            </w:r>
          </w:p>
        </w:tc>
      </w:tr>
      <w:tr w14:paraId="69A1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79" w:type="dxa"/>
            <w:vMerge w:val="continue"/>
            <w:tcBorders>
              <w:left w:val="single" w:color="auto" w:sz="4" w:space="0"/>
              <w:right w:val="single" w:color="auto" w:sz="4" w:space="0"/>
              <w:tl2br w:val="nil"/>
              <w:tr2bl w:val="nil"/>
            </w:tcBorders>
            <w:vAlign w:val="center"/>
          </w:tcPr>
          <w:p w14:paraId="0DA51422"/>
        </w:tc>
        <w:tc>
          <w:tcPr>
            <w:tcW w:w="992" w:type="dxa"/>
            <w:vMerge w:val="continue"/>
            <w:tcBorders>
              <w:left w:val="single" w:color="auto" w:sz="4" w:space="0"/>
              <w:right w:val="single" w:color="auto" w:sz="4" w:space="0"/>
              <w:tl2br w:val="nil"/>
              <w:tr2bl w:val="nil"/>
            </w:tcBorders>
            <w:vAlign w:val="center"/>
          </w:tcPr>
          <w:p w14:paraId="2DA21049"/>
        </w:tc>
        <w:tc>
          <w:tcPr>
            <w:tcW w:w="4253" w:type="dxa"/>
            <w:tcBorders>
              <w:top w:val="single" w:color="auto" w:sz="4" w:space="0"/>
              <w:left w:val="single" w:color="auto" w:sz="4" w:space="0"/>
              <w:bottom w:val="single" w:color="auto" w:sz="4" w:space="0"/>
              <w:right w:val="single" w:color="auto" w:sz="4" w:space="0"/>
              <w:tl2br w:val="nil"/>
              <w:tr2bl w:val="nil"/>
            </w:tcBorders>
            <w:vAlign w:val="center"/>
          </w:tcPr>
          <w:p w14:paraId="03E2F033">
            <w:pPr>
              <w:adjustRightInd w:val="0"/>
              <w:snapToGrid w:val="0"/>
              <w:spacing w:line="280" w:lineRule="exact"/>
              <w:ind w:firstLine="0"/>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新型农业经营主体信用档案建档率</w:t>
            </w:r>
            <w:r>
              <w:rPr>
                <w:rFonts w:hint="eastAsia" w:ascii="仿宋_GB2312" w:eastAsia="仿宋_GB2312" w:cs="仿宋_GB2312"/>
                <w:color w:val="auto"/>
                <w:sz w:val="24"/>
                <w:lang w:eastAsia="zh-CN" w:bidi="ar-SA"/>
              </w:rPr>
              <w:t>（</w:t>
            </w:r>
            <w:r>
              <w:rPr>
                <w:rFonts w:hint="eastAsia" w:ascii="仿宋_GB2312" w:eastAsia="仿宋_GB2312" w:cs="仿宋_GB2312"/>
                <w:color w:val="auto"/>
                <w:sz w:val="24"/>
                <w:lang w:val="en-US" w:eastAsia="zh-CN" w:bidi="ar-SA"/>
              </w:rPr>
              <w:t>%</w:t>
            </w:r>
            <w:r>
              <w:rPr>
                <w:rFonts w:hint="eastAsia" w:ascii="仿宋_GB2312" w:eastAsia="仿宋_GB2312" w:cs="仿宋_GB2312"/>
                <w:color w:val="auto"/>
                <w:sz w:val="24"/>
                <w:lang w:eastAsia="zh-CN" w:bidi="ar-SA"/>
              </w:rPr>
              <w:t>）</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14:paraId="72A45024">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val="en-US" w:eastAsia="zh-CN" w:bidi="ar-SA"/>
              </w:rPr>
              <w:t>21.6</w:t>
            </w:r>
          </w:p>
        </w:tc>
        <w:tc>
          <w:tcPr>
            <w:tcW w:w="1039" w:type="dxa"/>
            <w:tcBorders>
              <w:top w:val="single" w:color="auto" w:sz="4" w:space="0"/>
              <w:left w:val="single" w:color="auto" w:sz="4" w:space="0"/>
              <w:bottom w:val="single" w:color="auto" w:sz="4" w:space="0"/>
              <w:right w:val="single" w:color="auto" w:sz="4" w:space="0"/>
              <w:tl2br w:val="nil"/>
              <w:tr2bl w:val="nil"/>
            </w:tcBorders>
            <w:vAlign w:val="center"/>
          </w:tcPr>
          <w:p w14:paraId="654917DE">
            <w:pPr>
              <w:adjustRightInd w:val="0"/>
              <w:snapToGrid w:val="0"/>
              <w:spacing w:line="280" w:lineRule="exact"/>
              <w:ind w:firstLine="0"/>
              <w:jc w:val="center"/>
              <w:rPr>
                <w:rFonts w:hint="eastAsia" w:ascii="仿宋_GB2312" w:eastAsia="仿宋_GB2312" w:cs="仿宋_GB2312"/>
                <w:color w:val="auto"/>
                <w:sz w:val="24"/>
                <w:lang w:val="en-US" w:eastAsia="zh-CN" w:bidi="ar-SA"/>
              </w:rPr>
            </w:pPr>
            <w:r>
              <w:rPr>
                <w:rFonts w:hint="eastAsia" w:ascii="仿宋_GB2312" w:eastAsia="仿宋_GB2312" w:cs="仿宋_GB2312"/>
                <w:color w:val="auto"/>
                <w:sz w:val="24"/>
                <w:lang w:bidi="ar-SA"/>
              </w:rPr>
              <w:t>100</w:t>
            </w:r>
          </w:p>
        </w:tc>
      </w:tr>
    </w:tbl>
    <w:p w14:paraId="33AB6116">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黑体"/>
          <w:sz w:val="44"/>
          <w:szCs w:val="44"/>
          <w:lang w:bidi="ar-SA"/>
        </w:rPr>
      </w:pPr>
    </w:p>
    <w:p w14:paraId="3754FE88">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第四章  重点任务</w:t>
      </w:r>
    </w:p>
    <w:p w14:paraId="2F39C6A2">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sz w:val="32"/>
          <w:szCs w:val="32"/>
          <w:lang w:bidi="ar-SA"/>
        </w:rPr>
      </w:pPr>
    </w:p>
    <w:p w14:paraId="107B976A">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全面贯彻落实省委决策部署，认真践行新发展理念，紧紧围绕“一州两区三家园”战略新目标，围绕“一屏四带、全域生态”发展新格局、“三地共建、五业同优”产业新体系、“四向通道、全域拓展”开放新态势。通过完善金融体系、提升金融能力、创新金融产品、优化金融服务，全面支持经济社会高质量发展取得新进展、实现新突破、迈上新台阶。</w:t>
      </w:r>
    </w:p>
    <w:p w14:paraId="3E207608">
      <w:pPr>
        <w:pStyle w:val="8"/>
        <w:keepNext w:val="0"/>
        <w:keepLines w:val="0"/>
        <w:pageBreakBefore w:val="0"/>
        <w:widowControl w:val="0"/>
        <w:suppressLineNumbers w:val="0"/>
        <w:suppressAutoHyphens w:val="0"/>
        <w:spacing w:line="540" w:lineRule="exact"/>
        <w:ind w:left="386" w:leftChars="200" w:firstLine="386" w:firstLineChars="200"/>
      </w:pPr>
    </w:p>
    <w:p w14:paraId="076AD7ED">
      <w:pPr>
        <w:keepNext w:val="0"/>
        <w:keepLines w:val="0"/>
        <w:pageBreakBefore w:val="0"/>
        <w:widowControl w:val="0"/>
        <w:suppressLineNumbers w:val="0"/>
        <w:suppressAutoHyphens w:val="0"/>
      </w:pPr>
    </w:p>
    <w:p w14:paraId="6C886358">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第一节  协力促进传统产业优化升级</w:t>
      </w:r>
    </w:p>
    <w:p w14:paraId="3F657681">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2B0404C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一、推动银行业机构做优做强</w:t>
      </w:r>
    </w:p>
    <w:p w14:paraId="4969D0C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进一步做大做强银行业，鼓励支持本地银行机构加快发展，外域银行机构来马尔康市设立机构。积极支持本地银行机构扩大业务和对外发展，督导其进一步下沉服务。推动邮储银行实现分支机构县域全覆盖。</w:t>
      </w:r>
    </w:p>
    <w:p w14:paraId="41F6B4C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高度重视</w:t>
      </w:r>
      <w:r>
        <w:rPr>
          <w:rFonts w:hint="eastAsia" w:ascii="仿宋_GB2312" w:eastAsia="仿宋_GB2312" w:cs="仿宋_GB2312"/>
          <w:sz w:val="32"/>
          <w:szCs w:val="32"/>
          <w:lang w:eastAsia="zh-CN" w:bidi="ar-SA"/>
        </w:rPr>
        <w:t>开发性、</w:t>
      </w:r>
      <w:r>
        <w:rPr>
          <w:rFonts w:hint="eastAsia" w:ascii="仿宋_GB2312" w:eastAsia="仿宋_GB2312" w:cs="仿宋_GB2312"/>
          <w:sz w:val="32"/>
          <w:szCs w:val="32"/>
          <w:lang w:bidi="ar-SA"/>
        </w:rPr>
        <w:t>政策性金融机构的作用发挥，积极创造条件，加强符合条件</w:t>
      </w:r>
      <w:r>
        <w:rPr>
          <w:rFonts w:hint="eastAsia" w:ascii="仿宋_GB2312" w:eastAsia="仿宋_GB2312" w:cs="仿宋_GB2312"/>
          <w:color w:val="auto"/>
          <w:sz w:val="32"/>
          <w:szCs w:val="32"/>
          <w:lang w:bidi="ar-SA"/>
        </w:rPr>
        <w:t>项目与政策性</w:t>
      </w:r>
      <w:r>
        <w:rPr>
          <w:rFonts w:hint="eastAsia" w:ascii="仿宋_GB2312" w:eastAsia="仿宋_GB2312" w:cs="仿宋_GB2312"/>
          <w:color w:val="auto"/>
          <w:sz w:val="32"/>
          <w:szCs w:val="32"/>
          <w:lang w:eastAsia="zh-CN" w:bidi="ar-SA"/>
        </w:rPr>
        <w:t>开发性</w:t>
      </w:r>
      <w:r>
        <w:rPr>
          <w:rFonts w:hint="eastAsia" w:ascii="仿宋_GB2312" w:eastAsia="仿宋_GB2312" w:cs="仿宋_GB2312"/>
          <w:color w:val="auto"/>
          <w:sz w:val="32"/>
          <w:szCs w:val="32"/>
          <w:lang w:bidi="ar-SA"/>
        </w:rPr>
        <w:t>金融工具的对接力度，提升政策性</w:t>
      </w:r>
      <w:r>
        <w:rPr>
          <w:rFonts w:hint="eastAsia" w:ascii="仿宋_GB2312" w:eastAsia="仿宋_GB2312" w:cs="仿宋_GB2312"/>
          <w:color w:val="auto"/>
          <w:sz w:val="32"/>
          <w:szCs w:val="32"/>
          <w:lang w:eastAsia="zh-CN" w:bidi="ar-SA"/>
        </w:rPr>
        <w:t>开发性</w:t>
      </w:r>
      <w:r>
        <w:rPr>
          <w:rFonts w:hint="eastAsia" w:ascii="仿宋_GB2312" w:eastAsia="仿宋_GB2312" w:cs="仿宋_GB2312"/>
          <w:color w:val="auto"/>
          <w:sz w:val="32"/>
          <w:szCs w:val="32"/>
          <w:lang w:bidi="ar-SA"/>
        </w:rPr>
        <w:t>金融工具在经济高质量发展中的参与度。进一步发展壮大国有银行机构，鼓励国有金融资本做大做</w:t>
      </w:r>
      <w:r>
        <w:rPr>
          <w:rFonts w:hint="eastAsia" w:ascii="仿宋_GB2312" w:eastAsia="仿宋_GB2312" w:cs="仿宋_GB2312"/>
          <w:sz w:val="32"/>
          <w:szCs w:val="32"/>
          <w:lang w:bidi="ar-SA"/>
        </w:rPr>
        <w:t>优做强，充分发挥国有银行机构在现代金融机构体系中的支撑作用。积极发展股份制银行机构，拓宽金融服务的广度和深度。积极稳妥地推进农村信用社改制步伐，加快组建阿坝农村商业银行。充分利用阿坝农信联社现有资源，将其改造成符合现代企业制度、扎根阿坝、服务“三农”的农村商业银行。</w:t>
      </w:r>
    </w:p>
    <w:tbl>
      <w:tblPr>
        <w:tblStyle w:val="9"/>
        <w:tblpPr w:leftFromText="180" w:rightFromText="180" w:vertAnchor="text" w:horzAnchor="page" w:tblpX="1944" w:tblpY="5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4"/>
      </w:tblGrid>
      <w:tr w14:paraId="5325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144" w:type="dxa"/>
            <w:tcBorders>
              <w:tl2br w:val="nil"/>
              <w:tr2bl w:val="nil"/>
            </w:tcBorders>
            <w:shd w:val="clear" w:color="auto" w:fill="A09BB9"/>
            <w:vAlign w:val="center"/>
          </w:tcPr>
          <w:p w14:paraId="2043A0BD">
            <w:pPr>
              <w:keepNext w:val="0"/>
              <w:keepLines w:val="0"/>
              <w:pageBreakBefore w:val="0"/>
              <w:widowControl/>
              <w:kinsoku/>
              <w:wordWrap/>
              <w:overflowPunct/>
              <w:topLinePunct w:val="0"/>
              <w:autoSpaceDE/>
              <w:autoSpaceDN/>
              <w:bidi w:val="0"/>
              <w:adjustRightInd/>
              <w:snapToGrid/>
              <w:spacing w:line="280" w:lineRule="exact"/>
              <w:ind w:left="0" w:right="0"/>
              <w:jc w:val="center"/>
              <w:textAlignment w:val="auto"/>
              <w:outlineLvl w:val="9"/>
              <w:rPr>
                <w:rFonts w:hint="eastAsia" w:ascii="仿宋_GB2312" w:hAnsi="仿宋_GB2312" w:cs="仿宋_GB2312"/>
                <w:b/>
                <w:bCs/>
                <w:color w:val="auto"/>
                <w:kern w:val="44"/>
                <w:sz w:val="24"/>
                <w:lang w:bidi="ar-SA"/>
              </w:rPr>
            </w:pPr>
            <w:r>
              <w:rPr>
                <w:rFonts w:hint="eastAsia" w:ascii="仿宋_GB2312" w:eastAsia="仿宋_GB2312" w:cs="仿宋_GB2312"/>
                <w:b/>
                <w:bCs/>
                <w:color w:val="auto"/>
                <w:kern w:val="44"/>
                <w:sz w:val="24"/>
                <w:lang w:bidi="ar-SA"/>
              </w:rPr>
              <w:t>专栏1 “十四五”时期银行业机构建设重点工程与项目</w:t>
            </w:r>
          </w:p>
        </w:tc>
      </w:tr>
      <w:tr w14:paraId="2CC3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4" w:type="dxa"/>
            <w:tcBorders>
              <w:tl2br w:val="nil"/>
              <w:tr2bl w:val="nil"/>
            </w:tcBorders>
          </w:tcPr>
          <w:p w14:paraId="74068810">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firstLine="0" w:firstLineChars="0"/>
              <w:jc w:val="center"/>
              <w:textAlignment w:val="auto"/>
              <w:outlineLvl w:val="9"/>
              <w:rPr>
                <w:rFonts w:hint="eastAsia" w:ascii="仿宋_GB2312" w:eastAsia="仿宋_GB2312" w:cs="仿宋_GB2312"/>
                <w:b/>
                <w:bCs/>
                <w:color w:val="auto"/>
                <w:sz w:val="24"/>
                <w:lang w:bidi="ar-SA"/>
              </w:rPr>
            </w:pPr>
            <w:r>
              <w:rPr>
                <w:rFonts w:hint="eastAsia" w:ascii="仿宋_GB2312" w:eastAsia="仿宋_GB2312" w:cs="仿宋_GB2312"/>
                <w:b/>
                <w:bCs/>
                <w:color w:val="auto"/>
                <w:sz w:val="24"/>
                <w:lang w:bidi="ar-SA"/>
              </w:rPr>
              <w:t>农信联社改制农商行</w:t>
            </w:r>
          </w:p>
          <w:p w14:paraId="57FB58B0">
            <w:pPr>
              <w:keepNext w:val="0"/>
              <w:keepLines w:val="0"/>
              <w:pageBreakBefore w:val="0"/>
              <w:widowControl/>
              <w:kinsoku/>
              <w:wordWrap/>
              <w:overflowPunct/>
              <w:topLinePunct w:val="0"/>
              <w:autoSpaceDE/>
              <w:autoSpaceDN/>
              <w:bidi w:val="0"/>
              <w:adjustRightInd/>
              <w:snapToGrid/>
              <w:spacing w:line="280" w:lineRule="exact"/>
              <w:ind w:left="0" w:right="0" w:firstLine="480"/>
              <w:jc w:val="left"/>
              <w:textAlignment w:val="auto"/>
              <w:outlineLvl w:val="9"/>
              <w:rPr>
                <w:rFonts w:hint="eastAsia" w:ascii="仿宋_GB2312" w:eastAsia="仿宋_GB2312" w:cs="仿宋_GB2312"/>
                <w:color w:val="auto"/>
                <w:kern w:val="44"/>
                <w:sz w:val="24"/>
                <w:lang w:bidi="ar-SA"/>
              </w:rPr>
            </w:pPr>
            <w:r>
              <w:rPr>
                <w:rFonts w:hint="eastAsia" w:ascii="仿宋_GB2312" w:eastAsia="仿宋_GB2312" w:cs="仿宋_GB2312"/>
                <w:color w:val="auto"/>
                <w:kern w:val="44"/>
                <w:sz w:val="24"/>
                <w:lang w:bidi="ar-SA"/>
              </w:rPr>
              <w:t>“十四五”期间，进一步深化农村金融机构改革，明晰产权关系，完善公司机制，推动以阿坝农信联社为基础组建阿坝农村商业银行股份有限公司。</w:t>
            </w:r>
          </w:p>
          <w:p w14:paraId="639B37BE">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color w:val="auto"/>
                <w:sz w:val="24"/>
                <w:lang w:bidi="ar-SA"/>
              </w:rPr>
            </w:pPr>
            <w:r>
              <w:rPr>
                <w:rFonts w:hint="eastAsia" w:ascii="仿宋_GB2312" w:eastAsia="仿宋_GB2312" w:cs="仿宋_GB2312"/>
                <w:color w:val="auto"/>
                <w:sz w:val="24"/>
                <w:lang w:bidi="ar-SA"/>
              </w:rPr>
              <w:t>坚持市场化原则，围绕产权制度、管理体制和公司治理等环节，推动农信联社不断强化市场主体地位，转换经营机制，构建产权明晰、内控严密、精细化管理的现代金融企业，实现社会效益与经济效益的统一。</w:t>
            </w:r>
          </w:p>
          <w:p w14:paraId="094D2FE6">
            <w:pPr>
              <w:keepNext w:val="0"/>
              <w:keepLines w:val="0"/>
              <w:pageBreakBefore w:val="0"/>
              <w:widowControl/>
              <w:kinsoku/>
              <w:wordWrap/>
              <w:overflowPunct/>
              <w:topLinePunct w:val="0"/>
              <w:autoSpaceDE/>
              <w:autoSpaceDN/>
              <w:bidi w:val="0"/>
              <w:adjustRightInd/>
              <w:snapToGrid/>
              <w:spacing w:line="280" w:lineRule="exact"/>
              <w:ind w:left="0" w:right="0" w:firstLine="480"/>
              <w:jc w:val="left"/>
              <w:textAlignment w:val="auto"/>
              <w:outlineLvl w:val="9"/>
              <w:rPr>
                <w:rFonts w:hint="eastAsia" w:ascii="仿宋_GB2312" w:hAnsi="仿宋_GB2312" w:cs="仿宋_GB2312"/>
                <w:b/>
                <w:bCs/>
                <w:color w:val="auto"/>
                <w:kern w:val="44"/>
                <w:sz w:val="24"/>
                <w:lang w:bidi="ar-SA"/>
              </w:rPr>
            </w:pPr>
            <w:r>
              <w:rPr>
                <w:rFonts w:hint="eastAsia" w:ascii="仿宋_GB2312" w:eastAsia="仿宋_GB2312" w:cs="仿宋_GB2312"/>
                <w:color w:val="auto"/>
                <w:sz w:val="24"/>
                <w:lang w:bidi="ar-SA"/>
              </w:rPr>
              <w:t>坚持服务“三农”和支持地方经济发展原则，推动农信联用社创新服务产品，改进服务方式，增强服务功能，不断提升支农服务水平，全力确保“三农”、中小微企业和地方经济发展对金融服务的需求得到优先满足。</w:t>
            </w:r>
          </w:p>
        </w:tc>
      </w:tr>
    </w:tbl>
    <w:p w14:paraId="1E2089A3">
      <w:pPr>
        <w:keepNext w:val="0"/>
        <w:keepLines w:val="0"/>
        <w:pageBreakBefore w:val="0"/>
        <w:widowControl w:val="0"/>
        <w:kinsoku/>
        <w:wordWrap/>
        <w:overflowPunct/>
        <w:topLinePunct w:val="0"/>
        <w:autoSpaceDE/>
        <w:autoSpaceDN/>
        <w:bidi w:val="0"/>
        <w:adjustRightInd/>
        <w:snapToGrid/>
        <w:spacing w:line="560" w:lineRule="exact"/>
        <w:ind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二、支持保险业机构创新发展</w:t>
      </w:r>
    </w:p>
    <w:p w14:paraId="6BE3057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探索建立金融创新的激励机制和容错机制，积极争取保险业重大改革创新项目优先在州先行先试。加强保险机构设立规划，扩大保险业机构服务范围，确保“十四五”末每个县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域都拥有不低于3家保险分支机构，实现全州所有乡镇保险服务全覆盖。加大政策扶持力度，通过财政配套或补助形式，鼓励保险业涉足更广的民生领域、更深的转型领域，充分发挥保险业在国民经济中的“经济稳定器”作用，促进保险业市场不断壮大，带动保险业机构加快发展。创新风险保障机制，支持保险资金以债券、股权和项目资产支持计划等形式参与交通、通讯、能源、环保、草原沙化治理、草原鼠害治理、市政基础设施和棚户区改造等重大工程，以及全民健康和意外保障等民生工程。创造政策环境、培育市场环境，吸引保险法人机构在阿坝州设立不动产、基础设施、养老等专业保险资产管理机构，鼓励保险机构设立夹层基金、并购基金、不动产基金等私募基金，为阿坝州企业提供更多元的资金供给。</w:t>
      </w:r>
    </w:p>
    <w:p w14:paraId="0A44CA1A">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三、支持证券业机构做大做强</w:t>
      </w:r>
    </w:p>
    <w:p w14:paraId="2AA621F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立足经济主体多元化融资的需求，做好证券业机构发展壮大的政策支持，积极引进证券业机构入驻，引导既有机构合规拓展业务范围。</w:t>
      </w:r>
    </w:p>
    <w:p w14:paraId="1082798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加大证券业机构良性发展所需的市场环境培育力度，为市场主体开展多渠道非银行融资创造条件，支持证券业机构在直接融资中发挥更大作用。全面开展股权投资基金投资项目对接工作，加大对优质项目、企业的遴选和培育力度，建立项目（企业）储备库，为股权投资类企业投资提供良好条件和服务。完善企业债务融资培育辅导机制，搭建多层次对接平台，力争企业债券融资实现突破。进一步引导鼓励社会资本参与城市基础设施项目建设，发挥社会资本的积极性，积极推动政府投融资平台探索设立城市建设基金、信托股权及市政债等创新融资方式。</w:t>
      </w:r>
    </w:p>
    <w:p w14:paraId="0C2261C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四、健全金融中介服务体系</w:t>
      </w:r>
    </w:p>
    <w:p w14:paraId="084A221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积极引进和发展会计、律师、资产评估、信用评级、保险代理（经纪）和非上市公司产权登记等中介服务机构，大力发展证券和期货等投资咨询服务机构、金融资讯信息服务机构、产权经纪机构，培育和扶持优秀的地方性中介机构，规范中介机构的服务标准，促进专业服务机构做大做强，不断提升中介机构的整体素质，提高专业化的服务水平。</w:t>
      </w:r>
    </w:p>
    <w:p w14:paraId="04E890B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78C0FF3E">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第二节  探索开展金融支持创新驱动发展战略</w:t>
      </w:r>
    </w:p>
    <w:p w14:paraId="71725F88">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ascii="仿宋_GB2312" w:eastAsia="仿宋_GB2312" w:cs="仿宋_GB2312"/>
          <w:b/>
          <w:bCs/>
          <w:sz w:val="32"/>
          <w:szCs w:val="32"/>
          <w:lang w:bidi="ar-SA"/>
        </w:rPr>
      </w:pPr>
    </w:p>
    <w:p w14:paraId="6C7A006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贯彻新发展理念，创新是实现高质量发展的内在要求。构建新发展格局，创新是促进国内国际双循环的关键支撑。进入新常态，创新是全面推进阿坝经济社会发展的动力源泉。落实《中共四川省委关于深入推进创新驱动引领高质量发展的决定》，是阿坝金融业的新要求。</w:t>
      </w:r>
    </w:p>
    <w:p w14:paraId="3D1B887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一、健全科技金融服务体系，服务创新驱动发展战略</w:t>
      </w:r>
    </w:p>
    <w:p w14:paraId="7AEC512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坚持创新在现代化建设全局的核心地位，构建科技、教育、产业、金融紧密融合的创新体系，推动产业链、技术链、资金链、人才链“四链合一”，打造全方位、立体式的科技金融体系，鼓励商业银行设立科技支行等专营机构，鼓励基金公司、保险公司、证券公司、信托公司等金融机构投资或设立创投风投机构，推进银行、基金、证券金融机构支持创业创新的金融矩阵建设，搭建立体式金融支持科技创新和创业创新服务体系，服务创新驱动发展战略。</w:t>
      </w:r>
    </w:p>
    <w:p w14:paraId="04C397A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二、引导金融机构数字化转型，加大科创金融产品供给</w:t>
      </w:r>
    </w:p>
    <w:p w14:paraId="4ADFF43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大力推动阿坝金融机构建立适应创新驱动发展战略的技术支撑、组织架构、运营模式，鼓励金融机构加快大数据、云计算、区块链、人工智能等科技手段的研发和应用，促进金融发展与数字技术深度融合，推动金融科技在消费金融、普惠金融、保险定价、智能投顾、风险管理、信用体系建设等领域的应用，推动金融业实现数字化转型升级，更好地支持创新驱动发展战略。</w:t>
      </w:r>
    </w:p>
    <w:p w14:paraId="196BB7B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支持全州银行业金融机构开展专利权质押、投保联动试点，鼓励保险业金融机构开展专利保险、首套（台）重大技术装备保险，引导证券业金融机构发行双创金融债券、创新创业公司债、创业投资基金类债券，推动政府性融资担保机构完善科技创新企业风险分担机制，适当提高业务损失风险容忍度，形成多方共担的科技融资担保机制，最终建立创新创业企业全生命周期金融服务体系，为阿坝创新驱动引领高质量发展贡献金融力量。</w:t>
      </w:r>
    </w:p>
    <w:p w14:paraId="7C17F37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三、发展数字普惠金融，拓展金融科技运用领域</w:t>
      </w:r>
    </w:p>
    <w:p w14:paraId="473EAC7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加快推广农牧地区微贷技术和产业链金融模式，结合互联网金融技术，推进农村电话银行、网上银行、手机银行等业务，鼓励开展农业机械等方面的金融租赁业务和动产融资等金融业务创新发展。鼓励金融机构充分利用大数据、云计算等金融科技技术完善信用评价模型，优化信贷发放流程，提高贷款发放效率和服务便利度，实现资产数字化和数字信用化，借助科技手段发展数字普惠金融，拓展金融科技在普惠金融领域的应用。</w:t>
      </w:r>
    </w:p>
    <w:p w14:paraId="2BF93B1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69B56CF7">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第三节  强力发展绿色金融</w:t>
      </w:r>
    </w:p>
    <w:p w14:paraId="586C189C">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295614B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立足阿坝州主体功能定位，紧紧围绕“一州两区三家园”战略目标和“一屏四带、全域生态、三地共建、五业同优”发展新格局，以阿坝州被列为全省绿色金融创新试点地区为契机，以绿色信贷、绿色保险等多种金融产品创新为主导，以证券市场等多层次资本市场为支撑，逐步建立多元化、广覆盖的绿色生态金融创新市场体系，引导金融机构在优化产业结构、改善生态环境、促进构建川西北阿坝生态示范区方面发挥更大作用。</w:t>
      </w:r>
    </w:p>
    <w:p w14:paraId="132E1EA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绿色信贷、绿色保险、绿色债券和绿色股权等绿色金融实现更快发展，提供更加适应生态产业化和产业生态化发展需求的金融服务，助力长江黄河上游生态保护和高质量发展，助推建成现代高原特色农牧业基地、国际生态文化旅游目的地、国家级清洁能源基地和国家生态建设示范区。</w:t>
      </w:r>
    </w:p>
    <w:p w14:paraId="18B9732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 xml:space="preserve">一、重点支持绿色产业发展，促进绿色消费  </w:t>
      </w:r>
    </w:p>
    <w:p w14:paraId="4FEAD03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结合阿坝区域产业特征，推动发展绿色产业项目，引进节能服务企业，发展森林碳汇项目，推动碳减排项目积极参与全国、全省碳汇交易。探索发展各类碳金融产品，在全国统一碳排放权市场建设的基础上，鼓励金融机构参与碳市场交易和做市，强化绿色产品价格发现功能。探索推行绿色电力证书交易，给予光伏等清洁能源发电企业必要的政策扶持。</w:t>
      </w:r>
    </w:p>
    <w:p w14:paraId="2C76A1F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围绕岷江上游生态修复保护目标，加大对生态保护与治理工程的金融支持力度。支持千里绿色走廊、高原湿地保护、中国优质水源地、野生动植物保护等项目建设。持续开展和丰富针对生态扶贫和移民搬迁的金融服务。支持城乡居民购置节能汽车、建设小水窖、使用太阳能和沼气池等绿色生态消费行为。推动开发绿色车贷、绿色储蓄卡、绿色信用卡等个人绿色消费金融产品。</w:t>
      </w:r>
    </w:p>
    <w:p w14:paraId="29246A9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二、加快绿色金融产品开发，推动绿色服务体系再造</w:t>
      </w:r>
    </w:p>
    <w:p w14:paraId="3BBD8CC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推动绿色生态农业保险增品、提标、扩面，特别是拓展森林保险、自然灾害保险以及莴笋保险、林果保险、牦牛保险等高原特色种养殖保险产品。逐步优化和扩大农畜产品价格指数保险业务。探索优化与气候变化相关的巨灾保险制度，探索推动保险机构开展绿色生态企业贷款保证保险、环境保护技术装备保险、低碳环境保护类消费品的产品质量安全责任保险、森林保险等业务。扩大政策性农业保险覆盖范围，建立农业保险理赔与病死牲畜无害化处理联动机制，探索碳排放权、排污权、用能权、用水权等权利的质押融资方式。</w:t>
      </w:r>
    </w:p>
    <w:p w14:paraId="6ADCD80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鼓励符合条件的绿色生态企业在天府（四川）联合股权交易中心和“新三板”挂牌、融资，支持条件成熟的企业在境内外资本市场融资。鼓励开展绿色资产证券化。加强工作沟通与政策协调，大力推动符合条件的企业用好绿色公司债券“即报即审”政策，发行绿色公司债券募集资金。支持融资规模大、期限长的绿色生态项目利用永续票据、可续期债券拓宽融资渠道。加强绿色债券信息披露监管，提升绿色债券透明度。</w:t>
      </w:r>
    </w:p>
    <w:p w14:paraId="0BD4599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引导和激励州外绿色发展基金进州投资，推动证券经营机构、私募基金管理机构等对接绿色发展基金，支持绿色发展基金利用资产证券化进行结构化融资，带动社会资本投入，支持地方绿色生态产业发展。大力推广运用政府和社会资本合作（PPP）模式，引导社会资本加大绿色项目投入，加快绿色金融服务体系再造。</w:t>
      </w:r>
    </w:p>
    <w:p w14:paraId="78B2891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三、推进金融机构绿色转型，构建绿色金融体系</w:t>
      </w:r>
    </w:p>
    <w:p w14:paraId="60F9501C">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推动阿坝州农村信用联社等金融机构将绿色信贷纳入长期发展战略规划，围绕地方经济发展需求，制定绿色信贷目标。推动地方法人金融机构落实绿色信贷发展战略，制定中长期和短期发展目标，逐步建立绿色信贷专业化业务体系。鼓励金融机构下放绿色生态项目贷款审批权，简化审批流程。制定绿色信贷行业、企业和项目的准入标准，建立“绿色信贷行业、企业和项目清单”，实行动态管理。推动金融机构将绿色信贷标识嵌入信贷管理系统，完善绿色信贷统计制度。针对违反环境保护以及安全生产法律法规的市场主体的融资需求，金融机构在贷款准入环节严格执行“环保一票否决”制度。针对绿色、循环、低碳、节能、节水以及支持自然保护、生态治理等绿色生产消费和生态保护用途的市场主体的融资需求，鼓励金融机构给予融资流程优化、融资产品创新、信贷额度提升和价格水平优惠的方面的倾斜，提高监管容忍度，最终构建符合阿坝州情的绿色金融服务体系。</w:t>
      </w:r>
    </w:p>
    <w:p w14:paraId="14FB5857">
      <w:pPr>
        <w:pStyle w:val="8"/>
        <w:keepNext w:val="0"/>
        <w:keepLines w:val="0"/>
        <w:pageBreakBefore w:val="0"/>
        <w:widowControl w:val="0"/>
        <w:suppressLineNumbers w:val="0"/>
        <w:suppressAutoHyphens w:val="0"/>
        <w:spacing w:line="540" w:lineRule="exact"/>
        <w:ind w:left="386" w:leftChars="200" w:firstLine="386" w:firstLineChars="200"/>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0"/>
      </w:tblGrid>
      <w:tr w14:paraId="2843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820" w:type="dxa"/>
            <w:tcBorders>
              <w:top w:val="single" w:color="auto" w:sz="4" w:space="0"/>
              <w:left w:val="single" w:color="auto" w:sz="4" w:space="0"/>
              <w:bottom w:val="single" w:color="auto" w:sz="4" w:space="0"/>
              <w:right w:val="single" w:color="auto" w:sz="4" w:space="0"/>
              <w:tl2br w:val="nil"/>
              <w:tr2bl w:val="nil"/>
            </w:tcBorders>
            <w:shd w:val="clear" w:color="auto" w:fill="A09BB9"/>
            <w:vAlign w:val="center"/>
          </w:tcPr>
          <w:p w14:paraId="230A466B">
            <w:pPr>
              <w:keepNext w:val="0"/>
              <w:keepLines w:val="0"/>
              <w:pageBreakBefore w:val="0"/>
              <w:widowControl/>
              <w:kinsoku/>
              <w:wordWrap/>
              <w:overflowPunct/>
              <w:topLinePunct w:val="0"/>
              <w:autoSpaceDE/>
              <w:autoSpaceDN/>
              <w:bidi w:val="0"/>
              <w:adjustRightInd/>
              <w:snapToGrid/>
              <w:spacing w:line="560" w:lineRule="exact"/>
              <w:ind w:left="0" w:right="0"/>
              <w:jc w:val="center"/>
              <w:textAlignment w:val="auto"/>
              <w:outlineLvl w:val="9"/>
              <w:rPr>
                <w:rFonts w:hint="eastAsia" w:ascii="仿宋_GB2312" w:hAnsi="仿宋_GB2312" w:cs="仿宋_GB2312"/>
                <w:b/>
                <w:bCs/>
                <w:color w:val="auto"/>
                <w:kern w:val="44"/>
                <w:sz w:val="24"/>
                <w:lang w:bidi="ar-SA"/>
              </w:rPr>
            </w:pPr>
            <w:r>
              <w:rPr>
                <w:rFonts w:hint="eastAsia" w:ascii="仿宋_GB2312" w:eastAsia="仿宋_GB2312" w:cs="仿宋_GB2312"/>
                <w:b/>
                <w:bCs/>
                <w:color w:val="auto"/>
                <w:kern w:val="44"/>
                <w:sz w:val="24"/>
                <w:lang w:bidi="ar-SA"/>
              </w:rPr>
              <w:t>专栏2 “十四五”时期绿色金融建设重点工程与项目</w:t>
            </w:r>
          </w:p>
        </w:tc>
      </w:tr>
      <w:tr w14:paraId="19CB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jc w:val="center"/>
        </w:trPr>
        <w:tc>
          <w:tcPr>
            <w:tcW w:w="7820" w:type="dxa"/>
            <w:tcBorders>
              <w:top w:val="single" w:color="auto" w:sz="4" w:space="0"/>
              <w:left w:val="single" w:color="auto" w:sz="4" w:space="0"/>
              <w:bottom w:val="single" w:color="auto" w:sz="4" w:space="0"/>
              <w:right w:val="single" w:color="auto" w:sz="4" w:space="0"/>
              <w:tl2br w:val="nil"/>
              <w:tr2bl w:val="nil"/>
            </w:tcBorders>
          </w:tcPr>
          <w:p w14:paraId="21D87438">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outlineLvl w:val="9"/>
              <w:rPr>
                <w:rFonts w:hint="eastAsia" w:ascii="仿宋_GB2312" w:eastAsia="仿宋_GB2312" w:cs="仿宋_GB2312"/>
                <w:b/>
                <w:bCs/>
                <w:sz w:val="24"/>
                <w:lang w:bidi="ar-SA"/>
              </w:rPr>
            </w:pPr>
            <w:r>
              <w:rPr>
                <w:rFonts w:hint="eastAsia" w:ascii="仿宋_GB2312" w:eastAsia="仿宋_GB2312" w:cs="仿宋_GB2312"/>
                <w:b/>
                <w:bCs/>
                <w:sz w:val="24"/>
                <w:lang w:bidi="ar-SA"/>
              </w:rPr>
              <w:t>“零碳景区”建设工程与项目</w:t>
            </w:r>
          </w:p>
          <w:p w14:paraId="39E1E972">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outlineLvl w:val="9"/>
              <w:rPr>
                <w:rFonts w:hint="eastAsia" w:ascii="仿宋_GB2312" w:eastAsia="仿宋_GB2312" w:cs="仿宋_GB2312"/>
                <w:sz w:val="24"/>
                <w:lang w:bidi="ar-SA"/>
              </w:rPr>
            </w:pPr>
            <w:r>
              <w:rPr>
                <w:rFonts w:hint="eastAsia" w:ascii="仿宋_GB2312" w:eastAsia="仿宋_GB2312" w:cs="仿宋_GB2312"/>
                <w:sz w:val="24"/>
                <w:lang w:val="en-US" w:eastAsia="zh-CN" w:bidi="ar-SA"/>
              </w:rPr>
              <w:t xml:space="preserve">    </w:t>
            </w:r>
            <w:r>
              <w:rPr>
                <w:rFonts w:hint="eastAsia" w:ascii="仿宋_GB2312" w:eastAsia="仿宋_GB2312" w:cs="仿宋_GB2312"/>
                <w:sz w:val="24"/>
                <w:lang w:bidi="ar-SA"/>
              </w:rPr>
              <w:t>围绕阿坝州“一州两区三家园”战略目标和长江黄河上游生态保护治理高质量发展要求，借助著名景区宣传优势，建设“零碳”示范景区，力争形成政府、企业、住户和金融机构等多方“共赢”模式。</w:t>
            </w:r>
          </w:p>
          <w:p w14:paraId="642FD48C">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outlineLvl w:val="9"/>
              <w:rPr>
                <w:rFonts w:hint="eastAsia" w:ascii="仿宋_GB2312" w:eastAsia="仿宋_GB2312" w:cs="仿宋_GB2312"/>
                <w:sz w:val="24"/>
                <w:lang w:bidi="ar-SA"/>
              </w:rPr>
            </w:pPr>
            <w:r>
              <w:rPr>
                <w:rFonts w:hint="eastAsia" w:ascii="仿宋_GB2312" w:eastAsia="仿宋_GB2312" w:cs="仿宋_GB2312"/>
                <w:sz w:val="24"/>
                <w:lang w:val="en-US" w:eastAsia="zh-CN" w:bidi="ar-SA"/>
              </w:rPr>
              <w:t xml:space="preserve">   </w:t>
            </w:r>
            <w:r>
              <w:rPr>
                <w:rFonts w:hint="eastAsia" w:ascii="仿宋_GB2312" w:eastAsia="仿宋_GB2312" w:cs="仿宋_GB2312"/>
                <w:b/>
                <w:bCs/>
                <w:sz w:val="24"/>
                <w:lang w:val="en-US" w:eastAsia="zh-CN" w:bidi="ar-SA"/>
              </w:rPr>
              <w:t xml:space="preserve"> </w:t>
            </w:r>
            <w:r>
              <w:rPr>
                <w:rFonts w:hint="eastAsia" w:ascii="仿宋_GB2312" w:eastAsia="仿宋_GB2312" w:cs="仿宋_GB2312"/>
                <w:b/>
                <w:bCs/>
                <w:sz w:val="24"/>
                <w:lang w:bidi="ar-SA"/>
              </w:rPr>
              <w:t>推动景区零碳能源结构设计和改造。</w:t>
            </w:r>
            <w:r>
              <w:rPr>
                <w:rFonts w:hint="eastAsia" w:ascii="仿宋_GB2312" w:eastAsia="仿宋_GB2312" w:cs="仿宋_GB2312"/>
                <w:sz w:val="24"/>
                <w:lang w:bidi="ar-SA"/>
              </w:rPr>
              <w:t>以节能降耗为主线，充分利用地区资源优势，调整能源结构，构建100%利用可再生能源体系。</w:t>
            </w:r>
          </w:p>
          <w:p w14:paraId="44282F62">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outlineLvl w:val="9"/>
              <w:rPr>
                <w:rFonts w:hint="eastAsia" w:ascii="仿宋_GB2312" w:eastAsia="仿宋_GB2312" w:cs="仿宋_GB2312"/>
                <w:sz w:val="24"/>
                <w:lang w:bidi="ar-SA"/>
              </w:rPr>
            </w:pPr>
            <w:r>
              <w:rPr>
                <w:rFonts w:hint="eastAsia" w:ascii="仿宋_GB2312" w:eastAsia="仿宋_GB2312" w:cs="仿宋_GB2312"/>
                <w:sz w:val="24"/>
                <w:lang w:val="en-US" w:eastAsia="zh-CN" w:bidi="ar-SA"/>
              </w:rPr>
              <w:t xml:space="preserve">    </w:t>
            </w:r>
            <w:r>
              <w:rPr>
                <w:rFonts w:hint="eastAsia" w:ascii="仿宋_GB2312" w:eastAsia="仿宋_GB2312" w:cs="仿宋_GB2312"/>
                <w:b/>
                <w:bCs/>
                <w:sz w:val="24"/>
                <w:lang w:bidi="ar-SA"/>
              </w:rPr>
              <w:t>推动景区零碳建筑设计和改造。</w:t>
            </w:r>
            <w:r>
              <w:rPr>
                <w:rFonts w:hint="eastAsia" w:ascii="仿宋_GB2312" w:eastAsia="仿宋_GB2312" w:cs="仿宋_GB2312"/>
                <w:sz w:val="24"/>
                <w:lang w:bidi="ar-SA"/>
              </w:rPr>
              <w:t>加快景区公共建筑低碳改造工程，配齐能量转化装置，降低二氧化碳排放量，推动实现建筑“净零”排放。</w:t>
            </w:r>
          </w:p>
          <w:p w14:paraId="69D3F2E2">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outlineLvl w:val="9"/>
              <w:rPr>
                <w:rFonts w:hint="eastAsia" w:ascii="仿宋_GB2312" w:eastAsia="仿宋_GB2312" w:cs="仿宋_GB2312"/>
                <w:sz w:val="24"/>
                <w:lang w:bidi="ar-SA"/>
              </w:rPr>
            </w:pPr>
            <w:r>
              <w:rPr>
                <w:rFonts w:hint="eastAsia" w:ascii="仿宋_GB2312" w:eastAsia="仿宋_GB2312" w:cs="仿宋_GB2312"/>
                <w:sz w:val="24"/>
                <w:lang w:val="en-US" w:eastAsia="zh-CN" w:bidi="ar-SA"/>
              </w:rPr>
              <w:t xml:space="preserve">    </w:t>
            </w:r>
            <w:r>
              <w:rPr>
                <w:rFonts w:hint="eastAsia" w:ascii="仿宋_GB2312" w:eastAsia="仿宋_GB2312" w:cs="仿宋_GB2312"/>
                <w:b/>
                <w:bCs/>
                <w:sz w:val="24"/>
                <w:lang w:bidi="ar-SA"/>
              </w:rPr>
              <w:t>推动景区零碳交通建设。</w:t>
            </w:r>
            <w:r>
              <w:rPr>
                <w:rFonts w:hint="eastAsia" w:ascii="仿宋_GB2312" w:eastAsia="仿宋_GB2312" w:cs="仿宋_GB2312"/>
                <w:sz w:val="24"/>
                <w:lang w:bidi="ar-SA"/>
              </w:rPr>
              <w:t>通过测算电动车碳减排的经济效益，推动景区观光燃料车更新换代工作。通过宣传及激励机制，引导游客低碳出行。</w:t>
            </w:r>
          </w:p>
          <w:p w14:paraId="21E26E49">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outlineLvl w:val="9"/>
              <w:rPr>
                <w:rFonts w:hint="eastAsia" w:ascii="仿宋_GB2312" w:hAnsi="仿宋_GB2312" w:cs="仿宋_GB2312"/>
                <w:color w:val="auto"/>
                <w:lang w:bidi="ar-SA"/>
              </w:rPr>
            </w:pPr>
            <w:r>
              <w:rPr>
                <w:rFonts w:hint="eastAsia" w:ascii="仿宋_GB2312" w:eastAsia="仿宋_GB2312" w:cs="仿宋_GB2312"/>
                <w:sz w:val="24"/>
                <w:lang w:val="en-US" w:eastAsia="zh-CN" w:bidi="ar-SA"/>
              </w:rPr>
              <w:t xml:space="preserve">    </w:t>
            </w:r>
            <w:r>
              <w:rPr>
                <w:rFonts w:hint="eastAsia" w:ascii="仿宋_GB2312" w:eastAsia="仿宋_GB2312" w:cs="仿宋_GB2312"/>
                <w:b/>
                <w:bCs/>
                <w:sz w:val="24"/>
                <w:lang w:bidi="ar-SA"/>
              </w:rPr>
              <w:t>推动景区资源循环综合利用。</w:t>
            </w:r>
            <w:r>
              <w:rPr>
                <w:rFonts w:hint="eastAsia" w:ascii="仿宋_GB2312" w:eastAsia="仿宋_GB2312" w:cs="仿宋_GB2312"/>
                <w:sz w:val="24"/>
                <w:lang w:bidi="ar-SA"/>
              </w:rPr>
              <w:t>探索构建景区产业共生网络和绿色供应链。加强资源和物料的循环使用和梯级利用，实现废物的减量化和资源化。</w:t>
            </w:r>
          </w:p>
        </w:tc>
      </w:tr>
    </w:tbl>
    <w:p w14:paraId="38CFCF9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仿宋_GB2312"/>
          <w:sz w:val="32"/>
          <w:szCs w:val="32"/>
          <w:lang w:bidi="ar-SA"/>
        </w:rPr>
      </w:pPr>
    </w:p>
    <w:p w14:paraId="27D5FDB2">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第四节  加快发展城镇化金融</w:t>
      </w:r>
    </w:p>
    <w:p w14:paraId="5B00CD74">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p>
    <w:p w14:paraId="401F0A7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加快新型城镇化进程，提高城镇化水平，是阿坝州“十四五”期间经济协调发展的重要战略。加快发展城镇化金融，有效发挥资金融通和资源配置在促进新型城镇化发展方面的积极作用，确保金融支持与城镇化进程相匹配，是保障阿坝州新型城镇化进程的重要举措。</w:t>
      </w:r>
    </w:p>
    <w:p w14:paraId="6AB88AE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一、努力构建新型城镇化金融服务体系</w:t>
      </w:r>
    </w:p>
    <w:p w14:paraId="4F60918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按照“政府主导、市场运作、社会参与”的原则，努力打造开放多元的新型城镇化金融服务体系。拓宽信贷业务投放领域，完善城镇化建设投融资机制，大力支持城镇基础设施建设、乡镇土地资源整理开发、农业产业结构升级、农业综合开发、高端农业示范基地打造、乡村生态旅游等项目和行业的资金需求。对具有商业价值和经营价值的城镇资源实施资本运作，鼓励民间资本和外资积极参与开发建设，加快推进城乡空间发展、经济发展、公共服务和政策措施一体化，依托新型城镇化建设推动阿坝经济社会平稳较快发展。</w:t>
      </w:r>
    </w:p>
    <w:p w14:paraId="2DA76EA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以“统规自建贷款”等创新金融产品为突破口，支持农房集中建设改造、老旧小区改造、农业转移人口购房等城乡居民住房金融需求。扶持现代化物流体系、批发市场建设，畅通农产品流通“绿色通道”，支持农产品储备体系设施项目建设，加大城乡流通市场和服务体系建设的信贷支持。引导社会资本进入城镇治理领域，支持城乡一体化建设和城乡公共设施建设，加强对城镇村庄道路、饮用水、沼气、通讯、广播电视、医疗卫生、体育设施、电网工程以及农田水利、病险水库加固等基础设施建设的资金支持。把支持中小微企业、农业龙头企业、农民合作组织、家庭农场、专业大户等作为促进城镇化建设、带动农民增收的重要举措，创新金融产品，为新型农业经营主体提供优质金融服务，有效化解城镇“贷款难”问题，增添城镇化发展活力。</w:t>
      </w:r>
    </w:p>
    <w:p w14:paraId="03404C4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二、金融支持城镇化工业化双轮驱动</w:t>
      </w:r>
    </w:p>
    <w:p w14:paraId="4BD6B36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紧紧围绕新型城镇化发展目标，金融支持阿坝州新型城镇化和新型工业化“双轮驱动”。以产业为支撑、园区为载体、培育壮大新兴产业为依托，推进传统工业向绿色工业转型升级。支持成阿工业园区扩区强园，支持电解铝、工业硅、盐化工等产业转型与循环利用。在风险可控前提下，为节能环保工艺、“三废”处理提供融资服务，助推企业节能降耗和循环改造，支持锂产业等战略性新兴产业发展。积极对接德阿、绵阿、遂阿园区基础设施建设资金需求，协同引资发展高技术和高附加值产业，加大与天使投资、风险投资、股权投资、科技信贷等融资的对接力度，为产业园区注入金融创新服务要素。</w:t>
      </w:r>
    </w:p>
    <w:p w14:paraId="064C0E2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围绕“一核三带多点”城镇发展布局，为马尔康新城区建设提供配套资金支持，提升马尔康产业承载力和作为州府的辐射带动力，增强马尔康市作为</w:t>
      </w:r>
      <w:r>
        <w:rPr>
          <w:rFonts w:hint="eastAsia" w:ascii="仿宋_GB2312" w:eastAsia="仿宋_GB2312" w:cs="仿宋_GB2312"/>
          <w:sz w:val="32"/>
          <w:szCs w:val="32"/>
          <w:lang w:eastAsia="zh-CN" w:bidi="ar-SA"/>
        </w:rPr>
        <w:t>阿坝</w:t>
      </w:r>
      <w:r>
        <w:rPr>
          <w:rFonts w:hint="eastAsia" w:ascii="仿宋_GB2312" w:eastAsia="仿宋_GB2312" w:cs="仿宋_GB2312"/>
          <w:sz w:val="32"/>
          <w:szCs w:val="32"/>
          <w:lang w:bidi="ar-SA"/>
        </w:rPr>
        <w:t>州城镇发展极核的能级。围绕汶马高速、汶九高速和G317城镇发展带规划，增强新型城镇化和新型工业化“双轮驱动”的金融配套服务能力，探索形成市场主导、政府引导的投资内生增长机制，创新产城融合发展模式，打造县</w:t>
      </w:r>
      <w:r>
        <w:rPr>
          <w:rFonts w:hint="eastAsia" w:ascii="仿宋_GB2312" w:eastAsia="仿宋_GB2312" w:cs="仿宋_GB2312"/>
          <w:sz w:val="32"/>
          <w:szCs w:val="32"/>
          <w:lang w:eastAsia="zh-CN" w:bidi="ar-SA"/>
        </w:rPr>
        <w:t>（市）</w:t>
      </w:r>
      <w:r>
        <w:rPr>
          <w:rFonts w:hint="eastAsia" w:ascii="仿宋_GB2312" w:eastAsia="仿宋_GB2312" w:cs="仿宋_GB2312"/>
          <w:sz w:val="32"/>
          <w:szCs w:val="32"/>
          <w:lang w:bidi="ar-SA"/>
        </w:rPr>
        <w:t>域经济增长极。</w:t>
      </w:r>
    </w:p>
    <w:p w14:paraId="6400B20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5FF5E97F">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第五节  全面开展乡村振兴金融服务</w:t>
      </w:r>
    </w:p>
    <w:p w14:paraId="2B8EF2B7">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0D4839E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紧紧围绕党的十九大以来关于实施乡村振兴战略的总体部署，按照</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产业兴旺、生态宜居、乡风文明、治理有效、生活富裕</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的总要求，坚持目标导向和问题导向相结合、市场运作和政策支持相结合、信贷投放和防控风险相结合，聚焦重点领域，创新产品服务，优化资源配置，务实创新，构建完善的金融服务乡村振兴体系，为乡村振兴提供多元化、多层次、多维度的金融服务供给。切实把支持“三农”发展作为阿坝州金融工作的重点，助推</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农村强、农村美、农村富</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目标全面实现。</w:t>
      </w:r>
    </w:p>
    <w:p w14:paraId="5CFE09F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到2025年，金融扶贫成果巩固拓展，脱贫地区和脱贫人口自我发展能力明显增强。农村信用体系建设深入推进，乡村振兴重点领域融资状况持续改善，金融服务乡村振兴能力和水平显著提升。</w:t>
      </w:r>
    </w:p>
    <w:p w14:paraId="176281E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一、做好金融服务政策措施的持续衔接</w:t>
      </w:r>
    </w:p>
    <w:p w14:paraId="18168BA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延续并优化金融精准扶贫支持政策措施和工作机制，在过渡期内保持主要金融帮扶政策总体稳定。监管机构应督导农业银行做实三农金融事业部，确保各县（市）农业银行三农事业部考核达标，释放更多信贷资金支持“三农”信贷领域，支持已脱贫人口、边缘易致贫户以及有劳动能力的低收入人口就业创业，增强可持续发展的内生动力。确保存量扶贫再贷款帮扶政策在展期期间保持不变的同时，用好用活再贷款再贴现货币工具，拓宽再贴现业务领域，盘活银行业金融机构贷款存量，释放更多信贷资金，帮助其将再贷款再贴现政策红利切实传导到脱贫地区和乡村振兴关键领域。鼓励金融机构探索“再贷款＋银行＋企业”“再贷款＋银行＋特色产业”等模式，结合“西南清洁能源、东北文化旅游、东南绿色经济、西北草原特色”四大经济带分布实际，以国家级现代农业示范区创建为契机，加大对地方特色支柱产业的金融资源匹配力度。</w:t>
      </w:r>
    </w:p>
    <w:p w14:paraId="6BA77F8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二、丰富服务乡村振兴的金融产品体系</w:t>
      </w:r>
    </w:p>
    <w:p w14:paraId="3EF3A47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继续对脱贫户和边缘易致贫户发放脱贫人口小额信贷，支持该群体发展生产和开展经营。引导金融机构制定和完善一般农户的小额信用贷款产品，创新开展产业带动贷款，开办适合新型农业经营主体特点的专属信贷产品。继续实施创业担保贷款政策，逐步落实免除反担保相关政策要求，切实满足脱贫人口、小微企业等主体创新创业资金需求。支持政策性金融机构为脱贫地区提供中长期信贷服务，增加农村基础设施建设贷款和农田基本建设贷款投放。对于国家乡村振兴重点帮扶县的基础设施建设项目，在不增加地方政府隐性债务风险的前提下，支持金融机构在审慎合规经营基础上，在授信审批、贷款额度、利率、期限等方面给予优惠。在具备条件的地区开展商业防止返贫保险，逐步健全针对脱贫人口和农村低收入人口的保险产品体系。开展主要粮食作物完全成本保险和种植收入保险，因地制宜开展优势特色农牧产品保险，增加特色产业保险品种，运用推广地方特色农产品保险以奖代补做法。健全农业大灾风险分散机制，鼓励降低脱贫地区再保险业务分保费率。</w:t>
      </w:r>
    </w:p>
    <w:p w14:paraId="04E2957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三、探索农牧区融资模式创新发展</w:t>
      </w:r>
    </w:p>
    <w:p w14:paraId="0DA9F0F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积极稳妥开展林权抵押贷款，依托农村集体经营性产权交易平台，鼓励银行业金融机构积极开办农村承包土地的经营权抵押贷款，探索开展农民住房财产权、集体经营性建设用地使用权抵押贷款。支持管理体制清晰、符合国家乡村振兴发展战略和发行上市条件的农牧区龙头企业上市挂牌融资，加大对农牧区龙头企业发行上市挂牌的辅导培育和政府扶持力度，鼓励银行业金融机构多渠道补充资本，在条件具备情况下适时通过发行金融债券筹集资金。深入开展应收账款融资专项行动，进一步推动以核心企业带动为特征的应收账款融资服务新模式，积极推广中征应收账款融资服务平台应收账款融资全流程链条模式，推动开展政府采购项目应收账款融资，提升应收账款融资服务水平，帮助更多中小微企业拓宽融资渠道。</w:t>
      </w:r>
    </w:p>
    <w:p w14:paraId="2F39D9E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四、持续深化农牧区普惠金融发展</w:t>
      </w:r>
    </w:p>
    <w:p w14:paraId="18ACAB0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提升农村信用体系建设对乡村振兴战略实施的贡献度，聚焦乡村振兴、绿色生态发展产业需求，持续优化农村信用评定模式，推进新型农业经营主体信用建设，强化农村信用评定结果共享及应用，创新“信用+信贷”联动产品和服务，促进金融资源优化配置。推动农村支付环境建设从支农、惠农向兴农升级转型，支付结算服务从服务农民生活向服务农业生产、农村生态有效延伸，大力推动移动支付等新兴支付方式向边远牧区普及应用。持续推进数字普惠金融服务，因地制宜推动移动支付向边远农牧区老年人、低收入等重点群体下沉，让其能够安全放心地享有移动支付带来的便利。推动储蓄国债下乡。在农村地区开展持续性金融知识普及活动，深化金融教育示范基地建设，扩大农牧区金融知识宣传教育和金融消费者权益保护工作覆盖面。</w:t>
      </w:r>
    </w:p>
    <w:p w14:paraId="653FF2A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五、加强乡村振兴政策协同联动</w:t>
      </w:r>
    </w:p>
    <w:p w14:paraId="15B3B7BD">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持续规范乡村振兴农业产业发展贷款风险补偿金管理，建立完善动态补充、风险代偿等管理机制。推动农业融资担保公司在有效防范风险的前提下降低担保条件或取消反担保要求，积极探索政府基金、担保再担保、保险等多种分险模式，助力扩大涉农信贷投入。推动财政金融政策融合运用，落实县域金融机构涉农贷款增量奖励、新增小微企业首贷奖补、小微企业贷款增量奖补、小微企业信贷风险补贴、支持农村支付环境建设和推进基础信用平台建设等奖补政策。灵活运用创业就业贷款、已脱贫人口小额信贷、民族贸易和民族特需商品贷款贴息等财政金融互动政策，撬动更多自有金融资金投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4"/>
      </w:tblGrid>
      <w:tr w14:paraId="75D1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4" w:type="dxa"/>
            <w:tcBorders>
              <w:tl2br w:val="nil"/>
              <w:tr2bl w:val="nil"/>
            </w:tcBorders>
            <w:shd w:val="clear" w:color="auto" w:fill="A09BB9"/>
          </w:tcPr>
          <w:p w14:paraId="6A60C9EC">
            <w:pPr>
              <w:keepNext w:val="0"/>
              <w:keepLines w:val="0"/>
              <w:pageBreakBefore w:val="0"/>
              <w:widowControl/>
              <w:kinsoku/>
              <w:wordWrap/>
              <w:overflowPunct/>
              <w:topLinePunct w:val="0"/>
              <w:autoSpaceDE/>
              <w:autoSpaceDN/>
              <w:bidi w:val="0"/>
              <w:adjustRightInd/>
              <w:snapToGrid/>
              <w:spacing w:line="560" w:lineRule="exact"/>
              <w:ind w:left="0" w:right="0"/>
              <w:jc w:val="center"/>
              <w:textAlignment w:val="auto"/>
              <w:outlineLvl w:val="9"/>
              <w:rPr>
                <w:rFonts w:hint="eastAsia" w:ascii="仿宋_GB2312" w:hAnsi="仿宋_GB2312" w:cs="仿宋_GB2312"/>
                <w:b/>
                <w:bCs/>
                <w:color w:val="auto"/>
                <w:kern w:val="44"/>
                <w:sz w:val="24"/>
                <w:szCs w:val="24"/>
                <w:lang w:bidi="ar-SA"/>
              </w:rPr>
            </w:pPr>
            <w:r>
              <w:rPr>
                <w:rFonts w:hint="eastAsia" w:ascii="仿宋_GB2312" w:eastAsia="仿宋_GB2312" w:cs="仿宋_GB2312"/>
                <w:b/>
                <w:bCs/>
                <w:color w:val="auto"/>
                <w:kern w:val="44"/>
                <w:sz w:val="24"/>
                <w:szCs w:val="24"/>
                <w:lang w:bidi="ar-SA"/>
              </w:rPr>
              <w:t>专栏3 “十四五”时期乡村振兴金融服务重点工程与项目</w:t>
            </w:r>
          </w:p>
        </w:tc>
      </w:tr>
      <w:tr w14:paraId="558E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64" w:type="dxa"/>
            <w:tcBorders>
              <w:tl2br w:val="nil"/>
              <w:tr2bl w:val="nil"/>
            </w:tcBorders>
          </w:tcPr>
          <w:p w14:paraId="162179D3">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firstLine="0" w:firstLineChars="0"/>
              <w:jc w:val="center"/>
              <w:textAlignment w:val="auto"/>
              <w:outlineLvl w:val="9"/>
              <w:rPr>
                <w:rFonts w:hint="eastAsia" w:ascii="仿宋_GB2312" w:eastAsia="仿宋_GB2312" w:cs="仿宋_GB2312"/>
                <w:b/>
                <w:bCs/>
                <w:color w:val="auto"/>
                <w:sz w:val="24"/>
                <w:szCs w:val="24"/>
                <w:lang w:bidi="ar-SA"/>
              </w:rPr>
            </w:pPr>
            <w:r>
              <w:rPr>
                <w:rFonts w:hint="eastAsia" w:ascii="仿宋_GB2312" w:eastAsia="仿宋_GB2312" w:cs="仿宋_GB2312"/>
                <w:b/>
                <w:bCs/>
                <w:color w:val="auto"/>
                <w:sz w:val="24"/>
                <w:szCs w:val="24"/>
                <w:lang w:bidi="ar-SA"/>
              </w:rPr>
              <w:t>移动支付建设工程与项目</w:t>
            </w:r>
          </w:p>
          <w:p w14:paraId="424B1287">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color w:val="auto"/>
                <w:sz w:val="24"/>
                <w:szCs w:val="24"/>
                <w:lang w:bidi="ar-SA"/>
              </w:rPr>
            </w:pPr>
            <w:r>
              <w:rPr>
                <w:rFonts w:hint="eastAsia" w:ascii="仿宋_GB2312" w:eastAsia="仿宋_GB2312" w:cs="仿宋_GB2312"/>
                <w:color w:val="auto"/>
                <w:sz w:val="24"/>
                <w:szCs w:val="24"/>
                <w:lang w:bidi="ar-SA"/>
              </w:rPr>
              <w:t>立足助力乡村振兴及民生改善，践行“支付为民”理念，持续深入推动移动支付便民工程建设。</w:t>
            </w:r>
          </w:p>
          <w:p w14:paraId="3C44B5A4">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b/>
                <w:bCs/>
                <w:color w:val="auto"/>
                <w:sz w:val="24"/>
                <w:szCs w:val="24"/>
                <w:lang w:bidi="ar-SA"/>
              </w:rPr>
            </w:pPr>
            <w:r>
              <w:rPr>
                <w:rFonts w:hint="eastAsia" w:ascii="仿宋_GB2312" w:eastAsia="仿宋_GB2312" w:cs="仿宋_GB2312"/>
                <w:b/>
                <w:bCs/>
                <w:color w:val="auto"/>
                <w:sz w:val="24"/>
                <w:szCs w:val="24"/>
                <w:lang w:bidi="ar-SA"/>
              </w:rPr>
              <w:t>（一）着力推动移动支付便民场景建设。</w:t>
            </w:r>
          </w:p>
          <w:p w14:paraId="7DF86365">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color w:val="auto"/>
                <w:sz w:val="24"/>
                <w:szCs w:val="24"/>
                <w:lang w:bidi="ar-SA"/>
              </w:rPr>
            </w:pPr>
            <w:r>
              <w:rPr>
                <w:rFonts w:hint="eastAsia" w:ascii="仿宋_GB2312" w:eastAsia="仿宋_GB2312" w:cs="仿宋_GB2312"/>
                <w:color w:val="auto"/>
                <w:sz w:val="24"/>
                <w:szCs w:val="24"/>
                <w:lang w:bidi="ar-SA"/>
              </w:rPr>
              <w:t>深化与社会公众日常生活密切相关的移动支付场景建设。一是推动“交通+”场景建设。推动对公交、客运、出租车、加油站等场景受理移动支付的改造。二是推动校园场景建设。推动校园食堂、商超、复印店、餐饮店等商户受理移动支付。三是推动医疗场景建设。推动医院场景受理移动支付的改造。四是推动民生服务、政务缴费等公共领域的移动支付场景建设，</w:t>
            </w:r>
            <w:r>
              <w:rPr>
                <w:rFonts w:hint="eastAsia" w:ascii="仿宋_GB2312" w:eastAsia="仿宋_GB2312" w:cs="仿宋_GB2312"/>
                <w:color w:val="auto"/>
                <w:sz w:val="24"/>
                <w:szCs w:val="24"/>
                <w:lang w:eastAsia="zh-CN" w:bidi="ar-SA"/>
              </w:rPr>
              <w:t>扩大</w:t>
            </w:r>
            <w:r>
              <w:rPr>
                <w:rFonts w:hint="eastAsia" w:ascii="仿宋_GB2312" w:eastAsia="仿宋_GB2312" w:cs="仿宋_GB2312"/>
                <w:color w:val="auto"/>
                <w:sz w:val="24"/>
                <w:szCs w:val="24"/>
                <w:lang w:bidi="ar-SA"/>
              </w:rPr>
              <w:t>诸如缴税、缴纳水电气费等移动支付服务民生场景覆盖面。五是推动农村助农取款服务点提档升级，拓展移动支付功能在助农取款服务点的覆盖面。</w:t>
            </w:r>
          </w:p>
          <w:p w14:paraId="678E778E">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b/>
                <w:bCs/>
                <w:color w:val="auto"/>
                <w:sz w:val="24"/>
                <w:szCs w:val="24"/>
                <w:lang w:bidi="ar-SA"/>
              </w:rPr>
            </w:pPr>
            <w:r>
              <w:rPr>
                <w:rFonts w:hint="eastAsia" w:ascii="仿宋_GB2312" w:eastAsia="仿宋_GB2312" w:cs="仿宋_GB2312"/>
                <w:b/>
                <w:bCs/>
                <w:color w:val="auto"/>
                <w:sz w:val="24"/>
                <w:szCs w:val="24"/>
                <w:lang w:bidi="ar-SA"/>
              </w:rPr>
              <w:t>（二）着力推动移动支付涉旅场景建设。</w:t>
            </w:r>
          </w:p>
          <w:p w14:paraId="13401561">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color w:val="auto"/>
                <w:sz w:val="24"/>
                <w:szCs w:val="24"/>
                <w:lang w:bidi="ar-SA"/>
              </w:rPr>
            </w:pPr>
            <w:r>
              <w:rPr>
                <w:rFonts w:hint="eastAsia" w:ascii="仿宋_GB2312" w:eastAsia="仿宋_GB2312" w:cs="仿宋_GB2312"/>
                <w:color w:val="auto"/>
                <w:sz w:val="24"/>
                <w:szCs w:val="24"/>
                <w:lang w:bidi="ar-SA"/>
              </w:rPr>
              <w:t>围绕创建国家全域旅游示范区规划，着力在九环沿线、G317藏羌文化走廊等旅游产业集散区开展移动支付场景建设和包装升级。对景区票务，闸口等消费领域，餐饮、住宿、租车等消费环节开展移动支付改造，串联游客旅游消费轨迹，实现移动支付在景区吃、住、游、购、行的全应用覆盖。</w:t>
            </w:r>
          </w:p>
          <w:p w14:paraId="2025D084">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b/>
                <w:bCs/>
                <w:color w:val="auto"/>
                <w:sz w:val="24"/>
                <w:szCs w:val="24"/>
                <w:lang w:bidi="ar-SA"/>
              </w:rPr>
            </w:pPr>
            <w:r>
              <w:rPr>
                <w:rFonts w:hint="eastAsia" w:ascii="仿宋_GB2312" w:eastAsia="仿宋_GB2312" w:cs="仿宋_GB2312"/>
                <w:b/>
                <w:bCs/>
                <w:color w:val="auto"/>
                <w:sz w:val="24"/>
                <w:szCs w:val="24"/>
                <w:lang w:bidi="ar-SA"/>
              </w:rPr>
              <w:t>（三）着力推动移动支付嵌入农产品购销环节。</w:t>
            </w:r>
          </w:p>
          <w:p w14:paraId="09CC617E">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color w:val="auto"/>
                <w:sz w:val="24"/>
                <w:szCs w:val="24"/>
                <w:lang w:bidi="ar-SA"/>
              </w:rPr>
            </w:pPr>
            <w:r>
              <w:rPr>
                <w:rFonts w:hint="eastAsia" w:ascii="仿宋_GB2312" w:eastAsia="仿宋_GB2312" w:cs="仿宋_GB2312"/>
                <w:color w:val="auto"/>
                <w:sz w:val="24"/>
                <w:szCs w:val="24"/>
                <w:lang w:bidi="ar-SA"/>
              </w:rPr>
              <w:t>推动移动支付服务下沉农村，进一步嵌入农民生活生产、农产品销售流通等环节，助力乡村振兴。在县域农产品成熟集中上市销售期间，通过建设农产品收购移动支付交易服务站、收单机构上门服务等方式，到田间地头和集中交易市场引导、推荐农户和市场使用移动支付，帮助农户和消费者在田间地头和集中交易市场完成产品购销。</w:t>
            </w:r>
          </w:p>
          <w:p w14:paraId="6FF76186">
            <w:pPr>
              <w:pStyle w:val="8"/>
              <w:keepNext w:val="0"/>
              <w:keepLines w:val="0"/>
              <w:pageBreakBefore w:val="0"/>
              <w:widowControl w:val="0"/>
              <w:kinsoku/>
              <w:wordWrap/>
              <w:overflowPunct/>
              <w:topLinePunct w:val="0"/>
              <w:autoSpaceDE/>
              <w:autoSpaceDN/>
              <w:bidi w:val="0"/>
              <w:adjustRightInd/>
              <w:snapToGrid/>
              <w:spacing w:after="0" w:line="280" w:lineRule="exact"/>
              <w:ind w:left="0" w:leftChars="0" w:right="0"/>
              <w:textAlignment w:val="auto"/>
              <w:outlineLvl w:val="9"/>
              <w:rPr>
                <w:rFonts w:hint="eastAsia" w:ascii="仿宋_GB2312" w:eastAsia="仿宋_GB2312" w:cs="仿宋_GB2312"/>
                <w:b/>
                <w:bCs/>
                <w:color w:val="auto"/>
                <w:sz w:val="24"/>
                <w:szCs w:val="24"/>
                <w:lang w:bidi="ar-SA"/>
              </w:rPr>
            </w:pPr>
            <w:r>
              <w:rPr>
                <w:rFonts w:hint="eastAsia" w:ascii="仿宋_GB2312" w:eastAsia="仿宋_GB2312" w:cs="仿宋_GB2312"/>
                <w:b/>
                <w:bCs/>
                <w:color w:val="auto"/>
                <w:sz w:val="24"/>
                <w:szCs w:val="24"/>
                <w:lang w:bidi="ar-SA"/>
              </w:rPr>
              <w:t>（四）着力推动移动支付下沉老弱群体。</w:t>
            </w:r>
          </w:p>
          <w:p w14:paraId="1C53E010">
            <w:pPr>
              <w:keepNext w:val="0"/>
              <w:keepLines w:val="0"/>
              <w:pageBreakBefore w:val="0"/>
              <w:widowControl/>
              <w:kinsoku/>
              <w:wordWrap/>
              <w:overflowPunct/>
              <w:topLinePunct w:val="0"/>
              <w:autoSpaceDE/>
              <w:autoSpaceDN/>
              <w:bidi w:val="0"/>
              <w:adjustRightInd/>
              <w:snapToGrid/>
              <w:spacing w:line="280" w:lineRule="exact"/>
              <w:ind w:left="0" w:right="0" w:firstLine="480"/>
              <w:textAlignment w:val="auto"/>
              <w:outlineLvl w:val="9"/>
              <w:rPr>
                <w:rFonts w:hint="eastAsia" w:ascii="仿宋_GB2312" w:hAnsi="仿宋_GB2312" w:cs="仿宋_GB2312"/>
                <w:color w:val="auto"/>
                <w:sz w:val="24"/>
                <w:szCs w:val="24"/>
                <w:lang w:bidi="ar-SA"/>
              </w:rPr>
            </w:pPr>
            <w:r>
              <w:rPr>
                <w:rFonts w:hint="eastAsia" w:ascii="仿宋_GB2312" w:eastAsia="仿宋_GB2312" w:cs="仿宋_GB2312"/>
                <w:color w:val="auto"/>
                <w:sz w:val="24"/>
                <w:szCs w:val="24"/>
                <w:lang w:bidi="ar-SA"/>
              </w:rPr>
              <w:t>立足老年人支付需求，聚焦高频场景及共性问题，推出老年人特色移动支付产品，提升老年客户支付体验。</w:t>
            </w:r>
          </w:p>
        </w:tc>
      </w:tr>
    </w:tbl>
    <w:p w14:paraId="1D553AC8">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第六节  创新开展全域旅游金融服务</w:t>
      </w:r>
    </w:p>
    <w:p w14:paraId="05062DE3">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46EAAF5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一、加大金融支持旅游基础设施建设</w:t>
      </w:r>
    </w:p>
    <w:p w14:paraId="4C11A36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围绕创建国家全域旅游示范区目标，金融资源优先支持九环线旅游恢复振兴、南环线旅游完善提质、环红原机场旅游经济圈培育、最美G317藏羌文化走廊建设等重大旅游基础设施项目。金融资源倾斜支持文旅、农旅、工旅等新模式新业态融合创新，加大全季节旅游产品供给的金融服务力度。金融资源重点支持中高端旅游发展，推动景区提档升级以及休闲度假、冰川彩林、山地户外运动等国际旅游目的地建设。金融资源持续支持绿色交通融资需求，助推“交通+旅游”融合发展，延伸旅游产业链。</w:t>
      </w:r>
    </w:p>
    <w:p w14:paraId="67D52BB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二、加强金融支持文旅产业发展</w:t>
      </w:r>
    </w:p>
    <w:p w14:paraId="215F8587">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highlight w:val="none"/>
          <w:lang w:bidi="ar-SA"/>
        </w:rPr>
      </w:pPr>
      <w:r>
        <w:rPr>
          <w:rFonts w:hint="eastAsia" w:ascii="仿宋_GB2312" w:eastAsia="仿宋_GB2312" w:cs="仿宋_GB2312"/>
          <w:sz w:val="32"/>
          <w:szCs w:val="32"/>
          <w:lang w:bidi="ar-SA"/>
        </w:rPr>
        <w:t>围绕建设民族文化产业聚集区规划，引导金融机构加快支持特色优质、集聚程度高的民族文化产业园建设。扶持金融机构积极支持文化内涵挖掘，文化载体建设，“文化+技艺”“文化+传媒”“文化+体育赛事”等新业态培育，文化创意、民族演艺等产业发展。积极对接社会资本参与文化产业发展，</w:t>
      </w:r>
      <w:r>
        <w:rPr>
          <w:rFonts w:hint="eastAsia" w:ascii="仿宋_GB2312" w:eastAsia="仿宋_GB2312" w:cs="仿宋_GB2312"/>
          <w:sz w:val="32"/>
          <w:szCs w:val="32"/>
          <w:highlight w:val="none"/>
          <w:lang w:bidi="ar-SA"/>
        </w:rPr>
        <w:t>鼓励金融机构创新参与模式</w:t>
      </w:r>
      <w:r>
        <w:rPr>
          <w:rFonts w:hint="eastAsia" w:ascii="仿宋_GB2312" w:eastAsia="仿宋_GB2312" w:cs="仿宋_GB2312"/>
          <w:sz w:val="32"/>
          <w:szCs w:val="32"/>
          <w:highlight w:val="none"/>
          <w:lang w:eastAsia="zh-CN" w:bidi="ar-SA"/>
        </w:rPr>
        <w:t>，助力</w:t>
      </w:r>
      <w:r>
        <w:rPr>
          <w:rFonts w:hint="eastAsia" w:ascii="仿宋_GB2312" w:eastAsia="仿宋_GB2312" w:cs="仿宋_GB2312"/>
          <w:sz w:val="32"/>
          <w:szCs w:val="32"/>
          <w:highlight w:val="none"/>
          <w:lang w:bidi="ar-SA"/>
        </w:rPr>
        <w:t>文旅企业推出文化、演艺、影视等精品力作</w:t>
      </w:r>
      <w:r>
        <w:rPr>
          <w:rFonts w:hint="eastAsia" w:ascii="仿宋_GB2312" w:eastAsia="仿宋_GB2312" w:cs="仿宋_GB2312"/>
          <w:sz w:val="32"/>
          <w:szCs w:val="32"/>
          <w:highlight w:val="none"/>
          <w:lang w:eastAsia="zh-CN" w:bidi="ar-SA"/>
        </w:rPr>
        <w:t>；积极</w:t>
      </w:r>
      <w:r>
        <w:rPr>
          <w:rFonts w:hint="eastAsia" w:ascii="仿宋_GB2312" w:eastAsia="仿宋_GB2312" w:cs="仿宋_GB2312"/>
          <w:sz w:val="32"/>
          <w:szCs w:val="32"/>
          <w:highlight w:val="none"/>
          <w:lang w:bidi="ar-SA"/>
        </w:rPr>
        <w:t>探索溪流</w:t>
      </w:r>
      <w:r>
        <w:rPr>
          <w:rFonts w:hint="eastAsia" w:ascii="仿宋_GB2312" w:eastAsia="仿宋_GB2312" w:cs="仿宋_GB2312"/>
          <w:sz w:val="32"/>
          <w:szCs w:val="32"/>
          <w:highlight w:val="none"/>
          <w:lang w:eastAsia="zh-CN" w:bidi="ar-SA"/>
        </w:rPr>
        <w:t>和</w:t>
      </w:r>
      <w:r>
        <w:rPr>
          <w:rFonts w:hint="eastAsia" w:ascii="仿宋_GB2312" w:eastAsia="仿宋_GB2312" w:cs="仿宋_GB2312"/>
          <w:sz w:val="32"/>
          <w:szCs w:val="32"/>
          <w:highlight w:val="none"/>
          <w:lang w:bidi="ar-SA"/>
        </w:rPr>
        <w:t>林草等生态细胞保护</w:t>
      </w:r>
      <w:r>
        <w:rPr>
          <w:rFonts w:hint="eastAsia" w:ascii="仿宋_GB2312" w:eastAsia="仿宋_GB2312" w:cs="仿宋_GB2312"/>
          <w:sz w:val="32"/>
          <w:szCs w:val="32"/>
          <w:highlight w:val="none"/>
          <w:lang w:eastAsia="zh-CN" w:bidi="ar-SA"/>
        </w:rPr>
        <w:t>、</w:t>
      </w:r>
      <w:r>
        <w:rPr>
          <w:rFonts w:hint="eastAsia" w:ascii="仿宋_GB2312" w:eastAsia="仿宋_GB2312" w:cs="仿宋_GB2312"/>
          <w:sz w:val="32"/>
          <w:szCs w:val="32"/>
          <w:highlight w:val="none"/>
          <w:lang w:bidi="ar-SA"/>
        </w:rPr>
        <w:t>觉囊文化</w:t>
      </w:r>
      <w:r>
        <w:rPr>
          <w:rFonts w:hint="eastAsia" w:ascii="仿宋_GB2312" w:eastAsia="仿宋_GB2312" w:cs="仿宋_GB2312"/>
          <w:sz w:val="32"/>
          <w:szCs w:val="32"/>
          <w:highlight w:val="none"/>
          <w:lang w:eastAsia="zh-CN" w:bidi="ar-SA"/>
        </w:rPr>
        <w:t>和</w:t>
      </w:r>
      <w:r>
        <w:rPr>
          <w:rFonts w:hint="eastAsia" w:ascii="仿宋_GB2312" w:eastAsia="仿宋_GB2312" w:cs="仿宋_GB2312"/>
          <w:sz w:val="32"/>
          <w:szCs w:val="32"/>
          <w:highlight w:val="none"/>
          <w:lang w:bidi="ar-SA"/>
        </w:rPr>
        <w:t>传统村寨民居等藏羌民族</w:t>
      </w:r>
      <w:r>
        <w:rPr>
          <w:rFonts w:hint="eastAsia" w:ascii="仿宋_GB2312" w:eastAsia="仿宋_GB2312" w:cs="仿宋_GB2312"/>
          <w:sz w:val="32"/>
          <w:szCs w:val="32"/>
          <w:highlight w:val="none"/>
          <w:lang w:eastAsia="zh-CN" w:bidi="ar-SA"/>
        </w:rPr>
        <w:t>文旅</w:t>
      </w:r>
      <w:r>
        <w:rPr>
          <w:rFonts w:hint="eastAsia" w:ascii="仿宋_GB2312" w:eastAsia="仿宋_GB2312" w:cs="仿宋_GB2312"/>
          <w:sz w:val="32"/>
          <w:szCs w:val="32"/>
          <w:highlight w:val="none"/>
          <w:lang w:bidi="ar-SA"/>
        </w:rPr>
        <w:t>产业培育</w:t>
      </w:r>
      <w:r>
        <w:rPr>
          <w:rFonts w:hint="eastAsia" w:ascii="仿宋_GB2312" w:eastAsia="仿宋_GB2312" w:cs="仿宋_GB2312"/>
          <w:sz w:val="32"/>
          <w:szCs w:val="32"/>
          <w:highlight w:val="none"/>
          <w:lang w:eastAsia="zh-CN" w:bidi="ar-SA"/>
        </w:rPr>
        <w:t>，</w:t>
      </w:r>
      <w:r>
        <w:rPr>
          <w:rFonts w:hint="eastAsia" w:ascii="仿宋_GB2312" w:eastAsia="仿宋_GB2312" w:cs="仿宋_GB2312"/>
          <w:sz w:val="32"/>
          <w:szCs w:val="32"/>
          <w:highlight w:val="none"/>
          <w:lang w:bidi="ar-SA"/>
        </w:rPr>
        <w:t>以及藏羌非遗文化传承保护和民族手工艺发展</w:t>
      </w:r>
      <w:r>
        <w:rPr>
          <w:rFonts w:hint="eastAsia" w:ascii="仿宋_GB2312" w:eastAsia="仿宋_GB2312" w:cs="仿宋_GB2312"/>
          <w:sz w:val="32"/>
          <w:szCs w:val="32"/>
          <w:highlight w:val="none"/>
          <w:lang w:eastAsia="zh-CN" w:bidi="ar-SA"/>
        </w:rPr>
        <w:t>的金融服务新模式</w:t>
      </w:r>
      <w:r>
        <w:rPr>
          <w:rFonts w:hint="eastAsia" w:ascii="仿宋_GB2312" w:eastAsia="仿宋_GB2312" w:cs="仿宋_GB2312"/>
          <w:sz w:val="32"/>
          <w:szCs w:val="32"/>
          <w:highlight w:val="none"/>
          <w:lang w:bidi="ar-SA"/>
        </w:rPr>
        <w:t>。</w:t>
      </w:r>
    </w:p>
    <w:p w14:paraId="53D1704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三、深化金融支持涉旅中小微企业</w:t>
      </w:r>
    </w:p>
    <w:p w14:paraId="1DCB0D2C">
      <w:pPr>
        <w:keepNext w:val="0"/>
        <w:keepLines w:val="0"/>
        <w:pageBreakBefore w:val="0"/>
        <w:widowControl w:val="0"/>
        <w:tabs>
          <w:tab w:val="left" w:pos="7391"/>
        </w:tabs>
        <w:kinsoku/>
        <w:wordWrap/>
        <w:overflowPunct/>
        <w:topLinePunct w:val="0"/>
        <w:autoSpaceDE/>
        <w:autoSpaceDN/>
        <w:bidi w:val="0"/>
        <w:adjustRightInd/>
        <w:snapToGrid/>
        <w:spacing w:line="560" w:lineRule="exact"/>
        <w:ind w:left="0" w:right="0" w:firstLine="590"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pacing w:val="-4"/>
          <w:sz w:val="32"/>
          <w:szCs w:val="32"/>
          <w:lang w:bidi="ar-SA"/>
        </w:rPr>
        <w:t>持续加强与经济部门协调沟通，优化完善重点项目、涉旅中小微企业、个体工商户三张融资对接清单。持续开展民营（涉旅）小微企业大走访，进一步摸清融资难点、堵点，形成融资问题清单，并梳理出一对一解决方案，切实帮助中小微企业</w:t>
      </w:r>
      <w:r>
        <w:rPr>
          <w:rFonts w:hint="eastAsia" w:ascii="仿宋_GB2312" w:eastAsia="仿宋_GB2312" w:cs="仿宋_GB2312"/>
          <w:spacing w:val="-4"/>
          <w:sz w:val="32"/>
          <w:szCs w:val="32"/>
          <w:lang w:val="en-US" w:eastAsia="zh-CN" w:bidi="ar-SA"/>
        </w:rPr>
        <w:t>纾</w:t>
      </w:r>
      <w:bookmarkStart w:id="0" w:name="_GoBack"/>
      <w:bookmarkEnd w:id="0"/>
      <w:r>
        <w:rPr>
          <w:rFonts w:hint="eastAsia" w:ascii="仿宋_GB2312" w:eastAsia="仿宋_GB2312" w:cs="仿宋_GB2312"/>
          <w:spacing w:val="-4"/>
          <w:sz w:val="32"/>
          <w:szCs w:val="32"/>
          <w:lang w:bidi="ar-SA"/>
        </w:rPr>
        <w:t>困解难。推动银行业金融机构为符合条件的涉旅中小微企业及企业主发放中小微企业信用贷款，合理推进中小微企业贷款实行延期还本付息。运用“天府信用通”平台常态化开展融资对接。对受困涉旅中小微企业进行摸排认定，参考历史信用记录，精准确定救助对象名单、建立救助台账和落实救助主办行，督导主办行“一户一策”落实信用救助措施。</w:t>
      </w:r>
    </w:p>
    <w:p w14:paraId="5C8F251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四、引导金融支持创新性文旅产品</w:t>
      </w:r>
    </w:p>
    <w:p w14:paraId="4CADE0B6">
      <w:pPr>
        <w:keepNext w:val="0"/>
        <w:keepLines w:val="0"/>
        <w:pageBreakBefore w:val="0"/>
        <w:widowControl w:val="0"/>
        <w:kinsoku/>
        <w:wordWrap/>
        <w:overflowPunct/>
        <w:topLinePunct w:val="0"/>
        <w:autoSpaceDE/>
        <w:autoSpaceDN/>
        <w:bidi w:val="0"/>
        <w:adjustRightInd/>
        <w:snapToGrid/>
        <w:spacing w:line="560" w:lineRule="exact"/>
        <w:ind w:left="0" w:right="0" w:firstLine="582" w:firstLineChars="200"/>
        <w:jc w:val="both"/>
        <w:textAlignment w:val="auto"/>
        <w:outlineLvl w:val="9"/>
        <w:rPr>
          <w:rFonts w:hint="eastAsia" w:ascii="仿宋_GB2312" w:eastAsia="仿宋_GB2312" w:cs="仿宋_GB2312"/>
          <w:spacing w:val="-6"/>
          <w:sz w:val="32"/>
          <w:szCs w:val="32"/>
          <w:lang w:bidi="ar-SA"/>
        </w:rPr>
      </w:pPr>
      <w:r>
        <w:rPr>
          <w:rFonts w:hint="eastAsia" w:ascii="仿宋_GB2312" w:eastAsia="仿宋_GB2312" w:cs="仿宋_GB2312"/>
          <w:spacing w:val="-6"/>
          <w:sz w:val="32"/>
          <w:szCs w:val="32"/>
          <w:lang w:bidi="ar-SA"/>
        </w:rPr>
        <w:t>围绕发展红色文化旅游，拓展旅游产业开发空间，引导金融资源支持红军长征遗址遗迹保护开发和打造“雪山草地”主题品牌，形成一批红色旅游精品线路，着力建设红色文化旅游产业带。坚持将红色旅游与民俗旅游、体验式旅游等特色旅游形式相结合，深度挖掘“重走长征路”红色旅游线路，引导金融资源支持文旅企业推出红色文化图书、影视等作品，拓展红色文化旅游发展空间。</w:t>
      </w:r>
    </w:p>
    <w:p w14:paraId="7C21C588">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2A61D2F5">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第七节  加快构建多元化融资格局</w:t>
      </w:r>
    </w:p>
    <w:p w14:paraId="1AFF272D">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47432E1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一、加快股权市场融资发展</w:t>
      </w:r>
    </w:p>
    <w:p w14:paraId="1224D7DD">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大力培育股权投资市场。集聚发展股权投资机构，鼓励各类市场主体在阿坝州发起设立投资基金，投资入股阿坝州中小企业。积极寻求与省属国有金融机构、基金公司等对接，合资设立公司、分公司或产业基金。鼓励民间资本、银行资本等参与发起天使投资、创业投资和产业投资等基金。鼓励各县（市）设立政策性基金，引导社会资本进入创业投资领域，加大对中小科技型、创新型企业投资力度。加大企业上市挂牌推动力度。进一步完善企业利用资本市场发展的扶持政策，打造企业上市挂牌的“绿色通道”，推动各类符合条件的企业，根据自身发展阶段、条件和需求，在主板、创业板、北交所及境外上市。持续开展企业上市融资政策培训，推动符合条件企业进入省级上市和挂牌企业后备资源库，参与实施“创业板行动计划”。把握新三板扩容及分层机遇，不断提高州内企业在新三板挂牌数量，积极支持新三板挂牌企业到北交所挂牌上市。鼓励州内企业积极挂牌天府（四川）联合股权交易中心，在条件成熟时转板进入高层次资本市场。鼓励证券公司在股权融资、债券融资、政府与社会资本合作（PPP）、资产证券化中提供有针对性的金融服务。加大对上市企业和挂牌企业兼并重组的金融支持力度。</w:t>
      </w:r>
    </w:p>
    <w:p w14:paraId="5F0E4FB0">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二、推动债券市场融资发展</w:t>
      </w:r>
    </w:p>
    <w:p w14:paraId="4E60943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积极拓展债券市场。完善企业债务融资培育辅导机制，搭建多层次对接平台。支持符合条件的企业利用银行间市场和交易所市场的多期限、多品种债务融资工具进行融资，充分拓宽融资渠道。支持符合条件的商业银行、证券公司等开展债券承销业务。推动发展绿色债券、“双创”债券、可续期债券、高收益债券和项目收益债券，发展可转换债、可交换债等专项创新债券。</w:t>
      </w:r>
    </w:p>
    <w:p w14:paraId="51097D8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三、提升保险融资保障功能</w:t>
      </w:r>
    </w:p>
    <w:p w14:paraId="19B4A87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强化保险业对实体经济的服务功能。鼓励保险机构结合阿坝实际推出贷款保证保险、技术创新保险、消费信贷保险等创新品种，鼓励各级行政事业单位创新开展各类责任保险的第三方服务。引导保险资金以多种方式支持重大基础设施建设、棚户区改造、城镇化建设等民生工程。引导保险资金向高新技术产业、战略性新兴产业、现代制造业、现代农业等提供低成本、长期限的资金支持，通过政府与社会资本合作（PPP）、资产支持计划和购买政府债权等方式服务政府投融资体制改革。推动企业财产保险、工程保险发展，提升企业利用商业保险等应对灾害事故风险的意识和水平。</w:t>
      </w:r>
    </w:p>
    <w:p w14:paraId="34E8776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四、支持新型金融业态发展</w:t>
      </w:r>
    </w:p>
    <w:p w14:paraId="3489117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进一步发挥阿坝地方金融企业作用，整合区域金融资源，创造条件，积极协调，探索论证组建金融科技公司、消费金融公司等新型金融业态的可行性。积极推动资产管理公司、信托公司、金融租赁公司、汽车金融公司等来州设立公司或分支机构。积极发展股权投资机构，吸引境内外股权投资机构入驻阿坝，培育一批有影响力的本地股权投资机构。</w:t>
      </w:r>
    </w:p>
    <w:p w14:paraId="754D4AF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4BF21AEE">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第八节  优化金融生态环境</w:t>
      </w:r>
    </w:p>
    <w:p w14:paraId="4D82D01C">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1FFB0BB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一、夯实金融基础设施</w:t>
      </w:r>
    </w:p>
    <w:p w14:paraId="31F576DC">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统筹安排银行、证券、保险和地方金融等加大对重要金融基础设施的建设力度，健全准入管理，优化设施布局，推动形成布局合理、治理有效、先进可靠、富有弹性的金融基础设施体系。加快5G网络、数据中心等新型金融科技基础设施建设，聚焦大数据基础设施、数字资产交易等关键领域。加强金融科技领域数据安全、网络安全、系统安全能力建设，大力支持专业化数据存储、公共云、专有云等金融基础平台建设。配合推进信息共享及传输机制的建设，建立和完善数据保护能力认证、数据流通备份审查、跨境数据流动和交易风险评估等数据安全管理机制。</w:t>
      </w:r>
    </w:p>
    <w:p w14:paraId="5D618EF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优化国库服务，改进服务方式。进一步加强与州人大的沟通协作，深化预算审核监督联合机制，互通监督信息、加强工作协同、形成监督合力，确保财政预算执行透明、高效。加快系统升级改造，大力推行电子退库无纸化、非税收入直缴及财政支出一体化，进一步简化税费解缴及电子退库流程，优化营商环境。持续推进国库惠民服务平台建设，实现国库惠民服务平台全覆盖。进一步完善平台的业务功能，在有条件的站点逐步加载购买国债、缴纳社保、代开发票等服务功能，有效解决农牧民购债难、缴社保费难、缴税难等实际问题。</w:t>
      </w:r>
    </w:p>
    <w:p w14:paraId="7A059B3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提升现金服务质量，加强区域现金管理。推动马尔康市、汶川县、松潘县及九寨沟县创建省级现金服务示范区，邮储银行马尔康市支行、农行汶川县支行创建省级现金服务示范网点，建成红原县发行基金托管业务试点库，打通现金服务“最后一公里”，促进货币发行业务转型和服务提质。</w:t>
      </w:r>
    </w:p>
    <w:p w14:paraId="52018B3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二、推进征信体系建设</w:t>
      </w:r>
    </w:p>
    <w:p w14:paraId="47EC8E3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依托州社会信用体系建设联席会议机制，发挥好“双牵头”优势，不断完善信用体系建设的组织、领导和管理体系。积极推进地方信用法规、信用制度和信用标准建设，建立健全由政府、金融机构、企业、社会公众等共同参与的守信联合激励和失信联合惩戒机制。持续开展金融生态环境评价，促进评价成果广泛运用。完善失信约束制度，坚决打击金融活动中的严重失信行为。</w:t>
      </w:r>
    </w:p>
    <w:p w14:paraId="300C3EE5">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大力推进农村信用体系建设，促进信用体系建设与乡村振兴深度融合，实现“以信用促融资、以融资促发展”目标。持续强化“州县乡村”四级联动的农村信用体系建设工作组织领导机制。优化“信用村ABCD+星级信用户”、“信用新型农业经营主体+信用农业园区”双线推动的信用评定和结果运用体系，持续开展信用户、信用村、信用乡（镇）评定，实施新型农业经营主体（农业产业化重点龙头企业）信用提升工程，推进信用新型农业经营主体（农业产业化龙头企业）评定，创建信用示范村、信用现代农业产业园区，探索构建涉农信用信息数据库，深入开展农村信用救助，助力乡村治理水平提升。</w:t>
      </w:r>
    </w:p>
    <w:p w14:paraId="676FB84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推动小微企业信用体系建设创新发展。拓展“天府信用通”平台应用深度和广度，形成“有机制、有载体、有工具、有互动”的信用综合服务体系。持续推动平台应用扩面上量，优化融资对接服务，扩展平台共享企业信用信息维度，建立健全小微民企信用档案，强化小微企业信用培育，深化无贷企业融资帮扶，支持守信企业创新拓展“信用+”对接领域。务实推进产业园区企业金融信用分类评价，建立切实可行的“红名单”激励和“白名单”培育措施，助力小微民企提升融资获得能力。</w:t>
      </w:r>
    </w:p>
    <w:p w14:paraId="66F193C6">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三、完善多层次支付体系</w:t>
      </w:r>
    </w:p>
    <w:p w14:paraId="3B2FCA7B">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加快发展安全、高效、快捷、优质的现代支付服务体系，拓宽移动支付渠道，丰富移动支付场景，推动现代支付工具在便民缴费、公共服务、涉农涉旅、县域商圈等领域的应用。分类推进支付服务，结合较发达的农村地区，相对欠发达农村地区，高半山和边远牧区实际需求，因地制宜抓好数字金融和传统金融服务，提升金融服务覆盖面。巩固提升助农取款服务点、金融综合服务平台、金融综合服务示范站建设，推广线上支付业务，加大自助机具设备的投放，提升便民服务质量。推广电子商业汇票、数字人民币等支付工具。加强对支付机构的监管，纵深推进防范电信网络诈骗工作，持续优化账户服务，保障人民群众切身利益。</w:t>
      </w:r>
    </w:p>
    <w:p w14:paraId="1B0B821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四、提高金融业信息化水平</w:t>
      </w:r>
    </w:p>
    <w:p w14:paraId="3CF1C461">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加强大数据、互联网等技术手段的应用，建立、完善非现场监管信息系统和监管指标体系。推进地方金融机构大数据平台建设和数据标准化建设，支持地方金融机构运用信息化手段提升服务能力。提高金融行业数据挖掘和数据资产利用能力。加快行业信息共享平台建设，推进行业信息技术资源整合，强化行业信息安全维护。</w:t>
      </w:r>
    </w:p>
    <w:p w14:paraId="169AA917">
      <w:pPr>
        <w:pStyle w:val="8"/>
        <w:keepNext w:val="0"/>
        <w:keepLines w:val="0"/>
        <w:pageBreakBefore w:val="0"/>
        <w:widowControl w:val="0"/>
        <w:suppressLineNumbers w:val="0"/>
        <w:suppressAutoHyphens w:val="0"/>
        <w:spacing w:line="540" w:lineRule="exact"/>
        <w:ind w:left="386" w:leftChars="200" w:firstLine="386" w:firstLineChars="200"/>
      </w:pPr>
    </w:p>
    <w:p w14:paraId="42E6FDCC">
      <w:pPr>
        <w:keepNext w:val="0"/>
        <w:keepLines w:val="0"/>
        <w:pageBreakBefore w:val="0"/>
        <w:widowControl w:val="0"/>
        <w:suppressLineNumbers w:val="0"/>
        <w:suppressAutoHyphens w:val="0"/>
      </w:pPr>
    </w:p>
    <w:p w14:paraId="237F4314">
      <w:pPr>
        <w:pStyle w:val="8"/>
        <w:keepNext w:val="0"/>
        <w:keepLines w:val="0"/>
        <w:pageBreakBefore w:val="0"/>
        <w:widowControl w:val="0"/>
        <w:suppressLineNumbers w:val="0"/>
        <w:suppressAutoHyphens w:val="0"/>
      </w:pPr>
    </w:p>
    <w:tbl>
      <w:tblPr>
        <w:tblStyle w:val="9"/>
        <w:tblpPr w:leftFromText="180" w:rightFromText="180" w:vertAnchor="text" w:horzAnchor="margin" w:tblpX="79" w:tblpY="49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1B9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8385" w:type="dxa"/>
            <w:tcBorders>
              <w:tl2br w:val="nil"/>
              <w:tr2bl w:val="nil"/>
            </w:tcBorders>
            <w:shd w:val="clear" w:color="auto" w:fill="A09BB9"/>
            <w:vAlign w:val="center"/>
          </w:tcPr>
          <w:p w14:paraId="74F84153">
            <w:pPr>
              <w:keepNext w:val="0"/>
              <w:keepLines w:val="0"/>
              <w:pageBreakBefore w:val="0"/>
              <w:widowControl/>
              <w:kinsoku/>
              <w:wordWrap/>
              <w:overflowPunct/>
              <w:topLinePunct w:val="0"/>
              <w:autoSpaceDE/>
              <w:autoSpaceDN/>
              <w:bidi w:val="0"/>
              <w:adjustRightInd/>
              <w:snapToGrid/>
              <w:spacing w:line="280" w:lineRule="exact"/>
              <w:ind w:left="0" w:right="0"/>
              <w:jc w:val="center"/>
              <w:textAlignment w:val="auto"/>
              <w:outlineLvl w:val="9"/>
              <w:rPr>
                <w:rFonts w:hint="eastAsia" w:ascii="仿宋_GB2312" w:hAnsi="仿宋_GB2312" w:cs="仿宋_GB2312"/>
                <w:b/>
                <w:bCs/>
                <w:color w:val="auto"/>
                <w:kern w:val="44"/>
                <w:sz w:val="24"/>
                <w:szCs w:val="24"/>
                <w:lang w:bidi="ar-SA"/>
              </w:rPr>
            </w:pPr>
            <w:r>
              <w:rPr>
                <w:rFonts w:hint="eastAsia" w:ascii="仿宋_GB2312" w:eastAsia="仿宋_GB2312" w:cs="仿宋_GB2312"/>
                <w:b/>
                <w:bCs/>
                <w:color w:val="auto"/>
                <w:kern w:val="44"/>
                <w:sz w:val="24"/>
                <w:szCs w:val="24"/>
                <w:lang w:bidi="ar-SA"/>
              </w:rPr>
              <w:t>专栏4  “十四五”时期金融生态建设重点工程与项目</w:t>
            </w:r>
          </w:p>
        </w:tc>
      </w:tr>
      <w:tr w14:paraId="13FE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5" w:type="dxa"/>
            <w:tcBorders>
              <w:tl2br w:val="nil"/>
              <w:tr2bl w:val="nil"/>
            </w:tcBorders>
          </w:tcPr>
          <w:p w14:paraId="3DE760DC">
            <w:pPr>
              <w:keepNext w:val="0"/>
              <w:keepLines w:val="0"/>
              <w:pageBreakBefore w:val="0"/>
              <w:widowControl/>
              <w:kinsoku/>
              <w:wordWrap/>
              <w:overflowPunct/>
              <w:topLinePunct w:val="0"/>
              <w:autoSpaceDE/>
              <w:autoSpaceDN/>
              <w:bidi w:val="0"/>
              <w:adjustRightInd/>
              <w:snapToGrid/>
              <w:spacing w:line="280" w:lineRule="exact"/>
              <w:ind w:left="0" w:right="0" w:firstLine="482"/>
              <w:jc w:val="both"/>
              <w:textAlignment w:val="auto"/>
              <w:outlineLvl w:val="9"/>
              <w:rPr>
                <w:rFonts w:hint="eastAsia" w:ascii="仿宋_GB2312" w:eastAsia="仿宋_GB2312" w:cs="仿宋_GB2312"/>
                <w:color w:val="auto"/>
                <w:sz w:val="24"/>
                <w:szCs w:val="24"/>
                <w:lang w:bidi="ar-SA"/>
              </w:rPr>
            </w:pPr>
            <w:r>
              <w:rPr>
                <w:rFonts w:hint="eastAsia" w:ascii="仿宋_GB2312" w:eastAsia="仿宋_GB2312" w:cs="仿宋_GB2312"/>
                <w:b/>
                <w:bCs/>
                <w:color w:val="auto"/>
                <w:sz w:val="24"/>
                <w:szCs w:val="24"/>
                <w:lang w:bidi="ar-SA"/>
              </w:rPr>
              <w:t>农村信用体系建设提升工程与项目。</w:t>
            </w:r>
            <w:r>
              <w:rPr>
                <w:rFonts w:hint="eastAsia" w:ascii="仿宋_GB2312" w:eastAsia="仿宋_GB2312" w:cs="仿宋_GB2312"/>
                <w:color w:val="auto"/>
                <w:sz w:val="24"/>
                <w:szCs w:val="24"/>
                <w:lang w:bidi="ar-SA"/>
              </w:rPr>
              <w:t xml:space="preserve"> “十四五”期间，要围绕深化乡村振兴信用服务体系中心任务，优化完善“信用村ABCD+星级信用农户”信用评定模式，持续开展信用户、信用村、信用乡（镇）评定，创建信用示范村。开展省、州级示范新型农业经营主体、农业产业化重点龙头企业信用提升工程，评定信用示范新型农业经营主体和信用农业产业化龙头企业，创建信用现代农业产业园区，全面梳理涉农信用信息，建立健全信用信息采集、评价指标体系，推动构建全覆盖的涉农信用信息数据库，实现信息整合、互通共享。强化信用评定结果共享应用，对标行政村、农户、新型农业经营主体信用等级，推动“信用—信贷”联动服务和产品创新，引导金融资源向特色种植、生态养殖、农林循环经济和农旅融合等乡村产业发展重点领域持续聚焦。进一步完善农村信用救助体系，整合相关政策资源，丰富救助“工具箱”，切实提升农村信用体系对乡村振兴战略实施的贡献度。</w:t>
            </w:r>
          </w:p>
          <w:p w14:paraId="05FD0E08">
            <w:pPr>
              <w:keepNext w:val="0"/>
              <w:keepLines w:val="0"/>
              <w:pageBreakBefore w:val="0"/>
              <w:widowControl/>
              <w:kinsoku/>
              <w:wordWrap/>
              <w:overflowPunct/>
              <w:topLinePunct w:val="0"/>
              <w:autoSpaceDE/>
              <w:autoSpaceDN/>
              <w:bidi w:val="0"/>
              <w:adjustRightInd/>
              <w:snapToGrid/>
              <w:spacing w:line="280" w:lineRule="exact"/>
              <w:ind w:left="0" w:right="0" w:firstLine="482"/>
              <w:jc w:val="both"/>
              <w:textAlignment w:val="auto"/>
              <w:outlineLvl w:val="9"/>
              <w:rPr>
                <w:rFonts w:hint="eastAsia" w:ascii="仿宋_GB2312" w:eastAsia="仿宋_GB2312" w:cs="仿宋_GB2312"/>
                <w:color w:val="auto"/>
                <w:kern w:val="44"/>
                <w:sz w:val="24"/>
                <w:szCs w:val="24"/>
                <w:lang w:bidi="ar-SA"/>
              </w:rPr>
            </w:pPr>
            <w:r>
              <w:rPr>
                <w:rFonts w:hint="eastAsia" w:ascii="仿宋_GB2312" w:eastAsia="仿宋_GB2312" w:cs="仿宋_GB2312"/>
                <w:b/>
                <w:bCs/>
                <w:color w:val="auto"/>
                <w:sz w:val="24"/>
                <w:szCs w:val="24"/>
                <w:lang w:bidi="ar-SA"/>
              </w:rPr>
              <w:t>民营小微企业信用体系建设工程与项目。</w:t>
            </w:r>
            <w:r>
              <w:rPr>
                <w:rFonts w:hint="eastAsia" w:ascii="仿宋_GB2312" w:eastAsia="仿宋_GB2312" w:cs="仿宋_GB2312"/>
                <w:color w:val="auto"/>
                <w:sz w:val="24"/>
                <w:szCs w:val="24"/>
                <w:lang w:bidi="ar-SA"/>
              </w:rPr>
              <w:t xml:space="preserve"> “十四五”时期，要围绕“天府信用通”平台应用扩面提质核心，持续加大部门协作力度，按“需求导向”提升平台注册企业覆盖面。构建常态化融资对接和信用培育机制，推动平台与银行业务系统接口对接，探索打造各类本地化惠企、便企应用场景，开发上线绿易贷、权益贷、信用贷等特色信贷产品，提升企业融资响应和服务质效。强化小微企业信用培育，用好用活平台信息共享、金融培育等配套功能，加强对企业信用状况变化的跟踪监测和研究分析，推动第三方征信评级服务应用。重点开展无贷企业融资帮扶，有效发挥平台的信用价值挖掘、银企融资对接、政银企协作“枢纽”作用。依托平台开展园区企业金融信用分类评价，探索“信用”园区认定，稳步推进金融会计顾问制度，加大财务辅导与金融培训力度，增强园区企业融资获得能力。盘活企业应收账款、动产和权益等融资资源，加大供应链核心企业培育力度，不断拓宽融资渠道。</w:t>
            </w:r>
          </w:p>
          <w:p w14:paraId="663FFFFD">
            <w:pPr>
              <w:keepNext w:val="0"/>
              <w:keepLines w:val="0"/>
              <w:pageBreakBefore w:val="0"/>
              <w:widowControl/>
              <w:kinsoku/>
              <w:wordWrap/>
              <w:overflowPunct/>
              <w:topLinePunct w:val="0"/>
              <w:autoSpaceDE/>
              <w:autoSpaceDN/>
              <w:bidi w:val="0"/>
              <w:adjustRightInd/>
              <w:snapToGrid/>
              <w:spacing w:line="280" w:lineRule="exact"/>
              <w:ind w:left="0" w:right="0" w:firstLine="482"/>
              <w:jc w:val="both"/>
              <w:textAlignment w:val="auto"/>
              <w:outlineLvl w:val="9"/>
              <w:rPr>
                <w:rFonts w:hint="eastAsia" w:ascii="仿宋_GB2312" w:eastAsia="仿宋_GB2312" w:cs="仿宋_GB2312"/>
                <w:color w:val="auto"/>
                <w:sz w:val="24"/>
                <w:szCs w:val="24"/>
                <w:lang w:bidi="ar-SA"/>
              </w:rPr>
            </w:pPr>
            <w:r>
              <w:rPr>
                <w:rFonts w:hint="eastAsia" w:ascii="仿宋_GB2312" w:eastAsia="仿宋_GB2312" w:cs="仿宋_GB2312"/>
                <w:b/>
                <w:bCs/>
                <w:color w:val="auto"/>
                <w:sz w:val="24"/>
                <w:szCs w:val="24"/>
                <w:lang w:bidi="ar-SA"/>
              </w:rPr>
              <w:t>信用信息平台建设工程与项目。</w:t>
            </w:r>
            <w:r>
              <w:rPr>
                <w:rFonts w:hint="eastAsia" w:ascii="仿宋_GB2312" w:eastAsia="仿宋_GB2312" w:cs="仿宋_GB2312"/>
                <w:color w:val="auto"/>
                <w:sz w:val="24"/>
                <w:szCs w:val="24"/>
                <w:lang w:bidi="ar-SA"/>
              </w:rPr>
              <w:t xml:space="preserve"> “十四五”期间，要进一步加快推动州信用信息平台建设，有序推进行政、财政、经济商务和绿色生态等信用数据的统一、自动归集，并对接“天府信用通”平台即时共享运用。依托共享数据、有效整合信用信息，打造乡村振兴、小微民企、绿色金融等特色应用场景，探索线上产权信息核查、抵押登记等服务模式，构建便民利企信用服务闭环，深入挖掘信用数据价值、促进打通“信用到信贷”价值实现链条。</w:t>
            </w:r>
          </w:p>
        </w:tc>
      </w:tr>
    </w:tbl>
    <w:p w14:paraId="6A46E129">
      <w:pPr>
        <w:keepNext w:val="0"/>
        <w:keepLines w:val="0"/>
        <w:pageBreakBefore w:val="0"/>
        <w:widowControl w:val="0"/>
        <w:kinsoku/>
        <w:wordWrap/>
        <w:overflowPunct/>
        <w:topLinePunct w:val="0"/>
        <w:autoSpaceDE/>
        <w:autoSpaceDN/>
        <w:bidi w:val="0"/>
        <w:adjustRightInd/>
        <w:snapToGrid/>
        <w:spacing w:line="560" w:lineRule="exact"/>
        <w:ind w:left="0" w:right="0"/>
        <w:textAlignment w:val="auto"/>
        <w:outlineLvl w:val="9"/>
        <w:rPr>
          <w:rFonts w:hint="eastAsia" w:ascii="黑体" w:eastAsia="黑体" w:cs="仿宋_GB2312"/>
          <w:sz w:val="32"/>
          <w:szCs w:val="32"/>
          <w:lang w:bidi="ar-SA"/>
        </w:rPr>
      </w:pPr>
    </w:p>
    <w:p w14:paraId="63172851">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第九节  防范金融风险维护金融稳定</w:t>
      </w:r>
    </w:p>
    <w:p w14:paraId="3179CC96">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仿宋_GB2312"/>
          <w:sz w:val="32"/>
          <w:szCs w:val="32"/>
          <w:lang w:bidi="ar-SA"/>
        </w:rPr>
      </w:pPr>
    </w:p>
    <w:p w14:paraId="5D74B0E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一、完善金融监管协调机制</w:t>
      </w:r>
    </w:p>
    <w:p w14:paraId="41F90FB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以“守住不发生区域性、系统性金融风险的底线，确保金融服务水平进一步提高，金融体系结构进一步优化”为目标，坚持防控结合、突出重点、标本兼治、齐抓共管为原则，将宏观审慎监管和微观监管相结合，完善金融监管协调及风险处置机制，形成风险防控合力，共同防范化解金融风险。人民银行履行好金融监管协调牵头职责，加强风险监测分析研判、报告和预警，完善信息共享和工作交流平台，促进金融风险信息和工作成果及时充分共享。</w:t>
      </w:r>
    </w:p>
    <w:p w14:paraId="0E06EB18">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二、加强金融风险防控监测</w:t>
      </w:r>
    </w:p>
    <w:p w14:paraId="0192E65F">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加强对各类金融风险的识别、预警、评估，针对企业资金链断裂、恶意逃废金融债务风险制定应急预案，及时有效处置金融风险隐患。稳妥有序做好“僵尸企业”退出的金融服务工作。积极引进利用先进技术，加强互联网金融行业风险监测预警。加强两类公司行业监管。强化对第三方支付、众筹和金融科技公司、互联网小贷等新型金融业态的管理。加强对各类交易场所的监管力度，严厉打击非法集资和非法证券期货活动，严厉打击地下钱庄、跨境赌博等外汇领域违法违规活动。</w:t>
      </w:r>
    </w:p>
    <w:p w14:paraId="6B4E262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三、完善金融风险应急处置机制</w:t>
      </w:r>
    </w:p>
    <w:p w14:paraId="33C24D5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明确各金融监管部门在金融风险处置中的工作职责，创新监管模式、提升服务水平，为阿坝区域金融安全提供制度保障。建立金融风险预警指标和金融稳定监测指标体系，健全金融风险应急机制和防控预案，增强化解系统性风险和处理金融突发事件的能力。金融工作局履行好金融风险处置和应急处突责任，协调各部门做好地方金融风险化解和处置，稳妥有序处置重大金融风险。</w:t>
      </w:r>
    </w:p>
    <w:p w14:paraId="7F79FCE3">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028CF9FA">
      <w:pPr>
        <w:pStyle w:val="8"/>
        <w:keepNext w:val="0"/>
        <w:keepLines w:val="0"/>
        <w:pageBreakBefore w:val="0"/>
        <w:widowControl w:val="0"/>
        <w:suppressLineNumbers w:val="0"/>
        <w:suppressAutoHyphens w:val="0"/>
        <w:bidi w:val="0"/>
        <w:spacing w:line="540" w:lineRule="exact"/>
        <w:ind w:left="386" w:leftChars="200"/>
        <w:textAlignment w:val="baseline"/>
        <w:rPr>
          <w:rFonts w:hint="eastAsia"/>
        </w:rPr>
      </w:pPr>
    </w:p>
    <w:p w14:paraId="360F007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第十节  有效服务社会治理</w:t>
      </w:r>
    </w:p>
    <w:p w14:paraId="2C0B2D49">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仿宋_GB2312"/>
          <w:sz w:val="32"/>
          <w:szCs w:val="32"/>
          <w:lang w:bidi="ar-SA"/>
        </w:rPr>
      </w:pPr>
    </w:p>
    <w:p w14:paraId="12D8CFA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一、维护消费者合法权益</w:t>
      </w:r>
    </w:p>
    <w:p w14:paraId="02F85A2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维护金融消费者合法权益。健全全方位、多领域的金融消费者权益保护工作机制，规范金融机构行为，畅通金融消费者投诉渠道，推动多元化矛盾和纠纷解决机制有效落地，保护金融消费者合法权益。加强人民银行、金融监管机构与法院、公安等部门之间的协调，健全金融纠纷化解体系建设，开展金融纠纷诉调对接工作，提高金融纠纷处置效率。加强不良债务处置与化解，完善债权人委员会管理机制。加强企业逃废债务及违约信息共享，对恶意逃废银行债务的企业实施严厉制裁。加强金融知识普及宣传，提升消费者金融素养，增强金融消费者风险防范意识和自我保护能力。</w:t>
      </w:r>
    </w:p>
    <w:p w14:paraId="73ED3D69">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完善金融消费权益保护工作机制，探索建立以行为监管、产品监管、投诉受理、消费者教育等为主要内容的金融消费权益保护工作机制，稳慎探索互联网金融领域金融消费保护工作，进一步优化金融消费环境。建立健全防范和打击非法集资宣传教育长效工作机制。及时做好非法集资等案件处置、维稳工作，坚决守住不发生群体事件和区域性、系统性风险的底线。</w:t>
      </w:r>
    </w:p>
    <w:p w14:paraId="2A9EAB54">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黑体"/>
          <w:b/>
          <w:bCs/>
          <w:sz w:val="32"/>
          <w:szCs w:val="32"/>
          <w:lang w:bidi="ar-SA"/>
        </w:rPr>
      </w:pPr>
      <w:r>
        <w:rPr>
          <w:rFonts w:hint="eastAsia" w:ascii="仿宋_GB2312" w:eastAsia="仿宋_GB2312" w:cs="黑体"/>
          <w:b/>
          <w:bCs/>
          <w:sz w:val="32"/>
          <w:szCs w:val="32"/>
          <w:lang w:bidi="ar-SA"/>
        </w:rPr>
        <w:t>二、构建打击金融犯罪协同联动机制</w:t>
      </w:r>
    </w:p>
    <w:p w14:paraId="60D7BC87">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黑体" w:eastAsia="黑体" w:cs="黑体"/>
          <w:sz w:val="44"/>
          <w:szCs w:val="44"/>
          <w:lang w:bidi="ar-SA"/>
        </w:rPr>
      </w:pPr>
      <w:r>
        <w:rPr>
          <w:rFonts w:hint="eastAsia" w:ascii="仿宋_GB2312" w:eastAsia="仿宋_GB2312" w:cs="仿宋_GB2312"/>
          <w:sz w:val="32"/>
          <w:szCs w:val="32"/>
          <w:lang w:bidi="ar-SA"/>
        </w:rPr>
        <w:t>探索构建多方协作监管、统合监管、互助监管的新模式，强化地方金融监管协调功能。加强政府与金融监管部门、金融业务部门的信息交流和业务研讨，完善金融稳定信息共享机制，实现信息共享的规范化和常态化。强化对综合性金融服务和新产品、新业务的协作监管，严格把控高关联度、高复杂度创新产品的市场准入，防范跨行业、跨市场的金融风险。打击高利贷、非法集资、地下钱庄、非法证券等非法金融活动，加强对金融中介机构、财富管理类公司、金融科技公司等机构的监测和监管，制订应急预案，实时预警，构建打击金融犯罪协同联动机制。营造公平、公正的法制环境，加强工商、税务、财政、公安、司法和金融部门的配合，严厉打击各种非法金融活动，净化金融环境，保障正当金融活动有序、高效进行。积极探索设立金融法庭、金融仲裁院等专设司法机构，提高司法机关处置涉金融案件的执行力和执结率。加大金融法律、法规、政策的宣传和教育力度，增强公众法治观念，提高金融风险防范意识，营造促进金融业发展的良好法治氛围。加强风险防范体制机制建设，严格落实反洗钱、反恐怖融资、反逃税监管措施。推动洗钱案件判决，有效打击洗钱及上游相关犯罪。严格落实阿坝州反洗钱联席会议制度，加强核心成员单位间信息交流共享，共同构建互联互通的工作格局。全力加强反洗钱监管合作。充分发挥反洗钱工作在维护国家安全、金融安全和社会治理中的作用。</w:t>
      </w:r>
    </w:p>
    <w:p w14:paraId="0B489419">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p>
    <w:p w14:paraId="175E4655">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r>
        <w:rPr>
          <w:rFonts w:hint="eastAsia" w:ascii="黑体" w:eastAsia="黑体" w:cs="黑体"/>
          <w:sz w:val="32"/>
          <w:szCs w:val="32"/>
          <w:lang w:bidi="ar-SA"/>
        </w:rPr>
        <w:t>第五章  保障措施</w:t>
      </w:r>
    </w:p>
    <w:p w14:paraId="0D8AFB7C">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黑体"/>
          <w:sz w:val="32"/>
          <w:szCs w:val="32"/>
          <w:lang w:bidi="ar-SA"/>
        </w:rPr>
      </w:pPr>
    </w:p>
    <w:p w14:paraId="35168466">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第一节 加强组织领导，强化产融协同</w:t>
      </w:r>
    </w:p>
    <w:p w14:paraId="086D381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仿宋_GB2312"/>
          <w:sz w:val="32"/>
          <w:szCs w:val="32"/>
          <w:lang w:bidi="ar-SA"/>
        </w:rPr>
      </w:pPr>
    </w:p>
    <w:p w14:paraId="400B843E">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进一步完善“党委总揽、政府主导、人行推动、部门联动、监管督导、金融机构参与”的金融工作机制，完善金融协调制度。充分发挥州金融工作领导小组职能，强化人民银行阿坝中心支行的牵头协调作用，加强人民银行、金融监管部门、行业主管部门、金融机构之间的协调联动，强化金融工作组织领导保障。完善金融联席会议制度，强化产融协同机制，健全互通、合作、交流机制，研究解决金融业发展中的重大问题。建立重大突发事件预警、风险处置协调机制，提高风险防控能力和金融监管效率，坚守不发生区域性、系统性金融风险的底线，维护地区金融安全稳定。</w:t>
      </w:r>
    </w:p>
    <w:p w14:paraId="3E811793">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p>
    <w:p w14:paraId="4B78755A">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第二节 推进财金互动，加强财税支持</w:t>
      </w:r>
    </w:p>
    <w:p w14:paraId="37D0C436">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4B07F832">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jc w:val="both"/>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落实四川省财政金融互动政策，坚持“政府引导、市场运作”原则，完善政府激励金融支持产业发展的政策传导机制。以撬动金融资源投放为目标，以做大信贷规模、优化信贷结构为核心，运用激励奖补、风险分担等多种政策，提高金融资源配置水平。对新增客户首贷、发行金融专项债券，以及发放重点产业固定资产贷款、基金投资项目贷款、支农支小贷款、精准扶贫贷款等予以奖励或补助，激励金融机构持续增加定向贷款额度。</w:t>
      </w:r>
    </w:p>
    <w:p w14:paraId="4AF82FB4">
      <w:pPr>
        <w:keepNext w:val="0"/>
        <w:keepLines w:val="0"/>
        <w:pageBreakBefore w:val="0"/>
        <w:widowControl w:val="0"/>
        <w:kinsoku/>
        <w:wordWrap/>
        <w:overflowPunct/>
        <w:topLinePunct w:val="0"/>
        <w:autoSpaceDE/>
        <w:autoSpaceDN/>
        <w:adjustRightInd/>
        <w:snapToGrid/>
        <w:spacing w:line="560" w:lineRule="exact"/>
        <w:ind w:left="0" w:firstLine="606"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结合</w:t>
      </w:r>
      <w:r>
        <w:rPr>
          <w:rFonts w:hint="eastAsia" w:ascii="仿宋_GB2312" w:eastAsia="仿宋_GB2312" w:cs="仿宋_GB2312"/>
          <w:sz w:val="32"/>
          <w:szCs w:val="32"/>
          <w:lang w:eastAsia="zh-CN" w:bidi="ar-SA"/>
        </w:rPr>
        <w:t>阿坝</w:t>
      </w:r>
      <w:r>
        <w:rPr>
          <w:rFonts w:hint="eastAsia" w:ascii="仿宋_GB2312" w:eastAsia="仿宋_GB2312" w:cs="仿宋_GB2312"/>
          <w:sz w:val="32"/>
          <w:szCs w:val="32"/>
          <w:lang w:bidi="ar-SA"/>
        </w:rPr>
        <w:t>实际，积极采取适合的方式，制定完善促进金融业发展的财税政策，加大对金融机构、金融人才、金融基础设施等重点领域的扶持。加强财政资金的引导，充分发挥财政资金的杠杆作用，撬动、吸引社会资本积极支持金融业发展。加大对信用体系建设、支付环境建设的财政激励和引导力度，确保金融服务体系不断完善。系统梳理金融扶持政策，加大政策执行力度，推动政策覆盖全部金融子领域，推动政策向提升直接融资比重、规范发展民间资本倾斜，形成较为完善的金融政策体系。加大对上争取力度，积极争取更多优惠政策、财税资源向阿坝倾斜，力争出台更多本地金融扶持政策，形成政策叠加效应。</w:t>
      </w:r>
    </w:p>
    <w:p w14:paraId="1F5E05DC">
      <w:pPr>
        <w:pStyle w:val="8"/>
        <w:keepNext w:val="0"/>
        <w:keepLines w:val="0"/>
        <w:pageBreakBefore w:val="0"/>
        <w:widowControl w:val="0"/>
        <w:suppressLineNumbers w:val="0"/>
        <w:suppressAutoHyphens w:val="0"/>
        <w:spacing w:line="540" w:lineRule="exact"/>
        <w:ind w:left="386" w:leftChars="200" w:firstLine="386" w:firstLineChars="200"/>
        <w:rPr>
          <w:rFonts w:hint="eastAsia"/>
        </w:rPr>
      </w:pPr>
    </w:p>
    <w:p w14:paraId="0440F721">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sz w:val="32"/>
          <w:szCs w:val="32"/>
          <w:lang w:bidi="ar-SA"/>
        </w:rPr>
      </w:pPr>
      <w:r>
        <w:rPr>
          <w:rFonts w:hint="eastAsia" w:ascii="楷体_GB2312" w:eastAsia="楷体_GB2312" w:cs="仿宋_GB2312"/>
          <w:b/>
          <w:bCs/>
          <w:sz w:val="32"/>
          <w:szCs w:val="32"/>
          <w:lang w:bidi="ar-SA"/>
        </w:rPr>
        <w:t>第三节 健全人才制度，加快人才引育</w:t>
      </w:r>
    </w:p>
    <w:p w14:paraId="32273B4D">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黑体" w:eastAsia="黑体" w:cs="仿宋_GB2312"/>
          <w:sz w:val="32"/>
          <w:szCs w:val="32"/>
          <w:lang w:bidi="ar-SA"/>
        </w:rPr>
      </w:pPr>
    </w:p>
    <w:p w14:paraId="28AEECFA">
      <w:pPr>
        <w:keepNext w:val="0"/>
        <w:keepLines w:val="0"/>
        <w:pageBreakBefore w:val="0"/>
        <w:widowControl w:val="0"/>
        <w:kinsoku/>
        <w:wordWrap/>
        <w:overflowPunct/>
        <w:topLinePunct w:val="0"/>
        <w:autoSpaceDE/>
        <w:autoSpaceDN/>
        <w:adjustRightInd/>
        <w:snapToGrid/>
        <w:spacing w:line="560" w:lineRule="exact"/>
        <w:ind w:left="0" w:firstLine="590" w:firstLineChars="200"/>
        <w:rPr>
          <w:rFonts w:hint="eastAsia" w:ascii="仿宋_GB2312" w:eastAsia="仿宋_GB2312" w:cs="仿宋_GB2312"/>
          <w:spacing w:val="-4"/>
          <w:sz w:val="32"/>
          <w:szCs w:val="32"/>
          <w:lang w:bidi="ar-SA"/>
        </w:rPr>
      </w:pPr>
      <w:r>
        <w:rPr>
          <w:rFonts w:hint="eastAsia" w:ascii="仿宋_GB2312" w:eastAsia="仿宋_GB2312" w:cs="仿宋_GB2312"/>
          <w:spacing w:val="-4"/>
          <w:sz w:val="32"/>
          <w:szCs w:val="32"/>
          <w:lang w:bidi="ar-SA"/>
        </w:rPr>
        <w:t>健全金融人才引进政策，加大各类金融专业人才的引进和培养力度，完善金融人才使用机制、配套服务机制。对引进的高级金融人才，制定落实住房、子女教育、岗位津贴、工作经费、生活补贴、税收等优惠政策措施，在生活、工作等方面为金融人才创造良好的发展条件，吸引更多金融人才聚集阿坝、创新创业。提升本地金融队伍素质。与国内知名大学、专业机构建立合作关系，与国内知名金融学者、专家加强沟通联系，通过定向培养的方式，壮大本地金融人才队伍。健全金融人才评价激励和流动机制，建立政府主要经济部门与金融机构之间的“外派”、“借用”、“上挂”、“下派”等多种交流形式，有针对性的培养本地金融干部，定期组织本地干部外出学习考察，解放思想、开阔眼界，不断提高金融队伍的综合素质和服务能力。基本形成与阿坝高质量发展相匹配的金融人才队伍。</w:t>
      </w:r>
    </w:p>
    <w:p w14:paraId="5E9BED30">
      <w:pPr>
        <w:pStyle w:val="8"/>
        <w:keepNext w:val="0"/>
        <w:keepLines w:val="0"/>
        <w:pageBreakBefore w:val="0"/>
        <w:widowControl w:val="0"/>
        <w:suppressLineNumbers w:val="0"/>
        <w:suppressAutoHyphens w:val="0"/>
        <w:spacing w:line="540" w:lineRule="exact"/>
        <w:ind w:left="386" w:leftChars="200" w:firstLine="386" w:firstLineChars="200"/>
      </w:pPr>
    </w:p>
    <w:p w14:paraId="433E5FD5">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楷体_GB2312" w:eastAsia="楷体_GB2312" w:cs="仿宋_GB2312"/>
          <w:b/>
          <w:bCs/>
          <w:color w:val="auto"/>
          <w:sz w:val="32"/>
          <w:szCs w:val="32"/>
          <w:lang w:bidi="ar-SA"/>
        </w:rPr>
      </w:pPr>
      <w:r>
        <w:rPr>
          <w:rFonts w:hint="eastAsia" w:ascii="楷体_GB2312" w:eastAsia="楷体_GB2312" w:cs="仿宋_GB2312"/>
          <w:b/>
          <w:bCs/>
          <w:color w:val="auto"/>
          <w:sz w:val="32"/>
          <w:szCs w:val="32"/>
          <w:lang w:bidi="ar-SA"/>
        </w:rPr>
        <w:t>第四节 加强考核引导，健全实施机制</w:t>
      </w:r>
    </w:p>
    <w:p w14:paraId="12555A90">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仿宋_GB2312" w:eastAsia="仿宋_GB2312" w:cs="仿宋_GB2312"/>
          <w:b/>
          <w:bCs/>
          <w:sz w:val="32"/>
          <w:szCs w:val="32"/>
          <w:lang w:bidi="ar-SA"/>
        </w:rPr>
      </w:pPr>
    </w:p>
    <w:p w14:paraId="5F486511">
      <w:pPr>
        <w:keepNext w:val="0"/>
        <w:keepLines w:val="0"/>
        <w:pageBreakBefore w:val="0"/>
        <w:widowControl w:val="0"/>
        <w:kinsoku/>
        <w:wordWrap/>
        <w:overflowPunct/>
        <w:topLinePunct w:val="0"/>
        <w:autoSpaceDE/>
        <w:autoSpaceDN/>
        <w:bidi w:val="0"/>
        <w:adjustRightInd/>
        <w:snapToGrid/>
        <w:spacing w:line="560" w:lineRule="exact"/>
        <w:ind w:left="0" w:right="0" w:firstLine="606" w:firstLineChars="200"/>
        <w:textAlignment w:val="auto"/>
        <w:outlineLvl w:val="9"/>
        <w:rPr>
          <w:rFonts w:hint="eastAsia" w:ascii="仿宋_GB2312" w:eastAsia="仿宋_GB2312" w:cs="仿宋_GB2312"/>
          <w:sz w:val="32"/>
          <w:szCs w:val="32"/>
          <w:lang w:bidi="ar-SA"/>
        </w:rPr>
      </w:pPr>
      <w:r>
        <w:rPr>
          <w:rFonts w:hint="eastAsia" w:ascii="仿宋_GB2312" w:eastAsia="仿宋_GB2312" w:cs="仿宋_GB2312"/>
          <w:sz w:val="32"/>
          <w:szCs w:val="32"/>
          <w:lang w:bidi="ar-SA"/>
        </w:rPr>
        <w:t>强化各级政府金融管理部门对地方金融产业发展的规划指导、协调服务和管理职能。理顺州、县（市）两级政府金融服务监管体制，健全组织机构，充实工作力量，强化资金保障，建立上下联动的金融管理、沟通协调和行政服务体系。推行“责任制＋清单制”管理，制定重点任务进度计划安排，加强考核引导，确保金融监管各项任务顺利推进。建立规划实施情况跟踪督办和考核评估机制，推进规划有效落实。</w:t>
      </w:r>
    </w:p>
    <w:p w14:paraId="00BDBEA2"/>
    <w:sectPr>
      <w:footerReference r:id="rId3" w:type="default"/>
      <w:footerReference r:id="rId4" w:type="even"/>
      <w:pgSz w:w="11907" w:h="16840"/>
      <w:pgMar w:top="2098" w:right="1474" w:bottom="1985" w:left="1588" w:header="851" w:footer="1587" w:gutter="0"/>
      <w:pgNumType w:fmt="numberInDash"/>
      <w:cols w:space="720" w:num="1"/>
      <w:docGrid w:type="linesAndChars" w:linePitch="289" w:charSpace="-36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8E7F8">
    <w:pPr>
      <w:pStyle w:val="6"/>
      <w:framePr w:wrap="around" w:vAnchor="text" w:hAnchor="margin" w:xAlign="outside" w:y="1"/>
      <w:rPr>
        <w:rStyle w:val="11"/>
        <w:rFonts w:ascii="Times New Roman" w:hAnsi="Times New Roman"/>
        <w:sz w:val="28"/>
        <w:szCs w:val="28"/>
      </w:rPr>
    </w:pPr>
    <w:r>
      <w:rPr>
        <w:rFonts w:hint="eastAsia" w:ascii="宋体"/>
        <w:sz w:val="28"/>
        <w:szCs w:val="28"/>
      </w:rPr>
      <w:fldChar w:fldCharType="begin"/>
    </w:r>
    <w:r>
      <w:rPr>
        <w:rStyle w:val="11"/>
        <w:rFonts w:hint="eastAsia" w:ascii="宋体"/>
        <w:sz w:val="28"/>
        <w:szCs w:val="28"/>
      </w:rPr>
      <w:instrText xml:space="preserve">PAGE  </w:instrText>
    </w:r>
    <w:r>
      <w:rPr>
        <w:rFonts w:hint="eastAsia" w:ascii="宋体"/>
        <w:sz w:val="28"/>
        <w:szCs w:val="28"/>
      </w:rPr>
      <w:fldChar w:fldCharType="separate"/>
    </w:r>
    <w:r>
      <w:rPr>
        <w:rStyle w:val="11"/>
        <w:rFonts w:hint="eastAsia" w:ascii="宋体"/>
        <w:sz w:val="28"/>
        <w:szCs w:val="28"/>
        <w:lang w:val="en-US" w:eastAsia="zh-CN"/>
      </w:rPr>
      <w:t>- 60 -</w:t>
    </w:r>
    <w:r>
      <w:rPr>
        <w:rFonts w:hint="eastAsia" w:ascii="宋体"/>
        <w:sz w:val="28"/>
        <w:szCs w:val="28"/>
      </w:rPr>
      <w:fldChar w:fldCharType="end"/>
    </w:r>
  </w:p>
  <w:p w14:paraId="52D65521">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05C3A">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lang w:val="en-US" w:eastAsia="zh-CN"/>
      </w:rPr>
      <w:t>- 50 -</w:t>
    </w:r>
    <w:r>
      <w:fldChar w:fldCharType="end"/>
    </w:r>
  </w:p>
  <w:p w14:paraId="6A5BF14C">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HorizontalSpacing w:val="96"/>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030546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Plain Text"/>
    <w:uiPriority w:val="0"/>
    <w:pPr>
      <w:widowControl w:val="0"/>
      <w:jc w:val="both"/>
    </w:pPr>
    <w:rPr>
      <w:rFonts w:ascii="宋体" w:hAnsi="Times New Roman" w:eastAsia="宋体" w:cs="Courier New"/>
      <w:kern w:val="2"/>
      <w:sz w:val="21"/>
      <w:szCs w:val="21"/>
      <w:lang w:val="en-US" w:eastAsia="zh-CN" w:bidi="ar-SA"/>
    </w:rPr>
  </w:style>
  <w:style w:type="paragraph" w:styleId="6">
    <w:name w:val="footer"/>
    <w:basedOn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7">
    <w:name w:val="index 7"/>
    <w:basedOn w:val="1"/>
    <w:next w:val="1"/>
    <w:autoRedefine/>
    <w:qFormat/>
    <w:uiPriority w:val="0"/>
    <w:pPr>
      <w:widowControl w:val="0"/>
      <w:ind w:left="1727" w:hanging="163"/>
      <w:jc w:val="both"/>
    </w:pPr>
    <w:rPr>
      <w:rFonts w:ascii="Calibri" w:hAnsi="Calibri" w:eastAsia="宋体" w:cs="Times New Roman"/>
      <w:kern w:val="2"/>
      <w:sz w:val="21"/>
      <w:szCs w:val="24"/>
      <w:lang w:val="en-US" w:eastAsia="zh-CN" w:bidi="ar-SA"/>
    </w:rPr>
  </w:style>
  <w:style w:type="paragraph" w:styleId="8">
    <w:name w:val="Body Text First Indent 2"/>
    <w:basedOn w:val="1"/>
    <w:next w:val="1"/>
    <w:uiPriority w:val="0"/>
    <w:pPr>
      <w:widowControl w:val="0"/>
      <w:spacing w:after="120" w:line="540" w:lineRule="exact"/>
      <w:ind w:left="200" w:leftChars="200" w:firstLine="200" w:firstLineChars="200"/>
      <w:jc w:val="both"/>
      <w:textAlignment w:val="baseline"/>
    </w:pPr>
    <w:rPr>
      <w:rFonts w:ascii="Calibri" w:hAnsi="Calibri" w:eastAsia="宋体" w:cs="Times New Roman"/>
      <w:color w:val="000000"/>
      <w:kern w:val="2"/>
      <w:sz w:val="21"/>
      <w:szCs w:val="24"/>
      <w:u w:val="none" w:color="000000"/>
      <w:lang w:val="en-US" w:eastAsia="zh-CN" w:bidi="ar-SA"/>
    </w:rPr>
  </w:style>
  <w:style w:type="character" w:styleId="11">
    <w:name w:val="page number"/>
    <w:uiPriority w:val="0"/>
  </w:style>
  <w:style w:type="character" w:customStyle="1" w:styleId="12">
    <w:name w:val="NormalCharacter"/>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52</Pages>
  <Words>25958</Words>
  <Characters>26587</Characters>
  <Lines>1</Lines>
  <Paragraphs>1</Paragraphs>
  <TotalTime>0</TotalTime>
  <ScaleCrop>false</ScaleCrop>
  <LinksUpToDate>false</LinksUpToDate>
  <CharactersWithSpaces>26682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2023-01-09T02:52:00Z</dcterms:created>
  <dc:creator>user</dc:creator>
  <cp:lastModifiedBy>一个笨蛋</cp:lastModifiedBy>
  <dcterms:modified xsi:type="dcterms:W3CDTF">2026-08-31T08:09:52Z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eyJoZGlkIjoiYjllZGNkZWEzYjg0NDNmNTQ5MjkzNjk0ODlhNmVkYzAiLCJ1c2VySWQiOiI0MTAxMDQ4MDkifQ==</vt:lpwstr>
  </property>
  <property fmtid="{D5CDD505-2E9C-101B-9397-08002B2CF9AE}" pid="3" name="KSOProductBuildVer">
    <vt:lpwstr>2052-12.1.0.28043</vt:lpwstr>
  </property>
  <property fmtid="{D5CDD505-2E9C-101B-9397-08002B2CF9AE}" pid="4" name="ICV">
    <vt:lpwstr>83B247D05EA54F67B1590FE41743CCB0_12</vt:lpwstr>
  </property>
</Properties>
</file>